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header3.xml" ContentType="application/vnd.openxmlformats-officedocument.wordprocessingml.header+xml"/>
  <Override PartName="/word/footer1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rPr>
          <w:rFonts w:cstheme="minorHAnsi"/>
          <w:b/>
          <w:bCs/>
          <w:caps/>
          <w:sz w:val="28"/>
          <w:szCs w:val="20"/>
        </w:rPr>
        <w:id w:val="1750069643"/>
        <w:docPartObj>
          <w:docPartGallery w:val="Cover Pages"/>
          <w:docPartUnique/>
        </w:docPartObj>
      </w:sdtPr>
      <w:sdtEndPr>
        <w:rPr>
          <w:color w:val="003366"/>
          <w:szCs w:val="28"/>
        </w:rPr>
      </w:sdtEndPr>
      <w:sdtContent>
        <w:bookmarkStart w:id="0" w:name="_Ref212731269" w:displacedByCustomXml="prev"/>
        <w:bookmarkEnd w:id="0" w:displacedByCustomXml="prev"/>
        <w:p w14:paraId="03F2D02F" w14:textId="5B96E7ED" w:rsidR="009E56D9" w:rsidRPr="000C6009" w:rsidRDefault="00073B6D">
          <w:pPr>
            <w:rPr>
              <w:rFonts w:cstheme="minorHAnsi"/>
            </w:rPr>
          </w:pPr>
          <w:r>
            <w:rPr>
              <w:rFonts w:cstheme="minorHAnsi"/>
            </w:rPr>
            <w:pict w14:anchorId="152048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style="position:absolute;left:0;text-align:left;margin-left:376.7pt;margin-top:-51.05pt;width:105.95pt;height:47pt;z-index:251658243;mso-position-horizontal-relative:text;mso-position-vertical-relative:text">
                <v:imagedata r:id="rId9" o:title="02_logo_AMP_SFONDO_SCURO"/>
              </v:shape>
            </w:pict>
          </w:r>
          <w:r w:rsidR="0056270B" w:rsidRPr="000C6009">
            <w:rPr>
              <w:rFonts w:cstheme="minorHAnsi"/>
              <w:noProof/>
            </w:rPr>
            <mc:AlternateContent>
              <mc:Choice Requires="wps">
                <w:drawing>
                  <wp:anchor distT="0" distB="0" distL="114300" distR="114300" simplePos="0" relativeHeight="251658242" behindDoc="0" locked="0" layoutInCell="1" allowOverlap="1" wp14:anchorId="0AC1DC41" wp14:editId="3F5FAAAC">
                    <wp:simplePos x="0" y="0"/>
                    <wp:positionH relativeFrom="page">
                      <wp:posOffset>5522026</wp:posOffset>
                    </wp:positionH>
                    <wp:positionV relativeFrom="page">
                      <wp:posOffset>11875</wp:posOffset>
                    </wp:positionV>
                    <wp:extent cx="2018805" cy="10664042"/>
                    <wp:effectExtent l="0" t="0" r="635" b="4445"/>
                    <wp:wrapNone/>
                    <wp:docPr id="472" name="Rettangolo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8805" cy="10664042"/>
                            </a:xfrm>
                            <a:prstGeom prst="rect">
                              <a:avLst/>
                            </a:prstGeom>
                            <a:gradFill>
                              <a:gsLst>
                                <a:gs pos="55000">
                                  <a:srgbClr val="003366"/>
                                </a:gs>
                                <a:gs pos="100000">
                                  <a:schemeClr val="tx2">
                                    <a:lumMod val="23000"/>
                                  </a:schemeClr>
                                </a:gs>
                              </a:gsLst>
                              <a:lin ang="5400000" scaled="1"/>
                            </a:grad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sdt>
                                <w:sdtPr>
                                  <w:rPr>
                                    <w:b/>
                                    <w:i/>
                                    <w:color w:val="FFFFFF" w:themeColor="background1"/>
                                    <w:sz w:val="36"/>
                                    <w:szCs w:val="36"/>
                                  </w:rPr>
                                  <w:alias w:val="Sottotitolo"/>
                                  <w:id w:val="609857164"/>
                                  <w:dataBinding w:prefixMappings="xmlns:ns0='http://schemas.openxmlformats.org/package/2006/metadata/core-properties' xmlns:ns1='http://purl.org/dc/elements/1.1/'" w:xpath="/ns0:coreProperties[1]/ns1:subject[1]" w:storeItemID="{6C3C8BC8-F283-45AE-878A-BAB7291924A1}"/>
                                  <w:text/>
                                </w:sdtPr>
                                <w:sdtEndPr/>
                                <w:sdtContent>
                                  <w:p w14:paraId="32A86A58" w14:textId="67D2F0CA" w:rsidR="009B245E" w:rsidRPr="00207886" w:rsidRDefault="009B245E" w:rsidP="007B2C78">
                                    <w:pPr>
                                      <w:pStyle w:val="Sottotitolo"/>
                                      <w:ind w:left="-142"/>
                                      <w:jc w:val="left"/>
                                      <w:rPr>
                                        <w:b/>
                                        <w:i/>
                                        <w:color w:val="FFFFFF" w:themeColor="background1"/>
                                        <w:sz w:val="36"/>
                                        <w:szCs w:val="36"/>
                                      </w:rPr>
                                    </w:pPr>
                                    <w:r w:rsidRPr="00207886">
                                      <w:rPr>
                                        <w:b/>
                                        <w:i/>
                                        <w:color w:val="FFFFFF" w:themeColor="background1"/>
                                        <w:sz w:val="36"/>
                                        <w:szCs w:val="36"/>
                                      </w:rPr>
                                      <w:t xml:space="preserve">Bacino </w:t>
                                    </w:r>
                                    <w:r w:rsidR="006F3E57">
                                      <w:rPr>
                                        <w:b/>
                                        <w:i/>
                                        <w:color w:val="FFFFFF" w:themeColor="background1"/>
                                        <w:sz w:val="36"/>
                                        <w:szCs w:val="36"/>
                                      </w:rPr>
                                      <w:t>Metropolitano</w:t>
                                    </w:r>
                                    <w:r w:rsidRPr="00207886">
                                      <w:rPr>
                                        <w:b/>
                                        <w:i/>
                                        <w:color w:val="FFFFFF" w:themeColor="background1"/>
                                        <w:sz w:val="36"/>
                                        <w:szCs w:val="36"/>
                                      </w:rPr>
                                      <w:t xml:space="preserve"> Piemonte</w:t>
                                    </w:r>
                                  </w:p>
                                </w:sdtContent>
                              </w:sdt>
                            </w:txbxContent>
                          </wps:txbx>
                          <wps:bodyPr rot="0" spcFirstLastPara="0" vertOverflow="overflow" horzOverflow="overflow" vert="horz" wrap="square" lIns="182880" tIns="45720" rIns="182880" bIns="3600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AC1DC41" id="Rettangolo 472" o:spid="_x0000_s1026" style="position:absolute;left:0;text-align:left;margin-left:434.8pt;margin-top:.95pt;width:158.95pt;height:839.7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" fillcolor="#036" stroked="f" strokeweight="1.75pt">
                    <v:fill color2="#050e18 [751]" colors="0 #036;36045f #036" focus="100%" type="gradient"/>
                    <v:stroke endcap="round"/>
                    <v:textbox inset="14.4pt,,14.4pt,1mm">
                      <w:txbxContent>
                        <w:sdt>
                          <w:sdtPr>
                            <w:rPr>
                              <w:b/>
                              <w:i/>
                              <w:color w:val="FFFFFF" w:themeColor="background1"/>
                              <w:sz w:val="36"/>
                              <w:szCs w:val="36"/>
                            </w:rPr>
                            <w:alias w:val="Sottotitolo"/>
                            <w:id w:val="609857164"/>
                            <w:dataBinding w:prefixMappings="xmlns:ns0='http://schemas.openxmlformats.org/package/2006/metadata/core-properties' xmlns:ns1='http://purl.org/dc/elements/1.1/'" w:xpath="/ns0:coreProperties[1]/ns1:subject[1]" w:storeItemID="{6C3C8BC8-F283-45AE-878A-BAB7291924A1}"/>
                            <w:text/>
                          </w:sdtPr>
                          <w:sdtEndPr/>
                          <w:sdtContent>
                            <w:p w14:paraId="32A86A58" w14:textId="67D2F0CA" w:rsidR="009B245E" w:rsidRPr="00207886" w:rsidRDefault="009B245E" w:rsidP="007B2C78">
                              <w:pPr>
                                <w:pStyle w:val="Sottotitolo"/>
                                <w:ind w:left="-142"/>
                                <w:jc w:val="left"/>
                                <w:rPr>
                                  <w:b/>
                                  <w:i/>
                                  <w:color w:val="FFFFFF" w:themeColor="background1"/>
                                  <w:sz w:val="36"/>
                                  <w:szCs w:val="36"/>
                                </w:rPr>
                              </w:pPr>
                              <w:r w:rsidRPr="00207886">
                                <w:rPr>
                                  <w:b/>
                                  <w:i/>
                                  <w:color w:val="FFFFFF" w:themeColor="background1"/>
                                  <w:sz w:val="36"/>
                                  <w:szCs w:val="36"/>
                                </w:rPr>
                                <w:t xml:space="preserve">Bacino </w:t>
                              </w:r>
                              <w:r w:rsidR="006F3E57">
                                <w:rPr>
                                  <w:b/>
                                  <w:i/>
                                  <w:color w:val="FFFFFF" w:themeColor="background1"/>
                                  <w:sz w:val="36"/>
                                  <w:szCs w:val="36"/>
                                </w:rPr>
                                <w:t>Metropolitano</w:t>
                              </w:r>
                              <w:r w:rsidRPr="00207886">
                                <w:rPr>
                                  <w:b/>
                                  <w:i/>
                                  <w:color w:val="FFFFFF" w:themeColor="background1"/>
                                  <w:sz w:val="36"/>
                                  <w:szCs w:val="36"/>
                                </w:rPr>
                                <w:t xml:space="preserve"> Piemonte</w:t>
                              </w:r>
                            </w:p>
                          </w:sdtContent>
                        </w:sdt>
                      </w:txbxContent>
                    </v:textbox>
                    <w10:wrap anchorx="page" anchory="page"/>
                  </v:rect>
                </w:pict>
              </mc:Fallback>
            </mc:AlternateContent>
          </w:r>
        </w:p>
        <w:p w14:paraId="346E09A2" w14:textId="13FA022A" w:rsidR="00C5695F" w:rsidRPr="000C6009" w:rsidRDefault="00F55130" w:rsidP="00B03F80">
          <w:pPr>
            <w:spacing w:after="0"/>
            <w:ind w:left="-426"/>
            <w:jc w:val="left"/>
            <w:rPr>
              <w:rFonts w:cstheme="minorHAnsi"/>
              <w:sz w:val="16"/>
              <w:szCs w:val="16"/>
            </w:rPr>
          </w:pPr>
          <w:r w:rsidRPr="000C6009">
            <w:rPr>
              <w:rFonts w:cstheme="minorHAnsi"/>
              <w:noProof/>
            </w:rPr>
            <mc:AlternateContent>
              <mc:Choice Requires="wps">
                <w:drawing>
                  <wp:anchor distT="0" distB="0" distL="114300" distR="114300" simplePos="0" relativeHeight="251658240" behindDoc="0" locked="0" layoutInCell="1" allowOverlap="1" wp14:anchorId="15295898" wp14:editId="7384D723">
                    <wp:simplePos x="0" y="0"/>
                    <wp:positionH relativeFrom="page">
                      <wp:posOffset>141890</wp:posOffset>
                    </wp:positionH>
                    <wp:positionV relativeFrom="page">
                      <wp:posOffset>6605752</wp:posOffset>
                    </wp:positionV>
                    <wp:extent cx="5363210" cy="4078955"/>
                    <wp:effectExtent l="0" t="0" r="0" b="0"/>
                    <wp:wrapNone/>
                    <wp:docPr id="471" name="Rettangolo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4078955"/>
                            </a:xfrm>
                            <a:prstGeom prst="rect">
                              <a:avLst/>
                            </a:prstGeom>
                            <a:noFill/>
                            <a:ln>
                              <a:noFill/>
                            </a:ln>
                          </wps:spPr>
                          <wps:txbx>
                            <w:txbxContent>
                              <w:sdt>
                                <w:sdtPr>
                                  <w:rPr>
                                    <w:b/>
                                    <w:caps/>
                                    <w:color w:val="003366"/>
                                    <w:sz w:val="60"/>
                                    <w:szCs w:val="60"/>
                                  </w:rPr>
                                  <w:alias w:val="Titolo"/>
                                  <w:id w:val="1898711827"/>
                                  <w:dataBinding w:prefixMappings="xmlns:ns0='http://schemas.openxmlformats.org/package/2006/metadata/core-properties' xmlns:ns1='http://purl.org/dc/elements/1.1/'" w:xpath="/ns0:coreProperties[1]/ns1:title[1]" w:storeItemID="{6C3C8BC8-F283-45AE-878A-BAB7291924A1}"/>
                                  <w:text/>
                                </w:sdtPr>
                                <w:sdtEndPr/>
                                <w:sdtContent>
                                  <w:p w14:paraId="289D718E" w14:textId="57D174E6" w:rsidR="009B245E" w:rsidRPr="00207886" w:rsidRDefault="009B245E" w:rsidP="0056270B">
                                    <w:pPr>
                                      <w:pStyle w:val="Titolo"/>
                                      <w:jc w:val="center"/>
                                      <w:rPr>
                                        <w:b/>
                                        <w:caps/>
                                        <w:color w:val="003366"/>
                                        <w:sz w:val="60"/>
                                        <w:szCs w:val="60"/>
                                      </w:rPr>
                                    </w:pPr>
                                    <w:r w:rsidRPr="00207886">
                                      <w:rPr>
                                        <w:b/>
                                        <w:caps/>
                                        <w:color w:val="003366"/>
                                        <w:sz w:val="60"/>
                                        <w:szCs w:val="60"/>
                                      </w:rPr>
                                      <w:t>Relazione sui lot</w:t>
                                    </w:r>
                                    <w:r>
                                      <w:rPr>
                                        <w:b/>
                                        <w:caps/>
                                        <w:color w:val="003366"/>
                                        <w:sz w:val="60"/>
                                        <w:szCs w:val="60"/>
                                      </w:rPr>
                                      <w:t>t</w:t>
                                    </w:r>
                                    <w:r w:rsidRPr="00207886">
                                      <w:rPr>
                                        <w:b/>
                                        <w:caps/>
                                        <w:color w:val="003366"/>
                                        <w:sz w:val="60"/>
                                        <w:szCs w:val="60"/>
                                      </w:rPr>
                                      <w:t>i di gara</w:t>
                                    </w:r>
                                  </w:p>
                                </w:sdtContent>
                              </w:sdt>
                              <w:p w14:paraId="3B1A29B5" w14:textId="77777777" w:rsidR="009B245E" w:rsidRPr="00207886" w:rsidRDefault="009B245E">
                                <w:pPr>
                                  <w:spacing w:before="240"/>
                                  <w:ind w:left="720"/>
                                  <w:jc w:val="right"/>
                                  <w:rPr>
                                    <w:color w:val="FFFFFF" w:themeColor="background1"/>
                                  </w:rPr>
                                </w:pPr>
                              </w:p>
                              <w:sdt>
                                <w:sdtPr>
                                  <w:rPr>
                                    <w:color w:val="003366"/>
                                    <w:sz w:val="28"/>
                                    <w:szCs w:val="28"/>
                                  </w:rPr>
                                  <w:alias w:val="Sunto"/>
                                  <w:id w:val="909589083"/>
                                  <w:dataBinding w:prefixMappings="xmlns:ns0='http://schemas.microsoft.com/office/2006/coverPageProps'" w:xpath="/ns0:CoverPageProperties[1]/ns0:Abstract[1]" w:storeItemID="{55AF091B-3C7A-41E3-B477-F2FDAA23CFDA}"/>
                                  <w:text/>
                                </w:sdtPr>
                                <w:sdtEndPr/>
                                <w:sdtContent>
                                  <w:p w14:paraId="75BEC56A" w14:textId="48C25063" w:rsidR="009B245E" w:rsidRPr="00207886" w:rsidRDefault="009B245E" w:rsidP="0056270B">
                                    <w:pPr>
                                      <w:spacing w:before="240"/>
                                      <w:ind w:left="1008"/>
                                      <w:jc w:val="center"/>
                                      <w:rPr>
                                        <w:color w:val="FFFFFF" w:themeColor="background1"/>
                                        <w:sz w:val="28"/>
                                        <w:szCs w:val="28"/>
                                      </w:rPr>
                                    </w:pPr>
                                    <w:r w:rsidRPr="004E445F">
                                      <w:rPr>
                                        <w:color w:val="003366"/>
                                        <w:sz w:val="28"/>
                                        <w:szCs w:val="28"/>
                                      </w:rPr>
                                      <w:t xml:space="preserve">Affidamento dei servizi di Trasporto Pubblico Locale   Ex Misure 4 e 6 dell’allegato A                                        alla Delibera ART 48/2017 </w:t>
                                    </w:r>
                                  </w:p>
                                </w:sdtContent>
                              </w:sdt>
                            </w:txbxContent>
                          </wps:txbx>
                          <wps:bodyPr rot="0" vert="horz" wrap="square" lIns="274320" tIns="914400" rIns="274320" bIns="1440000" anchor="b" anchorCtr="0" upright="1">
                            <a:noAutofit/>
                          </wps:bodyPr>
                        </wps:wsp>
                      </a:graphicData>
                    </a:graphic>
                    <wp14:sizeRelH relativeFrom="page">
                      <wp14:pctWidth>69000</wp14:pctWidth>
                    </wp14:sizeRelH>
                    <wp14:sizeRelV relativeFrom="page">
                      <wp14:pctHeight>0</wp14:pctHeight>
                    </wp14:sizeRelV>
                  </wp:anchor>
                </w:drawing>
              </mc:Choice>
              <mc:Fallback>
                <w:pict>
                  <v:rect w14:anchorId="15295898" id="Rettangolo 16" o:spid="_x0000_s1027" style="position:absolute;left:0;text-align:left;margin-left:11.15pt;margin-top:520.15pt;width:422.3pt;height:321.2pt;z-index:251658240;visibility:visible;mso-wrap-style:square;mso-width-percent:690;mso-height-percent:0;mso-wrap-distance-left:9pt;mso-wrap-distance-top:0;mso-wrap-distance-right:9pt;mso-wrap-distance-bottom:0;mso-position-horizontal:absolute;mso-position-horizontal-relative:page;mso-position-vertical:absolute;mso-position-vertical-relative:page;mso-width-percent:69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" filled="f" stroked="f">
                    <v:textbox inset="21.6pt,1in,21.6pt,40mm">
                      <w:txbxContent>
                        <w:sdt>
                          <w:sdtPr>
                            <w:rPr>
                              <w:b/>
                              <w:caps/>
                              <w:color w:val="003366"/>
                              <w:sz w:val="60"/>
                              <w:szCs w:val="60"/>
                            </w:rPr>
                            <w:alias w:val="Titolo"/>
                            <w:id w:val="1898711827"/>
                            <w:dataBinding w:prefixMappings="xmlns:ns0='http://schemas.openxmlformats.org/package/2006/metadata/core-properties' xmlns:ns1='http://purl.org/dc/elements/1.1/'" w:xpath="/ns0:coreProperties[1]/ns1:title[1]" w:storeItemID="{6C3C8BC8-F283-45AE-878A-BAB7291924A1}"/>
                            <w:text/>
                          </w:sdtPr>
                          <w:sdtEndPr/>
                          <w:sdtContent>
                            <w:p w14:paraId="289D718E" w14:textId="57D174E6" w:rsidR="009B245E" w:rsidRPr="00207886" w:rsidRDefault="009B245E" w:rsidP="0056270B">
                              <w:pPr>
                                <w:pStyle w:val="Titolo"/>
                                <w:jc w:val="center"/>
                                <w:rPr>
                                  <w:b/>
                                  <w:caps/>
                                  <w:color w:val="003366"/>
                                  <w:sz w:val="60"/>
                                  <w:szCs w:val="60"/>
                                </w:rPr>
                              </w:pPr>
                              <w:r w:rsidRPr="00207886">
                                <w:rPr>
                                  <w:b/>
                                  <w:caps/>
                                  <w:color w:val="003366"/>
                                  <w:sz w:val="60"/>
                                  <w:szCs w:val="60"/>
                                </w:rPr>
                                <w:t>Relazione sui lot</w:t>
                              </w:r>
                              <w:r>
                                <w:rPr>
                                  <w:b/>
                                  <w:caps/>
                                  <w:color w:val="003366"/>
                                  <w:sz w:val="60"/>
                                  <w:szCs w:val="60"/>
                                </w:rPr>
                                <w:t>t</w:t>
                              </w:r>
                              <w:r w:rsidRPr="00207886">
                                <w:rPr>
                                  <w:b/>
                                  <w:caps/>
                                  <w:color w:val="003366"/>
                                  <w:sz w:val="60"/>
                                  <w:szCs w:val="60"/>
                                </w:rPr>
                                <w:t>i di gara</w:t>
                              </w:r>
                            </w:p>
                          </w:sdtContent>
                        </w:sdt>
                        <w:p w14:paraId="3B1A29B5" w14:textId="77777777" w:rsidR="009B245E" w:rsidRPr="00207886" w:rsidRDefault="009B245E">
                          <w:pPr>
                            <w:spacing w:before="240"/>
                            <w:ind w:left="720"/>
                            <w:jc w:val="right"/>
                            <w:rPr>
                              <w:color w:val="FFFFFF" w:themeColor="background1"/>
                            </w:rPr>
                          </w:pPr>
                        </w:p>
                        <w:sdt>
                          <w:sdtPr>
                            <w:rPr>
                              <w:color w:val="003366"/>
                              <w:sz w:val="28"/>
                              <w:szCs w:val="28"/>
                            </w:rPr>
                            <w:alias w:val="Sunto"/>
                            <w:id w:val="909589083"/>
                            <w:dataBinding w:prefixMappings="xmlns:ns0='http://schemas.microsoft.com/office/2006/coverPageProps'" w:xpath="/ns0:CoverPageProperties[1]/ns0:Abstract[1]" w:storeItemID="{55AF091B-3C7A-41E3-B477-F2FDAA23CFDA}"/>
                            <w:text/>
                          </w:sdtPr>
                          <w:sdtEndPr/>
                          <w:sdtContent>
                            <w:p w14:paraId="75BEC56A" w14:textId="48C25063" w:rsidR="009B245E" w:rsidRPr="00207886" w:rsidRDefault="009B245E" w:rsidP="0056270B">
                              <w:pPr>
                                <w:spacing w:before="240"/>
                                <w:ind w:left="1008"/>
                                <w:jc w:val="center"/>
                                <w:rPr>
                                  <w:color w:val="FFFFFF" w:themeColor="background1"/>
                                  <w:sz w:val="28"/>
                                  <w:szCs w:val="28"/>
                                </w:rPr>
                              </w:pPr>
                              <w:r w:rsidRPr="004E445F">
                                <w:rPr>
                                  <w:color w:val="003366"/>
                                  <w:sz w:val="28"/>
                                  <w:szCs w:val="28"/>
                                </w:rPr>
                                <w:t xml:space="preserve">Affidamento dei servizi di Trasporto Pubblico Locale   Ex Misure 4 e 6 dell’allegato A                                        alla Delibera ART 48/2017 </w:t>
                              </w:r>
                            </w:p>
                          </w:sdtContent>
                        </w:sdt>
                      </w:txbxContent>
                    </v:textbox>
                    <w10:wrap anchorx="page" anchory="page"/>
                  </v:rect>
                </w:pict>
              </mc:Fallback>
            </mc:AlternateContent>
          </w:r>
          <w:r w:rsidR="00B03F80">
            <w:rPr>
              <w:rFonts w:cstheme="minorHAnsi"/>
              <w:b/>
              <w:bCs/>
              <w:caps/>
              <w:noProof/>
            </w:rPr>
            <w:drawing>
              <wp:inline distT="0" distB="0" distL="0" distR="0" wp14:anchorId="7A0DFC92" wp14:editId="52404CA5">
                <wp:extent cx="4248150" cy="5156151"/>
                <wp:effectExtent l="0" t="0" r="0" b="6985"/>
                <wp:docPr id="28270217" name="Immagine 11" descr="Immagine che contiene Policromia, schermata, modello, luc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70217" name="Immagine 11" descr="Immagine che contiene Policromia, schermata, modello, luce&#10;&#10;Il contenuto generato dall'IA potrebbe non essere corrett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248150" cy="5156151"/>
                        </a:xfrm>
                        <a:prstGeom prst="rect">
                          <a:avLst/>
                        </a:prstGeom>
                        <a:noFill/>
                        <a:ln>
                          <a:noFill/>
                        </a:ln>
                      </pic:spPr>
                    </pic:pic>
                  </a:graphicData>
                </a:graphic>
              </wp:inline>
            </w:drawing>
          </w:r>
        </w:p>
        <w:p w14:paraId="179F1249" w14:textId="77777777" w:rsidR="00C5695F" w:rsidRPr="000C6009" w:rsidRDefault="00C5695F" w:rsidP="00C5695F">
          <w:pPr>
            <w:spacing w:after="0"/>
            <w:rPr>
              <w:rFonts w:cstheme="minorHAnsi"/>
              <w:sz w:val="16"/>
              <w:szCs w:val="16"/>
            </w:rPr>
          </w:pPr>
        </w:p>
        <w:p w14:paraId="6357B133" w14:textId="77777777" w:rsidR="00C5695F" w:rsidRPr="000C6009" w:rsidRDefault="00C5695F" w:rsidP="00C5695F">
          <w:pPr>
            <w:spacing w:after="0"/>
            <w:rPr>
              <w:rFonts w:cstheme="minorHAnsi"/>
              <w:sz w:val="16"/>
              <w:szCs w:val="16"/>
            </w:rPr>
          </w:pPr>
        </w:p>
        <w:p w14:paraId="48EFE502" w14:textId="77777777" w:rsidR="00C5695F" w:rsidRPr="000C6009" w:rsidRDefault="00C5695F" w:rsidP="00C5695F">
          <w:pPr>
            <w:spacing w:after="0"/>
            <w:rPr>
              <w:rFonts w:cstheme="minorHAnsi"/>
              <w:sz w:val="16"/>
              <w:szCs w:val="16"/>
            </w:rPr>
          </w:pPr>
        </w:p>
        <w:p w14:paraId="20C20747" w14:textId="77777777" w:rsidR="00C5695F" w:rsidRPr="000C6009" w:rsidRDefault="00C5695F" w:rsidP="00C5695F">
          <w:pPr>
            <w:spacing w:after="0"/>
            <w:rPr>
              <w:rFonts w:cstheme="minorHAnsi"/>
              <w:sz w:val="16"/>
              <w:szCs w:val="16"/>
            </w:rPr>
          </w:pPr>
        </w:p>
        <w:p w14:paraId="1BFDEBB9" w14:textId="77777777" w:rsidR="00C5695F" w:rsidRPr="000C6009" w:rsidRDefault="00C5695F" w:rsidP="00C5695F">
          <w:pPr>
            <w:spacing w:after="0"/>
            <w:rPr>
              <w:rFonts w:cstheme="minorHAnsi"/>
              <w:sz w:val="16"/>
              <w:szCs w:val="16"/>
            </w:rPr>
          </w:pPr>
        </w:p>
        <w:p w14:paraId="3DF7530A" w14:textId="77777777" w:rsidR="00C5695F" w:rsidRPr="000C6009" w:rsidRDefault="00C5695F" w:rsidP="00C5695F">
          <w:pPr>
            <w:spacing w:after="0"/>
            <w:rPr>
              <w:rFonts w:cstheme="minorHAnsi"/>
              <w:sz w:val="16"/>
              <w:szCs w:val="16"/>
            </w:rPr>
          </w:pPr>
        </w:p>
        <w:p w14:paraId="3EB75FF9" w14:textId="77777777" w:rsidR="00C5695F" w:rsidRPr="000C6009" w:rsidRDefault="00C5695F" w:rsidP="00C5695F">
          <w:pPr>
            <w:spacing w:after="0"/>
            <w:rPr>
              <w:rFonts w:cstheme="minorHAnsi"/>
              <w:sz w:val="16"/>
              <w:szCs w:val="16"/>
            </w:rPr>
          </w:pPr>
        </w:p>
        <w:p w14:paraId="6CB5E4C8" w14:textId="77777777" w:rsidR="00C5695F" w:rsidRPr="000C6009" w:rsidRDefault="00C5695F" w:rsidP="00C5695F">
          <w:pPr>
            <w:spacing w:after="0"/>
            <w:rPr>
              <w:rFonts w:cstheme="minorHAnsi"/>
              <w:sz w:val="16"/>
              <w:szCs w:val="16"/>
            </w:rPr>
          </w:pPr>
        </w:p>
        <w:p w14:paraId="18E67AE1" w14:textId="77777777" w:rsidR="00C5695F" w:rsidRPr="000C6009" w:rsidRDefault="00C5695F" w:rsidP="00C5695F">
          <w:pPr>
            <w:spacing w:after="0"/>
            <w:rPr>
              <w:rFonts w:cstheme="minorHAnsi"/>
              <w:sz w:val="16"/>
              <w:szCs w:val="16"/>
            </w:rPr>
          </w:pPr>
        </w:p>
        <w:p w14:paraId="1E622489" w14:textId="77777777" w:rsidR="00C5695F" w:rsidRPr="000C6009" w:rsidRDefault="00C5695F" w:rsidP="00C5695F">
          <w:pPr>
            <w:spacing w:after="0"/>
            <w:rPr>
              <w:rFonts w:cstheme="minorHAnsi"/>
              <w:sz w:val="16"/>
              <w:szCs w:val="16"/>
            </w:rPr>
          </w:pPr>
        </w:p>
        <w:p w14:paraId="148F2764" w14:textId="77777777" w:rsidR="00C5695F" w:rsidRPr="000C6009" w:rsidRDefault="00C5695F" w:rsidP="00C5695F">
          <w:pPr>
            <w:spacing w:after="0"/>
            <w:rPr>
              <w:rFonts w:cstheme="minorHAnsi"/>
              <w:sz w:val="16"/>
              <w:szCs w:val="16"/>
            </w:rPr>
          </w:pPr>
        </w:p>
        <w:p w14:paraId="0110D839" w14:textId="77777777" w:rsidR="00C5695F" w:rsidRPr="000C6009" w:rsidRDefault="00C5695F" w:rsidP="00C5695F">
          <w:pPr>
            <w:spacing w:after="0"/>
            <w:rPr>
              <w:rFonts w:cstheme="minorHAnsi"/>
              <w:sz w:val="16"/>
              <w:szCs w:val="16"/>
            </w:rPr>
          </w:pPr>
        </w:p>
        <w:p w14:paraId="05E4E3EF" w14:textId="77777777" w:rsidR="00C5695F" w:rsidRPr="000C6009" w:rsidRDefault="00C5695F" w:rsidP="00C5695F">
          <w:pPr>
            <w:spacing w:after="0"/>
            <w:rPr>
              <w:rFonts w:cstheme="minorHAnsi"/>
              <w:sz w:val="16"/>
              <w:szCs w:val="16"/>
            </w:rPr>
          </w:pPr>
        </w:p>
        <w:p w14:paraId="2824D014" w14:textId="77777777" w:rsidR="00C5695F" w:rsidRPr="000C6009" w:rsidRDefault="00C5695F" w:rsidP="00C5695F">
          <w:pPr>
            <w:spacing w:after="0"/>
            <w:rPr>
              <w:rFonts w:cstheme="minorHAnsi"/>
              <w:sz w:val="16"/>
              <w:szCs w:val="16"/>
            </w:rPr>
          </w:pPr>
        </w:p>
        <w:p w14:paraId="29A02397" w14:textId="77777777" w:rsidR="00C5695F" w:rsidRPr="000C6009" w:rsidRDefault="00C5695F" w:rsidP="00C5695F">
          <w:pPr>
            <w:spacing w:after="0"/>
            <w:rPr>
              <w:rFonts w:cstheme="minorHAnsi"/>
              <w:sz w:val="16"/>
              <w:szCs w:val="16"/>
            </w:rPr>
          </w:pPr>
        </w:p>
        <w:p w14:paraId="3DC82D38" w14:textId="77777777" w:rsidR="00C5695F" w:rsidRPr="000C6009" w:rsidRDefault="00C5695F" w:rsidP="00C5695F">
          <w:pPr>
            <w:spacing w:after="0"/>
            <w:rPr>
              <w:rFonts w:cstheme="minorHAnsi"/>
              <w:sz w:val="16"/>
              <w:szCs w:val="16"/>
            </w:rPr>
          </w:pPr>
        </w:p>
        <w:p w14:paraId="78272EF3" w14:textId="77777777" w:rsidR="00C5695F" w:rsidRPr="000C6009" w:rsidRDefault="00C5695F" w:rsidP="00C5695F">
          <w:pPr>
            <w:spacing w:after="0"/>
            <w:rPr>
              <w:rFonts w:cstheme="minorHAnsi"/>
              <w:sz w:val="16"/>
              <w:szCs w:val="16"/>
            </w:rPr>
          </w:pPr>
        </w:p>
        <w:p w14:paraId="65B63561" w14:textId="77777777" w:rsidR="00C5695F" w:rsidRPr="000C6009" w:rsidRDefault="00C5695F" w:rsidP="00C5695F">
          <w:pPr>
            <w:spacing w:after="0"/>
            <w:rPr>
              <w:rFonts w:cstheme="minorHAnsi"/>
              <w:sz w:val="16"/>
              <w:szCs w:val="16"/>
            </w:rPr>
          </w:pPr>
        </w:p>
        <w:p w14:paraId="742F9F0B" w14:textId="2686934F" w:rsidR="00C5695F" w:rsidRPr="000C6009" w:rsidRDefault="00C5695F" w:rsidP="00C5695F">
          <w:pPr>
            <w:spacing w:after="0"/>
            <w:rPr>
              <w:rFonts w:cstheme="minorHAnsi"/>
              <w:sz w:val="16"/>
              <w:szCs w:val="16"/>
            </w:rPr>
          </w:pPr>
        </w:p>
        <w:p w14:paraId="1C05DB8E" w14:textId="4586C0EB" w:rsidR="00C5695F" w:rsidRPr="000C6009" w:rsidRDefault="00C5695F" w:rsidP="00C5695F">
          <w:pPr>
            <w:spacing w:after="0"/>
            <w:rPr>
              <w:rFonts w:cstheme="minorHAnsi"/>
              <w:sz w:val="16"/>
              <w:szCs w:val="16"/>
            </w:rPr>
          </w:pPr>
        </w:p>
        <w:p w14:paraId="3A83F2E4" w14:textId="4A8F4CCA" w:rsidR="00C5695F" w:rsidRPr="000C6009" w:rsidRDefault="00C5695F" w:rsidP="00C5695F">
          <w:pPr>
            <w:spacing w:after="0"/>
            <w:rPr>
              <w:rFonts w:cstheme="minorHAnsi"/>
              <w:sz w:val="16"/>
              <w:szCs w:val="16"/>
            </w:rPr>
          </w:pPr>
        </w:p>
        <w:p w14:paraId="5C446841" w14:textId="7DAA69C8" w:rsidR="00C5695F" w:rsidRPr="000C6009" w:rsidRDefault="00D3672E" w:rsidP="00C5695F">
          <w:pPr>
            <w:spacing w:after="0"/>
            <w:rPr>
              <w:rFonts w:cstheme="minorHAnsi"/>
              <w:sz w:val="16"/>
              <w:szCs w:val="16"/>
            </w:rPr>
          </w:pPr>
          <w:r w:rsidRPr="000C6009">
            <w:rPr>
              <w:rFonts w:cstheme="minorHAnsi"/>
              <w:noProof/>
            </w:rPr>
            <mc:AlternateContent>
              <mc:Choice Requires="wps">
                <w:drawing>
                  <wp:anchor distT="0" distB="0" distL="114300" distR="114300" simplePos="0" relativeHeight="251658241" behindDoc="0" locked="0" layoutInCell="1" allowOverlap="1" wp14:anchorId="41D97C16" wp14:editId="3D40AAEB">
                    <wp:simplePos x="0" y="0"/>
                    <wp:positionH relativeFrom="column">
                      <wp:posOffset>2898140</wp:posOffset>
                    </wp:positionH>
                    <wp:positionV relativeFrom="paragraph">
                      <wp:posOffset>64770</wp:posOffset>
                    </wp:positionV>
                    <wp:extent cx="1546225" cy="381000"/>
                    <wp:effectExtent l="0" t="0" r="15875" b="19050"/>
                    <wp:wrapNone/>
                    <wp:docPr id="455" name="Casella di testo 455"/>
                    <wp:cNvGraphicFramePr/>
                    <a:graphic xmlns:a="http://schemas.openxmlformats.org/drawingml/2006/main">
                      <a:graphicData uri="http://schemas.microsoft.com/office/word/2010/wordprocessingShape">
                        <wps:wsp>
                          <wps:cNvSpPr txBox="1"/>
                          <wps:spPr>
                            <a:xfrm>
                              <a:off x="0" y="0"/>
                              <a:ext cx="1546225" cy="381000"/>
                            </a:xfrm>
                            <a:prstGeom prst="rect">
                              <a:avLst/>
                            </a:prstGeom>
                            <a:solidFill>
                              <a:schemeClr val="lt1"/>
                            </a:solidFill>
                            <a:ln w="6350">
                              <a:solidFill>
                                <a:schemeClr val="accent6">
                                  <a:lumMod val="60000"/>
                                  <a:lumOff val="40000"/>
                                </a:schemeClr>
                              </a:solidFill>
                            </a:ln>
                          </wps:spPr>
                          <wps:txbx>
                            <w:txbxContent>
                              <w:p w14:paraId="5C5B0EDB" w14:textId="4D296B49" w:rsidR="009B245E" w:rsidRPr="003A31A9" w:rsidRDefault="009B4011" w:rsidP="00623676">
                                <w:pPr>
                                  <w:jc w:val="center"/>
                                  <w:rPr>
                                    <w:rFonts w:cstheme="minorHAnsi"/>
                                    <w:color w:val="EE0000"/>
                                    <w:sz w:val="32"/>
                                    <w:szCs w:val="32"/>
                                    <w14:shadow w14:blurRad="38100" w14:dist="19050" w14:dir="2700000" w14:sx="100000" w14:sy="100000" w14:kx="0" w14:ky="0" w14:algn="tl">
                                      <w14:schemeClr w14:val="dk1">
                                        <w14:alpha w14:val="60000"/>
                                      </w14:schemeClr>
                                    </w14:shadow>
                                    <w14:textOutline w14:w="9525" w14:cap="flat" w14:cmpd="sng" w14:algn="ctr">
                                      <w14:solidFill>
                                        <w14:schemeClr w14:val="accent6">
                                          <w14:lumMod w14:val="60000"/>
                                          <w14:lumOff w14:val="40000"/>
                                        </w14:schemeClr>
                                      </w14:solidFill>
                                      <w14:prstDash w14:val="solid"/>
                                      <w14:round/>
                                    </w14:textOutline>
                                  </w:rPr>
                                </w:pPr>
                                <w:r>
                                  <w:rPr>
                                    <w:rFonts w:cstheme="minorHAnsi"/>
                                    <w:color w:val="EE0000"/>
                                    <w:sz w:val="32"/>
                                    <w:szCs w:val="32"/>
                                    <w14:shadow w14:blurRad="38100" w14:dist="19050" w14:dir="2700000" w14:sx="100000" w14:sy="100000" w14:kx="0" w14:ky="0" w14:algn="tl">
                                      <w14:schemeClr w14:val="dk1">
                                        <w14:alpha w14:val="60000"/>
                                      </w14:schemeClr>
                                    </w14:shadow>
                                    <w14:textOutline w14:w="9525" w14:cap="flat" w14:cmpd="sng" w14:algn="ctr">
                                      <w14:solidFill>
                                        <w14:schemeClr w14:val="accent6">
                                          <w14:lumMod w14:val="60000"/>
                                          <w14:lumOff w14:val="40000"/>
                                        </w14:schemeClr>
                                      </w14:solidFill>
                                      <w14:prstDash w14:val="solid"/>
                                      <w14:round/>
                                    </w14:textOutline>
                                  </w:rPr>
                                  <w:t>Novem</w:t>
                                </w:r>
                                <w:r w:rsidR="004016BA">
                                  <w:rPr>
                                    <w:rFonts w:cstheme="minorHAnsi"/>
                                    <w:color w:val="EE0000"/>
                                    <w:sz w:val="32"/>
                                    <w:szCs w:val="32"/>
                                    <w14:shadow w14:blurRad="38100" w14:dist="19050" w14:dir="2700000" w14:sx="100000" w14:sy="100000" w14:kx="0" w14:ky="0" w14:algn="tl">
                                      <w14:schemeClr w14:val="dk1">
                                        <w14:alpha w14:val="60000"/>
                                      </w14:schemeClr>
                                    </w14:shadow>
                                    <w14:textOutline w14:w="9525" w14:cap="flat" w14:cmpd="sng" w14:algn="ctr">
                                      <w14:solidFill>
                                        <w14:schemeClr w14:val="accent6">
                                          <w14:lumMod w14:val="60000"/>
                                          <w14:lumOff w14:val="40000"/>
                                        </w14:schemeClr>
                                      </w14:solidFill>
                                      <w14:prstDash w14:val="solid"/>
                                      <w14:round/>
                                    </w14:textOutline>
                                  </w:rPr>
                                  <w:t>bre</w:t>
                                </w:r>
                                <w:r w:rsidR="009B245E" w:rsidRPr="003A31A9">
                                  <w:rPr>
                                    <w:rFonts w:cstheme="minorHAnsi"/>
                                    <w:color w:val="EE0000"/>
                                    <w:sz w:val="32"/>
                                    <w:szCs w:val="32"/>
                                    <w14:shadow w14:blurRad="38100" w14:dist="19050" w14:dir="2700000" w14:sx="100000" w14:sy="100000" w14:kx="0" w14:ky="0" w14:algn="tl">
                                      <w14:schemeClr w14:val="dk1">
                                        <w14:alpha w14:val="60000"/>
                                      </w14:schemeClr>
                                    </w14:shadow>
                                    <w14:textOutline w14:w="9525" w14:cap="flat" w14:cmpd="sng" w14:algn="ctr">
                                      <w14:solidFill>
                                        <w14:schemeClr w14:val="accent6">
                                          <w14:lumMod w14:val="60000"/>
                                          <w14:lumOff w14:val="40000"/>
                                        </w14:schemeClr>
                                      </w14:solidFill>
                                      <w14:prstDash w14:val="solid"/>
                                      <w14:round/>
                                    </w14:textOutline>
                                  </w:rPr>
                                  <w:t xml:space="preserve"> 2025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41D97C16" id="_x0000_t202" coordsize="21600,21600" o:spt="202" path="m,l,21600r21600,l21600,xe">
                    <v:stroke joinstyle="miter"/>
                    <v:path gradientshapeok="t" o:connecttype="rect"/>
                  </v:shapetype>
                  <v:shape id="Casella di testo 455" o:spid="_x0000_s1028" type="#_x0000_t202" style="position:absolute;left:0;text-align:left;margin-left:228.2pt;margin-top:5.1pt;width:121.75pt;height:30pt;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" fillcolor="white [3201]" strokecolor="#dde8bc [1945]" strokeweight=".5pt">
                    <v:textbox>
                      <w:txbxContent>
                        <w:p w14:paraId="5C5B0EDB" w14:textId="4D296B49" w:rsidR="009B245E" w:rsidRPr="003A31A9" w:rsidRDefault="009B4011" w:rsidP="00623676">
                          <w:pPr>
                            <w:jc w:val="center"/>
                            <w:rPr>
                              <w:rFonts w:cstheme="minorHAnsi"/>
                              <w:color w:val="EE0000"/>
                              <w:sz w:val="32"/>
                              <w:szCs w:val="32"/>
                              <w14:shadow w14:blurRad="38100" w14:dist="19050" w14:dir="2700000" w14:sx="100000" w14:sy="100000" w14:kx="0" w14:ky="0" w14:algn="tl">
                                <w14:schemeClr w14:val="dk1">
                                  <w14:alpha w14:val="60000"/>
                                </w14:schemeClr>
                              </w14:shadow>
                              <w14:textOutline w14:w="9525" w14:cap="flat" w14:cmpd="sng" w14:algn="ctr">
                                <w14:solidFill>
                                  <w14:schemeClr w14:val="accent6">
                                    <w14:lumMod w14:val="60000"/>
                                    <w14:lumOff w14:val="40000"/>
                                  </w14:schemeClr>
                                </w14:solidFill>
                                <w14:prstDash w14:val="solid"/>
                                <w14:round/>
                              </w14:textOutline>
                            </w:rPr>
                          </w:pPr>
                          <w:r>
                            <w:rPr>
                              <w:rFonts w:cstheme="minorHAnsi"/>
                              <w:color w:val="EE0000"/>
                              <w:sz w:val="32"/>
                              <w:szCs w:val="32"/>
                              <w14:shadow w14:blurRad="38100" w14:dist="19050" w14:dir="2700000" w14:sx="100000" w14:sy="100000" w14:kx="0" w14:ky="0" w14:algn="tl">
                                <w14:schemeClr w14:val="dk1">
                                  <w14:alpha w14:val="60000"/>
                                </w14:schemeClr>
                              </w14:shadow>
                              <w14:textOutline w14:w="9525" w14:cap="flat" w14:cmpd="sng" w14:algn="ctr">
                                <w14:solidFill>
                                  <w14:schemeClr w14:val="accent6">
                                    <w14:lumMod w14:val="60000"/>
                                    <w14:lumOff w14:val="40000"/>
                                  </w14:schemeClr>
                                </w14:solidFill>
                                <w14:prstDash w14:val="solid"/>
                                <w14:round/>
                              </w14:textOutline>
                            </w:rPr>
                            <w:t>Novem</w:t>
                          </w:r>
                          <w:r w:rsidR="004016BA">
                            <w:rPr>
                              <w:rFonts w:cstheme="minorHAnsi"/>
                              <w:color w:val="EE0000"/>
                              <w:sz w:val="32"/>
                              <w:szCs w:val="32"/>
                              <w14:shadow w14:blurRad="38100" w14:dist="19050" w14:dir="2700000" w14:sx="100000" w14:sy="100000" w14:kx="0" w14:ky="0" w14:algn="tl">
                                <w14:schemeClr w14:val="dk1">
                                  <w14:alpha w14:val="60000"/>
                                </w14:schemeClr>
                              </w14:shadow>
                              <w14:textOutline w14:w="9525" w14:cap="flat" w14:cmpd="sng" w14:algn="ctr">
                                <w14:solidFill>
                                  <w14:schemeClr w14:val="accent6">
                                    <w14:lumMod w14:val="60000"/>
                                    <w14:lumOff w14:val="40000"/>
                                  </w14:schemeClr>
                                </w14:solidFill>
                                <w14:prstDash w14:val="solid"/>
                                <w14:round/>
                              </w14:textOutline>
                            </w:rPr>
                            <w:t>bre</w:t>
                          </w:r>
                          <w:r w:rsidR="009B245E" w:rsidRPr="003A31A9">
                            <w:rPr>
                              <w:rFonts w:cstheme="minorHAnsi"/>
                              <w:color w:val="EE0000"/>
                              <w:sz w:val="32"/>
                              <w:szCs w:val="32"/>
                              <w14:shadow w14:blurRad="38100" w14:dist="19050" w14:dir="2700000" w14:sx="100000" w14:sy="100000" w14:kx="0" w14:ky="0" w14:algn="tl">
                                <w14:schemeClr w14:val="dk1">
                                  <w14:alpha w14:val="60000"/>
                                </w14:schemeClr>
                              </w14:shadow>
                              <w14:textOutline w14:w="9525" w14:cap="flat" w14:cmpd="sng" w14:algn="ctr">
                                <w14:solidFill>
                                  <w14:schemeClr w14:val="accent6">
                                    <w14:lumMod w14:val="60000"/>
                                    <w14:lumOff w14:val="40000"/>
                                  </w14:schemeClr>
                                </w14:solidFill>
                                <w14:prstDash w14:val="solid"/>
                                <w14:round/>
                              </w14:textOutline>
                            </w:rPr>
                            <w:t xml:space="preserve"> 2025</w:t>
                          </w:r>
                        </w:p>
                      </w:txbxContent>
                    </v:textbox>
                  </v:shape>
                </w:pict>
              </mc:Fallback>
            </mc:AlternateContent>
          </w:r>
        </w:p>
        <w:p w14:paraId="49F6E4BF" w14:textId="5766F6FD" w:rsidR="00C5695F" w:rsidRPr="000C6009" w:rsidRDefault="00C5695F" w:rsidP="00C5695F">
          <w:pPr>
            <w:spacing w:after="0"/>
            <w:rPr>
              <w:rFonts w:cstheme="minorHAnsi"/>
              <w:sz w:val="16"/>
              <w:szCs w:val="16"/>
            </w:rPr>
          </w:pPr>
          <w:r w:rsidRPr="000C6009">
            <w:rPr>
              <w:rFonts w:cstheme="minorHAnsi"/>
              <w:sz w:val="16"/>
              <w:szCs w:val="16"/>
            </w:rPr>
            <w:t>Versione 1</w:t>
          </w:r>
        </w:p>
        <w:p w14:paraId="1FB25B64" w14:textId="47B78F8F" w:rsidR="00C5695F" w:rsidRPr="000C6009" w:rsidRDefault="00C5695F" w:rsidP="00C5695F">
          <w:pPr>
            <w:spacing w:after="0"/>
            <w:rPr>
              <w:rFonts w:cstheme="minorHAnsi"/>
              <w:sz w:val="16"/>
              <w:szCs w:val="16"/>
            </w:rPr>
          </w:pPr>
          <w:r w:rsidRPr="000C6009">
            <w:rPr>
              <w:rFonts w:cstheme="minorHAnsi"/>
              <w:sz w:val="16"/>
              <w:szCs w:val="16"/>
            </w:rPr>
            <w:t>Trasmessa all’ART per acquisizione parere</w:t>
          </w:r>
        </w:p>
        <w:p w14:paraId="146CEE8B" w14:textId="5FD807A7" w:rsidR="00961C62" w:rsidRDefault="00073B6D" w:rsidP="00961C62">
          <w:pPr>
            <w:jc w:val="left"/>
            <w:rPr>
              <w:rFonts w:cstheme="minorHAnsi"/>
              <w:b/>
              <w:bCs/>
              <w:caps/>
              <w:color w:val="003366"/>
              <w:sz w:val="28"/>
              <w:szCs w:val="28"/>
            </w:rPr>
          </w:pPr>
        </w:p>
      </w:sdtContent>
    </w:sdt>
    <w:p w14:paraId="7A3D2A22" w14:textId="77777777" w:rsidR="004016BA" w:rsidRPr="004E445F" w:rsidRDefault="004016BA" w:rsidP="004016BA">
      <w:pPr>
        <w:rPr>
          <w:b/>
          <w:bCs/>
          <w:color w:val="003366"/>
          <w:sz w:val="36"/>
          <w:szCs w:val="36"/>
        </w:rPr>
      </w:pPr>
      <w:r w:rsidRPr="004E445F">
        <w:rPr>
          <w:b/>
          <w:bCs/>
          <w:color w:val="003366"/>
          <w:sz w:val="36"/>
          <w:szCs w:val="36"/>
        </w:rPr>
        <w:lastRenderedPageBreak/>
        <w:t>INDICE</w:t>
      </w:r>
    </w:p>
    <w:sdt>
      <w:sdtPr>
        <w:id w:val="-1764597540"/>
        <w:docPartObj>
          <w:docPartGallery w:val="Table of Contents"/>
          <w:docPartUnique/>
        </w:docPartObj>
      </w:sdtPr>
      <w:sdtEndPr>
        <w:rPr>
          <w:b/>
          <w:bCs/>
        </w:rPr>
      </w:sdtEndPr>
      <w:sdtContent>
        <w:p w14:paraId="733F12AF" w14:textId="1BAD3E92" w:rsidR="001620AE" w:rsidRDefault="004016BA">
          <w:pPr>
            <w:pStyle w:val="Sommario1"/>
            <w:rPr>
              <w:rFonts w:asciiTheme="minorHAnsi" w:eastAsiaTheme="minorEastAsia" w:hAnsiTheme="minorHAnsi" w:cstheme="minorBidi"/>
              <w:noProof/>
              <w:kern w:val="2"/>
              <w:sz w:val="24"/>
              <w:szCs w:val="24"/>
              <w14:ligatures w14:val="standardContextual"/>
            </w:rPr>
          </w:pPr>
          <w:r>
            <w:fldChar w:fldCharType="begin"/>
          </w:r>
          <w:r>
            <w:instrText xml:space="preserve"> TOC \o "1-3" \h \z \u </w:instrText>
          </w:r>
          <w:r>
            <w:fldChar w:fldCharType="separate"/>
          </w:r>
          <w:hyperlink w:anchor="_Toc213078330" w:history="1">
            <w:r w:rsidR="001620AE" w:rsidRPr="00C544D4">
              <w:rPr>
                <w:rStyle w:val="Collegamentoipertestuale"/>
                <w:noProof/>
              </w:rPr>
              <w:t>0</w:t>
            </w:r>
            <w:r w:rsidR="001620AE">
              <w:rPr>
                <w:rFonts w:asciiTheme="minorHAnsi" w:eastAsiaTheme="minorEastAsia" w:hAnsiTheme="minorHAnsi" w:cstheme="minorBidi"/>
                <w:noProof/>
                <w:kern w:val="2"/>
                <w:sz w:val="24"/>
                <w:szCs w:val="24"/>
                <w14:ligatures w14:val="standardContextual"/>
              </w:rPr>
              <w:tab/>
            </w:r>
            <w:r w:rsidR="001620AE" w:rsidRPr="00C544D4">
              <w:rPr>
                <w:rStyle w:val="Collegamentoipertestuale"/>
                <w:noProof/>
              </w:rPr>
              <w:t>Premessa</w:t>
            </w:r>
            <w:r w:rsidR="001620AE">
              <w:rPr>
                <w:noProof/>
                <w:webHidden/>
              </w:rPr>
              <w:tab/>
            </w:r>
            <w:r w:rsidR="001620AE">
              <w:rPr>
                <w:noProof/>
                <w:webHidden/>
              </w:rPr>
              <w:fldChar w:fldCharType="begin"/>
            </w:r>
            <w:r w:rsidR="001620AE">
              <w:rPr>
                <w:noProof/>
                <w:webHidden/>
              </w:rPr>
              <w:instrText xml:space="preserve"> PAGEREF _Toc213078330 \h </w:instrText>
            </w:r>
            <w:r w:rsidR="001620AE">
              <w:rPr>
                <w:noProof/>
                <w:webHidden/>
              </w:rPr>
            </w:r>
            <w:r w:rsidR="001620AE">
              <w:rPr>
                <w:noProof/>
                <w:webHidden/>
              </w:rPr>
              <w:fldChar w:fldCharType="separate"/>
            </w:r>
            <w:r w:rsidR="00073B6D">
              <w:rPr>
                <w:noProof/>
                <w:webHidden/>
              </w:rPr>
              <w:t>6</w:t>
            </w:r>
            <w:r w:rsidR="001620AE">
              <w:rPr>
                <w:noProof/>
                <w:webHidden/>
              </w:rPr>
              <w:fldChar w:fldCharType="end"/>
            </w:r>
          </w:hyperlink>
        </w:p>
        <w:p w14:paraId="55BCB47D" w14:textId="1AEEC7B8" w:rsidR="001620AE" w:rsidRDefault="00073B6D">
          <w:pPr>
            <w:pStyle w:val="Sommario1"/>
            <w:rPr>
              <w:rFonts w:asciiTheme="minorHAnsi" w:eastAsiaTheme="minorEastAsia" w:hAnsiTheme="minorHAnsi" w:cstheme="minorBidi"/>
              <w:noProof/>
              <w:kern w:val="2"/>
              <w:sz w:val="24"/>
              <w:szCs w:val="24"/>
              <w14:ligatures w14:val="standardContextual"/>
            </w:rPr>
          </w:pPr>
          <w:hyperlink w:anchor="_Toc213078331" w:history="1">
            <w:r w:rsidR="001620AE" w:rsidRPr="00C544D4">
              <w:rPr>
                <w:rStyle w:val="Collegamentoipertestuale"/>
                <w:noProof/>
              </w:rPr>
              <w:t>1</w:t>
            </w:r>
            <w:r w:rsidR="001620AE">
              <w:rPr>
                <w:rFonts w:asciiTheme="minorHAnsi" w:eastAsiaTheme="minorEastAsia" w:hAnsiTheme="minorHAnsi" w:cstheme="minorBidi"/>
                <w:noProof/>
                <w:kern w:val="2"/>
                <w:sz w:val="24"/>
                <w:szCs w:val="24"/>
                <w14:ligatures w14:val="standardContextual"/>
              </w:rPr>
              <w:tab/>
            </w:r>
            <w:r w:rsidR="001620AE" w:rsidRPr="00C544D4">
              <w:rPr>
                <w:rStyle w:val="Collegamentoipertestuale"/>
                <w:noProof/>
              </w:rPr>
              <w:t>Quadro di riferimento normativo</w:t>
            </w:r>
            <w:r w:rsidR="001620AE">
              <w:rPr>
                <w:noProof/>
                <w:webHidden/>
              </w:rPr>
              <w:tab/>
            </w:r>
            <w:r w:rsidR="001620AE">
              <w:rPr>
                <w:noProof/>
                <w:webHidden/>
              </w:rPr>
              <w:fldChar w:fldCharType="begin"/>
            </w:r>
            <w:r w:rsidR="001620AE">
              <w:rPr>
                <w:noProof/>
                <w:webHidden/>
              </w:rPr>
              <w:instrText xml:space="preserve"> PAGEREF _Toc213078331 \h </w:instrText>
            </w:r>
            <w:r w:rsidR="001620AE">
              <w:rPr>
                <w:noProof/>
                <w:webHidden/>
              </w:rPr>
            </w:r>
            <w:r w:rsidR="001620AE">
              <w:rPr>
                <w:noProof/>
                <w:webHidden/>
              </w:rPr>
              <w:fldChar w:fldCharType="separate"/>
            </w:r>
            <w:r>
              <w:rPr>
                <w:noProof/>
                <w:webHidden/>
              </w:rPr>
              <w:t>9</w:t>
            </w:r>
            <w:r w:rsidR="001620AE">
              <w:rPr>
                <w:noProof/>
                <w:webHidden/>
              </w:rPr>
              <w:fldChar w:fldCharType="end"/>
            </w:r>
          </w:hyperlink>
        </w:p>
        <w:p w14:paraId="4365156C" w14:textId="5ECDD70F" w:rsidR="001620AE" w:rsidRDefault="00073B6D">
          <w:pPr>
            <w:pStyle w:val="Sommario2"/>
            <w:rPr>
              <w:rFonts w:asciiTheme="minorHAnsi" w:eastAsiaTheme="minorEastAsia" w:hAnsiTheme="minorHAnsi" w:cstheme="minorBidi"/>
              <w:noProof/>
              <w:kern w:val="2"/>
              <w:sz w:val="24"/>
              <w:szCs w:val="24"/>
              <w14:ligatures w14:val="standardContextual"/>
            </w:rPr>
          </w:pPr>
          <w:hyperlink w:anchor="_Toc213078332" w:history="1">
            <w:r w:rsidR="001620AE" w:rsidRPr="00C544D4">
              <w:rPr>
                <w:rStyle w:val="Collegamentoipertestuale"/>
                <w:rFonts w:cstheme="minorHAnsi"/>
                <w:noProof/>
              </w:rPr>
              <w:t>1.1</w:t>
            </w:r>
            <w:r w:rsidR="001620AE">
              <w:rPr>
                <w:rFonts w:asciiTheme="minorHAnsi" w:eastAsiaTheme="minorEastAsia" w:hAnsiTheme="minorHAnsi" w:cstheme="minorBidi"/>
                <w:noProof/>
                <w:kern w:val="2"/>
                <w:sz w:val="24"/>
                <w:szCs w:val="24"/>
                <w14:ligatures w14:val="standardContextual"/>
              </w:rPr>
              <w:tab/>
            </w:r>
            <w:r w:rsidR="001620AE" w:rsidRPr="00C544D4">
              <w:rPr>
                <w:rStyle w:val="Collegamentoipertestuale"/>
                <w:rFonts w:cstheme="minorHAnsi"/>
                <w:noProof/>
              </w:rPr>
              <w:t xml:space="preserve">Breve </w:t>
            </w:r>
            <w:r w:rsidR="001620AE" w:rsidRPr="00C544D4">
              <w:rPr>
                <w:rStyle w:val="Collegamentoipertestuale"/>
                <w:rFonts w:cstheme="minorHAnsi"/>
                <w:i/>
                <w:noProof/>
              </w:rPr>
              <w:t>excursus</w:t>
            </w:r>
            <w:r w:rsidR="001620AE" w:rsidRPr="00C544D4">
              <w:rPr>
                <w:rStyle w:val="Collegamentoipertestuale"/>
                <w:rFonts w:cstheme="minorHAnsi"/>
                <w:noProof/>
              </w:rPr>
              <w:t xml:space="preserve"> sull’assetto normativo europeo e nazionale</w:t>
            </w:r>
            <w:r w:rsidR="001620AE">
              <w:rPr>
                <w:noProof/>
                <w:webHidden/>
              </w:rPr>
              <w:tab/>
            </w:r>
            <w:r w:rsidR="001620AE">
              <w:rPr>
                <w:noProof/>
                <w:webHidden/>
              </w:rPr>
              <w:fldChar w:fldCharType="begin"/>
            </w:r>
            <w:r w:rsidR="001620AE">
              <w:rPr>
                <w:noProof/>
                <w:webHidden/>
              </w:rPr>
              <w:instrText xml:space="preserve"> PAGEREF _Toc213078332 \h </w:instrText>
            </w:r>
            <w:r w:rsidR="001620AE">
              <w:rPr>
                <w:noProof/>
                <w:webHidden/>
              </w:rPr>
            </w:r>
            <w:r w:rsidR="001620AE">
              <w:rPr>
                <w:noProof/>
                <w:webHidden/>
              </w:rPr>
              <w:fldChar w:fldCharType="separate"/>
            </w:r>
            <w:r>
              <w:rPr>
                <w:noProof/>
                <w:webHidden/>
              </w:rPr>
              <w:t>9</w:t>
            </w:r>
            <w:r w:rsidR="001620AE">
              <w:rPr>
                <w:noProof/>
                <w:webHidden/>
              </w:rPr>
              <w:fldChar w:fldCharType="end"/>
            </w:r>
          </w:hyperlink>
        </w:p>
        <w:p w14:paraId="17F3AD4C" w14:textId="7D5DCFA8" w:rsidR="001620AE" w:rsidRDefault="00073B6D">
          <w:pPr>
            <w:pStyle w:val="Sommario2"/>
            <w:rPr>
              <w:rFonts w:asciiTheme="minorHAnsi" w:eastAsiaTheme="minorEastAsia" w:hAnsiTheme="minorHAnsi" w:cstheme="minorBidi"/>
              <w:noProof/>
              <w:kern w:val="2"/>
              <w:sz w:val="24"/>
              <w:szCs w:val="24"/>
              <w14:ligatures w14:val="standardContextual"/>
            </w:rPr>
          </w:pPr>
          <w:hyperlink w:anchor="_Toc213078333" w:history="1">
            <w:r w:rsidR="001620AE" w:rsidRPr="00C544D4">
              <w:rPr>
                <w:rStyle w:val="Collegamentoipertestuale"/>
                <w:rFonts w:cstheme="minorHAnsi"/>
                <w:noProof/>
              </w:rPr>
              <w:t>1.2</w:t>
            </w:r>
            <w:r w:rsidR="001620AE">
              <w:rPr>
                <w:rFonts w:asciiTheme="minorHAnsi" w:eastAsiaTheme="minorEastAsia" w:hAnsiTheme="minorHAnsi" w:cstheme="minorBidi"/>
                <w:noProof/>
                <w:kern w:val="2"/>
                <w:sz w:val="24"/>
                <w:szCs w:val="24"/>
                <w14:ligatures w14:val="standardContextual"/>
              </w:rPr>
              <w:tab/>
            </w:r>
            <w:r w:rsidR="001620AE" w:rsidRPr="00C544D4">
              <w:rPr>
                <w:rStyle w:val="Collegamentoipertestuale"/>
                <w:rFonts w:cstheme="minorHAnsi"/>
                <w:noProof/>
              </w:rPr>
              <w:t>Assetto normativo regionale</w:t>
            </w:r>
            <w:r w:rsidR="001620AE">
              <w:rPr>
                <w:noProof/>
                <w:webHidden/>
              </w:rPr>
              <w:tab/>
            </w:r>
            <w:r w:rsidR="001620AE">
              <w:rPr>
                <w:noProof/>
                <w:webHidden/>
              </w:rPr>
              <w:fldChar w:fldCharType="begin"/>
            </w:r>
            <w:r w:rsidR="001620AE">
              <w:rPr>
                <w:noProof/>
                <w:webHidden/>
              </w:rPr>
              <w:instrText xml:space="preserve"> PAGEREF _Toc213078333 \h </w:instrText>
            </w:r>
            <w:r w:rsidR="001620AE">
              <w:rPr>
                <w:noProof/>
                <w:webHidden/>
              </w:rPr>
            </w:r>
            <w:r w:rsidR="001620AE">
              <w:rPr>
                <w:noProof/>
                <w:webHidden/>
              </w:rPr>
              <w:fldChar w:fldCharType="separate"/>
            </w:r>
            <w:r>
              <w:rPr>
                <w:noProof/>
                <w:webHidden/>
              </w:rPr>
              <w:t>9</w:t>
            </w:r>
            <w:r w:rsidR="001620AE">
              <w:rPr>
                <w:noProof/>
                <w:webHidden/>
              </w:rPr>
              <w:fldChar w:fldCharType="end"/>
            </w:r>
          </w:hyperlink>
        </w:p>
        <w:p w14:paraId="7A4C0703" w14:textId="419E8C41" w:rsidR="001620AE" w:rsidRDefault="00073B6D">
          <w:pPr>
            <w:pStyle w:val="Sommario3"/>
            <w:rPr>
              <w:rFonts w:asciiTheme="minorHAnsi" w:eastAsiaTheme="minorEastAsia" w:hAnsiTheme="minorHAnsi" w:cstheme="minorBidi"/>
              <w:kern w:val="2"/>
              <w:sz w:val="24"/>
              <w:szCs w:val="24"/>
              <w14:ligatures w14:val="standardContextual"/>
            </w:rPr>
          </w:pPr>
          <w:hyperlink w:anchor="_Toc213078334" w:history="1">
            <w:r w:rsidR="001620AE" w:rsidRPr="00C544D4">
              <w:rPr>
                <w:rStyle w:val="Collegamentoipertestuale"/>
              </w:rPr>
              <w:t>1.2.1</w:t>
            </w:r>
            <w:r w:rsidR="001620AE">
              <w:rPr>
                <w:rFonts w:asciiTheme="minorHAnsi" w:eastAsiaTheme="minorEastAsia" w:hAnsiTheme="minorHAnsi" w:cstheme="minorBidi"/>
                <w:kern w:val="2"/>
                <w:sz w:val="24"/>
                <w:szCs w:val="24"/>
                <w14:ligatures w14:val="standardContextual"/>
              </w:rPr>
              <w:tab/>
            </w:r>
            <w:r w:rsidR="001620AE" w:rsidRPr="00C544D4">
              <w:rPr>
                <w:rStyle w:val="Collegamentoipertestuale"/>
              </w:rPr>
              <w:t>Le Leggi Regionali n. 1/2000 e n. 1/2015</w:t>
            </w:r>
            <w:r w:rsidR="001620AE">
              <w:rPr>
                <w:webHidden/>
              </w:rPr>
              <w:tab/>
            </w:r>
            <w:r w:rsidR="001620AE">
              <w:rPr>
                <w:webHidden/>
              </w:rPr>
              <w:fldChar w:fldCharType="begin"/>
            </w:r>
            <w:r w:rsidR="001620AE">
              <w:rPr>
                <w:webHidden/>
              </w:rPr>
              <w:instrText xml:space="preserve"> PAGEREF _Toc213078334 \h </w:instrText>
            </w:r>
            <w:r w:rsidR="001620AE">
              <w:rPr>
                <w:webHidden/>
              </w:rPr>
            </w:r>
            <w:r w:rsidR="001620AE">
              <w:rPr>
                <w:webHidden/>
              </w:rPr>
              <w:fldChar w:fldCharType="separate"/>
            </w:r>
            <w:r>
              <w:rPr>
                <w:webHidden/>
              </w:rPr>
              <w:t>9</w:t>
            </w:r>
            <w:r w:rsidR="001620AE">
              <w:rPr>
                <w:webHidden/>
              </w:rPr>
              <w:fldChar w:fldCharType="end"/>
            </w:r>
          </w:hyperlink>
        </w:p>
        <w:p w14:paraId="51B5E617" w14:textId="53AED9A6" w:rsidR="001620AE" w:rsidRDefault="00073B6D">
          <w:pPr>
            <w:pStyle w:val="Sommario3"/>
            <w:rPr>
              <w:rFonts w:asciiTheme="minorHAnsi" w:eastAsiaTheme="minorEastAsia" w:hAnsiTheme="minorHAnsi" w:cstheme="minorBidi"/>
              <w:kern w:val="2"/>
              <w:sz w:val="24"/>
              <w:szCs w:val="24"/>
              <w14:ligatures w14:val="standardContextual"/>
            </w:rPr>
          </w:pPr>
          <w:hyperlink w:anchor="_Toc213078335" w:history="1">
            <w:r w:rsidR="001620AE" w:rsidRPr="00C544D4">
              <w:rPr>
                <w:rStyle w:val="Collegamentoipertestuale"/>
              </w:rPr>
              <w:t>1.2.2</w:t>
            </w:r>
            <w:r w:rsidR="001620AE">
              <w:rPr>
                <w:rFonts w:asciiTheme="minorHAnsi" w:eastAsiaTheme="minorEastAsia" w:hAnsiTheme="minorHAnsi" w:cstheme="minorBidi"/>
                <w:kern w:val="2"/>
                <w:sz w:val="24"/>
                <w:szCs w:val="24"/>
                <w14:ligatures w14:val="standardContextual"/>
              </w:rPr>
              <w:tab/>
            </w:r>
            <w:r w:rsidR="001620AE" w:rsidRPr="00C544D4">
              <w:rPr>
                <w:rStyle w:val="Collegamentoipertestuale"/>
              </w:rPr>
              <w:t>D.G.R. N. 17-4134/2012</w:t>
            </w:r>
            <w:r w:rsidR="001620AE">
              <w:rPr>
                <w:webHidden/>
              </w:rPr>
              <w:tab/>
            </w:r>
            <w:r w:rsidR="001620AE">
              <w:rPr>
                <w:webHidden/>
              </w:rPr>
              <w:fldChar w:fldCharType="begin"/>
            </w:r>
            <w:r w:rsidR="001620AE">
              <w:rPr>
                <w:webHidden/>
              </w:rPr>
              <w:instrText xml:space="preserve"> PAGEREF _Toc213078335 \h </w:instrText>
            </w:r>
            <w:r w:rsidR="001620AE">
              <w:rPr>
                <w:webHidden/>
              </w:rPr>
            </w:r>
            <w:r w:rsidR="001620AE">
              <w:rPr>
                <w:webHidden/>
              </w:rPr>
              <w:fldChar w:fldCharType="separate"/>
            </w:r>
            <w:r>
              <w:rPr>
                <w:webHidden/>
              </w:rPr>
              <w:t>11</w:t>
            </w:r>
            <w:r w:rsidR="001620AE">
              <w:rPr>
                <w:webHidden/>
              </w:rPr>
              <w:fldChar w:fldCharType="end"/>
            </w:r>
          </w:hyperlink>
        </w:p>
        <w:p w14:paraId="4A48DEB1" w14:textId="4302CE90" w:rsidR="001620AE" w:rsidRDefault="00073B6D">
          <w:pPr>
            <w:pStyle w:val="Sommario3"/>
            <w:rPr>
              <w:rFonts w:asciiTheme="minorHAnsi" w:eastAsiaTheme="minorEastAsia" w:hAnsiTheme="minorHAnsi" w:cstheme="minorBidi"/>
              <w:kern w:val="2"/>
              <w:sz w:val="24"/>
              <w:szCs w:val="24"/>
              <w14:ligatures w14:val="standardContextual"/>
            </w:rPr>
          </w:pPr>
          <w:hyperlink w:anchor="_Toc213078336" w:history="1">
            <w:r w:rsidR="001620AE" w:rsidRPr="00C544D4">
              <w:rPr>
                <w:rStyle w:val="Collegamentoipertestuale"/>
              </w:rPr>
              <w:t>1.2.3</w:t>
            </w:r>
            <w:r w:rsidR="001620AE">
              <w:rPr>
                <w:rFonts w:asciiTheme="minorHAnsi" w:eastAsiaTheme="minorEastAsia" w:hAnsiTheme="minorHAnsi" w:cstheme="minorBidi"/>
                <w:kern w:val="2"/>
                <w:sz w:val="24"/>
                <w:szCs w:val="24"/>
                <w14:ligatures w14:val="standardContextual"/>
              </w:rPr>
              <w:tab/>
            </w:r>
            <w:r w:rsidR="001620AE" w:rsidRPr="00C544D4">
              <w:rPr>
                <w:rStyle w:val="Collegamentoipertestuale"/>
              </w:rPr>
              <w:t>D.G.R. n. 13-6608/2013</w:t>
            </w:r>
            <w:r w:rsidR="001620AE">
              <w:rPr>
                <w:webHidden/>
              </w:rPr>
              <w:tab/>
            </w:r>
            <w:r w:rsidR="001620AE">
              <w:rPr>
                <w:webHidden/>
              </w:rPr>
              <w:fldChar w:fldCharType="begin"/>
            </w:r>
            <w:r w:rsidR="001620AE">
              <w:rPr>
                <w:webHidden/>
              </w:rPr>
              <w:instrText xml:space="preserve"> PAGEREF _Toc213078336 \h </w:instrText>
            </w:r>
            <w:r w:rsidR="001620AE">
              <w:rPr>
                <w:webHidden/>
              </w:rPr>
            </w:r>
            <w:r w:rsidR="001620AE">
              <w:rPr>
                <w:webHidden/>
              </w:rPr>
              <w:fldChar w:fldCharType="separate"/>
            </w:r>
            <w:r>
              <w:rPr>
                <w:webHidden/>
              </w:rPr>
              <w:t>11</w:t>
            </w:r>
            <w:r w:rsidR="001620AE">
              <w:rPr>
                <w:webHidden/>
              </w:rPr>
              <w:fldChar w:fldCharType="end"/>
            </w:r>
          </w:hyperlink>
        </w:p>
        <w:p w14:paraId="6893FA13" w14:textId="727D717F" w:rsidR="001620AE" w:rsidRDefault="00073B6D">
          <w:pPr>
            <w:pStyle w:val="Sommario3"/>
            <w:rPr>
              <w:rFonts w:asciiTheme="minorHAnsi" w:eastAsiaTheme="minorEastAsia" w:hAnsiTheme="minorHAnsi" w:cstheme="minorBidi"/>
              <w:kern w:val="2"/>
              <w:sz w:val="24"/>
              <w:szCs w:val="24"/>
              <w14:ligatures w14:val="standardContextual"/>
            </w:rPr>
          </w:pPr>
          <w:hyperlink w:anchor="_Toc213078337" w:history="1">
            <w:r w:rsidR="001620AE" w:rsidRPr="00C544D4">
              <w:rPr>
                <w:rStyle w:val="Collegamentoipertestuale"/>
              </w:rPr>
              <w:t>1.2.4</w:t>
            </w:r>
            <w:r w:rsidR="001620AE">
              <w:rPr>
                <w:rFonts w:asciiTheme="minorHAnsi" w:eastAsiaTheme="minorEastAsia" w:hAnsiTheme="minorHAnsi" w:cstheme="minorBidi"/>
                <w:kern w:val="2"/>
                <w:sz w:val="24"/>
                <w:szCs w:val="24"/>
                <w14:ligatures w14:val="standardContextual"/>
              </w:rPr>
              <w:tab/>
            </w:r>
            <w:r w:rsidR="001620AE" w:rsidRPr="00C544D4">
              <w:rPr>
                <w:rStyle w:val="Collegamentoipertestuale"/>
              </w:rPr>
              <w:t>D.G.R. n. 7-4621/2017</w:t>
            </w:r>
            <w:r w:rsidR="001620AE">
              <w:rPr>
                <w:webHidden/>
              </w:rPr>
              <w:tab/>
            </w:r>
            <w:r w:rsidR="001620AE">
              <w:rPr>
                <w:webHidden/>
              </w:rPr>
              <w:fldChar w:fldCharType="begin"/>
            </w:r>
            <w:r w:rsidR="001620AE">
              <w:rPr>
                <w:webHidden/>
              </w:rPr>
              <w:instrText xml:space="preserve"> PAGEREF _Toc213078337 \h </w:instrText>
            </w:r>
            <w:r w:rsidR="001620AE">
              <w:rPr>
                <w:webHidden/>
              </w:rPr>
            </w:r>
            <w:r w:rsidR="001620AE">
              <w:rPr>
                <w:webHidden/>
              </w:rPr>
              <w:fldChar w:fldCharType="separate"/>
            </w:r>
            <w:r>
              <w:rPr>
                <w:webHidden/>
              </w:rPr>
              <w:t>12</w:t>
            </w:r>
            <w:r w:rsidR="001620AE">
              <w:rPr>
                <w:webHidden/>
              </w:rPr>
              <w:fldChar w:fldCharType="end"/>
            </w:r>
          </w:hyperlink>
        </w:p>
        <w:p w14:paraId="0FED9993" w14:textId="02E9699F" w:rsidR="001620AE" w:rsidRDefault="00073B6D">
          <w:pPr>
            <w:pStyle w:val="Sommario2"/>
            <w:rPr>
              <w:rFonts w:asciiTheme="minorHAnsi" w:eastAsiaTheme="minorEastAsia" w:hAnsiTheme="minorHAnsi" w:cstheme="minorBidi"/>
              <w:noProof/>
              <w:kern w:val="2"/>
              <w:sz w:val="24"/>
              <w:szCs w:val="24"/>
              <w14:ligatures w14:val="standardContextual"/>
            </w:rPr>
          </w:pPr>
          <w:hyperlink w:anchor="_Toc213078338" w:history="1">
            <w:r w:rsidR="001620AE" w:rsidRPr="00C544D4">
              <w:rPr>
                <w:rStyle w:val="Collegamentoipertestuale"/>
                <w:rFonts w:cstheme="minorHAnsi"/>
                <w:noProof/>
              </w:rPr>
              <w:t>1.3</w:t>
            </w:r>
            <w:r w:rsidR="001620AE">
              <w:rPr>
                <w:rFonts w:asciiTheme="minorHAnsi" w:eastAsiaTheme="minorEastAsia" w:hAnsiTheme="minorHAnsi" w:cstheme="minorBidi"/>
                <w:noProof/>
                <w:kern w:val="2"/>
                <w:sz w:val="24"/>
                <w:szCs w:val="24"/>
                <w14:ligatures w14:val="standardContextual"/>
              </w:rPr>
              <w:tab/>
            </w:r>
            <w:r w:rsidR="001620AE" w:rsidRPr="00C544D4">
              <w:rPr>
                <w:rStyle w:val="Collegamentoipertestuale"/>
                <w:rFonts w:cstheme="minorHAnsi"/>
                <w:noProof/>
              </w:rPr>
              <w:t>Quadro di riferimento per la pianificazione del sistema di trasporto pubblico regionale</w:t>
            </w:r>
            <w:r w:rsidR="001620AE">
              <w:rPr>
                <w:noProof/>
                <w:webHidden/>
              </w:rPr>
              <w:tab/>
            </w:r>
            <w:r w:rsidR="001620AE">
              <w:rPr>
                <w:noProof/>
                <w:webHidden/>
              </w:rPr>
              <w:fldChar w:fldCharType="begin"/>
            </w:r>
            <w:r w:rsidR="001620AE">
              <w:rPr>
                <w:noProof/>
                <w:webHidden/>
              </w:rPr>
              <w:instrText xml:space="preserve"> PAGEREF _Toc213078338 \h </w:instrText>
            </w:r>
            <w:r w:rsidR="001620AE">
              <w:rPr>
                <w:noProof/>
                <w:webHidden/>
              </w:rPr>
            </w:r>
            <w:r w:rsidR="001620AE">
              <w:rPr>
                <w:noProof/>
                <w:webHidden/>
              </w:rPr>
              <w:fldChar w:fldCharType="separate"/>
            </w:r>
            <w:r>
              <w:rPr>
                <w:noProof/>
                <w:webHidden/>
              </w:rPr>
              <w:t>12</w:t>
            </w:r>
            <w:r w:rsidR="001620AE">
              <w:rPr>
                <w:noProof/>
                <w:webHidden/>
              </w:rPr>
              <w:fldChar w:fldCharType="end"/>
            </w:r>
          </w:hyperlink>
        </w:p>
        <w:p w14:paraId="29295ABF" w14:textId="54D76139" w:rsidR="001620AE" w:rsidRDefault="00073B6D">
          <w:pPr>
            <w:pStyle w:val="Sommario3"/>
            <w:rPr>
              <w:rFonts w:asciiTheme="minorHAnsi" w:eastAsiaTheme="minorEastAsia" w:hAnsiTheme="minorHAnsi" w:cstheme="minorBidi"/>
              <w:kern w:val="2"/>
              <w:sz w:val="24"/>
              <w:szCs w:val="24"/>
              <w14:ligatures w14:val="standardContextual"/>
            </w:rPr>
          </w:pPr>
          <w:hyperlink w:anchor="_Toc213078339" w:history="1">
            <w:r w:rsidR="001620AE" w:rsidRPr="00C544D4">
              <w:rPr>
                <w:rStyle w:val="Collegamentoipertestuale"/>
              </w:rPr>
              <w:t>1.3.1</w:t>
            </w:r>
            <w:r w:rsidR="001620AE">
              <w:rPr>
                <w:rFonts w:asciiTheme="minorHAnsi" w:eastAsiaTheme="minorEastAsia" w:hAnsiTheme="minorHAnsi" w:cstheme="minorBidi"/>
                <w:kern w:val="2"/>
                <w:sz w:val="24"/>
                <w:szCs w:val="24"/>
                <w14:ligatures w14:val="standardContextual"/>
              </w:rPr>
              <w:tab/>
            </w:r>
            <w:r w:rsidR="001620AE" w:rsidRPr="00C544D4">
              <w:rPr>
                <w:rStyle w:val="Collegamentoipertestuale"/>
              </w:rPr>
              <w:t>Il Piano Regionale della Mobilità e dei Trasporti</w:t>
            </w:r>
            <w:r w:rsidR="001620AE">
              <w:rPr>
                <w:webHidden/>
              </w:rPr>
              <w:tab/>
            </w:r>
            <w:r w:rsidR="001620AE">
              <w:rPr>
                <w:webHidden/>
              </w:rPr>
              <w:fldChar w:fldCharType="begin"/>
            </w:r>
            <w:r w:rsidR="001620AE">
              <w:rPr>
                <w:webHidden/>
              </w:rPr>
              <w:instrText xml:space="preserve"> PAGEREF _Toc213078339 \h </w:instrText>
            </w:r>
            <w:r w:rsidR="001620AE">
              <w:rPr>
                <w:webHidden/>
              </w:rPr>
            </w:r>
            <w:r w:rsidR="001620AE">
              <w:rPr>
                <w:webHidden/>
              </w:rPr>
              <w:fldChar w:fldCharType="separate"/>
            </w:r>
            <w:r>
              <w:rPr>
                <w:webHidden/>
              </w:rPr>
              <w:t>13</w:t>
            </w:r>
            <w:r w:rsidR="001620AE">
              <w:rPr>
                <w:webHidden/>
              </w:rPr>
              <w:fldChar w:fldCharType="end"/>
            </w:r>
          </w:hyperlink>
        </w:p>
        <w:p w14:paraId="328B09A9" w14:textId="1F9970F6" w:rsidR="001620AE" w:rsidRDefault="00073B6D">
          <w:pPr>
            <w:pStyle w:val="Sommario3"/>
            <w:rPr>
              <w:rFonts w:asciiTheme="minorHAnsi" w:eastAsiaTheme="minorEastAsia" w:hAnsiTheme="minorHAnsi" w:cstheme="minorBidi"/>
              <w:kern w:val="2"/>
              <w:sz w:val="24"/>
              <w:szCs w:val="24"/>
              <w14:ligatures w14:val="standardContextual"/>
            </w:rPr>
          </w:pPr>
          <w:hyperlink w:anchor="_Toc213078340" w:history="1">
            <w:r w:rsidR="001620AE" w:rsidRPr="00C544D4">
              <w:rPr>
                <w:rStyle w:val="Collegamentoipertestuale"/>
              </w:rPr>
              <w:t>1.3.2</w:t>
            </w:r>
            <w:r w:rsidR="001620AE">
              <w:rPr>
                <w:rFonts w:asciiTheme="minorHAnsi" w:eastAsiaTheme="minorEastAsia" w:hAnsiTheme="minorHAnsi" w:cstheme="minorBidi"/>
                <w:kern w:val="2"/>
                <w:sz w:val="24"/>
                <w:szCs w:val="24"/>
                <w14:ligatures w14:val="standardContextual"/>
              </w:rPr>
              <w:tab/>
            </w:r>
            <w:r w:rsidR="001620AE" w:rsidRPr="00C544D4">
              <w:rPr>
                <w:rStyle w:val="Collegamentoipertestuale"/>
              </w:rPr>
              <w:t>I piani di settore del PRMT</w:t>
            </w:r>
            <w:r w:rsidR="001620AE">
              <w:rPr>
                <w:webHidden/>
              </w:rPr>
              <w:tab/>
            </w:r>
            <w:r w:rsidR="001620AE">
              <w:rPr>
                <w:webHidden/>
              </w:rPr>
              <w:fldChar w:fldCharType="begin"/>
            </w:r>
            <w:r w:rsidR="001620AE">
              <w:rPr>
                <w:webHidden/>
              </w:rPr>
              <w:instrText xml:space="preserve"> PAGEREF _Toc213078340 \h </w:instrText>
            </w:r>
            <w:r w:rsidR="001620AE">
              <w:rPr>
                <w:webHidden/>
              </w:rPr>
            </w:r>
            <w:r w:rsidR="001620AE">
              <w:rPr>
                <w:webHidden/>
              </w:rPr>
              <w:fldChar w:fldCharType="separate"/>
            </w:r>
            <w:r>
              <w:rPr>
                <w:webHidden/>
              </w:rPr>
              <w:t>13</w:t>
            </w:r>
            <w:r w:rsidR="001620AE">
              <w:rPr>
                <w:webHidden/>
              </w:rPr>
              <w:fldChar w:fldCharType="end"/>
            </w:r>
          </w:hyperlink>
        </w:p>
        <w:p w14:paraId="1AFE5BAF" w14:textId="020A49DD" w:rsidR="001620AE" w:rsidRDefault="00073B6D">
          <w:pPr>
            <w:pStyle w:val="Sommario2"/>
            <w:rPr>
              <w:rFonts w:asciiTheme="minorHAnsi" w:eastAsiaTheme="minorEastAsia" w:hAnsiTheme="minorHAnsi" w:cstheme="minorBidi"/>
              <w:noProof/>
              <w:kern w:val="2"/>
              <w:sz w:val="24"/>
              <w:szCs w:val="24"/>
              <w14:ligatures w14:val="standardContextual"/>
            </w:rPr>
          </w:pPr>
          <w:hyperlink w:anchor="_Toc213078341" w:history="1">
            <w:r w:rsidR="001620AE" w:rsidRPr="00C544D4">
              <w:rPr>
                <w:rStyle w:val="Collegamentoipertestuale"/>
                <w:rFonts w:cstheme="minorHAnsi"/>
                <w:noProof/>
              </w:rPr>
              <w:t>1.4</w:t>
            </w:r>
            <w:r w:rsidR="001620AE">
              <w:rPr>
                <w:rFonts w:asciiTheme="minorHAnsi" w:eastAsiaTheme="minorEastAsia" w:hAnsiTheme="minorHAnsi" w:cstheme="minorBidi"/>
                <w:noProof/>
                <w:kern w:val="2"/>
                <w:sz w:val="24"/>
                <w:szCs w:val="24"/>
                <w14:ligatures w14:val="standardContextual"/>
              </w:rPr>
              <w:tab/>
            </w:r>
            <w:r w:rsidR="001620AE" w:rsidRPr="00C544D4">
              <w:rPr>
                <w:rStyle w:val="Collegamentoipertestuale"/>
                <w:rFonts w:cstheme="minorHAnsi"/>
                <w:noProof/>
              </w:rPr>
              <w:t>Altri strumenti di pianificazione</w:t>
            </w:r>
            <w:r w:rsidR="001620AE">
              <w:rPr>
                <w:noProof/>
                <w:webHidden/>
              </w:rPr>
              <w:tab/>
            </w:r>
            <w:r w:rsidR="001620AE">
              <w:rPr>
                <w:noProof/>
                <w:webHidden/>
              </w:rPr>
              <w:fldChar w:fldCharType="begin"/>
            </w:r>
            <w:r w:rsidR="001620AE">
              <w:rPr>
                <w:noProof/>
                <w:webHidden/>
              </w:rPr>
              <w:instrText xml:space="preserve"> PAGEREF _Toc213078341 \h </w:instrText>
            </w:r>
            <w:r w:rsidR="001620AE">
              <w:rPr>
                <w:noProof/>
                <w:webHidden/>
              </w:rPr>
            </w:r>
            <w:r w:rsidR="001620AE">
              <w:rPr>
                <w:noProof/>
                <w:webHidden/>
              </w:rPr>
              <w:fldChar w:fldCharType="separate"/>
            </w:r>
            <w:r>
              <w:rPr>
                <w:noProof/>
                <w:webHidden/>
              </w:rPr>
              <w:t>14</w:t>
            </w:r>
            <w:r w:rsidR="001620AE">
              <w:rPr>
                <w:noProof/>
                <w:webHidden/>
              </w:rPr>
              <w:fldChar w:fldCharType="end"/>
            </w:r>
          </w:hyperlink>
        </w:p>
        <w:p w14:paraId="2B100066" w14:textId="71E6FBD6" w:rsidR="001620AE" w:rsidRDefault="00073B6D">
          <w:pPr>
            <w:pStyle w:val="Sommario2"/>
            <w:rPr>
              <w:rFonts w:asciiTheme="minorHAnsi" w:eastAsiaTheme="minorEastAsia" w:hAnsiTheme="minorHAnsi" w:cstheme="minorBidi"/>
              <w:noProof/>
              <w:kern w:val="2"/>
              <w:sz w:val="24"/>
              <w:szCs w:val="24"/>
              <w14:ligatures w14:val="standardContextual"/>
            </w:rPr>
          </w:pPr>
          <w:hyperlink w:anchor="_Toc213078342" w:history="1">
            <w:r w:rsidR="001620AE" w:rsidRPr="00C544D4">
              <w:rPr>
                <w:rStyle w:val="Collegamentoipertestuale"/>
                <w:rFonts w:cstheme="minorHAnsi"/>
                <w:noProof/>
              </w:rPr>
              <w:t>1.5</w:t>
            </w:r>
            <w:r w:rsidR="001620AE">
              <w:rPr>
                <w:rFonts w:asciiTheme="minorHAnsi" w:eastAsiaTheme="minorEastAsia" w:hAnsiTheme="minorHAnsi" w:cstheme="minorBidi"/>
                <w:noProof/>
                <w:kern w:val="2"/>
                <w:sz w:val="24"/>
                <w:szCs w:val="24"/>
                <w14:ligatures w14:val="standardContextual"/>
              </w:rPr>
              <w:tab/>
            </w:r>
            <w:r w:rsidR="001620AE" w:rsidRPr="00C544D4">
              <w:rPr>
                <w:rStyle w:val="Collegamentoipertestuale"/>
                <w:rFonts w:cstheme="minorHAnsi"/>
                <w:noProof/>
              </w:rPr>
              <w:t>La programmazione del sistema di trasporto pubblico piemontese</w:t>
            </w:r>
            <w:r w:rsidR="001620AE">
              <w:rPr>
                <w:noProof/>
                <w:webHidden/>
              </w:rPr>
              <w:tab/>
            </w:r>
            <w:r w:rsidR="001620AE">
              <w:rPr>
                <w:noProof/>
                <w:webHidden/>
              </w:rPr>
              <w:fldChar w:fldCharType="begin"/>
            </w:r>
            <w:r w:rsidR="001620AE">
              <w:rPr>
                <w:noProof/>
                <w:webHidden/>
              </w:rPr>
              <w:instrText xml:space="preserve"> PAGEREF _Toc213078342 \h </w:instrText>
            </w:r>
            <w:r w:rsidR="001620AE">
              <w:rPr>
                <w:noProof/>
                <w:webHidden/>
              </w:rPr>
            </w:r>
            <w:r w:rsidR="001620AE">
              <w:rPr>
                <w:noProof/>
                <w:webHidden/>
              </w:rPr>
              <w:fldChar w:fldCharType="separate"/>
            </w:r>
            <w:r>
              <w:rPr>
                <w:noProof/>
                <w:webHidden/>
              </w:rPr>
              <w:t>15</w:t>
            </w:r>
            <w:r w:rsidR="001620AE">
              <w:rPr>
                <w:noProof/>
                <w:webHidden/>
              </w:rPr>
              <w:fldChar w:fldCharType="end"/>
            </w:r>
          </w:hyperlink>
        </w:p>
        <w:p w14:paraId="1FEC08E5" w14:textId="661971BA" w:rsidR="001620AE" w:rsidRDefault="00073B6D">
          <w:pPr>
            <w:pStyle w:val="Sommario2"/>
            <w:rPr>
              <w:rFonts w:asciiTheme="minorHAnsi" w:eastAsiaTheme="minorEastAsia" w:hAnsiTheme="minorHAnsi" w:cstheme="minorBidi"/>
              <w:noProof/>
              <w:kern w:val="2"/>
              <w:sz w:val="24"/>
              <w:szCs w:val="24"/>
              <w14:ligatures w14:val="standardContextual"/>
            </w:rPr>
          </w:pPr>
          <w:hyperlink w:anchor="_Toc213078343" w:history="1">
            <w:r w:rsidR="001620AE" w:rsidRPr="00C544D4">
              <w:rPr>
                <w:rStyle w:val="Collegamentoipertestuale"/>
                <w:rFonts w:cstheme="minorHAnsi"/>
                <w:noProof/>
              </w:rPr>
              <w:t>1.6</w:t>
            </w:r>
            <w:r w:rsidR="001620AE">
              <w:rPr>
                <w:rFonts w:asciiTheme="minorHAnsi" w:eastAsiaTheme="minorEastAsia" w:hAnsiTheme="minorHAnsi" w:cstheme="minorBidi"/>
                <w:noProof/>
                <w:kern w:val="2"/>
                <w:sz w:val="24"/>
                <w:szCs w:val="24"/>
                <w14:ligatures w14:val="standardContextual"/>
              </w:rPr>
              <w:tab/>
            </w:r>
            <w:r w:rsidR="001620AE" w:rsidRPr="00C544D4">
              <w:rPr>
                <w:rStyle w:val="Collegamentoipertestuale"/>
                <w:rFonts w:cstheme="minorHAnsi"/>
                <w:noProof/>
              </w:rPr>
              <w:t>Indirizzi regionali a supporto dell’Agenzia della Mobilità Piemontese</w:t>
            </w:r>
            <w:r w:rsidR="001620AE">
              <w:rPr>
                <w:noProof/>
                <w:webHidden/>
              </w:rPr>
              <w:tab/>
            </w:r>
            <w:r w:rsidR="001620AE">
              <w:rPr>
                <w:noProof/>
                <w:webHidden/>
              </w:rPr>
              <w:fldChar w:fldCharType="begin"/>
            </w:r>
            <w:r w:rsidR="001620AE">
              <w:rPr>
                <w:noProof/>
                <w:webHidden/>
              </w:rPr>
              <w:instrText xml:space="preserve"> PAGEREF _Toc213078343 \h </w:instrText>
            </w:r>
            <w:r w:rsidR="001620AE">
              <w:rPr>
                <w:noProof/>
                <w:webHidden/>
              </w:rPr>
            </w:r>
            <w:r w:rsidR="001620AE">
              <w:rPr>
                <w:noProof/>
                <w:webHidden/>
              </w:rPr>
              <w:fldChar w:fldCharType="separate"/>
            </w:r>
            <w:r>
              <w:rPr>
                <w:noProof/>
                <w:webHidden/>
              </w:rPr>
              <w:t>15</w:t>
            </w:r>
            <w:r w:rsidR="001620AE">
              <w:rPr>
                <w:noProof/>
                <w:webHidden/>
              </w:rPr>
              <w:fldChar w:fldCharType="end"/>
            </w:r>
          </w:hyperlink>
        </w:p>
        <w:p w14:paraId="3D1E09BD" w14:textId="45E41A65" w:rsidR="001620AE" w:rsidRDefault="00073B6D">
          <w:pPr>
            <w:pStyle w:val="Sommario3"/>
            <w:rPr>
              <w:rFonts w:asciiTheme="minorHAnsi" w:eastAsiaTheme="minorEastAsia" w:hAnsiTheme="minorHAnsi" w:cstheme="minorBidi"/>
              <w:kern w:val="2"/>
              <w:sz w:val="24"/>
              <w:szCs w:val="24"/>
              <w14:ligatures w14:val="standardContextual"/>
            </w:rPr>
          </w:pPr>
          <w:hyperlink w:anchor="_Toc213078344" w:history="1">
            <w:r w:rsidR="001620AE" w:rsidRPr="00C544D4">
              <w:rPr>
                <w:rStyle w:val="Collegamentoipertestuale"/>
                <w:rFonts w:cs="Calibri"/>
              </w:rPr>
              <w:t>1.6.1</w:t>
            </w:r>
            <w:r w:rsidR="001620AE">
              <w:rPr>
                <w:rFonts w:asciiTheme="minorHAnsi" w:eastAsiaTheme="minorEastAsia" w:hAnsiTheme="minorHAnsi" w:cstheme="minorBidi"/>
                <w:kern w:val="2"/>
                <w:sz w:val="24"/>
                <w:szCs w:val="24"/>
                <w14:ligatures w14:val="standardContextual"/>
              </w:rPr>
              <w:tab/>
            </w:r>
            <w:r w:rsidR="001620AE" w:rsidRPr="00C544D4">
              <w:rPr>
                <w:rStyle w:val="Collegamentoipertestuale"/>
                <w:rFonts w:cs="Calibri"/>
              </w:rPr>
              <w:t>Sintesi delle Osservazioni agli Indirizzi della Regione Piemonte</w:t>
            </w:r>
            <w:r w:rsidR="001620AE">
              <w:rPr>
                <w:webHidden/>
              </w:rPr>
              <w:tab/>
            </w:r>
            <w:r w:rsidR="001620AE">
              <w:rPr>
                <w:webHidden/>
              </w:rPr>
              <w:fldChar w:fldCharType="begin"/>
            </w:r>
            <w:r w:rsidR="001620AE">
              <w:rPr>
                <w:webHidden/>
              </w:rPr>
              <w:instrText xml:space="preserve"> PAGEREF _Toc213078344 \h </w:instrText>
            </w:r>
            <w:r w:rsidR="001620AE">
              <w:rPr>
                <w:webHidden/>
              </w:rPr>
            </w:r>
            <w:r w:rsidR="001620AE">
              <w:rPr>
                <w:webHidden/>
              </w:rPr>
              <w:fldChar w:fldCharType="separate"/>
            </w:r>
            <w:r>
              <w:rPr>
                <w:webHidden/>
              </w:rPr>
              <w:t>17</w:t>
            </w:r>
            <w:r w:rsidR="001620AE">
              <w:rPr>
                <w:webHidden/>
              </w:rPr>
              <w:fldChar w:fldCharType="end"/>
            </w:r>
          </w:hyperlink>
        </w:p>
        <w:p w14:paraId="44687B9D" w14:textId="47E475C0" w:rsidR="001620AE" w:rsidRDefault="00073B6D">
          <w:pPr>
            <w:pStyle w:val="Sommario1"/>
            <w:rPr>
              <w:rFonts w:asciiTheme="minorHAnsi" w:eastAsiaTheme="minorEastAsia" w:hAnsiTheme="minorHAnsi" w:cstheme="minorBidi"/>
              <w:noProof/>
              <w:kern w:val="2"/>
              <w:sz w:val="24"/>
              <w:szCs w:val="24"/>
              <w14:ligatures w14:val="standardContextual"/>
            </w:rPr>
          </w:pPr>
          <w:hyperlink w:anchor="_Toc213078345" w:history="1">
            <w:r w:rsidR="001620AE" w:rsidRPr="00C544D4">
              <w:rPr>
                <w:rStyle w:val="Collegamentoipertestuale"/>
                <w:rFonts w:cstheme="minorHAnsi"/>
                <w:noProof/>
              </w:rPr>
              <w:t>2</w:t>
            </w:r>
            <w:r w:rsidR="001620AE">
              <w:rPr>
                <w:rFonts w:asciiTheme="minorHAnsi" w:eastAsiaTheme="minorEastAsia" w:hAnsiTheme="minorHAnsi" w:cstheme="minorBidi"/>
                <w:noProof/>
                <w:kern w:val="2"/>
                <w:sz w:val="24"/>
                <w:szCs w:val="24"/>
                <w14:ligatures w14:val="standardContextual"/>
              </w:rPr>
              <w:tab/>
            </w:r>
            <w:r w:rsidR="001620AE" w:rsidRPr="00C544D4">
              <w:rPr>
                <w:rStyle w:val="Collegamentoipertestuale"/>
                <w:rFonts w:cstheme="minorHAnsi"/>
                <w:noProof/>
              </w:rPr>
              <w:t>Quadro di riferimento attuale degli affidamenti del Bacino Metropolitano</w:t>
            </w:r>
            <w:r w:rsidR="001620AE">
              <w:rPr>
                <w:noProof/>
                <w:webHidden/>
              </w:rPr>
              <w:tab/>
            </w:r>
            <w:r w:rsidR="001620AE">
              <w:rPr>
                <w:noProof/>
                <w:webHidden/>
              </w:rPr>
              <w:fldChar w:fldCharType="begin"/>
            </w:r>
            <w:r w:rsidR="001620AE">
              <w:rPr>
                <w:noProof/>
                <w:webHidden/>
              </w:rPr>
              <w:instrText xml:space="preserve"> PAGEREF _Toc213078345 \h </w:instrText>
            </w:r>
            <w:r w:rsidR="001620AE">
              <w:rPr>
                <w:noProof/>
                <w:webHidden/>
              </w:rPr>
            </w:r>
            <w:r w:rsidR="001620AE">
              <w:rPr>
                <w:noProof/>
                <w:webHidden/>
              </w:rPr>
              <w:fldChar w:fldCharType="separate"/>
            </w:r>
            <w:r>
              <w:rPr>
                <w:noProof/>
                <w:webHidden/>
              </w:rPr>
              <w:t>19</w:t>
            </w:r>
            <w:r w:rsidR="001620AE">
              <w:rPr>
                <w:noProof/>
                <w:webHidden/>
              </w:rPr>
              <w:fldChar w:fldCharType="end"/>
            </w:r>
          </w:hyperlink>
        </w:p>
        <w:p w14:paraId="775B1BB6" w14:textId="1193F063" w:rsidR="001620AE" w:rsidRDefault="00073B6D">
          <w:pPr>
            <w:pStyle w:val="Sommario2"/>
            <w:rPr>
              <w:rFonts w:asciiTheme="minorHAnsi" w:eastAsiaTheme="minorEastAsia" w:hAnsiTheme="minorHAnsi" w:cstheme="minorBidi"/>
              <w:noProof/>
              <w:kern w:val="2"/>
              <w:sz w:val="24"/>
              <w:szCs w:val="24"/>
              <w14:ligatures w14:val="standardContextual"/>
            </w:rPr>
          </w:pPr>
          <w:hyperlink w:anchor="_Toc213078346" w:history="1">
            <w:r w:rsidR="001620AE" w:rsidRPr="00C544D4">
              <w:rPr>
                <w:rStyle w:val="Collegamentoipertestuale"/>
                <w:rFonts w:cstheme="minorHAnsi"/>
                <w:noProof/>
              </w:rPr>
              <w:t>2.1</w:t>
            </w:r>
            <w:r w:rsidR="001620AE">
              <w:rPr>
                <w:rFonts w:asciiTheme="minorHAnsi" w:eastAsiaTheme="minorEastAsia" w:hAnsiTheme="minorHAnsi" w:cstheme="minorBidi"/>
                <w:noProof/>
                <w:kern w:val="2"/>
                <w:sz w:val="24"/>
                <w:szCs w:val="24"/>
                <w14:ligatures w14:val="standardContextual"/>
              </w:rPr>
              <w:tab/>
            </w:r>
            <w:r w:rsidR="001620AE" w:rsidRPr="00C544D4">
              <w:rPr>
                <w:rStyle w:val="Collegamentoipertestuale"/>
                <w:rFonts w:cstheme="minorHAnsi"/>
                <w:noProof/>
              </w:rPr>
              <w:t>Modalità di affidamento del «Servizio»</w:t>
            </w:r>
            <w:r w:rsidR="001620AE">
              <w:rPr>
                <w:noProof/>
                <w:webHidden/>
              </w:rPr>
              <w:tab/>
            </w:r>
            <w:r w:rsidR="001620AE">
              <w:rPr>
                <w:noProof/>
                <w:webHidden/>
              </w:rPr>
              <w:fldChar w:fldCharType="begin"/>
            </w:r>
            <w:r w:rsidR="001620AE">
              <w:rPr>
                <w:noProof/>
                <w:webHidden/>
              </w:rPr>
              <w:instrText xml:space="preserve"> PAGEREF _Toc213078346 \h </w:instrText>
            </w:r>
            <w:r w:rsidR="001620AE">
              <w:rPr>
                <w:noProof/>
                <w:webHidden/>
              </w:rPr>
            </w:r>
            <w:r w:rsidR="001620AE">
              <w:rPr>
                <w:noProof/>
                <w:webHidden/>
              </w:rPr>
              <w:fldChar w:fldCharType="separate"/>
            </w:r>
            <w:r>
              <w:rPr>
                <w:noProof/>
                <w:webHidden/>
              </w:rPr>
              <w:t>19</w:t>
            </w:r>
            <w:r w:rsidR="001620AE">
              <w:rPr>
                <w:noProof/>
                <w:webHidden/>
              </w:rPr>
              <w:fldChar w:fldCharType="end"/>
            </w:r>
          </w:hyperlink>
        </w:p>
        <w:p w14:paraId="7D43019C" w14:textId="23698C15" w:rsidR="001620AE" w:rsidRDefault="00073B6D">
          <w:pPr>
            <w:pStyle w:val="Sommario2"/>
            <w:rPr>
              <w:rFonts w:asciiTheme="minorHAnsi" w:eastAsiaTheme="minorEastAsia" w:hAnsiTheme="minorHAnsi" w:cstheme="minorBidi"/>
              <w:noProof/>
              <w:kern w:val="2"/>
              <w:sz w:val="24"/>
              <w:szCs w:val="24"/>
              <w14:ligatures w14:val="standardContextual"/>
            </w:rPr>
          </w:pPr>
          <w:hyperlink w:anchor="_Toc213078347" w:history="1">
            <w:r w:rsidR="001620AE" w:rsidRPr="00C544D4">
              <w:rPr>
                <w:rStyle w:val="Collegamentoipertestuale"/>
                <w:rFonts w:cstheme="minorHAnsi"/>
                <w:noProof/>
              </w:rPr>
              <w:t>2.2</w:t>
            </w:r>
            <w:r w:rsidR="001620AE">
              <w:rPr>
                <w:rFonts w:asciiTheme="minorHAnsi" w:eastAsiaTheme="minorEastAsia" w:hAnsiTheme="minorHAnsi" w:cstheme="minorBidi"/>
                <w:noProof/>
                <w:kern w:val="2"/>
                <w:sz w:val="24"/>
                <w:szCs w:val="24"/>
                <w14:ligatures w14:val="standardContextual"/>
              </w:rPr>
              <w:tab/>
            </w:r>
            <w:r w:rsidR="001620AE" w:rsidRPr="00C544D4">
              <w:rPr>
                <w:rStyle w:val="Collegamentoipertestuale"/>
                <w:rFonts w:cstheme="minorHAnsi"/>
                <w:noProof/>
              </w:rPr>
              <w:t>Accordi di programma del Bacino Metropolitano</w:t>
            </w:r>
            <w:r w:rsidR="001620AE">
              <w:rPr>
                <w:noProof/>
                <w:webHidden/>
              </w:rPr>
              <w:tab/>
            </w:r>
            <w:r w:rsidR="001620AE">
              <w:rPr>
                <w:noProof/>
                <w:webHidden/>
              </w:rPr>
              <w:fldChar w:fldCharType="begin"/>
            </w:r>
            <w:r w:rsidR="001620AE">
              <w:rPr>
                <w:noProof/>
                <w:webHidden/>
              </w:rPr>
              <w:instrText xml:space="preserve"> PAGEREF _Toc213078347 \h </w:instrText>
            </w:r>
            <w:r w:rsidR="001620AE">
              <w:rPr>
                <w:noProof/>
                <w:webHidden/>
              </w:rPr>
            </w:r>
            <w:r w:rsidR="001620AE">
              <w:rPr>
                <w:noProof/>
                <w:webHidden/>
              </w:rPr>
              <w:fldChar w:fldCharType="separate"/>
            </w:r>
            <w:r>
              <w:rPr>
                <w:noProof/>
                <w:webHidden/>
              </w:rPr>
              <w:t>21</w:t>
            </w:r>
            <w:r w:rsidR="001620AE">
              <w:rPr>
                <w:noProof/>
                <w:webHidden/>
              </w:rPr>
              <w:fldChar w:fldCharType="end"/>
            </w:r>
          </w:hyperlink>
        </w:p>
        <w:p w14:paraId="0EA1BE7A" w14:textId="7A8E0418" w:rsidR="001620AE" w:rsidRDefault="00073B6D">
          <w:pPr>
            <w:pStyle w:val="Sommario1"/>
            <w:rPr>
              <w:rFonts w:asciiTheme="minorHAnsi" w:eastAsiaTheme="minorEastAsia" w:hAnsiTheme="minorHAnsi" w:cstheme="minorBidi"/>
              <w:noProof/>
              <w:kern w:val="2"/>
              <w:sz w:val="24"/>
              <w:szCs w:val="24"/>
              <w14:ligatures w14:val="standardContextual"/>
            </w:rPr>
          </w:pPr>
          <w:hyperlink w:anchor="_Toc213078348" w:history="1">
            <w:r w:rsidR="001620AE" w:rsidRPr="00C544D4">
              <w:rPr>
                <w:rStyle w:val="Collegamentoipertestuale"/>
                <w:noProof/>
              </w:rPr>
              <w:t>3</w:t>
            </w:r>
            <w:r w:rsidR="001620AE">
              <w:rPr>
                <w:rFonts w:asciiTheme="minorHAnsi" w:eastAsiaTheme="minorEastAsia" w:hAnsiTheme="minorHAnsi" w:cstheme="minorBidi"/>
                <w:noProof/>
                <w:kern w:val="2"/>
                <w:sz w:val="24"/>
                <w:szCs w:val="24"/>
                <w14:ligatures w14:val="standardContextual"/>
              </w:rPr>
              <w:tab/>
            </w:r>
            <w:r w:rsidR="001620AE" w:rsidRPr="00C544D4">
              <w:rPr>
                <w:rStyle w:val="Collegamentoipertestuale"/>
                <w:rFonts w:cstheme="minorHAnsi"/>
                <w:noProof/>
              </w:rPr>
              <w:t>Analisi della domanda effettiva, potenziale e debole del Bacino Metropolitano</w:t>
            </w:r>
            <w:r w:rsidR="001620AE">
              <w:rPr>
                <w:noProof/>
                <w:webHidden/>
              </w:rPr>
              <w:tab/>
            </w:r>
            <w:r w:rsidR="001620AE">
              <w:rPr>
                <w:noProof/>
                <w:webHidden/>
              </w:rPr>
              <w:fldChar w:fldCharType="begin"/>
            </w:r>
            <w:r w:rsidR="001620AE">
              <w:rPr>
                <w:noProof/>
                <w:webHidden/>
              </w:rPr>
              <w:instrText xml:space="preserve"> PAGEREF _Toc213078348 \h </w:instrText>
            </w:r>
            <w:r w:rsidR="001620AE">
              <w:rPr>
                <w:noProof/>
                <w:webHidden/>
              </w:rPr>
            </w:r>
            <w:r w:rsidR="001620AE">
              <w:rPr>
                <w:noProof/>
                <w:webHidden/>
              </w:rPr>
              <w:fldChar w:fldCharType="separate"/>
            </w:r>
            <w:r>
              <w:rPr>
                <w:noProof/>
                <w:webHidden/>
              </w:rPr>
              <w:t>23</w:t>
            </w:r>
            <w:r w:rsidR="001620AE">
              <w:rPr>
                <w:noProof/>
                <w:webHidden/>
              </w:rPr>
              <w:fldChar w:fldCharType="end"/>
            </w:r>
          </w:hyperlink>
        </w:p>
        <w:p w14:paraId="6E150B16" w14:textId="75A9C690" w:rsidR="001620AE" w:rsidRDefault="00073B6D">
          <w:pPr>
            <w:pStyle w:val="Sommario2"/>
            <w:rPr>
              <w:rFonts w:asciiTheme="minorHAnsi" w:eastAsiaTheme="minorEastAsia" w:hAnsiTheme="minorHAnsi" w:cstheme="minorBidi"/>
              <w:noProof/>
              <w:kern w:val="2"/>
              <w:sz w:val="24"/>
              <w:szCs w:val="24"/>
              <w14:ligatures w14:val="standardContextual"/>
            </w:rPr>
          </w:pPr>
          <w:hyperlink w:anchor="_Toc213078349" w:history="1">
            <w:r w:rsidR="001620AE" w:rsidRPr="00C544D4">
              <w:rPr>
                <w:rStyle w:val="Collegamentoipertestuale"/>
                <w:rFonts w:cstheme="minorHAnsi"/>
                <w:noProof/>
              </w:rPr>
              <w:t>3.1</w:t>
            </w:r>
            <w:r w:rsidR="001620AE">
              <w:rPr>
                <w:rFonts w:asciiTheme="minorHAnsi" w:eastAsiaTheme="minorEastAsia" w:hAnsiTheme="minorHAnsi" w:cstheme="minorBidi"/>
                <w:noProof/>
                <w:kern w:val="2"/>
                <w:sz w:val="24"/>
                <w:szCs w:val="24"/>
                <w14:ligatures w14:val="standardContextual"/>
              </w:rPr>
              <w:tab/>
            </w:r>
            <w:r w:rsidR="001620AE" w:rsidRPr="00C544D4">
              <w:rPr>
                <w:rStyle w:val="Collegamentoipertestuale"/>
                <w:rFonts w:cstheme="minorHAnsi"/>
                <w:noProof/>
              </w:rPr>
              <w:t>Indagini statistiche sulla mobilità delle persone</w:t>
            </w:r>
            <w:r w:rsidR="001620AE">
              <w:rPr>
                <w:noProof/>
                <w:webHidden/>
              </w:rPr>
              <w:tab/>
            </w:r>
            <w:r w:rsidR="001620AE">
              <w:rPr>
                <w:noProof/>
                <w:webHidden/>
              </w:rPr>
              <w:fldChar w:fldCharType="begin"/>
            </w:r>
            <w:r w:rsidR="001620AE">
              <w:rPr>
                <w:noProof/>
                <w:webHidden/>
              </w:rPr>
              <w:instrText xml:space="preserve"> PAGEREF _Toc213078349 \h </w:instrText>
            </w:r>
            <w:r w:rsidR="001620AE">
              <w:rPr>
                <w:noProof/>
                <w:webHidden/>
              </w:rPr>
            </w:r>
            <w:r w:rsidR="001620AE">
              <w:rPr>
                <w:noProof/>
                <w:webHidden/>
              </w:rPr>
              <w:fldChar w:fldCharType="separate"/>
            </w:r>
            <w:r>
              <w:rPr>
                <w:noProof/>
                <w:webHidden/>
              </w:rPr>
              <w:t>23</w:t>
            </w:r>
            <w:r w:rsidR="001620AE">
              <w:rPr>
                <w:noProof/>
                <w:webHidden/>
              </w:rPr>
              <w:fldChar w:fldCharType="end"/>
            </w:r>
          </w:hyperlink>
        </w:p>
        <w:p w14:paraId="385730BF" w14:textId="0CA42DCF" w:rsidR="001620AE" w:rsidRDefault="00073B6D">
          <w:pPr>
            <w:pStyle w:val="Sommario2"/>
            <w:rPr>
              <w:rFonts w:asciiTheme="minorHAnsi" w:eastAsiaTheme="minorEastAsia" w:hAnsiTheme="minorHAnsi" w:cstheme="minorBidi"/>
              <w:noProof/>
              <w:kern w:val="2"/>
              <w:sz w:val="24"/>
              <w:szCs w:val="24"/>
              <w14:ligatures w14:val="standardContextual"/>
            </w:rPr>
          </w:pPr>
          <w:hyperlink w:anchor="_Toc213078350" w:history="1">
            <w:r w:rsidR="001620AE" w:rsidRPr="00C544D4">
              <w:rPr>
                <w:rStyle w:val="Collegamentoipertestuale"/>
                <w:rFonts w:cstheme="minorHAnsi"/>
                <w:noProof/>
              </w:rPr>
              <w:t>3.2</w:t>
            </w:r>
            <w:r w:rsidR="001620AE">
              <w:rPr>
                <w:rFonts w:asciiTheme="minorHAnsi" w:eastAsiaTheme="minorEastAsia" w:hAnsiTheme="minorHAnsi" w:cstheme="minorBidi"/>
                <w:noProof/>
                <w:kern w:val="2"/>
                <w:sz w:val="24"/>
                <w:szCs w:val="24"/>
                <w14:ligatures w14:val="standardContextual"/>
              </w:rPr>
              <w:tab/>
            </w:r>
            <w:r w:rsidR="001620AE" w:rsidRPr="00C544D4">
              <w:rPr>
                <w:rStyle w:val="Collegamentoipertestuale"/>
                <w:rFonts w:cstheme="minorHAnsi"/>
                <w:noProof/>
              </w:rPr>
              <w:t>Aree a domanda debole</w:t>
            </w:r>
            <w:r w:rsidR="001620AE">
              <w:rPr>
                <w:noProof/>
                <w:webHidden/>
              </w:rPr>
              <w:tab/>
            </w:r>
            <w:r w:rsidR="001620AE">
              <w:rPr>
                <w:noProof/>
                <w:webHidden/>
              </w:rPr>
              <w:fldChar w:fldCharType="begin"/>
            </w:r>
            <w:r w:rsidR="001620AE">
              <w:rPr>
                <w:noProof/>
                <w:webHidden/>
              </w:rPr>
              <w:instrText xml:space="preserve"> PAGEREF _Toc213078350 \h </w:instrText>
            </w:r>
            <w:r w:rsidR="001620AE">
              <w:rPr>
                <w:noProof/>
                <w:webHidden/>
              </w:rPr>
            </w:r>
            <w:r w:rsidR="001620AE">
              <w:rPr>
                <w:noProof/>
                <w:webHidden/>
              </w:rPr>
              <w:fldChar w:fldCharType="separate"/>
            </w:r>
            <w:r>
              <w:rPr>
                <w:noProof/>
                <w:webHidden/>
              </w:rPr>
              <w:t>33</w:t>
            </w:r>
            <w:r w:rsidR="001620AE">
              <w:rPr>
                <w:noProof/>
                <w:webHidden/>
              </w:rPr>
              <w:fldChar w:fldCharType="end"/>
            </w:r>
          </w:hyperlink>
        </w:p>
        <w:p w14:paraId="03F5DCA4" w14:textId="2D5C014E" w:rsidR="001620AE" w:rsidRDefault="00073B6D">
          <w:pPr>
            <w:pStyle w:val="Sommario2"/>
            <w:rPr>
              <w:rFonts w:asciiTheme="minorHAnsi" w:eastAsiaTheme="minorEastAsia" w:hAnsiTheme="minorHAnsi" w:cstheme="minorBidi"/>
              <w:noProof/>
              <w:kern w:val="2"/>
              <w:sz w:val="24"/>
              <w:szCs w:val="24"/>
              <w14:ligatures w14:val="standardContextual"/>
            </w:rPr>
          </w:pPr>
          <w:hyperlink w:anchor="_Toc213078351" w:history="1">
            <w:r w:rsidR="001620AE" w:rsidRPr="00C544D4">
              <w:rPr>
                <w:rStyle w:val="Collegamentoipertestuale"/>
                <w:rFonts w:cstheme="minorHAnsi"/>
                <w:noProof/>
              </w:rPr>
              <w:t>3.3</w:t>
            </w:r>
            <w:r w:rsidR="001620AE">
              <w:rPr>
                <w:rFonts w:asciiTheme="minorHAnsi" w:eastAsiaTheme="minorEastAsia" w:hAnsiTheme="minorHAnsi" w:cstheme="minorBidi"/>
                <w:noProof/>
                <w:kern w:val="2"/>
                <w:sz w:val="24"/>
                <w:szCs w:val="24"/>
                <w14:ligatures w14:val="standardContextual"/>
              </w:rPr>
              <w:tab/>
            </w:r>
            <w:r w:rsidR="001620AE" w:rsidRPr="00C544D4">
              <w:rPr>
                <w:rStyle w:val="Collegamentoipertestuale"/>
                <w:rFonts w:cstheme="minorHAnsi"/>
                <w:noProof/>
              </w:rPr>
              <w:t>Analisi dell’autocontenimento della domanda</w:t>
            </w:r>
            <w:r w:rsidR="001620AE">
              <w:rPr>
                <w:noProof/>
                <w:webHidden/>
              </w:rPr>
              <w:tab/>
            </w:r>
            <w:r w:rsidR="001620AE">
              <w:rPr>
                <w:noProof/>
                <w:webHidden/>
              </w:rPr>
              <w:fldChar w:fldCharType="begin"/>
            </w:r>
            <w:r w:rsidR="001620AE">
              <w:rPr>
                <w:noProof/>
                <w:webHidden/>
              </w:rPr>
              <w:instrText xml:space="preserve"> PAGEREF _Toc213078351 \h </w:instrText>
            </w:r>
            <w:r w:rsidR="001620AE">
              <w:rPr>
                <w:noProof/>
                <w:webHidden/>
              </w:rPr>
            </w:r>
            <w:r w:rsidR="001620AE">
              <w:rPr>
                <w:noProof/>
                <w:webHidden/>
              </w:rPr>
              <w:fldChar w:fldCharType="separate"/>
            </w:r>
            <w:r>
              <w:rPr>
                <w:noProof/>
                <w:webHidden/>
              </w:rPr>
              <w:t>38</w:t>
            </w:r>
            <w:r w:rsidR="001620AE">
              <w:rPr>
                <w:noProof/>
                <w:webHidden/>
              </w:rPr>
              <w:fldChar w:fldCharType="end"/>
            </w:r>
          </w:hyperlink>
        </w:p>
        <w:p w14:paraId="0A1E3D79" w14:textId="5D967BFF" w:rsidR="001620AE" w:rsidRDefault="00073B6D">
          <w:pPr>
            <w:pStyle w:val="Sommario2"/>
            <w:rPr>
              <w:rFonts w:asciiTheme="minorHAnsi" w:eastAsiaTheme="minorEastAsia" w:hAnsiTheme="minorHAnsi" w:cstheme="minorBidi"/>
              <w:noProof/>
              <w:kern w:val="2"/>
              <w:sz w:val="24"/>
              <w:szCs w:val="24"/>
              <w14:ligatures w14:val="standardContextual"/>
            </w:rPr>
          </w:pPr>
          <w:hyperlink w:anchor="_Toc213078352" w:history="1">
            <w:r w:rsidR="001620AE" w:rsidRPr="00C544D4">
              <w:rPr>
                <w:rStyle w:val="Collegamentoipertestuale"/>
                <w:rFonts w:cstheme="minorHAnsi"/>
                <w:noProof/>
              </w:rPr>
              <w:t>3.4</w:t>
            </w:r>
            <w:r w:rsidR="001620AE">
              <w:rPr>
                <w:rFonts w:asciiTheme="minorHAnsi" w:eastAsiaTheme="minorEastAsia" w:hAnsiTheme="minorHAnsi" w:cstheme="minorBidi"/>
                <w:noProof/>
                <w:kern w:val="2"/>
                <w:sz w:val="24"/>
                <w:szCs w:val="24"/>
                <w14:ligatures w14:val="standardContextual"/>
              </w:rPr>
              <w:tab/>
            </w:r>
            <w:r w:rsidR="001620AE" w:rsidRPr="00C544D4">
              <w:rPr>
                <w:rStyle w:val="Collegamentoipertestuale"/>
                <w:rFonts w:cstheme="minorHAnsi"/>
                <w:noProof/>
              </w:rPr>
              <w:t>Analisi di mobilità su dati provenienti da piattaforme Big Data di operatori telefonici</w:t>
            </w:r>
            <w:r w:rsidR="001620AE">
              <w:rPr>
                <w:noProof/>
                <w:webHidden/>
              </w:rPr>
              <w:tab/>
            </w:r>
            <w:r w:rsidR="001620AE">
              <w:rPr>
                <w:noProof/>
                <w:webHidden/>
              </w:rPr>
              <w:fldChar w:fldCharType="begin"/>
            </w:r>
            <w:r w:rsidR="001620AE">
              <w:rPr>
                <w:noProof/>
                <w:webHidden/>
              </w:rPr>
              <w:instrText xml:space="preserve"> PAGEREF _Toc213078352 \h </w:instrText>
            </w:r>
            <w:r w:rsidR="001620AE">
              <w:rPr>
                <w:noProof/>
                <w:webHidden/>
              </w:rPr>
            </w:r>
            <w:r w:rsidR="001620AE">
              <w:rPr>
                <w:noProof/>
                <w:webHidden/>
              </w:rPr>
              <w:fldChar w:fldCharType="separate"/>
            </w:r>
            <w:r>
              <w:rPr>
                <w:noProof/>
                <w:webHidden/>
              </w:rPr>
              <w:t>42</w:t>
            </w:r>
            <w:r w:rsidR="001620AE">
              <w:rPr>
                <w:noProof/>
                <w:webHidden/>
              </w:rPr>
              <w:fldChar w:fldCharType="end"/>
            </w:r>
          </w:hyperlink>
        </w:p>
        <w:p w14:paraId="4528FFC8" w14:textId="6C3203C5" w:rsidR="001620AE" w:rsidRDefault="00073B6D">
          <w:pPr>
            <w:pStyle w:val="Sommario3"/>
            <w:rPr>
              <w:rFonts w:asciiTheme="minorHAnsi" w:eastAsiaTheme="minorEastAsia" w:hAnsiTheme="minorHAnsi" w:cstheme="minorBidi"/>
              <w:kern w:val="2"/>
              <w:sz w:val="24"/>
              <w:szCs w:val="24"/>
              <w14:ligatures w14:val="standardContextual"/>
            </w:rPr>
          </w:pPr>
          <w:hyperlink w:anchor="_Toc213078353" w:history="1">
            <w:r w:rsidR="001620AE" w:rsidRPr="00C544D4">
              <w:rPr>
                <w:rStyle w:val="Collegamentoipertestuale"/>
              </w:rPr>
              <w:t>3.4.1</w:t>
            </w:r>
            <w:r w:rsidR="001620AE">
              <w:rPr>
                <w:rFonts w:asciiTheme="minorHAnsi" w:eastAsiaTheme="minorEastAsia" w:hAnsiTheme="minorHAnsi" w:cstheme="minorBidi"/>
                <w:kern w:val="2"/>
                <w:sz w:val="24"/>
                <w:szCs w:val="24"/>
                <w14:ligatures w14:val="standardContextual"/>
              </w:rPr>
              <w:tab/>
            </w:r>
            <w:r w:rsidR="001620AE" w:rsidRPr="00C544D4">
              <w:rPr>
                <w:rStyle w:val="Collegamentoipertestuale"/>
              </w:rPr>
              <w:t>Analisi della domanda tramite i dati della piattaforma Windtre</w:t>
            </w:r>
            <w:r w:rsidR="001620AE">
              <w:rPr>
                <w:webHidden/>
              </w:rPr>
              <w:tab/>
            </w:r>
            <w:r w:rsidR="001620AE">
              <w:rPr>
                <w:webHidden/>
              </w:rPr>
              <w:fldChar w:fldCharType="begin"/>
            </w:r>
            <w:r w:rsidR="001620AE">
              <w:rPr>
                <w:webHidden/>
              </w:rPr>
              <w:instrText xml:space="preserve"> PAGEREF _Toc213078353 \h </w:instrText>
            </w:r>
            <w:r w:rsidR="001620AE">
              <w:rPr>
                <w:webHidden/>
              </w:rPr>
            </w:r>
            <w:r w:rsidR="001620AE">
              <w:rPr>
                <w:webHidden/>
              </w:rPr>
              <w:fldChar w:fldCharType="separate"/>
            </w:r>
            <w:r>
              <w:rPr>
                <w:webHidden/>
              </w:rPr>
              <w:t>43</w:t>
            </w:r>
            <w:r w:rsidR="001620AE">
              <w:rPr>
                <w:webHidden/>
              </w:rPr>
              <w:fldChar w:fldCharType="end"/>
            </w:r>
          </w:hyperlink>
        </w:p>
        <w:p w14:paraId="50E977AB" w14:textId="66154077" w:rsidR="001620AE" w:rsidRDefault="00073B6D">
          <w:pPr>
            <w:pStyle w:val="Sommario3"/>
            <w:rPr>
              <w:rFonts w:asciiTheme="minorHAnsi" w:eastAsiaTheme="minorEastAsia" w:hAnsiTheme="minorHAnsi" w:cstheme="minorBidi"/>
              <w:kern w:val="2"/>
              <w:sz w:val="24"/>
              <w:szCs w:val="24"/>
              <w14:ligatures w14:val="standardContextual"/>
            </w:rPr>
          </w:pPr>
          <w:hyperlink w:anchor="_Toc213078354" w:history="1">
            <w:r w:rsidR="001620AE" w:rsidRPr="00C544D4">
              <w:rPr>
                <w:rStyle w:val="Collegamentoipertestuale"/>
              </w:rPr>
              <w:t>3.4.2</w:t>
            </w:r>
            <w:r w:rsidR="001620AE">
              <w:rPr>
                <w:rFonts w:asciiTheme="minorHAnsi" w:eastAsiaTheme="minorEastAsia" w:hAnsiTheme="minorHAnsi" w:cstheme="minorBidi"/>
                <w:kern w:val="2"/>
                <w:sz w:val="24"/>
                <w:szCs w:val="24"/>
                <w14:ligatures w14:val="standardContextual"/>
              </w:rPr>
              <w:tab/>
            </w:r>
            <w:r w:rsidR="001620AE" w:rsidRPr="00C544D4">
              <w:rPr>
                <w:rStyle w:val="Collegamentoipertestuale"/>
              </w:rPr>
              <w:t>Analisi della domanda di alcuni territori specifici</w:t>
            </w:r>
            <w:r w:rsidR="001620AE">
              <w:rPr>
                <w:webHidden/>
              </w:rPr>
              <w:tab/>
            </w:r>
            <w:r w:rsidR="001620AE">
              <w:rPr>
                <w:webHidden/>
              </w:rPr>
              <w:fldChar w:fldCharType="begin"/>
            </w:r>
            <w:r w:rsidR="001620AE">
              <w:rPr>
                <w:webHidden/>
              </w:rPr>
              <w:instrText xml:space="preserve"> PAGEREF _Toc213078354 \h </w:instrText>
            </w:r>
            <w:r w:rsidR="001620AE">
              <w:rPr>
                <w:webHidden/>
              </w:rPr>
            </w:r>
            <w:r w:rsidR="001620AE">
              <w:rPr>
                <w:webHidden/>
              </w:rPr>
              <w:fldChar w:fldCharType="separate"/>
            </w:r>
            <w:r>
              <w:rPr>
                <w:webHidden/>
              </w:rPr>
              <w:t>45</w:t>
            </w:r>
            <w:r w:rsidR="001620AE">
              <w:rPr>
                <w:webHidden/>
              </w:rPr>
              <w:fldChar w:fldCharType="end"/>
            </w:r>
          </w:hyperlink>
        </w:p>
        <w:p w14:paraId="27A0B70F" w14:textId="1EC181CD" w:rsidR="001620AE" w:rsidRDefault="00073B6D">
          <w:pPr>
            <w:pStyle w:val="Sommario3"/>
            <w:rPr>
              <w:rFonts w:asciiTheme="minorHAnsi" w:eastAsiaTheme="minorEastAsia" w:hAnsiTheme="minorHAnsi" w:cstheme="minorBidi"/>
              <w:kern w:val="2"/>
              <w:sz w:val="24"/>
              <w:szCs w:val="24"/>
              <w14:ligatures w14:val="standardContextual"/>
            </w:rPr>
          </w:pPr>
          <w:hyperlink w:anchor="_Toc213078355" w:history="1">
            <w:r w:rsidR="001620AE" w:rsidRPr="00C544D4">
              <w:rPr>
                <w:rStyle w:val="Collegamentoipertestuale"/>
              </w:rPr>
              <w:t>3.4.3</w:t>
            </w:r>
            <w:r w:rsidR="001620AE">
              <w:rPr>
                <w:rFonts w:asciiTheme="minorHAnsi" w:eastAsiaTheme="minorEastAsia" w:hAnsiTheme="minorHAnsi" w:cstheme="minorBidi"/>
                <w:kern w:val="2"/>
                <w:sz w:val="24"/>
                <w:szCs w:val="24"/>
                <w14:ligatures w14:val="standardContextual"/>
              </w:rPr>
              <w:tab/>
            </w:r>
            <w:r w:rsidR="001620AE" w:rsidRPr="00C544D4">
              <w:rPr>
                <w:rStyle w:val="Collegamentoipertestuale"/>
              </w:rPr>
              <w:t>Analisi della domanda debole tramite i dati della piattaforma Windtre</w:t>
            </w:r>
            <w:r w:rsidR="001620AE">
              <w:rPr>
                <w:webHidden/>
              </w:rPr>
              <w:tab/>
            </w:r>
            <w:r w:rsidR="001620AE">
              <w:rPr>
                <w:webHidden/>
              </w:rPr>
              <w:fldChar w:fldCharType="begin"/>
            </w:r>
            <w:r w:rsidR="001620AE">
              <w:rPr>
                <w:webHidden/>
              </w:rPr>
              <w:instrText xml:space="preserve"> PAGEREF _Toc213078355 \h </w:instrText>
            </w:r>
            <w:r w:rsidR="001620AE">
              <w:rPr>
                <w:webHidden/>
              </w:rPr>
            </w:r>
            <w:r w:rsidR="001620AE">
              <w:rPr>
                <w:webHidden/>
              </w:rPr>
              <w:fldChar w:fldCharType="separate"/>
            </w:r>
            <w:r>
              <w:rPr>
                <w:webHidden/>
              </w:rPr>
              <w:t>46</w:t>
            </w:r>
            <w:r w:rsidR="001620AE">
              <w:rPr>
                <w:webHidden/>
              </w:rPr>
              <w:fldChar w:fldCharType="end"/>
            </w:r>
          </w:hyperlink>
        </w:p>
        <w:p w14:paraId="5B9B8F6B" w14:textId="30995AB2" w:rsidR="001620AE" w:rsidRDefault="00073B6D">
          <w:pPr>
            <w:pStyle w:val="Sommario3"/>
            <w:rPr>
              <w:rFonts w:asciiTheme="minorHAnsi" w:eastAsiaTheme="minorEastAsia" w:hAnsiTheme="minorHAnsi" w:cstheme="minorBidi"/>
              <w:kern w:val="2"/>
              <w:sz w:val="24"/>
              <w:szCs w:val="24"/>
              <w14:ligatures w14:val="standardContextual"/>
            </w:rPr>
          </w:pPr>
          <w:hyperlink w:anchor="_Toc213078356" w:history="1">
            <w:r w:rsidR="001620AE" w:rsidRPr="00C544D4">
              <w:rPr>
                <w:rStyle w:val="Collegamentoipertestuale"/>
              </w:rPr>
              <w:t>3.4.4</w:t>
            </w:r>
            <w:r w:rsidR="001620AE">
              <w:rPr>
                <w:rFonts w:asciiTheme="minorHAnsi" w:eastAsiaTheme="minorEastAsia" w:hAnsiTheme="minorHAnsi" w:cstheme="minorBidi"/>
                <w:kern w:val="2"/>
                <w:sz w:val="24"/>
                <w:szCs w:val="24"/>
                <w14:ligatures w14:val="standardContextual"/>
              </w:rPr>
              <w:tab/>
            </w:r>
            <w:r w:rsidR="001620AE" w:rsidRPr="00C544D4">
              <w:rPr>
                <w:rStyle w:val="Collegamentoipertestuale"/>
              </w:rPr>
              <w:t>Osservazioni generali sull’interpretazione dei dati da piattaforme Big Data</w:t>
            </w:r>
            <w:r w:rsidR="001620AE">
              <w:rPr>
                <w:webHidden/>
              </w:rPr>
              <w:tab/>
            </w:r>
            <w:r w:rsidR="001620AE">
              <w:rPr>
                <w:webHidden/>
              </w:rPr>
              <w:fldChar w:fldCharType="begin"/>
            </w:r>
            <w:r w:rsidR="001620AE">
              <w:rPr>
                <w:webHidden/>
              </w:rPr>
              <w:instrText xml:space="preserve"> PAGEREF _Toc213078356 \h </w:instrText>
            </w:r>
            <w:r w:rsidR="001620AE">
              <w:rPr>
                <w:webHidden/>
              </w:rPr>
            </w:r>
            <w:r w:rsidR="001620AE">
              <w:rPr>
                <w:webHidden/>
              </w:rPr>
              <w:fldChar w:fldCharType="separate"/>
            </w:r>
            <w:r>
              <w:rPr>
                <w:webHidden/>
              </w:rPr>
              <w:t>47</w:t>
            </w:r>
            <w:r w:rsidR="001620AE">
              <w:rPr>
                <w:webHidden/>
              </w:rPr>
              <w:fldChar w:fldCharType="end"/>
            </w:r>
          </w:hyperlink>
        </w:p>
        <w:p w14:paraId="79D9D4F5" w14:textId="5A9E7C87" w:rsidR="001620AE" w:rsidRDefault="00073B6D">
          <w:pPr>
            <w:pStyle w:val="Sommario2"/>
            <w:rPr>
              <w:rFonts w:asciiTheme="minorHAnsi" w:eastAsiaTheme="minorEastAsia" w:hAnsiTheme="minorHAnsi" w:cstheme="minorBidi"/>
              <w:noProof/>
              <w:kern w:val="2"/>
              <w:sz w:val="24"/>
              <w:szCs w:val="24"/>
              <w14:ligatures w14:val="standardContextual"/>
            </w:rPr>
          </w:pPr>
          <w:hyperlink w:anchor="_Toc213078357" w:history="1">
            <w:r w:rsidR="001620AE" w:rsidRPr="00C544D4">
              <w:rPr>
                <w:rStyle w:val="Collegamentoipertestuale"/>
                <w:noProof/>
              </w:rPr>
              <w:t>3.5</w:t>
            </w:r>
            <w:r w:rsidR="001620AE">
              <w:rPr>
                <w:rFonts w:asciiTheme="minorHAnsi" w:eastAsiaTheme="minorEastAsia" w:hAnsiTheme="minorHAnsi" w:cstheme="minorBidi"/>
                <w:noProof/>
                <w:kern w:val="2"/>
                <w:sz w:val="24"/>
                <w:szCs w:val="24"/>
                <w14:ligatures w14:val="standardContextual"/>
              </w:rPr>
              <w:tab/>
            </w:r>
            <w:r w:rsidR="001620AE" w:rsidRPr="00C544D4">
              <w:rPr>
                <w:rStyle w:val="Collegamentoipertestuale"/>
                <w:rFonts w:cstheme="minorHAnsi"/>
                <w:noProof/>
              </w:rPr>
              <w:t>Frequentazioni del sistema di TPL del Bacino Metropolitano</w:t>
            </w:r>
            <w:r w:rsidR="001620AE">
              <w:rPr>
                <w:noProof/>
                <w:webHidden/>
              </w:rPr>
              <w:tab/>
            </w:r>
            <w:r w:rsidR="001620AE">
              <w:rPr>
                <w:noProof/>
                <w:webHidden/>
              </w:rPr>
              <w:fldChar w:fldCharType="begin"/>
            </w:r>
            <w:r w:rsidR="001620AE">
              <w:rPr>
                <w:noProof/>
                <w:webHidden/>
              </w:rPr>
              <w:instrText xml:space="preserve"> PAGEREF _Toc213078357 \h </w:instrText>
            </w:r>
            <w:r w:rsidR="001620AE">
              <w:rPr>
                <w:noProof/>
                <w:webHidden/>
              </w:rPr>
            </w:r>
            <w:r w:rsidR="001620AE">
              <w:rPr>
                <w:noProof/>
                <w:webHidden/>
              </w:rPr>
              <w:fldChar w:fldCharType="separate"/>
            </w:r>
            <w:r>
              <w:rPr>
                <w:noProof/>
                <w:webHidden/>
              </w:rPr>
              <w:t>49</w:t>
            </w:r>
            <w:r w:rsidR="001620AE">
              <w:rPr>
                <w:noProof/>
                <w:webHidden/>
              </w:rPr>
              <w:fldChar w:fldCharType="end"/>
            </w:r>
          </w:hyperlink>
        </w:p>
        <w:p w14:paraId="34CBBA15" w14:textId="0F5ACF4F" w:rsidR="001620AE" w:rsidRDefault="00073B6D">
          <w:pPr>
            <w:pStyle w:val="Sommario2"/>
            <w:rPr>
              <w:rFonts w:asciiTheme="minorHAnsi" w:eastAsiaTheme="minorEastAsia" w:hAnsiTheme="minorHAnsi" w:cstheme="minorBidi"/>
              <w:noProof/>
              <w:kern w:val="2"/>
              <w:sz w:val="24"/>
              <w:szCs w:val="24"/>
              <w14:ligatures w14:val="standardContextual"/>
            </w:rPr>
          </w:pPr>
          <w:hyperlink w:anchor="_Toc213078358" w:history="1">
            <w:r w:rsidR="001620AE" w:rsidRPr="00C544D4">
              <w:rPr>
                <w:rStyle w:val="Collegamentoipertestuale"/>
                <w:noProof/>
              </w:rPr>
              <w:t>3.6</w:t>
            </w:r>
            <w:r w:rsidR="001620AE">
              <w:rPr>
                <w:rFonts w:asciiTheme="minorHAnsi" w:eastAsiaTheme="minorEastAsia" w:hAnsiTheme="minorHAnsi" w:cstheme="minorBidi"/>
                <w:noProof/>
                <w:kern w:val="2"/>
                <w:sz w:val="24"/>
                <w:szCs w:val="24"/>
                <w14:ligatures w14:val="standardContextual"/>
              </w:rPr>
              <w:tab/>
            </w:r>
            <w:r w:rsidR="001620AE" w:rsidRPr="00C544D4">
              <w:rPr>
                <w:rStyle w:val="Collegamentoipertestuale"/>
                <w:rFonts w:cstheme="minorHAnsi"/>
                <w:noProof/>
              </w:rPr>
              <w:t>Distribuzione della popolazione scolastica</w:t>
            </w:r>
            <w:r w:rsidR="001620AE">
              <w:rPr>
                <w:noProof/>
                <w:webHidden/>
              </w:rPr>
              <w:tab/>
            </w:r>
            <w:r w:rsidR="001620AE">
              <w:rPr>
                <w:noProof/>
                <w:webHidden/>
              </w:rPr>
              <w:fldChar w:fldCharType="begin"/>
            </w:r>
            <w:r w:rsidR="001620AE">
              <w:rPr>
                <w:noProof/>
                <w:webHidden/>
              </w:rPr>
              <w:instrText xml:space="preserve"> PAGEREF _Toc213078358 \h </w:instrText>
            </w:r>
            <w:r w:rsidR="001620AE">
              <w:rPr>
                <w:noProof/>
                <w:webHidden/>
              </w:rPr>
            </w:r>
            <w:r w:rsidR="001620AE">
              <w:rPr>
                <w:noProof/>
                <w:webHidden/>
              </w:rPr>
              <w:fldChar w:fldCharType="separate"/>
            </w:r>
            <w:r>
              <w:rPr>
                <w:noProof/>
                <w:webHidden/>
              </w:rPr>
              <w:t>55</w:t>
            </w:r>
            <w:r w:rsidR="001620AE">
              <w:rPr>
                <w:noProof/>
                <w:webHidden/>
              </w:rPr>
              <w:fldChar w:fldCharType="end"/>
            </w:r>
          </w:hyperlink>
        </w:p>
        <w:p w14:paraId="06AE93DF" w14:textId="1FB08F02" w:rsidR="001620AE" w:rsidRDefault="00073B6D">
          <w:pPr>
            <w:pStyle w:val="Sommario2"/>
            <w:rPr>
              <w:rFonts w:asciiTheme="minorHAnsi" w:eastAsiaTheme="minorEastAsia" w:hAnsiTheme="minorHAnsi" w:cstheme="minorBidi"/>
              <w:noProof/>
              <w:kern w:val="2"/>
              <w:sz w:val="24"/>
              <w:szCs w:val="24"/>
              <w14:ligatures w14:val="standardContextual"/>
            </w:rPr>
          </w:pPr>
          <w:hyperlink w:anchor="_Toc213078359" w:history="1">
            <w:r w:rsidR="001620AE" w:rsidRPr="00C544D4">
              <w:rPr>
                <w:rStyle w:val="Collegamentoipertestuale"/>
                <w:noProof/>
              </w:rPr>
              <w:t>3.7</w:t>
            </w:r>
            <w:r w:rsidR="001620AE">
              <w:rPr>
                <w:rFonts w:asciiTheme="minorHAnsi" w:eastAsiaTheme="minorEastAsia" w:hAnsiTheme="minorHAnsi" w:cstheme="minorBidi"/>
                <w:noProof/>
                <w:kern w:val="2"/>
                <w:sz w:val="24"/>
                <w:szCs w:val="24"/>
                <w14:ligatures w14:val="standardContextual"/>
              </w:rPr>
              <w:tab/>
            </w:r>
            <w:r w:rsidR="001620AE" w:rsidRPr="00C544D4">
              <w:rPr>
                <w:rStyle w:val="Collegamentoipertestuale"/>
                <w:rFonts w:cstheme="minorHAnsi"/>
                <w:noProof/>
              </w:rPr>
              <w:t>Ulteriori elementi della domanda sistematica</w:t>
            </w:r>
            <w:r w:rsidR="001620AE">
              <w:rPr>
                <w:noProof/>
                <w:webHidden/>
              </w:rPr>
              <w:tab/>
            </w:r>
            <w:r w:rsidR="001620AE">
              <w:rPr>
                <w:noProof/>
                <w:webHidden/>
              </w:rPr>
              <w:fldChar w:fldCharType="begin"/>
            </w:r>
            <w:r w:rsidR="001620AE">
              <w:rPr>
                <w:noProof/>
                <w:webHidden/>
              </w:rPr>
              <w:instrText xml:space="preserve"> PAGEREF _Toc213078359 \h </w:instrText>
            </w:r>
            <w:r w:rsidR="001620AE">
              <w:rPr>
                <w:noProof/>
                <w:webHidden/>
              </w:rPr>
            </w:r>
            <w:r w:rsidR="001620AE">
              <w:rPr>
                <w:noProof/>
                <w:webHidden/>
              </w:rPr>
              <w:fldChar w:fldCharType="separate"/>
            </w:r>
            <w:r>
              <w:rPr>
                <w:noProof/>
                <w:webHidden/>
              </w:rPr>
              <w:t>58</w:t>
            </w:r>
            <w:r w:rsidR="001620AE">
              <w:rPr>
                <w:noProof/>
                <w:webHidden/>
              </w:rPr>
              <w:fldChar w:fldCharType="end"/>
            </w:r>
          </w:hyperlink>
        </w:p>
        <w:p w14:paraId="726B7620" w14:textId="4A70D302" w:rsidR="001620AE" w:rsidRDefault="00073B6D">
          <w:pPr>
            <w:pStyle w:val="Sommario2"/>
            <w:rPr>
              <w:rFonts w:asciiTheme="minorHAnsi" w:eastAsiaTheme="minorEastAsia" w:hAnsiTheme="minorHAnsi" w:cstheme="minorBidi"/>
              <w:noProof/>
              <w:kern w:val="2"/>
              <w:sz w:val="24"/>
              <w:szCs w:val="24"/>
              <w14:ligatures w14:val="standardContextual"/>
            </w:rPr>
          </w:pPr>
          <w:hyperlink w:anchor="_Toc213078360" w:history="1">
            <w:r w:rsidR="001620AE" w:rsidRPr="00C544D4">
              <w:rPr>
                <w:rStyle w:val="Collegamentoipertestuale"/>
                <w:noProof/>
              </w:rPr>
              <w:t>3.8</w:t>
            </w:r>
            <w:r w:rsidR="001620AE">
              <w:rPr>
                <w:rFonts w:asciiTheme="minorHAnsi" w:eastAsiaTheme="minorEastAsia" w:hAnsiTheme="minorHAnsi" w:cstheme="minorBidi"/>
                <w:noProof/>
                <w:kern w:val="2"/>
                <w:sz w:val="24"/>
                <w:szCs w:val="24"/>
                <w14:ligatures w14:val="standardContextual"/>
              </w:rPr>
              <w:tab/>
            </w:r>
            <w:r w:rsidR="001620AE" w:rsidRPr="00C544D4">
              <w:rPr>
                <w:rStyle w:val="Collegamentoipertestuale"/>
                <w:rFonts w:cstheme="minorHAnsi"/>
                <w:noProof/>
              </w:rPr>
              <w:t>Domanda Turistica</w:t>
            </w:r>
            <w:r w:rsidR="001620AE">
              <w:rPr>
                <w:noProof/>
                <w:webHidden/>
              </w:rPr>
              <w:tab/>
            </w:r>
            <w:r w:rsidR="001620AE">
              <w:rPr>
                <w:noProof/>
                <w:webHidden/>
              </w:rPr>
              <w:fldChar w:fldCharType="begin"/>
            </w:r>
            <w:r w:rsidR="001620AE">
              <w:rPr>
                <w:noProof/>
                <w:webHidden/>
              </w:rPr>
              <w:instrText xml:space="preserve"> PAGEREF _Toc213078360 \h </w:instrText>
            </w:r>
            <w:r w:rsidR="001620AE">
              <w:rPr>
                <w:noProof/>
                <w:webHidden/>
              </w:rPr>
            </w:r>
            <w:r w:rsidR="001620AE">
              <w:rPr>
                <w:noProof/>
                <w:webHidden/>
              </w:rPr>
              <w:fldChar w:fldCharType="separate"/>
            </w:r>
            <w:r>
              <w:rPr>
                <w:noProof/>
                <w:webHidden/>
              </w:rPr>
              <w:t>59</w:t>
            </w:r>
            <w:r w:rsidR="001620AE">
              <w:rPr>
                <w:noProof/>
                <w:webHidden/>
              </w:rPr>
              <w:fldChar w:fldCharType="end"/>
            </w:r>
          </w:hyperlink>
        </w:p>
        <w:p w14:paraId="1F9F9899" w14:textId="0F48B593" w:rsidR="001620AE" w:rsidRDefault="00073B6D">
          <w:pPr>
            <w:pStyle w:val="Sommario2"/>
            <w:rPr>
              <w:rFonts w:asciiTheme="minorHAnsi" w:eastAsiaTheme="minorEastAsia" w:hAnsiTheme="minorHAnsi" w:cstheme="minorBidi"/>
              <w:noProof/>
              <w:kern w:val="2"/>
              <w:sz w:val="24"/>
              <w:szCs w:val="24"/>
              <w14:ligatures w14:val="standardContextual"/>
            </w:rPr>
          </w:pPr>
          <w:hyperlink w:anchor="_Toc213078361" w:history="1">
            <w:r w:rsidR="001620AE" w:rsidRPr="00C544D4">
              <w:rPr>
                <w:rStyle w:val="Collegamentoipertestuale"/>
                <w:noProof/>
              </w:rPr>
              <w:t>3.9</w:t>
            </w:r>
            <w:r w:rsidR="001620AE">
              <w:rPr>
                <w:rFonts w:asciiTheme="minorHAnsi" w:eastAsiaTheme="minorEastAsia" w:hAnsiTheme="minorHAnsi" w:cstheme="minorBidi"/>
                <w:noProof/>
                <w:kern w:val="2"/>
                <w:sz w:val="24"/>
                <w:szCs w:val="24"/>
                <w14:ligatures w14:val="standardContextual"/>
              </w:rPr>
              <w:tab/>
            </w:r>
            <w:r w:rsidR="001620AE" w:rsidRPr="00C544D4">
              <w:rPr>
                <w:rStyle w:val="Collegamentoipertestuale"/>
                <w:rFonts w:cstheme="minorHAnsi"/>
                <w:noProof/>
              </w:rPr>
              <w:t>Domanda di trasporto-Sviluppi</w:t>
            </w:r>
            <w:r w:rsidR="001620AE">
              <w:rPr>
                <w:noProof/>
                <w:webHidden/>
              </w:rPr>
              <w:tab/>
            </w:r>
            <w:r w:rsidR="001620AE">
              <w:rPr>
                <w:noProof/>
                <w:webHidden/>
              </w:rPr>
              <w:fldChar w:fldCharType="begin"/>
            </w:r>
            <w:r w:rsidR="001620AE">
              <w:rPr>
                <w:noProof/>
                <w:webHidden/>
              </w:rPr>
              <w:instrText xml:space="preserve"> PAGEREF _Toc213078361 \h </w:instrText>
            </w:r>
            <w:r w:rsidR="001620AE">
              <w:rPr>
                <w:noProof/>
                <w:webHidden/>
              </w:rPr>
            </w:r>
            <w:r w:rsidR="001620AE">
              <w:rPr>
                <w:noProof/>
                <w:webHidden/>
              </w:rPr>
              <w:fldChar w:fldCharType="separate"/>
            </w:r>
            <w:r>
              <w:rPr>
                <w:noProof/>
                <w:webHidden/>
              </w:rPr>
              <w:t>61</w:t>
            </w:r>
            <w:r w:rsidR="001620AE">
              <w:rPr>
                <w:noProof/>
                <w:webHidden/>
              </w:rPr>
              <w:fldChar w:fldCharType="end"/>
            </w:r>
          </w:hyperlink>
        </w:p>
        <w:p w14:paraId="48ADD982" w14:textId="5672C02B" w:rsidR="001620AE" w:rsidRDefault="00073B6D">
          <w:pPr>
            <w:pStyle w:val="Sommario1"/>
            <w:rPr>
              <w:rFonts w:asciiTheme="minorHAnsi" w:eastAsiaTheme="minorEastAsia" w:hAnsiTheme="minorHAnsi" w:cstheme="minorBidi"/>
              <w:noProof/>
              <w:kern w:val="2"/>
              <w:sz w:val="24"/>
              <w:szCs w:val="24"/>
              <w14:ligatures w14:val="standardContextual"/>
            </w:rPr>
          </w:pPr>
          <w:hyperlink w:anchor="_Toc213078362" w:history="1">
            <w:r w:rsidR="001620AE" w:rsidRPr="00C544D4">
              <w:rPr>
                <w:rStyle w:val="Collegamentoipertestuale"/>
                <w:noProof/>
              </w:rPr>
              <w:t>4</w:t>
            </w:r>
            <w:r w:rsidR="001620AE">
              <w:rPr>
                <w:rFonts w:asciiTheme="minorHAnsi" w:eastAsiaTheme="minorEastAsia" w:hAnsiTheme="minorHAnsi" w:cstheme="minorBidi"/>
                <w:noProof/>
                <w:kern w:val="2"/>
                <w:sz w:val="24"/>
                <w:szCs w:val="24"/>
                <w14:ligatures w14:val="standardContextual"/>
              </w:rPr>
              <w:tab/>
            </w:r>
            <w:r w:rsidR="001620AE" w:rsidRPr="00C544D4">
              <w:rPr>
                <w:rStyle w:val="Collegamentoipertestuale"/>
                <w:noProof/>
              </w:rPr>
              <w:t>Analisi offerta di trasporto del Bacino Metropolitano</w:t>
            </w:r>
            <w:r w:rsidR="001620AE">
              <w:rPr>
                <w:noProof/>
                <w:webHidden/>
              </w:rPr>
              <w:tab/>
            </w:r>
            <w:r w:rsidR="001620AE">
              <w:rPr>
                <w:noProof/>
                <w:webHidden/>
              </w:rPr>
              <w:fldChar w:fldCharType="begin"/>
            </w:r>
            <w:r w:rsidR="001620AE">
              <w:rPr>
                <w:noProof/>
                <w:webHidden/>
              </w:rPr>
              <w:instrText xml:space="preserve"> PAGEREF _Toc213078362 \h </w:instrText>
            </w:r>
            <w:r w:rsidR="001620AE">
              <w:rPr>
                <w:noProof/>
                <w:webHidden/>
              </w:rPr>
            </w:r>
            <w:r w:rsidR="001620AE">
              <w:rPr>
                <w:noProof/>
                <w:webHidden/>
              </w:rPr>
              <w:fldChar w:fldCharType="separate"/>
            </w:r>
            <w:r>
              <w:rPr>
                <w:noProof/>
                <w:webHidden/>
              </w:rPr>
              <w:t>64</w:t>
            </w:r>
            <w:r w:rsidR="001620AE">
              <w:rPr>
                <w:noProof/>
                <w:webHidden/>
              </w:rPr>
              <w:fldChar w:fldCharType="end"/>
            </w:r>
          </w:hyperlink>
        </w:p>
        <w:p w14:paraId="507E2558" w14:textId="289F6292" w:rsidR="001620AE" w:rsidRDefault="00073B6D">
          <w:pPr>
            <w:pStyle w:val="Sommario2"/>
            <w:rPr>
              <w:rFonts w:asciiTheme="minorHAnsi" w:eastAsiaTheme="minorEastAsia" w:hAnsiTheme="minorHAnsi" w:cstheme="minorBidi"/>
              <w:noProof/>
              <w:kern w:val="2"/>
              <w:sz w:val="24"/>
              <w:szCs w:val="24"/>
              <w14:ligatures w14:val="standardContextual"/>
            </w:rPr>
          </w:pPr>
          <w:hyperlink w:anchor="_Toc213078363" w:history="1">
            <w:r w:rsidR="001620AE" w:rsidRPr="00C544D4">
              <w:rPr>
                <w:rStyle w:val="Collegamentoipertestuale"/>
                <w:noProof/>
              </w:rPr>
              <w:t>4.1</w:t>
            </w:r>
            <w:r w:rsidR="001620AE">
              <w:rPr>
                <w:rFonts w:asciiTheme="minorHAnsi" w:eastAsiaTheme="minorEastAsia" w:hAnsiTheme="minorHAnsi" w:cstheme="minorBidi"/>
                <w:noProof/>
                <w:kern w:val="2"/>
                <w:sz w:val="24"/>
                <w:szCs w:val="24"/>
                <w14:ligatures w14:val="standardContextual"/>
              </w:rPr>
              <w:tab/>
            </w:r>
            <w:r w:rsidR="001620AE" w:rsidRPr="00C544D4">
              <w:rPr>
                <w:rStyle w:val="Collegamentoipertestuale"/>
                <w:noProof/>
              </w:rPr>
              <w:t>Offerta di trasporto attuale</w:t>
            </w:r>
            <w:r w:rsidR="001620AE">
              <w:rPr>
                <w:noProof/>
                <w:webHidden/>
              </w:rPr>
              <w:tab/>
            </w:r>
            <w:r w:rsidR="001620AE">
              <w:rPr>
                <w:noProof/>
                <w:webHidden/>
              </w:rPr>
              <w:fldChar w:fldCharType="begin"/>
            </w:r>
            <w:r w:rsidR="001620AE">
              <w:rPr>
                <w:noProof/>
                <w:webHidden/>
              </w:rPr>
              <w:instrText xml:space="preserve"> PAGEREF _Toc213078363 \h </w:instrText>
            </w:r>
            <w:r w:rsidR="001620AE">
              <w:rPr>
                <w:noProof/>
                <w:webHidden/>
              </w:rPr>
            </w:r>
            <w:r w:rsidR="001620AE">
              <w:rPr>
                <w:noProof/>
                <w:webHidden/>
              </w:rPr>
              <w:fldChar w:fldCharType="separate"/>
            </w:r>
            <w:r>
              <w:rPr>
                <w:noProof/>
                <w:webHidden/>
              </w:rPr>
              <w:t>64</w:t>
            </w:r>
            <w:r w:rsidR="001620AE">
              <w:rPr>
                <w:noProof/>
                <w:webHidden/>
              </w:rPr>
              <w:fldChar w:fldCharType="end"/>
            </w:r>
          </w:hyperlink>
        </w:p>
        <w:p w14:paraId="126B8800" w14:textId="4C78D253" w:rsidR="001620AE" w:rsidRDefault="00073B6D">
          <w:pPr>
            <w:pStyle w:val="Sommario3"/>
            <w:rPr>
              <w:rFonts w:asciiTheme="minorHAnsi" w:eastAsiaTheme="minorEastAsia" w:hAnsiTheme="minorHAnsi" w:cstheme="minorBidi"/>
              <w:kern w:val="2"/>
              <w:sz w:val="24"/>
              <w:szCs w:val="24"/>
              <w14:ligatures w14:val="standardContextual"/>
            </w:rPr>
          </w:pPr>
          <w:hyperlink w:anchor="_Toc213078364" w:history="1">
            <w:r w:rsidR="001620AE" w:rsidRPr="00C544D4">
              <w:rPr>
                <w:rStyle w:val="Collegamentoipertestuale"/>
              </w:rPr>
              <w:t>4.1.1</w:t>
            </w:r>
            <w:r w:rsidR="001620AE">
              <w:rPr>
                <w:rFonts w:asciiTheme="minorHAnsi" w:eastAsiaTheme="minorEastAsia" w:hAnsiTheme="minorHAnsi" w:cstheme="minorBidi"/>
                <w:kern w:val="2"/>
                <w:sz w:val="24"/>
                <w:szCs w:val="24"/>
                <w14:ligatures w14:val="standardContextual"/>
              </w:rPr>
              <w:tab/>
            </w:r>
            <w:r w:rsidR="001620AE" w:rsidRPr="00C544D4">
              <w:rPr>
                <w:rStyle w:val="Collegamentoipertestuale"/>
              </w:rPr>
              <w:t>Servizi ferroviari</w:t>
            </w:r>
            <w:r w:rsidR="001620AE">
              <w:rPr>
                <w:webHidden/>
              </w:rPr>
              <w:tab/>
            </w:r>
            <w:r w:rsidR="001620AE">
              <w:rPr>
                <w:webHidden/>
              </w:rPr>
              <w:fldChar w:fldCharType="begin"/>
            </w:r>
            <w:r w:rsidR="001620AE">
              <w:rPr>
                <w:webHidden/>
              </w:rPr>
              <w:instrText xml:space="preserve"> PAGEREF _Toc213078364 \h </w:instrText>
            </w:r>
            <w:r w:rsidR="001620AE">
              <w:rPr>
                <w:webHidden/>
              </w:rPr>
            </w:r>
            <w:r w:rsidR="001620AE">
              <w:rPr>
                <w:webHidden/>
              </w:rPr>
              <w:fldChar w:fldCharType="separate"/>
            </w:r>
            <w:r>
              <w:rPr>
                <w:webHidden/>
              </w:rPr>
              <w:t>64</w:t>
            </w:r>
            <w:r w:rsidR="001620AE">
              <w:rPr>
                <w:webHidden/>
              </w:rPr>
              <w:fldChar w:fldCharType="end"/>
            </w:r>
          </w:hyperlink>
        </w:p>
        <w:p w14:paraId="424D121C" w14:textId="2086C44B" w:rsidR="001620AE" w:rsidRDefault="00073B6D">
          <w:pPr>
            <w:pStyle w:val="Sommario3"/>
            <w:rPr>
              <w:rFonts w:asciiTheme="minorHAnsi" w:eastAsiaTheme="minorEastAsia" w:hAnsiTheme="minorHAnsi" w:cstheme="minorBidi"/>
              <w:kern w:val="2"/>
              <w:sz w:val="24"/>
              <w:szCs w:val="24"/>
              <w14:ligatures w14:val="standardContextual"/>
            </w:rPr>
          </w:pPr>
          <w:hyperlink w:anchor="_Toc213078365" w:history="1">
            <w:r w:rsidR="001620AE" w:rsidRPr="00C544D4">
              <w:rPr>
                <w:rStyle w:val="Collegamentoipertestuale"/>
              </w:rPr>
              <w:t>4.1.2</w:t>
            </w:r>
            <w:r w:rsidR="001620AE">
              <w:rPr>
                <w:rFonts w:asciiTheme="minorHAnsi" w:eastAsiaTheme="minorEastAsia" w:hAnsiTheme="minorHAnsi" w:cstheme="minorBidi"/>
                <w:kern w:val="2"/>
                <w:sz w:val="24"/>
                <w:szCs w:val="24"/>
                <w14:ligatures w14:val="standardContextual"/>
              </w:rPr>
              <w:tab/>
            </w:r>
            <w:r w:rsidR="001620AE" w:rsidRPr="00C544D4">
              <w:rPr>
                <w:rStyle w:val="Collegamentoipertestuale"/>
              </w:rPr>
              <w:t>Servizi automobilistici di TPL urbano ed extraurbano del Bacino Metropolitano</w:t>
            </w:r>
            <w:r w:rsidR="001620AE">
              <w:rPr>
                <w:webHidden/>
              </w:rPr>
              <w:tab/>
            </w:r>
            <w:r w:rsidR="001620AE">
              <w:rPr>
                <w:webHidden/>
              </w:rPr>
              <w:fldChar w:fldCharType="begin"/>
            </w:r>
            <w:r w:rsidR="001620AE">
              <w:rPr>
                <w:webHidden/>
              </w:rPr>
              <w:instrText xml:space="preserve"> PAGEREF _Toc213078365 \h </w:instrText>
            </w:r>
            <w:r w:rsidR="001620AE">
              <w:rPr>
                <w:webHidden/>
              </w:rPr>
            </w:r>
            <w:r w:rsidR="001620AE">
              <w:rPr>
                <w:webHidden/>
              </w:rPr>
              <w:fldChar w:fldCharType="separate"/>
            </w:r>
            <w:r>
              <w:rPr>
                <w:webHidden/>
              </w:rPr>
              <w:t>66</w:t>
            </w:r>
            <w:r w:rsidR="001620AE">
              <w:rPr>
                <w:webHidden/>
              </w:rPr>
              <w:fldChar w:fldCharType="end"/>
            </w:r>
          </w:hyperlink>
        </w:p>
        <w:p w14:paraId="21BC9929" w14:textId="45B0D6DC" w:rsidR="001620AE" w:rsidRDefault="00073B6D">
          <w:pPr>
            <w:pStyle w:val="Sommario3"/>
            <w:rPr>
              <w:rFonts w:asciiTheme="minorHAnsi" w:eastAsiaTheme="minorEastAsia" w:hAnsiTheme="minorHAnsi" w:cstheme="minorBidi"/>
              <w:kern w:val="2"/>
              <w:sz w:val="24"/>
              <w:szCs w:val="24"/>
              <w14:ligatures w14:val="standardContextual"/>
            </w:rPr>
          </w:pPr>
          <w:hyperlink w:anchor="_Toc213078366" w:history="1">
            <w:r w:rsidR="001620AE" w:rsidRPr="00C544D4">
              <w:rPr>
                <w:rStyle w:val="Collegamentoipertestuale"/>
              </w:rPr>
              <w:t>4.1.3</w:t>
            </w:r>
            <w:r w:rsidR="001620AE">
              <w:rPr>
                <w:rFonts w:asciiTheme="minorHAnsi" w:eastAsiaTheme="minorEastAsia" w:hAnsiTheme="minorHAnsi" w:cstheme="minorBidi"/>
                <w:kern w:val="2"/>
                <w:sz w:val="24"/>
                <w:szCs w:val="24"/>
                <w14:ligatures w14:val="standardContextual"/>
              </w:rPr>
              <w:tab/>
            </w:r>
            <w:r w:rsidR="001620AE" w:rsidRPr="00C544D4">
              <w:rPr>
                <w:rStyle w:val="Collegamentoipertestuale"/>
              </w:rPr>
              <w:t>Servizi a Chiamata</w:t>
            </w:r>
            <w:r w:rsidR="001620AE">
              <w:rPr>
                <w:webHidden/>
              </w:rPr>
              <w:tab/>
            </w:r>
            <w:r w:rsidR="001620AE">
              <w:rPr>
                <w:webHidden/>
              </w:rPr>
              <w:fldChar w:fldCharType="begin"/>
            </w:r>
            <w:r w:rsidR="001620AE">
              <w:rPr>
                <w:webHidden/>
              </w:rPr>
              <w:instrText xml:space="preserve"> PAGEREF _Toc213078366 \h </w:instrText>
            </w:r>
            <w:r w:rsidR="001620AE">
              <w:rPr>
                <w:webHidden/>
              </w:rPr>
            </w:r>
            <w:r w:rsidR="001620AE">
              <w:rPr>
                <w:webHidden/>
              </w:rPr>
              <w:fldChar w:fldCharType="separate"/>
            </w:r>
            <w:r>
              <w:rPr>
                <w:webHidden/>
              </w:rPr>
              <w:t>73</w:t>
            </w:r>
            <w:r w:rsidR="001620AE">
              <w:rPr>
                <w:webHidden/>
              </w:rPr>
              <w:fldChar w:fldCharType="end"/>
            </w:r>
          </w:hyperlink>
        </w:p>
        <w:p w14:paraId="5B4C7D54" w14:textId="398DE7C9" w:rsidR="001620AE" w:rsidRDefault="00073B6D">
          <w:pPr>
            <w:pStyle w:val="Sommario3"/>
            <w:rPr>
              <w:rFonts w:asciiTheme="minorHAnsi" w:eastAsiaTheme="minorEastAsia" w:hAnsiTheme="minorHAnsi" w:cstheme="minorBidi"/>
              <w:kern w:val="2"/>
              <w:sz w:val="24"/>
              <w:szCs w:val="24"/>
              <w14:ligatures w14:val="standardContextual"/>
            </w:rPr>
          </w:pPr>
          <w:hyperlink w:anchor="_Toc213078367" w:history="1">
            <w:r w:rsidR="001620AE" w:rsidRPr="00C544D4">
              <w:rPr>
                <w:rStyle w:val="Collegamentoipertestuale"/>
              </w:rPr>
              <w:t>4.1.4</w:t>
            </w:r>
            <w:r w:rsidR="001620AE">
              <w:rPr>
                <w:rFonts w:asciiTheme="minorHAnsi" w:eastAsiaTheme="minorEastAsia" w:hAnsiTheme="minorHAnsi" w:cstheme="minorBidi"/>
                <w:kern w:val="2"/>
                <w:sz w:val="24"/>
                <w:szCs w:val="24"/>
                <w14:ligatures w14:val="standardContextual"/>
              </w:rPr>
              <w:tab/>
            </w:r>
            <w:r w:rsidR="001620AE" w:rsidRPr="00C544D4">
              <w:rPr>
                <w:rStyle w:val="Collegamentoipertestuale"/>
              </w:rPr>
              <w:t>Servizi in aree interne</w:t>
            </w:r>
            <w:r w:rsidR="001620AE">
              <w:rPr>
                <w:webHidden/>
              </w:rPr>
              <w:tab/>
            </w:r>
            <w:r w:rsidR="001620AE">
              <w:rPr>
                <w:webHidden/>
              </w:rPr>
              <w:fldChar w:fldCharType="begin"/>
            </w:r>
            <w:r w:rsidR="001620AE">
              <w:rPr>
                <w:webHidden/>
              </w:rPr>
              <w:instrText xml:space="preserve"> PAGEREF _Toc213078367 \h </w:instrText>
            </w:r>
            <w:r w:rsidR="001620AE">
              <w:rPr>
                <w:webHidden/>
              </w:rPr>
            </w:r>
            <w:r w:rsidR="001620AE">
              <w:rPr>
                <w:webHidden/>
              </w:rPr>
              <w:fldChar w:fldCharType="separate"/>
            </w:r>
            <w:r>
              <w:rPr>
                <w:webHidden/>
              </w:rPr>
              <w:t>77</w:t>
            </w:r>
            <w:r w:rsidR="001620AE">
              <w:rPr>
                <w:webHidden/>
              </w:rPr>
              <w:fldChar w:fldCharType="end"/>
            </w:r>
          </w:hyperlink>
        </w:p>
        <w:p w14:paraId="2070EBA4" w14:textId="2739047A" w:rsidR="001620AE" w:rsidRDefault="00073B6D">
          <w:pPr>
            <w:pStyle w:val="Sommario2"/>
            <w:rPr>
              <w:rFonts w:asciiTheme="minorHAnsi" w:eastAsiaTheme="minorEastAsia" w:hAnsiTheme="minorHAnsi" w:cstheme="minorBidi"/>
              <w:noProof/>
              <w:kern w:val="2"/>
              <w:sz w:val="24"/>
              <w:szCs w:val="24"/>
              <w14:ligatures w14:val="standardContextual"/>
            </w:rPr>
          </w:pPr>
          <w:hyperlink w:anchor="_Toc213078368" w:history="1">
            <w:r w:rsidR="001620AE" w:rsidRPr="00C544D4">
              <w:rPr>
                <w:rStyle w:val="Collegamentoipertestuale"/>
                <w:noProof/>
              </w:rPr>
              <w:t>4.2</w:t>
            </w:r>
            <w:r w:rsidR="001620AE">
              <w:rPr>
                <w:rFonts w:asciiTheme="minorHAnsi" w:eastAsiaTheme="minorEastAsia" w:hAnsiTheme="minorHAnsi" w:cstheme="minorBidi"/>
                <w:noProof/>
                <w:kern w:val="2"/>
                <w:sz w:val="24"/>
                <w:szCs w:val="24"/>
                <w14:ligatures w14:val="standardContextual"/>
              </w:rPr>
              <w:tab/>
            </w:r>
            <w:r w:rsidR="001620AE" w:rsidRPr="00C544D4">
              <w:rPr>
                <w:rStyle w:val="Collegamentoipertestuale"/>
                <w:noProof/>
              </w:rPr>
              <w:t>Infrastrutture a servizio del trasporto pubblico locale</w:t>
            </w:r>
            <w:r w:rsidR="001620AE">
              <w:rPr>
                <w:noProof/>
                <w:webHidden/>
              </w:rPr>
              <w:tab/>
            </w:r>
            <w:r w:rsidR="001620AE">
              <w:rPr>
                <w:noProof/>
                <w:webHidden/>
              </w:rPr>
              <w:fldChar w:fldCharType="begin"/>
            </w:r>
            <w:r w:rsidR="001620AE">
              <w:rPr>
                <w:noProof/>
                <w:webHidden/>
              </w:rPr>
              <w:instrText xml:space="preserve"> PAGEREF _Toc213078368 \h </w:instrText>
            </w:r>
            <w:r w:rsidR="001620AE">
              <w:rPr>
                <w:noProof/>
                <w:webHidden/>
              </w:rPr>
            </w:r>
            <w:r w:rsidR="001620AE">
              <w:rPr>
                <w:noProof/>
                <w:webHidden/>
              </w:rPr>
              <w:fldChar w:fldCharType="separate"/>
            </w:r>
            <w:r>
              <w:rPr>
                <w:noProof/>
                <w:webHidden/>
              </w:rPr>
              <w:t>79</w:t>
            </w:r>
            <w:r w:rsidR="001620AE">
              <w:rPr>
                <w:noProof/>
                <w:webHidden/>
              </w:rPr>
              <w:fldChar w:fldCharType="end"/>
            </w:r>
          </w:hyperlink>
        </w:p>
        <w:p w14:paraId="270CAA2D" w14:textId="6F9D28D0" w:rsidR="001620AE" w:rsidRDefault="00073B6D">
          <w:pPr>
            <w:pStyle w:val="Sommario3"/>
            <w:rPr>
              <w:rFonts w:asciiTheme="minorHAnsi" w:eastAsiaTheme="minorEastAsia" w:hAnsiTheme="minorHAnsi" w:cstheme="minorBidi"/>
              <w:kern w:val="2"/>
              <w:sz w:val="24"/>
              <w:szCs w:val="24"/>
              <w14:ligatures w14:val="standardContextual"/>
            </w:rPr>
          </w:pPr>
          <w:hyperlink w:anchor="_Toc213078369" w:history="1">
            <w:r w:rsidR="001620AE" w:rsidRPr="00C544D4">
              <w:rPr>
                <w:rStyle w:val="Collegamentoipertestuale"/>
              </w:rPr>
              <w:t>4.2.1</w:t>
            </w:r>
            <w:r w:rsidR="001620AE">
              <w:rPr>
                <w:rFonts w:asciiTheme="minorHAnsi" w:eastAsiaTheme="minorEastAsia" w:hAnsiTheme="minorHAnsi" w:cstheme="minorBidi"/>
                <w:kern w:val="2"/>
                <w:sz w:val="24"/>
                <w:szCs w:val="24"/>
                <w14:ligatures w14:val="standardContextual"/>
              </w:rPr>
              <w:tab/>
            </w:r>
            <w:r w:rsidR="001620AE" w:rsidRPr="00C544D4">
              <w:rPr>
                <w:rStyle w:val="Collegamentoipertestuale"/>
              </w:rPr>
              <w:t>Nodi d’interscambio</w:t>
            </w:r>
            <w:r w:rsidR="001620AE">
              <w:rPr>
                <w:webHidden/>
              </w:rPr>
              <w:tab/>
            </w:r>
            <w:r w:rsidR="001620AE">
              <w:rPr>
                <w:webHidden/>
              </w:rPr>
              <w:fldChar w:fldCharType="begin"/>
            </w:r>
            <w:r w:rsidR="001620AE">
              <w:rPr>
                <w:webHidden/>
              </w:rPr>
              <w:instrText xml:space="preserve"> PAGEREF _Toc213078369 \h </w:instrText>
            </w:r>
            <w:r w:rsidR="001620AE">
              <w:rPr>
                <w:webHidden/>
              </w:rPr>
            </w:r>
            <w:r w:rsidR="001620AE">
              <w:rPr>
                <w:webHidden/>
              </w:rPr>
              <w:fldChar w:fldCharType="separate"/>
            </w:r>
            <w:r>
              <w:rPr>
                <w:webHidden/>
              </w:rPr>
              <w:t>79</w:t>
            </w:r>
            <w:r w:rsidR="001620AE">
              <w:rPr>
                <w:webHidden/>
              </w:rPr>
              <w:fldChar w:fldCharType="end"/>
            </w:r>
          </w:hyperlink>
        </w:p>
        <w:p w14:paraId="2BE951A5" w14:textId="05FDA090" w:rsidR="001620AE" w:rsidRDefault="00073B6D">
          <w:pPr>
            <w:pStyle w:val="Sommario2"/>
            <w:rPr>
              <w:rFonts w:asciiTheme="minorHAnsi" w:eastAsiaTheme="minorEastAsia" w:hAnsiTheme="minorHAnsi" w:cstheme="minorBidi"/>
              <w:noProof/>
              <w:kern w:val="2"/>
              <w:sz w:val="24"/>
              <w:szCs w:val="24"/>
              <w14:ligatures w14:val="standardContextual"/>
            </w:rPr>
          </w:pPr>
          <w:hyperlink w:anchor="_Toc213078370" w:history="1">
            <w:r w:rsidR="001620AE" w:rsidRPr="00C544D4">
              <w:rPr>
                <w:rStyle w:val="Collegamentoipertestuale"/>
                <w:noProof/>
              </w:rPr>
              <w:t>4.3</w:t>
            </w:r>
            <w:r w:rsidR="001620AE">
              <w:rPr>
                <w:rFonts w:asciiTheme="minorHAnsi" w:eastAsiaTheme="minorEastAsia" w:hAnsiTheme="minorHAnsi" w:cstheme="minorBidi"/>
                <w:noProof/>
                <w:kern w:val="2"/>
                <w:sz w:val="24"/>
                <w:szCs w:val="24"/>
                <w14:ligatures w14:val="standardContextual"/>
              </w:rPr>
              <w:tab/>
            </w:r>
            <w:r w:rsidR="001620AE" w:rsidRPr="00C544D4">
              <w:rPr>
                <w:rStyle w:val="Collegamentoipertestuale"/>
                <w:noProof/>
              </w:rPr>
              <w:t>Offerta di trasporto - Sviluppi</w:t>
            </w:r>
            <w:r w:rsidR="001620AE">
              <w:rPr>
                <w:noProof/>
                <w:webHidden/>
              </w:rPr>
              <w:tab/>
            </w:r>
            <w:r w:rsidR="001620AE">
              <w:rPr>
                <w:noProof/>
                <w:webHidden/>
              </w:rPr>
              <w:fldChar w:fldCharType="begin"/>
            </w:r>
            <w:r w:rsidR="001620AE">
              <w:rPr>
                <w:noProof/>
                <w:webHidden/>
              </w:rPr>
              <w:instrText xml:space="preserve"> PAGEREF _Toc213078370 \h </w:instrText>
            </w:r>
            <w:r w:rsidR="001620AE">
              <w:rPr>
                <w:noProof/>
                <w:webHidden/>
              </w:rPr>
            </w:r>
            <w:r w:rsidR="001620AE">
              <w:rPr>
                <w:noProof/>
                <w:webHidden/>
              </w:rPr>
              <w:fldChar w:fldCharType="separate"/>
            </w:r>
            <w:r>
              <w:rPr>
                <w:noProof/>
                <w:webHidden/>
              </w:rPr>
              <w:t>82</w:t>
            </w:r>
            <w:r w:rsidR="001620AE">
              <w:rPr>
                <w:noProof/>
                <w:webHidden/>
              </w:rPr>
              <w:fldChar w:fldCharType="end"/>
            </w:r>
          </w:hyperlink>
        </w:p>
        <w:p w14:paraId="30EE03DB" w14:textId="5FDBC885" w:rsidR="001620AE" w:rsidRDefault="00073B6D">
          <w:pPr>
            <w:pStyle w:val="Sommario2"/>
            <w:rPr>
              <w:rFonts w:asciiTheme="minorHAnsi" w:eastAsiaTheme="minorEastAsia" w:hAnsiTheme="minorHAnsi" w:cstheme="minorBidi"/>
              <w:noProof/>
              <w:kern w:val="2"/>
              <w:sz w:val="24"/>
              <w:szCs w:val="24"/>
              <w14:ligatures w14:val="standardContextual"/>
            </w:rPr>
          </w:pPr>
          <w:hyperlink w:anchor="_Toc213078371" w:history="1">
            <w:r w:rsidR="001620AE" w:rsidRPr="00C544D4">
              <w:rPr>
                <w:rStyle w:val="Collegamentoipertestuale"/>
                <w:noProof/>
              </w:rPr>
              <w:t>4.4</w:t>
            </w:r>
            <w:r w:rsidR="001620AE">
              <w:rPr>
                <w:rFonts w:asciiTheme="minorHAnsi" w:eastAsiaTheme="minorEastAsia" w:hAnsiTheme="minorHAnsi" w:cstheme="minorBidi"/>
                <w:noProof/>
                <w:kern w:val="2"/>
                <w:sz w:val="24"/>
                <w:szCs w:val="24"/>
                <w14:ligatures w14:val="standardContextual"/>
              </w:rPr>
              <w:tab/>
            </w:r>
            <w:r w:rsidR="001620AE" w:rsidRPr="00C544D4">
              <w:rPr>
                <w:rStyle w:val="Collegamentoipertestuale"/>
                <w:noProof/>
              </w:rPr>
              <w:t>Interazione domanda offerta</w:t>
            </w:r>
            <w:r w:rsidR="001620AE">
              <w:rPr>
                <w:noProof/>
                <w:webHidden/>
              </w:rPr>
              <w:tab/>
            </w:r>
            <w:r w:rsidR="001620AE">
              <w:rPr>
                <w:noProof/>
                <w:webHidden/>
              </w:rPr>
              <w:fldChar w:fldCharType="begin"/>
            </w:r>
            <w:r w:rsidR="001620AE">
              <w:rPr>
                <w:noProof/>
                <w:webHidden/>
              </w:rPr>
              <w:instrText xml:space="preserve"> PAGEREF _Toc213078371 \h </w:instrText>
            </w:r>
            <w:r w:rsidR="001620AE">
              <w:rPr>
                <w:noProof/>
                <w:webHidden/>
              </w:rPr>
            </w:r>
            <w:r w:rsidR="001620AE">
              <w:rPr>
                <w:noProof/>
                <w:webHidden/>
              </w:rPr>
              <w:fldChar w:fldCharType="separate"/>
            </w:r>
            <w:r>
              <w:rPr>
                <w:noProof/>
                <w:webHidden/>
              </w:rPr>
              <w:t>84</w:t>
            </w:r>
            <w:r w:rsidR="001620AE">
              <w:rPr>
                <w:noProof/>
                <w:webHidden/>
              </w:rPr>
              <w:fldChar w:fldCharType="end"/>
            </w:r>
          </w:hyperlink>
        </w:p>
        <w:p w14:paraId="3616A507" w14:textId="13F46869" w:rsidR="001620AE" w:rsidRDefault="00073B6D">
          <w:pPr>
            <w:pStyle w:val="Sommario1"/>
            <w:rPr>
              <w:rFonts w:asciiTheme="minorHAnsi" w:eastAsiaTheme="minorEastAsia" w:hAnsiTheme="minorHAnsi" w:cstheme="minorBidi"/>
              <w:noProof/>
              <w:kern w:val="2"/>
              <w:sz w:val="24"/>
              <w:szCs w:val="24"/>
              <w14:ligatures w14:val="standardContextual"/>
            </w:rPr>
          </w:pPr>
          <w:hyperlink w:anchor="_Toc213078372" w:history="1">
            <w:r w:rsidR="001620AE" w:rsidRPr="00C544D4">
              <w:rPr>
                <w:rStyle w:val="Collegamentoipertestuale"/>
                <w:noProof/>
              </w:rPr>
              <w:t>5</w:t>
            </w:r>
            <w:r w:rsidR="001620AE">
              <w:rPr>
                <w:rFonts w:asciiTheme="minorHAnsi" w:eastAsiaTheme="minorEastAsia" w:hAnsiTheme="minorHAnsi" w:cstheme="minorBidi"/>
                <w:noProof/>
                <w:kern w:val="2"/>
                <w:sz w:val="24"/>
                <w:szCs w:val="24"/>
                <w14:ligatures w14:val="standardContextual"/>
              </w:rPr>
              <w:tab/>
            </w:r>
            <w:r w:rsidR="001620AE" w:rsidRPr="00C544D4">
              <w:rPr>
                <w:rStyle w:val="Collegamentoipertestuale"/>
                <w:noProof/>
              </w:rPr>
              <w:t>Determinazione degli OSP e criteri di copertura finanziaria</w:t>
            </w:r>
            <w:r w:rsidR="001620AE">
              <w:rPr>
                <w:noProof/>
                <w:webHidden/>
              </w:rPr>
              <w:tab/>
            </w:r>
            <w:r w:rsidR="001620AE">
              <w:rPr>
                <w:noProof/>
                <w:webHidden/>
              </w:rPr>
              <w:fldChar w:fldCharType="begin"/>
            </w:r>
            <w:r w:rsidR="001620AE">
              <w:rPr>
                <w:noProof/>
                <w:webHidden/>
              </w:rPr>
              <w:instrText xml:space="preserve"> PAGEREF _Toc213078372 \h </w:instrText>
            </w:r>
            <w:r w:rsidR="001620AE">
              <w:rPr>
                <w:noProof/>
                <w:webHidden/>
              </w:rPr>
            </w:r>
            <w:r w:rsidR="001620AE">
              <w:rPr>
                <w:noProof/>
                <w:webHidden/>
              </w:rPr>
              <w:fldChar w:fldCharType="separate"/>
            </w:r>
            <w:r>
              <w:rPr>
                <w:noProof/>
                <w:webHidden/>
              </w:rPr>
              <w:t>87</w:t>
            </w:r>
            <w:r w:rsidR="001620AE">
              <w:rPr>
                <w:noProof/>
                <w:webHidden/>
              </w:rPr>
              <w:fldChar w:fldCharType="end"/>
            </w:r>
          </w:hyperlink>
        </w:p>
        <w:p w14:paraId="1DC5C76D" w14:textId="61E851B0" w:rsidR="001620AE" w:rsidRDefault="00073B6D">
          <w:pPr>
            <w:pStyle w:val="Sommario2"/>
            <w:rPr>
              <w:rFonts w:asciiTheme="minorHAnsi" w:eastAsiaTheme="minorEastAsia" w:hAnsiTheme="minorHAnsi" w:cstheme="minorBidi"/>
              <w:noProof/>
              <w:kern w:val="2"/>
              <w:sz w:val="24"/>
              <w:szCs w:val="24"/>
              <w14:ligatures w14:val="standardContextual"/>
            </w:rPr>
          </w:pPr>
          <w:hyperlink w:anchor="_Toc213078373" w:history="1">
            <w:r w:rsidR="001620AE" w:rsidRPr="00C544D4">
              <w:rPr>
                <w:rStyle w:val="Collegamentoipertestuale"/>
                <w:noProof/>
              </w:rPr>
              <w:t>5.1</w:t>
            </w:r>
            <w:r w:rsidR="001620AE">
              <w:rPr>
                <w:rFonts w:asciiTheme="minorHAnsi" w:eastAsiaTheme="minorEastAsia" w:hAnsiTheme="minorHAnsi" w:cstheme="minorBidi"/>
                <w:noProof/>
                <w:kern w:val="2"/>
                <w:sz w:val="24"/>
                <w:szCs w:val="24"/>
                <w14:ligatures w14:val="standardContextual"/>
              </w:rPr>
              <w:tab/>
            </w:r>
            <w:r w:rsidR="001620AE" w:rsidRPr="00C544D4">
              <w:rPr>
                <w:rStyle w:val="Collegamentoipertestuale"/>
                <w:noProof/>
              </w:rPr>
              <w:t>Obblighi di Servizio Pubblico</w:t>
            </w:r>
            <w:r w:rsidR="001620AE">
              <w:rPr>
                <w:noProof/>
                <w:webHidden/>
              </w:rPr>
              <w:tab/>
            </w:r>
            <w:r w:rsidR="001620AE">
              <w:rPr>
                <w:noProof/>
                <w:webHidden/>
              </w:rPr>
              <w:fldChar w:fldCharType="begin"/>
            </w:r>
            <w:r w:rsidR="001620AE">
              <w:rPr>
                <w:noProof/>
                <w:webHidden/>
              </w:rPr>
              <w:instrText xml:space="preserve"> PAGEREF _Toc213078373 \h </w:instrText>
            </w:r>
            <w:r w:rsidR="001620AE">
              <w:rPr>
                <w:noProof/>
                <w:webHidden/>
              </w:rPr>
            </w:r>
            <w:r w:rsidR="001620AE">
              <w:rPr>
                <w:noProof/>
                <w:webHidden/>
              </w:rPr>
              <w:fldChar w:fldCharType="separate"/>
            </w:r>
            <w:r>
              <w:rPr>
                <w:noProof/>
                <w:webHidden/>
              </w:rPr>
              <w:t>87</w:t>
            </w:r>
            <w:r w:rsidR="001620AE">
              <w:rPr>
                <w:noProof/>
                <w:webHidden/>
              </w:rPr>
              <w:fldChar w:fldCharType="end"/>
            </w:r>
          </w:hyperlink>
        </w:p>
        <w:p w14:paraId="478057D2" w14:textId="215940D3" w:rsidR="001620AE" w:rsidRDefault="00073B6D">
          <w:pPr>
            <w:pStyle w:val="Sommario2"/>
            <w:rPr>
              <w:rFonts w:asciiTheme="minorHAnsi" w:eastAsiaTheme="minorEastAsia" w:hAnsiTheme="minorHAnsi" w:cstheme="minorBidi"/>
              <w:noProof/>
              <w:kern w:val="2"/>
              <w:sz w:val="24"/>
              <w:szCs w:val="24"/>
              <w14:ligatures w14:val="standardContextual"/>
            </w:rPr>
          </w:pPr>
          <w:hyperlink w:anchor="_Toc213078374" w:history="1">
            <w:r w:rsidR="001620AE" w:rsidRPr="00C544D4">
              <w:rPr>
                <w:rStyle w:val="Collegamentoipertestuale"/>
                <w:noProof/>
              </w:rPr>
              <w:t>5.2</w:t>
            </w:r>
            <w:r w:rsidR="001620AE">
              <w:rPr>
                <w:rFonts w:asciiTheme="minorHAnsi" w:eastAsiaTheme="minorEastAsia" w:hAnsiTheme="minorHAnsi" w:cstheme="minorBidi"/>
                <w:noProof/>
                <w:kern w:val="2"/>
                <w:sz w:val="24"/>
                <w:szCs w:val="24"/>
                <w14:ligatures w14:val="standardContextual"/>
              </w:rPr>
              <w:tab/>
            </w:r>
            <w:r w:rsidR="001620AE" w:rsidRPr="00C544D4">
              <w:rPr>
                <w:rStyle w:val="Collegamentoipertestuale"/>
                <w:noProof/>
              </w:rPr>
              <w:t>Possibili soluzioni di finanziamento</w:t>
            </w:r>
            <w:r w:rsidR="001620AE">
              <w:rPr>
                <w:noProof/>
                <w:webHidden/>
              </w:rPr>
              <w:tab/>
            </w:r>
            <w:r w:rsidR="001620AE">
              <w:rPr>
                <w:noProof/>
                <w:webHidden/>
              </w:rPr>
              <w:fldChar w:fldCharType="begin"/>
            </w:r>
            <w:r w:rsidR="001620AE">
              <w:rPr>
                <w:noProof/>
                <w:webHidden/>
              </w:rPr>
              <w:instrText xml:space="preserve"> PAGEREF _Toc213078374 \h </w:instrText>
            </w:r>
            <w:r w:rsidR="001620AE">
              <w:rPr>
                <w:noProof/>
                <w:webHidden/>
              </w:rPr>
            </w:r>
            <w:r w:rsidR="001620AE">
              <w:rPr>
                <w:noProof/>
                <w:webHidden/>
              </w:rPr>
              <w:fldChar w:fldCharType="separate"/>
            </w:r>
            <w:r>
              <w:rPr>
                <w:noProof/>
                <w:webHidden/>
              </w:rPr>
              <w:t>88</w:t>
            </w:r>
            <w:r w:rsidR="001620AE">
              <w:rPr>
                <w:noProof/>
                <w:webHidden/>
              </w:rPr>
              <w:fldChar w:fldCharType="end"/>
            </w:r>
          </w:hyperlink>
        </w:p>
        <w:p w14:paraId="21B5E81C" w14:textId="62A20289" w:rsidR="001620AE" w:rsidRDefault="00073B6D">
          <w:pPr>
            <w:pStyle w:val="Sommario3"/>
            <w:rPr>
              <w:rFonts w:asciiTheme="minorHAnsi" w:eastAsiaTheme="minorEastAsia" w:hAnsiTheme="minorHAnsi" w:cstheme="minorBidi"/>
              <w:kern w:val="2"/>
              <w:sz w:val="24"/>
              <w:szCs w:val="24"/>
              <w14:ligatures w14:val="standardContextual"/>
            </w:rPr>
          </w:pPr>
          <w:hyperlink w:anchor="_Toc213078375" w:history="1">
            <w:r w:rsidR="001620AE" w:rsidRPr="00C544D4">
              <w:rPr>
                <w:rStyle w:val="Collegamentoipertestuale"/>
              </w:rPr>
              <w:t>5.2.1</w:t>
            </w:r>
            <w:r w:rsidR="001620AE">
              <w:rPr>
                <w:rFonts w:asciiTheme="minorHAnsi" w:eastAsiaTheme="minorEastAsia" w:hAnsiTheme="minorHAnsi" w:cstheme="minorBidi"/>
                <w:kern w:val="2"/>
                <w:sz w:val="24"/>
                <w:szCs w:val="24"/>
                <w14:ligatures w14:val="standardContextual"/>
              </w:rPr>
              <w:tab/>
            </w:r>
            <w:r w:rsidR="001620AE" w:rsidRPr="00C544D4">
              <w:rPr>
                <w:rStyle w:val="Collegamentoipertestuale"/>
              </w:rPr>
              <w:t>Quadro europeo</w:t>
            </w:r>
            <w:r w:rsidR="001620AE">
              <w:rPr>
                <w:webHidden/>
              </w:rPr>
              <w:tab/>
            </w:r>
            <w:r w:rsidR="001620AE">
              <w:rPr>
                <w:webHidden/>
              </w:rPr>
              <w:fldChar w:fldCharType="begin"/>
            </w:r>
            <w:r w:rsidR="001620AE">
              <w:rPr>
                <w:webHidden/>
              </w:rPr>
              <w:instrText xml:space="preserve"> PAGEREF _Toc213078375 \h </w:instrText>
            </w:r>
            <w:r w:rsidR="001620AE">
              <w:rPr>
                <w:webHidden/>
              </w:rPr>
            </w:r>
            <w:r w:rsidR="001620AE">
              <w:rPr>
                <w:webHidden/>
              </w:rPr>
              <w:fldChar w:fldCharType="separate"/>
            </w:r>
            <w:r>
              <w:rPr>
                <w:webHidden/>
              </w:rPr>
              <w:t>89</w:t>
            </w:r>
            <w:r w:rsidR="001620AE">
              <w:rPr>
                <w:webHidden/>
              </w:rPr>
              <w:fldChar w:fldCharType="end"/>
            </w:r>
          </w:hyperlink>
        </w:p>
        <w:p w14:paraId="5A964553" w14:textId="79A7CFAE" w:rsidR="001620AE" w:rsidRDefault="00073B6D">
          <w:pPr>
            <w:pStyle w:val="Sommario3"/>
            <w:rPr>
              <w:rFonts w:asciiTheme="minorHAnsi" w:eastAsiaTheme="minorEastAsia" w:hAnsiTheme="minorHAnsi" w:cstheme="minorBidi"/>
              <w:kern w:val="2"/>
              <w:sz w:val="24"/>
              <w:szCs w:val="24"/>
              <w14:ligatures w14:val="standardContextual"/>
            </w:rPr>
          </w:pPr>
          <w:hyperlink w:anchor="_Toc213078376" w:history="1">
            <w:r w:rsidR="001620AE" w:rsidRPr="00C544D4">
              <w:rPr>
                <w:rStyle w:val="Collegamentoipertestuale"/>
              </w:rPr>
              <w:t>5.2.2</w:t>
            </w:r>
            <w:r w:rsidR="001620AE">
              <w:rPr>
                <w:rFonts w:asciiTheme="minorHAnsi" w:eastAsiaTheme="minorEastAsia" w:hAnsiTheme="minorHAnsi" w:cstheme="minorBidi"/>
                <w:kern w:val="2"/>
                <w:sz w:val="24"/>
                <w:szCs w:val="24"/>
                <w14:ligatures w14:val="standardContextual"/>
              </w:rPr>
              <w:tab/>
            </w:r>
            <w:r w:rsidR="001620AE" w:rsidRPr="00C544D4">
              <w:rPr>
                <w:rStyle w:val="Collegamentoipertestuale"/>
              </w:rPr>
              <w:t>La digitalizzazione e la monetizzazione dei dati</w:t>
            </w:r>
            <w:r w:rsidR="001620AE">
              <w:rPr>
                <w:webHidden/>
              </w:rPr>
              <w:tab/>
            </w:r>
            <w:r w:rsidR="001620AE">
              <w:rPr>
                <w:webHidden/>
              </w:rPr>
              <w:fldChar w:fldCharType="begin"/>
            </w:r>
            <w:r w:rsidR="001620AE">
              <w:rPr>
                <w:webHidden/>
              </w:rPr>
              <w:instrText xml:space="preserve"> PAGEREF _Toc213078376 \h </w:instrText>
            </w:r>
            <w:r w:rsidR="001620AE">
              <w:rPr>
                <w:webHidden/>
              </w:rPr>
            </w:r>
            <w:r w:rsidR="001620AE">
              <w:rPr>
                <w:webHidden/>
              </w:rPr>
              <w:fldChar w:fldCharType="separate"/>
            </w:r>
            <w:r>
              <w:rPr>
                <w:webHidden/>
              </w:rPr>
              <w:t>90</w:t>
            </w:r>
            <w:r w:rsidR="001620AE">
              <w:rPr>
                <w:webHidden/>
              </w:rPr>
              <w:fldChar w:fldCharType="end"/>
            </w:r>
          </w:hyperlink>
        </w:p>
        <w:p w14:paraId="51EE621C" w14:textId="1D39B354" w:rsidR="001620AE" w:rsidRDefault="00073B6D">
          <w:pPr>
            <w:pStyle w:val="Sommario3"/>
            <w:rPr>
              <w:rFonts w:asciiTheme="minorHAnsi" w:eastAsiaTheme="minorEastAsia" w:hAnsiTheme="minorHAnsi" w:cstheme="minorBidi"/>
              <w:kern w:val="2"/>
              <w:sz w:val="24"/>
              <w:szCs w:val="24"/>
              <w14:ligatures w14:val="standardContextual"/>
            </w:rPr>
          </w:pPr>
          <w:hyperlink w:anchor="_Toc213078377" w:history="1">
            <w:r w:rsidR="001620AE" w:rsidRPr="00C544D4">
              <w:rPr>
                <w:rStyle w:val="Collegamentoipertestuale"/>
              </w:rPr>
              <w:t>5.2.3</w:t>
            </w:r>
            <w:r w:rsidR="001620AE">
              <w:rPr>
                <w:rFonts w:asciiTheme="minorHAnsi" w:eastAsiaTheme="minorEastAsia" w:hAnsiTheme="minorHAnsi" w:cstheme="minorBidi"/>
                <w:kern w:val="2"/>
                <w:sz w:val="24"/>
                <w:szCs w:val="24"/>
                <w14:ligatures w14:val="standardContextual"/>
              </w:rPr>
              <w:tab/>
            </w:r>
            <w:r w:rsidR="001620AE" w:rsidRPr="00C544D4">
              <w:rPr>
                <w:rStyle w:val="Collegamentoipertestuale"/>
              </w:rPr>
              <w:t>Sintesi</w:t>
            </w:r>
            <w:r w:rsidR="001620AE">
              <w:rPr>
                <w:webHidden/>
              </w:rPr>
              <w:tab/>
            </w:r>
            <w:r w:rsidR="001620AE">
              <w:rPr>
                <w:webHidden/>
              </w:rPr>
              <w:fldChar w:fldCharType="begin"/>
            </w:r>
            <w:r w:rsidR="001620AE">
              <w:rPr>
                <w:webHidden/>
              </w:rPr>
              <w:instrText xml:space="preserve"> PAGEREF _Toc213078377 \h </w:instrText>
            </w:r>
            <w:r w:rsidR="001620AE">
              <w:rPr>
                <w:webHidden/>
              </w:rPr>
            </w:r>
            <w:r w:rsidR="001620AE">
              <w:rPr>
                <w:webHidden/>
              </w:rPr>
              <w:fldChar w:fldCharType="separate"/>
            </w:r>
            <w:r>
              <w:rPr>
                <w:webHidden/>
              </w:rPr>
              <w:t>93</w:t>
            </w:r>
            <w:r w:rsidR="001620AE">
              <w:rPr>
                <w:webHidden/>
              </w:rPr>
              <w:fldChar w:fldCharType="end"/>
            </w:r>
          </w:hyperlink>
        </w:p>
        <w:p w14:paraId="4136A7A9" w14:textId="4EAF7ACC" w:rsidR="001620AE" w:rsidRDefault="00073B6D">
          <w:pPr>
            <w:pStyle w:val="Sommario2"/>
            <w:rPr>
              <w:rFonts w:asciiTheme="minorHAnsi" w:eastAsiaTheme="minorEastAsia" w:hAnsiTheme="minorHAnsi" w:cstheme="minorBidi"/>
              <w:noProof/>
              <w:kern w:val="2"/>
              <w:sz w:val="24"/>
              <w:szCs w:val="24"/>
              <w14:ligatures w14:val="standardContextual"/>
            </w:rPr>
          </w:pPr>
          <w:hyperlink w:anchor="_Toc213078378" w:history="1">
            <w:r w:rsidR="001620AE" w:rsidRPr="00C544D4">
              <w:rPr>
                <w:rStyle w:val="Collegamentoipertestuale"/>
                <w:noProof/>
              </w:rPr>
              <w:t>5.3</w:t>
            </w:r>
            <w:r w:rsidR="001620AE">
              <w:rPr>
                <w:rFonts w:asciiTheme="minorHAnsi" w:eastAsiaTheme="minorEastAsia" w:hAnsiTheme="minorHAnsi" w:cstheme="minorBidi"/>
                <w:noProof/>
                <w:kern w:val="2"/>
                <w:sz w:val="24"/>
                <w:szCs w:val="24"/>
                <w14:ligatures w14:val="standardContextual"/>
              </w:rPr>
              <w:tab/>
            </w:r>
            <w:r w:rsidR="001620AE" w:rsidRPr="00C544D4">
              <w:rPr>
                <w:rStyle w:val="Collegamentoipertestuale"/>
                <w:noProof/>
              </w:rPr>
              <w:t>Esiti consultazione in materia di finanziamento</w:t>
            </w:r>
            <w:r w:rsidR="001620AE">
              <w:rPr>
                <w:noProof/>
                <w:webHidden/>
              </w:rPr>
              <w:tab/>
            </w:r>
            <w:r w:rsidR="001620AE">
              <w:rPr>
                <w:noProof/>
                <w:webHidden/>
              </w:rPr>
              <w:fldChar w:fldCharType="begin"/>
            </w:r>
            <w:r w:rsidR="001620AE">
              <w:rPr>
                <w:noProof/>
                <w:webHidden/>
              </w:rPr>
              <w:instrText xml:space="preserve"> PAGEREF _Toc213078378 \h </w:instrText>
            </w:r>
            <w:r w:rsidR="001620AE">
              <w:rPr>
                <w:noProof/>
                <w:webHidden/>
              </w:rPr>
            </w:r>
            <w:r w:rsidR="001620AE">
              <w:rPr>
                <w:noProof/>
                <w:webHidden/>
              </w:rPr>
              <w:fldChar w:fldCharType="separate"/>
            </w:r>
            <w:r>
              <w:rPr>
                <w:noProof/>
                <w:webHidden/>
              </w:rPr>
              <w:t>93</w:t>
            </w:r>
            <w:r w:rsidR="001620AE">
              <w:rPr>
                <w:noProof/>
                <w:webHidden/>
              </w:rPr>
              <w:fldChar w:fldCharType="end"/>
            </w:r>
          </w:hyperlink>
        </w:p>
        <w:p w14:paraId="68CACFEA" w14:textId="455054DB" w:rsidR="001620AE" w:rsidRDefault="00073B6D">
          <w:pPr>
            <w:pStyle w:val="Sommario2"/>
            <w:rPr>
              <w:rFonts w:asciiTheme="minorHAnsi" w:eastAsiaTheme="minorEastAsia" w:hAnsiTheme="minorHAnsi" w:cstheme="minorBidi"/>
              <w:noProof/>
              <w:kern w:val="2"/>
              <w:sz w:val="24"/>
              <w:szCs w:val="24"/>
              <w14:ligatures w14:val="standardContextual"/>
            </w:rPr>
          </w:pPr>
          <w:hyperlink w:anchor="_Toc213078379" w:history="1">
            <w:r w:rsidR="001620AE" w:rsidRPr="00C544D4">
              <w:rPr>
                <w:rStyle w:val="Collegamentoipertestuale"/>
                <w:noProof/>
              </w:rPr>
              <w:t>5.4</w:t>
            </w:r>
            <w:r w:rsidR="001620AE">
              <w:rPr>
                <w:rFonts w:asciiTheme="minorHAnsi" w:eastAsiaTheme="minorEastAsia" w:hAnsiTheme="minorHAnsi" w:cstheme="minorBidi"/>
                <w:noProof/>
                <w:kern w:val="2"/>
                <w:sz w:val="24"/>
                <w:szCs w:val="24"/>
                <w14:ligatures w14:val="standardContextual"/>
              </w:rPr>
              <w:tab/>
            </w:r>
            <w:r w:rsidR="001620AE" w:rsidRPr="00C544D4">
              <w:rPr>
                <w:rStyle w:val="Collegamentoipertestuale"/>
                <w:noProof/>
              </w:rPr>
              <w:t>Quadro delle risorse attuali e previsionali per le procedure di affidamento</w:t>
            </w:r>
            <w:r w:rsidR="001620AE">
              <w:rPr>
                <w:noProof/>
                <w:webHidden/>
              </w:rPr>
              <w:tab/>
            </w:r>
            <w:r w:rsidR="001620AE">
              <w:rPr>
                <w:noProof/>
                <w:webHidden/>
              </w:rPr>
              <w:fldChar w:fldCharType="begin"/>
            </w:r>
            <w:r w:rsidR="001620AE">
              <w:rPr>
                <w:noProof/>
                <w:webHidden/>
              </w:rPr>
              <w:instrText xml:space="preserve"> PAGEREF _Toc213078379 \h </w:instrText>
            </w:r>
            <w:r w:rsidR="001620AE">
              <w:rPr>
                <w:noProof/>
                <w:webHidden/>
              </w:rPr>
            </w:r>
            <w:r w:rsidR="001620AE">
              <w:rPr>
                <w:noProof/>
                <w:webHidden/>
              </w:rPr>
              <w:fldChar w:fldCharType="separate"/>
            </w:r>
            <w:r>
              <w:rPr>
                <w:noProof/>
                <w:webHidden/>
              </w:rPr>
              <w:t>94</w:t>
            </w:r>
            <w:r w:rsidR="001620AE">
              <w:rPr>
                <w:noProof/>
                <w:webHidden/>
              </w:rPr>
              <w:fldChar w:fldCharType="end"/>
            </w:r>
          </w:hyperlink>
        </w:p>
        <w:p w14:paraId="479735D3" w14:textId="29534068" w:rsidR="001620AE" w:rsidRDefault="00073B6D">
          <w:pPr>
            <w:pStyle w:val="Sommario3"/>
            <w:rPr>
              <w:rFonts w:asciiTheme="minorHAnsi" w:eastAsiaTheme="minorEastAsia" w:hAnsiTheme="minorHAnsi" w:cstheme="minorBidi"/>
              <w:kern w:val="2"/>
              <w:sz w:val="24"/>
              <w:szCs w:val="24"/>
              <w14:ligatures w14:val="standardContextual"/>
            </w:rPr>
          </w:pPr>
          <w:hyperlink w:anchor="_Toc213078380" w:history="1">
            <w:r w:rsidR="001620AE" w:rsidRPr="00C544D4">
              <w:rPr>
                <w:rStyle w:val="Collegamentoipertestuale"/>
              </w:rPr>
              <w:t>5.4.1</w:t>
            </w:r>
            <w:r w:rsidR="001620AE">
              <w:rPr>
                <w:rFonts w:asciiTheme="minorHAnsi" w:eastAsiaTheme="minorEastAsia" w:hAnsiTheme="minorHAnsi" w:cstheme="minorBidi"/>
                <w:kern w:val="2"/>
                <w:sz w:val="24"/>
                <w:szCs w:val="24"/>
                <w14:ligatures w14:val="standardContextual"/>
              </w:rPr>
              <w:tab/>
            </w:r>
            <w:r w:rsidR="001620AE" w:rsidRPr="00C544D4">
              <w:rPr>
                <w:rStyle w:val="Collegamentoipertestuale"/>
              </w:rPr>
              <w:t>Le risorse assegnate all’Agenzia della mobilità</w:t>
            </w:r>
            <w:r w:rsidR="001620AE">
              <w:rPr>
                <w:webHidden/>
              </w:rPr>
              <w:tab/>
            </w:r>
            <w:r w:rsidR="001620AE">
              <w:rPr>
                <w:webHidden/>
              </w:rPr>
              <w:fldChar w:fldCharType="begin"/>
            </w:r>
            <w:r w:rsidR="001620AE">
              <w:rPr>
                <w:webHidden/>
              </w:rPr>
              <w:instrText xml:space="preserve"> PAGEREF _Toc213078380 \h </w:instrText>
            </w:r>
            <w:r w:rsidR="001620AE">
              <w:rPr>
                <w:webHidden/>
              </w:rPr>
            </w:r>
            <w:r w:rsidR="001620AE">
              <w:rPr>
                <w:webHidden/>
              </w:rPr>
              <w:fldChar w:fldCharType="separate"/>
            </w:r>
            <w:r>
              <w:rPr>
                <w:webHidden/>
              </w:rPr>
              <w:t>94</w:t>
            </w:r>
            <w:r w:rsidR="001620AE">
              <w:rPr>
                <w:webHidden/>
              </w:rPr>
              <w:fldChar w:fldCharType="end"/>
            </w:r>
          </w:hyperlink>
        </w:p>
        <w:p w14:paraId="0EF8B61F" w14:textId="55201D7A" w:rsidR="001620AE" w:rsidRDefault="00073B6D">
          <w:pPr>
            <w:pStyle w:val="Sommario3"/>
            <w:rPr>
              <w:rFonts w:asciiTheme="minorHAnsi" w:eastAsiaTheme="minorEastAsia" w:hAnsiTheme="minorHAnsi" w:cstheme="minorBidi"/>
              <w:kern w:val="2"/>
              <w:sz w:val="24"/>
              <w:szCs w:val="24"/>
              <w14:ligatures w14:val="standardContextual"/>
            </w:rPr>
          </w:pPr>
          <w:hyperlink w:anchor="_Toc213078381" w:history="1">
            <w:r w:rsidR="001620AE" w:rsidRPr="00C544D4">
              <w:rPr>
                <w:rStyle w:val="Collegamentoipertestuale"/>
              </w:rPr>
              <w:t>5.4.2</w:t>
            </w:r>
            <w:r w:rsidR="001620AE">
              <w:rPr>
                <w:rFonts w:asciiTheme="minorHAnsi" w:eastAsiaTheme="minorEastAsia" w:hAnsiTheme="minorHAnsi" w:cstheme="minorBidi"/>
                <w:kern w:val="2"/>
                <w:sz w:val="24"/>
                <w:szCs w:val="24"/>
                <w14:ligatures w14:val="standardContextual"/>
              </w:rPr>
              <w:tab/>
            </w:r>
            <w:r w:rsidR="001620AE" w:rsidRPr="00C544D4">
              <w:rPr>
                <w:rStyle w:val="Collegamentoipertestuale"/>
              </w:rPr>
              <w:t>I ricavi da traffico</w:t>
            </w:r>
            <w:r w:rsidR="001620AE">
              <w:rPr>
                <w:webHidden/>
              </w:rPr>
              <w:tab/>
            </w:r>
            <w:r w:rsidR="001620AE">
              <w:rPr>
                <w:webHidden/>
              </w:rPr>
              <w:fldChar w:fldCharType="begin"/>
            </w:r>
            <w:r w:rsidR="001620AE">
              <w:rPr>
                <w:webHidden/>
              </w:rPr>
              <w:instrText xml:space="preserve"> PAGEREF _Toc213078381 \h </w:instrText>
            </w:r>
            <w:r w:rsidR="001620AE">
              <w:rPr>
                <w:webHidden/>
              </w:rPr>
            </w:r>
            <w:r w:rsidR="001620AE">
              <w:rPr>
                <w:webHidden/>
              </w:rPr>
              <w:fldChar w:fldCharType="separate"/>
            </w:r>
            <w:r>
              <w:rPr>
                <w:webHidden/>
              </w:rPr>
              <w:t>95</w:t>
            </w:r>
            <w:r w:rsidR="001620AE">
              <w:rPr>
                <w:webHidden/>
              </w:rPr>
              <w:fldChar w:fldCharType="end"/>
            </w:r>
          </w:hyperlink>
        </w:p>
        <w:p w14:paraId="766F8E43" w14:textId="441689AB" w:rsidR="001620AE" w:rsidRDefault="00073B6D">
          <w:pPr>
            <w:pStyle w:val="Sommario3"/>
            <w:rPr>
              <w:rFonts w:asciiTheme="minorHAnsi" w:eastAsiaTheme="minorEastAsia" w:hAnsiTheme="minorHAnsi" w:cstheme="minorBidi"/>
              <w:kern w:val="2"/>
              <w:sz w:val="24"/>
              <w:szCs w:val="24"/>
              <w14:ligatures w14:val="standardContextual"/>
            </w:rPr>
          </w:pPr>
          <w:hyperlink w:anchor="_Toc213078382" w:history="1">
            <w:r w:rsidR="001620AE" w:rsidRPr="00C544D4">
              <w:rPr>
                <w:rStyle w:val="Collegamentoipertestuale"/>
              </w:rPr>
              <w:t>5.4.3</w:t>
            </w:r>
            <w:r w:rsidR="001620AE">
              <w:rPr>
                <w:rFonts w:asciiTheme="minorHAnsi" w:eastAsiaTheme="minorEastAsia" w:hAnsiTheme="minorHAnsi" w:cstheme="minorBidi"/>
                <w:kern w:val="2"/>
                <w:sz w:val="24"/>
                <w:szCs w:val="24"/>
                <w14:ligatures w14:val="standardContextual"/>
              </w:rPr>
              <w:tab/>
            </w:r>
            <w:r w:rsidR="001620AE" w:rsidRPr="00C544D4">
              <w:rPr>
                <w:rStyle w:val="Collegamentoipertestuale"/>
              </w:rPr>
              <w:t>Le risorse per il Bacino Metropolitano</w:t>
            </w:r>
            <w:r w:rsidR="001620AE">
              <w:rPr>
                <w:webHidden/>
              </w:rPr>
              <w:tab/>
            </w:r>
            <w:r w:rsidR="001620AE">
              <w:rPr>
                <w:webHidden/>
              </w:rPr>
              <w:fldChar w:fldCharType="begin"/>
            </w:r>
            <w:r w:rsidR="001620AE">
              <w:rPr>
                <w:webHidden/>
              </w:rPr>
              <w:instrText xml:space="preserve"> PAGEREF _Toc213078382 \h </w:instrText>
            </w:r>
            <w:r w:rsidR="001620AE">
              <w:rPr>
                <w:webHidden/>
              </w:rPr>
            </w:r>
            <w:r w:rsidR="001620AE">
              <w:rPr>
                <w:webHidden/>
              </w:rPr>
              <w:fldChar w:fldCharType="separate"/>
            </w:r>
            <w:r>
              <w:rPr>
                <w:webHidden/>
              </w:rPr>
              <w:t>95</w:t>
            </w:r>
            <w:r w:rsidR="001620AE">
              <w:rPr>
                <w:webHidden/>
              </w:rPr>
              <w:fldChar w:fldCharType="end"/>
            </w:r>
          </w:hyperlink>
        </w:p>
        <w:p w14:paraId="30B199BA" w14:textId="7E936E0D" w:rsidR="001620AE" w:rsidRDefault="00073B6D">
          <w:pPr>
            <w:pStyle w:val="Sommario3"/>
            <w:rPr>
              <w:rFonts w:asciiTheme="minorHAnsi" w:eastAsiaTheme="minorEastAsia" w:hAnsiTheme="minorHAnsi" w:cstheme="minorBidi"/>
              <w:kern w:val="2"/>
              <w:sz w:val="24"/>
              <w:szCs w:val="24"/>
              <w14:ligatures w14:val="standardContextual"/>
            </w:rPr>
          </w:pPr>
          <w:hyperlink w:anchor="_Toc213078383" w:history="1">
            <w:r w:rsidR="001620AE" w:rsidRPr="00C544D4">
              <w:rPr>
                <w:rStyle w:val="Collegamentoipertestuale"/>
              </w:rPr>
              <w:t>5.4.4</w:t>
            </w:r>
            <w:r w:rsidR="001620AE">
              <w:rPr>
                <w:rFonts w:asciiTheme="minorHAnsi" w:eastAsiaTheme="minorEastAsia" w:hAnsiTheme="minorHAnsi" w:cstheme="minorBidi"/>
                <w:kern w:val="2"/>
                <w:sz w:val="24"/>
                <w:szCs w:val="24"/>
                <w14:ligatures w14:val="standardContextual"/>
              </w:rPr>
              <w:tab/>
            </w:r>
            <w:r w:rsidR="001620AE" w:rsidRPr="00C544D4">
              <w:rPr>
                <w:rStyle w:val="Collegamentoipertestuale"/>
              </w:rPr>
              <w:t>Ricognizione risorse periodo 2027 – 2032</w:t>
            </w:r>
            <w:r w:rsidR="001620AE">
              <w:rPr>
                <w:webHidden/>
              </w:rPr>
              <w:tab/>
            </w:r>
            <w:r w:rsidR="001620AE">
              <w:rPr>
                <w:webHidden/>
              </w:rPr>
              <w:fldChar w:fldCharType="begin"/>
            </w:r>
            <w:r w:rsidR="001620AE">
              <w:rPr>
                <w:webHidden/>
              </w:rPr>
              <w:instrText xml:space="preserve"> PAGEREF _Toc213078383 \h </w:instrText>
            </w:r>
            <w:r w:rsidR="001620AE">
              <w:rPr>
                <w:webHidden/>
              </w:rPr>
            </w:r>
            <w:r w:rsidR="001620AE">
              <w:rPr>
                <w:webHidden/>
              </w:rPr>
              <w:fldChar w:fldCharType="separate"/>
            </w:r>
            <w:r>
              <w:rPr>
                <w:webHidden/>
              </w:rPr>
              <w:t>96</w:t>
            </w:r>
            <w:r w:rsidR="001620AE">
              <w:rPr>
                <w:webHidden/>
              </w:rPr>
              <w:fldChar w:fldCharType="end"/>
            </w:r>
          </w:hyperlink>
        </w:p>
        <w:p w14:paraId="286331F0" w14:textId="7495916D" w:rsidR="001620AE" w:rsidRDefault="00073B6D">
          <w:pPr>
            <w:pStyle w:val="Sommario1"/>
            <w:rPr>
              <w:rFonts w:asciiTheme="minorHAnsi" w:eastAsiaTheme="minorEastAsia" w:hAnsiTheme="minorHAnsi" w:cstheme="minorBidi"/>
              <w:noProof/>
              <w:kern w:val="2"/>
              <w:sz w:val="24"/>
              <w:szCs w:val="24"/>
              <w14:ligatures w14:val="standardContextual"/>
            </w:rPr>
          </w:pPr>
          <w:hyperlink w:anchor="_Toc213078384" w:history="1">
            <w:r w:rsidR="001620AE" w:rsidRPr="00C544D4">
              <w:rPr>
                <w:rStyle w:val="Collegamentoipertestuale"/>
                <w:noProof/>
              </w:rPr>
              <w:t>6</w:t>
            </w:r>
            <w:r w:rsidR="001620AE">
              <w:rPr>
                <w:rFonts w:asciiTheme="minorHAnsi" w:eastAsiaTheme="minorEastAsia" w:hAnsiTheme="minorHAnsi" w:cstheme="minorBidi"/>
                <w:noProof/>
                <w:kern w:val="2"/>
                <w:sz w:val="24"/>
                <w:szCs w:val="24"/>
                <w14:ligatures w14:val="standardContextual"/>
              </w:rPr>
              <w:tab/>
            </w:r>
            <w:r w:rsidR="001620AE" w:rsidRPr="00C544D4">
              <w:rPr>
                <w:rStyle w:val="Collegamentoipertestuale"/>
                <w:noProof/>
              </w:rPr>
              <w:t>Determinazione e modalità di aggiornamento delle tariffe</w:t>
            </w:r>
            <w:r w:rsidR="001620AE">
              <w:rPr>
                <w:noProof/>
                <w:webHidden/>
              </w:rPr>
              <w:tab/>
            </w:r>
            <w:r w:rsidR="001620AE">
              <w:rPr>
                <w:noProof/>
                <w:webHidden/>
              </w:rPr>
              <w:fldChar w:fldCharType="begin"/>
            </w:r>
            <w:r w:rsidR="001620AE">
              <w:rPr>
                <w:noProof/>
                <w:webHidden/>
              </w:rPr>
              <w:instrText xml:space="preserve"> PAGEREF _Toc213078384 \h </w:instrText>
            </w:r>
            <w:r w:rsidR="001620AE">
              <w:rPr>
                <w:noProof/>
                <w:webHidden/>
              </w:rPr>
            </w:r>
            <w:r w:rsidR="001620AE">
              <w:rPr>
                <w:noProof/>
                <w:webHidden/>
              </w:rPr>
              <w:fldChar w:fldCharType="separate"/>
            </w:r>
            <w:r>
              <w:rPr>
                <w:noProof/>
                <w:webHidden/>
              </w:rPr>
              <w:t>98</w:t>
            </w:r>
            <w:r w:rsidR="001620AE">
              <w:rPr>
                <w:noProof/>
                <w:webHidden/>
              </w:rPr>
              <w:fldChar w:fldCharType="end"/>
            </w:r>
          </w:hyperlink>
        </w:p>
        <w:p w14:paraId="007F94F7" w14:textId="731E4D87" w:rsidR="001620AE" w:rsidRDefault="00073B6D">
          <w:pPr>
            <w:pStyle w:val="Sommario2"/>
            <w:rPr>
              <w:rFonts w:asciiTheme="minorHAnsi" w:eastAsiaTheme="minorEastAsia" w:hAnsiTheme="minorHAnsi" w:cstheme="minorBidi"/>
              <w:noProof/>
              <w:kern w:val="2"/>
              <w:sz w:val="24"/>
              <w:szCs w:val="24"/>
              <w14:ligatures w14:val="standardContextual"/>
            </w:rPr>
          </w:pPr>
          <w:hyperlink w:anchor="_Toc213078385" w:history="1">
            <w:r w:rsidR="001620AE" w:rsidRPr="00C544D4">
              <w:rPr>
                <w:rStyle w:val="Collegamentoipertestuale"/>
                <w:noProof/>
              </w:rPr>
              <w:t>6.1</w:t>
            </w:r>
            <w:r w:rsidR="001620AE">
              <w:rPr>
                <w:rFonts w:asciiTheme="minorHAnsi" w:eastAsiaTheme="minorEastAsia" w:hAnsiTheme="minorHAnsi" w:cstheme="minorBidi"/>
                <w:noProof/>
                <w:kern w:val="2"/>
                <w:sz w:val="24"/>
                <w:szCs w:val="24"/>
                <w14:ligatures w14:val="standardContextual"/>
              </w:rPr>
              <w:tab/>
            </w:r>
            <w:r w:rsidR="001620AE" w:rsidRPr="00C544D4">
              <w:rPr>
                <w:rStyle w:val="Collegamentoipertestuale"/>
                <w:noProof/>
              </w:rPr>
              <w:t>Determinazione delle tariffe</w:t>
            </w:r>
            <w:r w:rsidR="001620AE">
              <w:rPr>
                <w:noProof/>
                <w:webHidden/>
              </w:rPr>
              <w:tab/>
            </w:r>
            <w:r w:rsidR="001620AE">
              <w:rPr>
                <w:noProof/>
                <w:webHidden/>
              </w:rPr>
              <w:fldChar w:fldCharType="begin"/>
            </w:r>
            <w:r w:rsidR="001620AE">
              <w:rPr>
                <w:noProof/>
                <w:webHidden/>
              </w:rPr>
              <w:instrText xml:space="preserve"> PAGEREF _Toc213078385 \h </w:instrText>
            </w:r>
            <w:r w:rsidR="001620AE">
              <w:rPr>
                <w:noProof/>
                <w:webHidden/>
              </w:rPr>
            </w:r>
            <w:r w:rsidR="001620AE">
              <w:rPr>
                <w:noProof/>
                <w:webHidden/>
              </w:rPr>
              <w:fldChar w:fldCharType="separate"/>
            </w:r>
            <w:r>
              <w:rPr>
                <w:noProof/>
                <w:webHidden/>
              </w:rPr>
              <w:t>98</w:t>
            </w:r>
            <w:r w:rsidR="001620AE">
              <w:rPr>
                <w:noProof/>
                <w:webHidden/>
              </w:rPr>
              <w:fldChar w:fldCharType="end"/>
            </w:r>
          </w:hyperlink>
        </w:p>
        <w:p w14:paraId="398273DD" w14:textId="19014D0C" w:rsidR="001620AE" w:rsidRDefault="00073B6D">
          <w:pPr>
            <w:pStyle w:val="Sommario3"/>
            <w:rPr>
              <w:rFonts w:asciiTheme="minorHAnsi" w:eastAsiaTheme="minorEastAsia" w:hAnsiTheme="minorHAnsi" w:cstheme="minorBidi"/>
              <w:kern w:val="2"/>
              <w:sz w:val="24"/>
              <w:szCs w:val="24"/>
              <w14:ligatures w14:val="standardContextual"/>
            </w:rPr>
          </w:pPr>
          <w:hyperlink w:anchor="_Toc213078386" w:history="1">
            <w:r w:rsidR="001620AE" w:rsidRPr="00C544D4">
              <w:rPr>
                <w:rStyle w:val="Collegamentoipertestuale"/>
              </w:rPr>
              <w:t>6.1.1</w:t>
            </w:r>
            <w:r w:rsidR="001620AE">
              <w:rPr>
                <w:rFonts w:asciiTheme="minorHAnsi" w:eastAsiaTheme="minorEastAsia" w:hAnsiTheme="minorHAnsi" w:cstheme="minorBidi"/>
                <w:kern w:val="2"/>
                <w:sz w:val="24"/>
                <w:szCs w:val="24"/>
                <w14:ligatures w14:val="standardContextual"/>
              </w:rPr>
              <w:tab/>
            </w:r>
            <w:r w:rsidR="001620AE" w:rsidRPr="00C544D4">
              <w:rPr>
                <w:rStyle w:val="Collegamentoipertestuale"/>
              </w:rPr>
              <w:t>Tariffe servizi extraurbani</w:t>
            </w:r>
            <w:r w:rsidR="001620AE">
              <w:rPr>
                <w:webHidden/>
              </w:rPr>
              <w:tab/>
            </w:r>
            <w:r w:rsidR="001620AE">
              <w:rPr>
                <w:webHidden/>
              </w:rPr>
              <w:fldChar w:fldCharType="begin"/>
            </w:r>
            <w:r w:rsidR="001620AE">
              <w:rPr>
                <w:webHidden/>
              </w:rPr>
              <w:instrText xml:space="preserve"> PAGEREF _Toc213078386 \h </w:instrText>
            </w:r>
            <w:r w:rsidR="001620AE">
              <w:rPr>
                <w:webHidden/>
              </w:rPr>
            </w:r>
            <w:r w:rsidR="001620AE">
              <w:rPr>
                <w:webHidden/>
              </w:rPr>
              <w:fldChar w:fldCharType="separate"/>
            </w:r>
            <w:r>
              <w:rPr>
                <w:webHidden/>
              </w:rPr>
              <w:t>98</w:t>
            </w:r>
            <w:r w:rsidR="001620AE">
              <w:rPr>
                <w:webHidden/>
              </w:rPr>
              <w:fldChar w:fldCharType="end"/>
            </w:r>
          </w:hyperlink>
        </w:p>
        <w:p w14:paraId="5CA3BE99" w14:textId="24B5D28D" w:rsidR="001620AE" w:rsidRDefault="00073B6D">
          <w:pPr>
            <w:pStyle w:val="Sommario3"/>
            <w:rPr>
              <w:rFonts w:asciiTheme="minorHAnsi" w:eastAsiaTheme="minorEastAsia" w:hAnsiTheme="minorHAnsi" w:cstheme="minorBidi"/>
              <w:kern w:val="2"/>
              <w:sz w:val="24"/>
              <w:szCs w:val="24"/>
              <w14:ligatures w14:val="standardContextual"/>
            </w:rPr>
          </w:pPr>
          <w:hyperlink w:anchor="_Toc213078387" w:history="1">
            <w:r w:rsidR="001620AE" w:rsidRPr="00C544D4">
              <w:rPr>
                <w:rStyle w:val="Collegamentoipertestuale"/>
              </w:rPr>
              <w:t>6.1.2</w:t>
            </w:r>
            <w:r w:rsidR="001620AE">
              <w:rPr>
                <w:rFonts w:asciiTheme="minorHAnsi" w:eastAsiaTheme="minorEastAsia" w:hAnsiTheme="minorHAnsi" w:cstheme="minorBidi"/>
                <w:kern w:val="2"/>
                <w:sz w:val="24"/>
                <w:szCs w:val="24"/>
                <w14:ligatures w14:val="standardContextual"/>
              </w:rPr>
              <w:tab/>
            </w:r>
            <w:r w:rsidR="001620AE" w:rsidRPr="00C544D4">
              <w:rPr>
                <w:rStyle w:val="Collegamentoipertestuale"/>
              </w:rPr>
              <w:t>Tariffe servizi urbani</w:t>
            </w:r>
            <w:r w:rsidR="001620AE">
              <w:rPr>
                <w:webHidden/>
              </w:rPr>
              <w:tab/>
            </w:r>
            <w:r w:rsidR="001620AE">
              <w:rPr>
                <w:webHidden/>
              </w:rPr>
              <w:fldChar w:fldCharType="begin"/>
            </w:r>
            <w:r w:rsidR="001620AE">
              <w:rPr>
                <w:webHidden/>
              </w:rPr>
              <w:instrText xml:space="preserve"> PAGEREF _Toc213078387 \h </w:instrText>
            </w:r>
            <w:r w:rsidR="001620AE">
              <w:rPr>
                <w:webHidden/>
              </w:rPr>
            </w:r>
            <w:r w:rsidR="001620AE">
              <w:rPr>
                <w:webHidden/>
              </w:rPr>
              <w:fldChar w:fldCharType="separate"/>
            </w:r>
            <w:r>
              <w:rPr>
                <w:webHidden/>
              </w:rPr>
              <w:t>101</w:t>
            </w:r>
            <w:r w:rsidR="001620AE">
              <w:rPr>
                <w:webHidden/>
              </w:rPr>
              <w:fldChar w:fldCharType="end"/>
            </w:r>
          </w:hyperlink>
        </w:p>
        <w:p w14:paraId="10D3ECAB" w14:textId="38F4C7DB" w:rsidR="001620AE" w:rsidRDefault="00073B6D">
          <w:pPr>
            <w:pStyle w:val="Sommario2"/>
            <w:rPr>
              <w:rFonts w:asciiTheme="minorHAnsi" w:eastAsiaTheme="minorEastAsia" w:hAnsiTheme="minorHAnsi" w:cstheme="minorBidi"/>
              <w:noProof/>
              <w:kern w:val="2"/>
              <w:sz w:val="24"/>
              <w:szCs w:val="24"/>
              <w14:ligatures w14:val="standardContextual"/>
            </w:rPr>
          </w:pPr>
          <w:hyperlink w:anchor="_Toc213078388" w:history="1">
            <w:r w:rsidR="001620AE" w:rsidRPr="00C544D4">
              <w:rPr>
                <w:rStyle w:val="Collegamentoipertestuale"/>
                <w:noProof/>
              </w:rPr>
              <w:t>6.2</w:t>
            </w:r>
            <w:r w:rsidR="001620AE">
              <w:rPr>
                <w:rFonts w:asciiTheme="minorHAnsi" w:eastAsiaTheme="minorEastAsia" w:hAnsiTheme="minorHAnsi" w:cstheme="minorBidi"/>
                <w:noProof/>
                <w:kern w:val="2"/>
                <w:sz w:val="24"/>
                <w:szCs w:val="24"/>
                <w14:ligatures w14:val="standardContextual"/>
              </w:rPr>
              <w:tab/>
            </w:r>
            <w:r w:rsidR="001620AE" w:rsidRPr="00C544D4">
              <w:rPr>
                <w:rStyle w:val="Collegamentoipertestuale"/>
                <w:noProof/>
              </w:rPr>
              <w:t>Agevolazioni ed esenzioni</w:t>
            </w:r>
            <w:r w:rsidR="001620AE">
              <w:rPr>
                <w:noProof/>
                <w:webHidden/>
              </w:rPr>
              <w:tab/>
            </w:r>
            <w:r w:rsidR="001620AE">
              <w:rPr>
                <w:noProof/>
                <w:webHidden/>
              </w:rPr>
              <w:fldChar w:fldCharType="begin"/>
            </w:r>
            <w:r w:rsidR="001620AE">
              <w:rPr>
                <w:noProof/>
                <w:webHidden/>
              </w:rPr>
              <w:instrText xml:space="preserve"> PAGEREF _Toc213078388 \h </w:instrText>
            </w:r>
            <w:r w:rsidR="001620AE">
              <w:rPr>
                <w:noProof/>
                <w:webHidden/>
              </w:rPr>
            </w:r>
            <w:r w:rsidR="001620AE">
              <w:rPr>
                <w:noProof/>
                <w:webHidden/>
              </w:rPr>
              <w:fldChar w:fldCharType="separate"/>
            </w:r>
            <w:r>
              <w:rPr>
                <w:noProof/>
                <w:webHidden/>
              </w:rPr>
              <w:t>102</w:t>
            </w:r>
            <w:r w:rsidR="001620AE">
              <w:rPr>
                <w:noProof/>
                <w:webHidden/>
              </w:rPr>
              <w:fldChar w:fldCharType="end"/>
            </w:r>
          </w:hyperlink>
        </w:p>
        <w:p w14:paraId="2D2B23FB" w14:textId="2808918F" w:rsidR="001620AE" w:rsidRDefault="00073B6D">
          <w:pPr>
            <w:pStyle w:val="Sommario3"/>
            <w:rPr>
              <w:rFonts w:asciiTheme="minorHAnsi" w:eastAsiaTheme="minorEastAsia" w:hAnsiTheme="minorHAnsi" w:cstheme="minorBidi"/>
              <w:kern w:val="2"/>
              <w:sz w:val="24"/>
              <w:szCs w:val="24"/>
              <w14:ligatures w14:val="standardContextual"/>
            </w:rPr>
          </w:pPr>
          <w:hyperlink w:anchor="_Toc213078389" w:history="1">
            <w:r w:rsidR="001620AE" w:rsidRPr="00C544D4">
              <w:rPr>
                <w:rStyle w:val="Collegamentoipertestuale"/>
              </w:rPr>
              <w:t>6.2.1</w:t>
            </w:r>
            <w:r w:rsidR="001620AE">
              <w:rPr>
                <w:rFonts w:asciiTheme="minorHAnsi" w:eastAsiaTheme="minorEastAsia" w:hAnsiTheme="minorHAnsi" w:cstheme="minorBidi"/>
                <w:kern w:val="2"/>
                <w:sz w:val="24"/>
                <w:szCs w:val="24"/>
                <w14:ligatures w14:val="standardContextual"/>
              </w:rPr>
              <w:tab/>
            </w:r>
            <w:r w:rsidR="001620AE" w:rsidRPr="00C544D4">
              <w:rPr>
                <w:rStyle w:val="Collegamentoipertestuale"/>
              </w:rPr>
              <w:t>Libero accesso</w:t>
            </w:r>
            <w:r w:rsidR="001620AE">
              <w:rPr>
                <w:webHidden/>
              </w:rPr>
              <w:tab/>
            </w:r>
            <w:r w:rsidR="001620AE">
              <w:rPr>
                <w:webHidden/>
              </w:rPr>
              <w:fldChar w:fldCharType="begin"/>
            </w:r>
            <w:r w:rsidR="001620AE">
              <w:rPr>
                <w:webHidden/>
              </w:rPr>
              <w:instrText xml:space="preserve"> PAGEREF _Toc213078389 \h </w:instrText>
            </w:r>
            <w:r w:rsidR="001620AE">
              <w:rPr>
                <w:webHidden/>
              </w:rPr>
            </w:r>
            <w:r w:rsidR="001620AE">
              <w:rPr>
                <w:webHidden/>
              </w:rPr>
              <w:fldChar w:fldCharType="separate"/>
            </w:r>
            <w:r>
              <w:rPr>
                <w:webHidden/>
              </w:rPr>
              <w:t>102</w:t>
            </w:r>
            <w:r w:rsidR="001620AE">
              <w:rPr>
                <w:webHidden/>
              </w:rPr>
              <w:fldChar w:fldCharType="end"/>
            </w:r>
          </w:hyperlink>
        </w:p>
        <w:p w14:paraId="6B100F13" w14:textId="7BB694A8" w:rsidR="001620AE" w:rsidRDefault="00073B6D">
          <w:pPr>
            <w:pStyle w:val="Sommario3"/>
            <w:rPr>
              <w:rFonts w:asciiTheme="minorHAnsi" w:eastAsiaTheme="minorEastAsia" w:hAnsiTheme="minorHAnsi" w:cstheme="minorBidi"/>
              <w:kern w:val="2"/>
              <w:sz w:val="24"/>
              <w:szCs w:val="24"/>
              <w14:ligatures w14:val="standardContextual"/>
            </w:rPr>
          </w:pPr>
          <w:hyperlink w:anchor="_Toc213078390" w:history="1">
            <w:r w:rsidR="001620AE" w:rsidRPr="00C544D4">
              <w:rPr>
                <w:rStyle w:val="Collegamentoipertestuale"/>
              </w:rPr>
              <w:t>6.2.2</w:t>
            </w:r>
            <w:r w:rsidR="001620AE">
              <w:rPr>
                <w:rFonts w:asciiTheme="minorHAnsi" w:eastAsiaTheme="minorEastAsia" w:hAnsiTheme="minorHAnsi" w:cstheme="minorBidi"/>
                <w:kern w:val="2"/>
                <w:sz w:val="24"/>
                <w:szCs w:val="24"/>
                <w14:ligatures w14:val="standardContextual"/>
              </w:rPr>
              <w:tab/>
            </w:r>
            <w:r w:rsidR="001620AE" w:rsidRPr="00C544D4">
              <w:rPr>
                <w:rStyle w:val="Collegamentoipertestuale"/>
              </w:rPr>
              <w:t>Agevolazioni a livello comunale</w:t>
            </w:r>
            <w:r w:rsidR="001620AE">
              <w:rPr>
                <w:webHidden/>
              </w:rPr>
              <w:tab/>
            </w:r>
            <w:r w:rsidR="001620AE">
              <w:rPr>
                <w:webHidden/>
              </w:rPr>
              <w:fldChar w:fldCharType="begin"/>
            </w:r>
            <w:r w:rsidR="001620AE">
              <w:rPr>
                <w:webHidden/>
              </w:rPr>
              <w:instrText xml:space="preserve"> PAGEREF _Toc213078390 \h </w:instrText>
            </w:r>
            <w:r w:rsidR="001620AE">
              <w:rPr>
                <w:webHidden/>
              </w:rPr>
            </w:r>
            <w:r w:rsidR="001620AE">
              <w:rPr>
                <w:webHidden/>
              </w:rPr>
              <w:fldChar w:fldCharType="separate"/>
            </w:r>
            <w:r>
              <w:rPr>
                <w:webHidden/>
              </w:rPr>
              <w:t>103</w:t>
            </w:r>
            <w:r w:rsidR="001620AE">
              <w:rPr>
                <w:webHidden/>
              </w:rPr>
              <w:fldChar w:fldCharType="end"/>
            </w:r>
          </w:hyperlink>
        </w:p>
        <w:p w14:paraId="621F4343" w14:textId="7DBBCB78" w:rsidR="001620AE" w:rsidRDefault="00073B6D">
          <w:pPr>
            <w:pStyle w:val="Sommario3"/>
            <w:rPr>
              <w:rFonts w:asciiTheme="minorHAnsi" w:eastAsiaTheme="minorEastAsia" w:hAnsiTheme="minorHAnsi" w:cstheme="minorBidi"/>
              <w:kern w:val="2"/>
              <w:sz w:val="24"/>
              <w:szCs w:val="24"/>
              <w14:ligatures w14:val="standardContextual"/>
            </w:rPr>
          </w:pPr>
          <w:hyperlink w:anchor="_Toc213078391" w:history="1">
            <w:r w:rsidR="001620AE" w:rsidRPr="00C544D4">
              <w:rPr>
                <w:rStyle w:val="Collegamentoipertestuale"/>
              </w:rPr>
              <w:t>6.2.3</w:t>
            </w:r>
            <w:r w:rsidR="001620AE">
              <w:rPr>
                <w:rFonts w:asciiTheme="minorHAnsi" w:eastAsiaTheme="minorEastAsia" w:hAnsiTheme="minorHAnsi" w:cstheme="minorBidi"/>
                <w:kern w:val="2"/>
                <w:sz w:val="24"/>
                <w:szCs w:val="24"/>
                <w14:ligatures w14:val="standardContextual"/>
              </w:rPr>
              <w:tab/>
            </w:r>
            <w:r w:rsidR="001620AE" w:rsidRPr="00C544D4">
              <w:rPr>
                <w:rStyle w:val="Collegamentoipertestuale"/>
              </w:rPr>
              <w:t>Diritto di esazione a bordo</w:t>
            </w:r>
            <w:r w:rsidR="001620AE">
              <w:rPr>
                <w:webHidden/>
              </w:rPr>
              <w:tab/>
            </w:r>
            <w:r w:rsidR="001620AE">
              <w:rPr>
                <w:webHidden/>
              </w:rPr>
              <w:fldChar w:fldCharType="begin"/>
            </w:r>
            <w:r w:rsidR="001620AE">
              <w:rPr>
                <w:webHidden/>
              </w:rPr>
              <w:instrText xml:space="preserve"> PAGEREF _Toc213078391 \h </w:instrText>
            </w:r>
            <w:r w:rsidR="001620AE">
              <w:rPr>
                <w:webHidden/>
              </w:rPr>
            </w:r>
            <w:r w:rsidR="001620AE">
              <w:rPr>
                <w:webHidden/>
              </w:rPr>
              <w:fldChar w:fldCharType="separate"/>
            </w:r>
            <w:r>
              <w:rPr>
                <w:webHidden/>
              </w:rPr>
              <w:t>103</w:t>
            </w:r>
            <w:r w:rsidR="001620AE">
              <w:rPr>
                <w:webHidden/>
              </w:rPr>
              <w:fldChar w:fldCharType="end"/>
            </w:r>
          </w:hyperlink>
        </w:p>
        <w:p w14:paraId="646448D0" w14:textId="60F19693" w:rsidR="001620AE" w:rsidRDefault="00073B6D">
          <w:pPr>
            <w:pStyle w:val="Sommario2"/>
            <w:rPr>
              <w:rFonts w:asciiTheme="minorHAnsi" w:eastAsiaTheme="minorEastAsia" w:hAnsiTheme="minorHAnsi" w:cstheme="minorBidi"/>
              <w:noProof/>
              <w:kern w:val="2"/>
              <w:sz w:val="24"/>
              <w:szCs w:val="24"/>
              <w14:ligatures w14:val="standardContextual"/>
            </w:rPr>
          </w:pPr>
          <w:hyperlink w:anchor="_Toc213078392" w:history="1">
            <w:r w:rsidR="001620AE" w:rsidRPr="00C544D4">
              <w:rPr>
                <w:rStyle w:val="Collegamentoipertestuale"/>
                <w:noProof/>
              </w:rPr>
              <w:t>6.3</w:t>
            </w:r>
            <w:r w:rsidR="001620AE">
              <w:rPr>
                <w:rFonts w:asciiTheme="minorHAnsi" w:eastAsiaTheme="minorEastAsia" w:hAnsiTheme="minorHAnsi" w:cstheme="minorBidi"/>
                <w:noProof/>
                <w:kern w:val="2"/>
                <w:sz w:val="24"/>
                <w:szCs w:val="24"/>
                <w14:ligatures w14:val="standardContextual"/>
              </w:rPr>
              <w:tab/>
            </w:r>
            <w:r w:rsidR="001620AE" w:rsidRPr="00C544D4">
              <w:rPr>
                <w:rStyle w:val="Collegamentoipertestuale"/>
                <w:noProof/>
              </w:rPr>
              <w:t>Tariffe Integrate</w:t>
            </w:r>
            <w:r w:rsidR="001620AE">
              <w:rPr>
                <w:noProof/>
                <w:webHidden/>
              </w:rPr>
              <w:tab/>
            </w:r>
            <w:r w:rsidR="001620AE">
              <w:rPr>
                <w:noProof/>
                <w:webHidden/>
              </w:rPr>
              <w:fldChar w:fldCharType="begin"/>
            </w:r>
            <w:r w:rsidR="001620AE">
              <w:rPr>
                <w:noProof/>
                <w:webHidden/>
              </w:rPr>
              <w:instrText xml:space="preserve"> PAGEREF _Toc213078392 \h </w:instrText>
            </w:r>
            <w:r w:rsidR="001620AE">
              <w:rPr>
                <w:noProof/>
                <w:webHidden/>
              </w:rPr>
            </w:r>
            <w:r w:rsidR="001620AE">
              <w:rPr>
                <w:noProof/>
                <w:webHidden/>
              </w:rPr>
              <w:fldChar w:fldCharType="separate"/>
            </w:r>
            <w:r>
              <w:rPr>
                <w:noProof/>
                <w:webHidden/>
              </w:rPr>
              <w:t>104</w:t>
            </w:r>
            <w:r w:rsidR="001620AE">
              <w:rPr>
                <w:noProof/>
                <w:webHidden/>
              </w:rPr>
              <w:fldChar w:fldCharType="end"/>
            </w:r>
          </w:hyperlink>
        </w:p>
        <w:p w14:paraId="764A4DD8" w14:textId="0CB0845B" w:rsidR="001620AE" w:rsidRDefault="00073B6D">
          <w:pPr>
            <w:pStyle w:val="Sommario3"/>
            <w:rPr>
              <w:rFonts w:asciiTheme="minorHAnsi" w:eastAsiaTheme="minorEastAsia" w:hAnsiTheme="minorHAnsi" w:cstheme="minorBidi"/>
              <w:kern w:val="2"/>
              <w:sz w:val="24"/>
              <w:szCs w:val="24"/>
              <w14:ligatures w14:val="standardContextual"/>
            </w:rPr>
          </w:pPr>
          <w:hyperlink w:anchor="_Toc213078393" w:history="1">
            <w:r w:rsidR="001620AE" w:rsidRPr="00C544D4">
              <w:rPr>
                <w:rStyle w:val="Collegamentoipertestuale"/>
              </w:rPr>
              <w:t>6.3.1</w:t>
            </w:r>
            <w:r w:rsidR="001620AE">
              <w:rPr>
                <w:rFonts w:asciiTheme="minorHAnsi" w:eastAsiaTheme="minorEastAsia" w:hAnsiTheme="minorHAnsi" w:cstheme="minorBidi"/>
                <w:kern w:val="2"/>
                <w:sz w:val="24"/>
                <w:szCs w:val="24"/>
                <w14:ligatures w14:val="standardContextual"/>
              </w:rPr>
              <w:tab/>
            </w:r>
            <w:r w:rsidR="001620AE" w:rsidRPr="00C544D4">
              <w:rPr>
                <w:rStyle w:val="Collegamentoipertestuale"/>
              </w:rPr>
              <w:t>Formula</w:t>
            </w:r>
            <w:r w:rsidR="001620AE">
              <w:rPr>
                <w:webHidden/>
              </w:rPr>
              <w:tab/>
            </w:r>
            <w:r w:rsidR="001620AE">
              <w:rPr>
                <w:webHidden/>
              </w:rPr>
              <w:fldChar w:fldCharType="begin"/>
            </w:r>
            <w:r w:rsidR="001620AE">
              <w:rPr>
                <w:webHidden/>
              </w:rPr>
              <w:instrText xml:space="preserve"> PAGEREF _Toc213078393 \h </w:instrText>
            </w:r>
            <w:r w:rsidR="001620AE">
              <w:rPr>
                <w:webHidden/>
              </w:rPr>
            </w:r>
            <w:r w:rsidR="001620AE">
              <w:rPr>
                <w:webHidden/>
              </w:rPr>
              <w:fldChar w:fldCharType="separate"/>
            </w:r>
            <w:r>
              <w:rPr>
                <w:webHidden/>
              </w:rPr>
              <w:t>104</w:t>
            </w:r>
            <w:r w:rsidR="001620AE">
              <w:rPr>
                <w:webHidden/>
              </w:rPr>
              <w:fldChar w:fldCharType="end"/>
            </w:r>
          </w:hyperlink>
        </w:p>
        <w:p w14:paraId="1B994218" w14:textId="21261412" w:rsidR="001620AE" w:rsidRDefault="00073B6D">
          <w:pPr>
            <w:pStyle w:val="Sommario3"/>
            <w:rPr>
              <w:rFonts w:asciiTheme="minorHAnsi" w:eastAsiaTheme="minorEastAsia" w:hAnsiTheme="minorHAnsi" w:cstheme="minorBidi"/>
              <w:kern w:val="2"/>
              <w:sz w:val="24"/>
              <w:szCs w:val="24"/>
              <w14:ligatures w14:val="standardContextual"/>
            </w:rPr>
          </w:pPr>
          <w:hyperlink w:anchor="_Toc213078394" w:history="1">
            <w:r w:rsidR="001620AE" w:rsidRPr="00C544D4">
              <w:rPr>
                <w:rStyle w:val="Collegamentoipertestuale"/>
              </w:rPr>
              <w:t>6.3.2</w:t>
            </w:r>
            <w:r w:rsidR="001620AE">
              <w:rPr>
                <w:rFonts w:asciiTheme="minorHAnsi" w:eastAsiaTheme="minorEastAsia" w:hAnsiTheme="minorHAnsi" w:cstheme="minorBidi"/>
                <w:kern w:val="2"/>
                <w:sz w:val="24"/>
                <w:szCs w:val="24"/>
                <w14:ligatures w14:val="standardContextual"/>
              </w:rPr>
              <w:tab/>
            </w:r>
            <w:r w:rsidR="001620AE" w:rsidRPr="00C544D4">
              <w:rPr>
                <w:rStyle w:val="Collegamentoipertestuale"/>
              </w:rPr>
              <w:t>Credito Trasporti</w:t>
            </w:r>
            <w:r w:rsidR="001620AE">
              <w:rPr>
                <w:webHidden/>
              </w:rPr>
              <w:tab/>
            </w:r>
            <w:r w:rsidR="001620AE">
              <w:rPr>
                <w:webHidden/>
              </w:rPr>
              <w:fldChar w:fldCharType="begin"/>
            </w:r>
            <w:r w:rsidR="001620AE">
              <w:rPr>
                <w:webHidden/>
              </w:rPr>
              <w:instrText xml:space="preserve"> PAGEREF _Toc213078394 \h </w:instrText>
            </w:r>
            <w:r w:rsidR="001620AE">
              <w:rPr>
                <w:webHidden/>
              </w:rPr>
            </w:r>
            <w:r w:rsidR="001620AE">
              <w:rPr>
                <w:webHidden/>
              </w:rPr>
              <w:fldChar w:fldCharType="separate"/>
            </w:r>
            <w:r>
              <w:rPr>
                <w:webHidden/>
              </w:rPr>
              <w:t>105</w:t>
            </w:r>
            <w:r w:rsidR="001620AE">
              <w:rPr>
                <w:webHidden/>
              </w:rPr>
              <w:fldChar w:fldCharType="end"/>
            </w:r>
          </w:hyperlink>
        </w:p>
        <w:p w14:paraId="6189587A" w14:textId="4D6F73B4" w:rsidR="001620AE" w:rsidRDefault="00073B6D">
          <w:pPr>
            <w:pStyle w:val="Sommario2"/>
            <w:rPr>
              <w:rFonts w:asciiTheme="minorHAnsi" w:eastAsiaTheme="minorEastAsia" w:hAnsiTheme="minorHAnsi" w:cstheme="minorBidi"/>
              <w:noProof/>
              <w:kern w:val="2"/>
              <w:sz w:val="24"/>
              <w:szCs w:val="24"/>
              <w14:ligatures w14:val="standardContextual"/>
            </w:rPr>
          </w:pPr>
          <w:hyperlink w:anchor="_Toc213078395" w:history="1">
            <w:r w:rsidR="001620AE" w:rsidRPr="00C544D4">
              <w:rPr>
                <w:rStyle w:val="Collegamentoipertestuale"/>
                <w:noProof/>
              </w:rPr>
              <w:t>6.4</w:t>
            </w:r>
            <w:r w:rsidR="001620AE">
              <w:rPr>
                <w:rFonts w:asciiTheme="minorHAnsi" w:eastAsiaTheme="minorEastAsia" w:hAnsiTheme="minorHAnsi" w:cstheme="minorBidi"/>
                <w:noProof/>
                <w:kern w:val="2"/>
                <w:sz w:val="24"/>
                <w:szCs w:val="24"/>
                <w14:ligatures w14:val="standardContextual"/>
              </w:rPr>
              <w:tab/>
            </w:r>
            <w:r w:rsidR="001620AE" w:rsidRPr="00C544D4">
              <w:rPr>
                <w:rStyle w:val="Collegamentoipertestuale"/>
                <w:noProof/>
              </w:rPr>
              <w:t>Metodologia aggiornamento tariffe</w:t>
            </w:r>
            <w:r w:rsidR="001620AE">
              <w:rPr>
                <w:noProof/>
                <w:webHidden/>
              </w:rPr>
              <w:tab/>
            </w:r>
            <w:r w:rsidR="001620AE">
              <w:rPr>
                <w:noProof/>
                <w:webHidden/>
              </w:rPr>
              <w:fldChar w:fldCharType="begin"/>
            </w:r>
            <w:r w:rsidR="001620AE">
              <w:rPr>
                <w:noProof/>
                <w:webHidden/>
              </w:rPr>
              <w:instrText xml:space="preserve"> PAGEREF _Toc213078395 \h </w:instrText>
            </w:r>
            <w:r w:rsidR="001620AE">
              <w:rPr>
                <w:noProof/>
                <w:webHidden/>
              </w:rPr>
            </w:r>
            <w:r w:rsidR="001620AE">
              <w:rPr>
                <w:noProof/>
                <w:webHidden/>
              </w:rPr>
              <w:fldChar w:fldCharType="separate"/>
            </w:r>
            <w:r>
              <w:rPr>
                <w:noProof/>
                <w:webHidden/>
              </w:rPr>
              <w:t>106</w:t>
            </w:r>
            <w:r w:rsidR="001620AE">
              <w:rPr>
                <w:noProof/>
                <w:webHidden/>
              </w:rPr>
              <w:fldChar w:fldCharType="end"/>
            </w:r>
          </w:hyperlink>
        </w:p>
        <w:p w14:paraId="6D141E47" w14:textId="44F6C7B5" w:rsidR="001620AE" w:rsidRDefault="00073B6D">
          <w:pPr>
            <w:pStyle w:val="Sommario2"/>
            <w:rPr>
              <w:rFonts w:asciiTheme="minorHAnsi" w:eastAsiaTheme="minorEastAsia" w:hAnsiTheme="minorHAnsi" w:cstheme="minorBidi"/>
              <w:noProof/>
              <w:kern w:val="2"/>
              <w:sz w:val="24"/>
              <w:szCs w:val="24"/>
              <w14:ligatures w14:val="standardContextual"/>
            </w:rPr>
          </w:pPr>
          <w:hyperlink w:anchor="_Toc213078396" w:history="1">
            <w:r w:rsidR="001620AE" w:rsidRPr="00C544D4">
              <w:rPr>
                <w:rStyle w:val="Collegamentoipertestuale"/>
                <w:noProof/>
              </w:rPr>
              <w:t>6.5</w:t>
            </w:r>
            <w:r w:rsidR="001620AE">
              <w:rPr>
                <w:rFonts w:asciiTheme="minorHAnsi" w:eastAsiaTheme="minorEastAsia" w:hAnsiTheme="minorHAnsi" w:cstheme="minorBidi"/>
                <w:noProof/>
                <w:kern w:val="2"/>
                <w:sz w:val="24"/>
                <w:szCs w:val="24"/>
                <w14:ligatures w14:val="standardContextual"/>
              </w:rPr>
              <w:tab/>
            </w:r>
            <w:r w:rsidR="001620AE" w:rsidRPr="00C544D4">
              <w:rPr>
                <w:rStyle w:val="Collegamentoipertestuale"/>
                <w:noProof/>
              </w:rPr>
              <w:t>L’interoperabilità tariffaria in Piemonte</w:t>
            </w:r>
            <w:r w:rsidR="001620AE">
              <w:rPr>
                <w:noProof/>
                <w:webHidden/>
              </w:rPr>
              <w:tab/>
            </w:r>
            <w:r w:rsidR="001620AE">
              <w:rPr>
                <w:noProof/>
                <w:webHidden/>
              </w:rPr>
              <w:fldChar w:fldCharType="begin"/>
            </w:r>
            <w:r w:rsidR="001620AE">
              <w:rPr>
                <w:noProof/>
                <w:webHidden/>
              </w:rPr>
              <w:instrText xml:space="preserve"> PAGEREF _Toc213078396 \h </w:instrText>
            </w:r>
            <w:r w:rsidR="001620AE">
              <w:rPr>
                <w:noProof/>
                <w:webHidden/>
              </w:rPr>
            </w:r>
            <w:r w:rsidR="001620AE">
              <w:rPr>
                <w:noProof/>
                <w:webHidden/>
              </w:rPr>
              <w:fldChar w:fldCharType="separate"/>
            </w:r>
            <w:r>
              <w:rPr>
                <w:noProof/>
                <w:webHidden/>
              </w:rPr>
              <w:t>107</w:t>
            </w:r>
            <w:r w:rsidR="001620AE">
              <w:rPr>
                <w:noProof/>
                <w:webHidden/>
              </w:rPr>
              <w:fldChar w:fldCharType="end"/>
            </w:r>
          </w:hyperlink>
        </w:p>
        <w:p w14:paraId="37DA8174" w14:textId="3694552B" w:rsidR="001620AE" w:rsidRDefault="00073B6D">
          <w:pPr>
            <w:pStyle w:val="Sommario2"/>
            <w:rPr>
              <w:rFonts w:asciiTheme="minorHAnsi" w:eastAsiaTheme="minorEastAsia" w:hAnsiTheme="minorHAnsi" w:cstheme="minorBidi"/>
              <w:noProof/>
              <w:kern w:val="2"/>
              <w:sz w:val="24"/>
              <w:szCs w:val="24"/>
              <w14:ligatures w14:val="standardContextual"/>
            </w:rPr>
          </w:pPr>
          <w:hyperlink w:anchor="_Toc213078397" w:history="1">
            <w:r w:rsidR="001620AE" w:rsidRPr="00C544D4">
              <w:rPr>
                <w:rStyle w:val="Collegamentoipertestuale"/>
                <w:noProof/>
              </w:rPr>
              <w:t>6.6</w:t>
            </w:r>
            <w:r w:rsidR="001620AE">
              <w:rPr>
                <w:rFonts w:asciiTheme="minorHAnsi" w:eastAsiaTheme="minorEastAsia" w:hAnsiTheme="minorHAnsi" w:cstheme="minorBidi"/>
                <w:noProof/>
                <w:kern w:val="2"/>
                <w:sz w:val="24"/>
                <w:szCs w:val="24"/>
                <w14:ligatures w14:val="standardContextual"/>
              </w:rPr>
              <w:tab/>
            </w:r>
            <w:r w:rsidR="001620AE" w:rsidRPr="00C544D4">
              <w:rPr>
                <w:rStyle w:val="Collegamentoipertestuale"/>
                <w:noProof/>
              </w:rPr>
              <w:t>Obblighi di servizio per l’integrazione tariffaria</w:t>
            </w:r>
            <w:r w:rsidR="001620AE">
              <w:rPr>
                <w:noProof/>
                <w:webHidden/>
              </w:rPr>
              <w:tab/>
            </w:r>
            <w:r w:rsidR="001620AE">
              <w:rPr>
                <w:noProof/>
                <w:webHidden/>
              </w:rPr>
              <w:fldChar w:fldCharType="begin"/>
            </w:r>
            <w:r w:rsidR="001620AE">
              <w:rPr>
                <w:noProof/>
                <w:webHidden/>
              </w:rPr>
              <w:instrText xml:space="preserve"> PAGEREF _Toc213078397 \h </w:instrText>
            </w:r>
            <w:r w:rsidR="001620AE">
              <w:rPr>
                <w:noProof/>
                <w:webHidden/>
              </w:rPr>
            </w:r>
            <w:r w:rsidR="001620AE">
              <w:rPr>
                <w:noProof/>
                <w:webHidden/>
              </w:rPr>
              <w:fldChar w:fldCharType="separate"/>
            </w:r>
            <w:r>
              <w:rPr>
                <w:noProof/>
                <w:webHidden/>
              </w:rPr>
              <w:t>108</w:t>
            </w:r>
            <w:r w:rsidR="001620AE">
              <w:rPr>
                <w:noProof/>
                <w:webHidden/>
              </w:rPr>
              <w:fldChar w:fldCharType="end"/>
            </w:r>
          </w:hyperlink>
        </w:p>
        <w:p w14:paraId="54A51C20" w14:textId="15B14598" w:rsidR="001620AE" w:rsidRDefault="00073B6D">
          <w:pPr>
            <w:pStyle w:val="Sommario1"/>
            <w:rPr>
              <w:rFonts w:asciiTheme="minorHAnsi" w:eastAsiaTheme="minorEastAsia" w:hAnsiTheme="minorHAnsi" w:cstheme="minorBidi"/>
              <w:noProof/>
              <w:kern w:val="2"/>
              <w:sz w:val="24"/>
              <w:szCs w:val="24"/>
              <w14:ligatures w14:val="standardContextual"/>
            </w:rPr>
          </w:pPr>
          <w:hyperlink w:anchor="_Toc213078398" w:history="1">
            <w:r w:rsidR="001620AE" w:rsidRPr="00C544D4">
              <w:rPr>
                <w:rStyle w:val="Collegamentoipertestuale"/>
                <w:noProof/>
              </w:rPr>
              <w:t>7</w:t>
            </w:r>
            <w:r w:rsidR="001620AE">
              <w:rPr>
                <w:rFonts w:asciiTheme="minorHAnsi" w:eastAsiaTheme="minorEastAsia" w:hAnsiTheme="minorHAnsi" w:cstheme="minorBidi"/>
                <w:noProof/>
                <w:kern w:val="2"/>
                <w:sz w:val="24"/>
                <w:szCs w:val="24"/>
                <w14:ligatures w14:val="standardContextual"/>
              </w:rPr>
              <w:tab/>
            </w:r>
            <w:r w:rsidR="001620AE" w:rsidRPr="00C544D4">
              <w:rPr>
                <w:rStyle w:val="Collegamentoipertestuale"/>
                <w:noProof/>
              </w:rPr>
              <w:t>Identificazione dei lotti</w:t>
            </w:r>
            <w:r w:rsidR="001620AE">
              <w:rPr>
                <w:noProof/>
                <w:webHidden/>
              </w:rPr>
              <w:tab/>
            </w:r>
            <w:r w:rsidR="001620AE">
              <w:rPr>
                <w:noProof/>
                <w:webHidden/>
              </w:rPr>
              <w:fldChar w:fldCharType="begin"/>
            </w:r>
            <w:r w:rsidR="001620AE">
              <w:rPr>
                <w:noProof/>
                <w:webHidden/>
              </w:rPr>
              <w:instrText xml:space="preserve"> PAGEREF _Toc213078398 \h </w:instrText>
            </w:r>
            <w:r w:rsidR="001620AE">
              <w:rPr>
                <w:noProof/>
                <w:webHidden/>
              </w:rPr>
            </w:r>
            <w:r w:rsidR="001620AE">
              <w:rPr>
                <w:noProof/>
                <w:webHidden/>
              </w:rPr>
              <w:fldChar w:fldCharType="separate"/>
            </w:r>
            <w:r>
              <w:rPr>
                <w:noProof/>
                <w:webHidden/>
              </w:rPr>
              <w:t>109</w:t>
            </w:r>
            <w:r w:rsidR="001620AE">
              <w:rPr>
                <w:noProof/>
                <w:webHidden/>
              </w:rPr>
              <w:fldChar w:fldCharType="end"/>
            </w:r>
          </w:hyperlink>
        </w:p>
        <w:p w14:paraId="5D34E16C" w14:textId="21325BB7" w:rsidR="001620AE" w:rsidRDefault="00073B6D">
          <w:pPr>
            <w:pStyle w:val="Sommario2"/>
            <w:rPr>
              <w:rFonts w:asciiTheme="minorHAnsi" w:eastAsiaTheme="minorEastAsia" w:hAnsiTheme="minorHAnsi" w:cstheme="minorBidi"/>
              <w:noProof/>
              <w:kern w:val="2"/>
              <w:sz w:val="24"/>
              <w:szCs w:val="24"/>
              <w14:ligatures w14:val="standardContextual"/>
            </w:rPr>
          </w:pPr>
          <w:hyperlink w:anchor="_Toc213078399" w:history="1">
            <w:r w:rsidR="001620AE" w:rsidRPr="00C544D4">
              <w:rPr>
                <w:rStyle w:val="Collegamentoipertestuale"/>
                <w:noProof/>
              </w:rPr>
              <w:t>7.1</w:t>
            </w:r>
            <w:r w:rsidR="001620AE">
              <w:rPr>
                <w:rFonts w:asciiTheme="minorHAnsi" w:eastAsiaTheme="minorEastAsia" w:hAnsiTheme="minorHAnsi" w:cstheme="minorBidi"/>
                <w:noProof/>
                <w:kern w:val="2"/>
                <w:sz w:val="24"/>
                <w:szCs w:val="24"/>
                <w14:ligatures w14:val="standardContextual"/>
              </w:rPr>
              <w:tab/>
            </w:r>
            <w:r w:rsidR="001620AE" w:rsidRPr="00C544D4">
              <w:rPr>
                <w:rStyle w:val="Collegamentoipertestuale"/>
                <w:noProof/>
              </w:rPr>
              <w:t>Valutazioni di natura trasportistica per la suddivisione dei lotti</w:t>
            </w:r>
            <w:r w:rsidR="001620AE">
              <w:rPr>
                <w:noProof/>
                <w:webHidden/>
              </w:rPr>
              <w:tab/>
            </w:r>
            <w:r w:rsidR="001620AE">
              <w:rPr>
                <w:noProof/>
                <w:webHidden/>
              </w:rPr>
              <w:fldChar w:fldCharType="begin"/>
            </w:r>
            <w:r w:rsidR="001620AE">
              <w:rPr>
                <w:noProof/>
                <w:webHidden/>
              </w:rPr>
              <w:instrText xml:space="preserve"> PAGEREF _Toc213078399 \h </w:instrText>
            </w:r>
            <w:r w:rsidR="001620AE">
              <w:rPr>
                <w:noProof/>
                <w:webHidden/>
              </w:rPr>
            </w:r>
            <w:r w:rsidR="001620AE">
              <w:rPr>
                <w:noProof/>
                <w:webHidden/>
              </w:rPr>
              <w:fldChar w:fldCharType="separate"/>
            </w:r>
            <w:r>
              <w:rPr>
                <w:noProof/>
                <w:webHidden/>
              </w:rPr>
              <w:t>110</w:t>
            </w:r>
            <w:r w:rsidR="001620AE">
              <w:rPr>
                <w:noProof/>
                <w:webHidden/>
              </w:rPr>
              <w:fldChar w:fldCharType="end"/>
            </w:r>
          </w:hyperlink>
        </w:p>
        <w:p w14:paraId="50B8D85B" w14:textId="106D7ACD" w:rsidR="001620AE" w:rsidRDefault="00073B6D">
          <w:pPr>
            <w:pStyle w:val="Sommario3"/>
            <w:rPr>
              <w:rFonts w:asciiTheme="minorHAnsi" w:eastAsiaTheme="minorEastAsia" w:hAnsiTheme="minorHAnsi" w:cstheme="minorBidi"/>
              <w:kern w:val="2"/>
              <w:sz w:val="24"/>
              <w:szCs w:val="24"/>
              <w14:ligatures w14:val="standardContextual"/>
            </w:rPr>
          </w:pPr>
          <w:hyperlink w:anchor="_Toc213078400" w:history="1">
            <w:r w:rsidR="001620AE" w:rsidRPr="00C544D4">
              <w:rPr>
                <w:rStyle w:val="Collegamentoipertestuale"/>
              </w:rPr>
              <w:t>7.1.1</w:t>
            </w:r>
            <w:r w:rsidR="001620AE">
              <w:rPr>
                <w:rFonts w:asciiTheme="minorHAnsi" w:eastAsiaTheme="minorEastAsia" w:hAnsiTheme="minorHAnsi" w:cstheme="minorBidi"/>
                <w:kern w:val="2"/>
                <w:sz w:val="24"/>
                <w:szCs w:val="24"/>
                <w14:ligatures w14:val="standardContextual"/>
              </w:rPr>
              <w:tab/>
            </w:r>
            <w:r w:rsidR="001620AE" w:rsidRPr="00C544D4">
              <w:rPr>
                <w:rStyle w:val="Collegamentoipertestuale"/>
              </w:rPr>
              <w:t>Metodologia e processo di assegnazione</w:t>
            </w:r>
            <w:r w:rsidR="001620AE">
              <w:rPr>
                <w:webHidden/>
              </w:rPr>
              <w:tab/>
            </w:r>
            <w:r w:rsidR="001620AE">
              <w:rPr>
                <w:webHidden/>
              </w:rPr>
              <w:fldChar w:fldCharType="begin"/>
            </w:r>
            <w:r w:rsidR="001620AE">
              <w:rPr>
                <w:webHidden/>
              </w:rPr>
              <w:instrText xml:space="preserve"> PAGEREF _Toc213078400 \h </w:instrText>
            </w:r>
            <w:r w:rsidR="001620AE">
              <w:rPr>
                <w:webHidden/>
              </w:rPr>
            </w:r>
            <w:r w:rsidR="001620AE">
              <w:rPr>
                <w:webHidden/>
              </w:rPr>
              <w:fldChar w:fldCharType="separate"/>
            </w:r>
            <w:r>
              <w:rPr>
                <w:webHidden/>
              </w:rPr>
              <w:t>111</w:t>
            </w:r>
            <w:r w:rsidR="001620AE">
              <w:rPr>
                <w:webHidden/>
              </w:rPr>
              <w:fldChar w:fldCharType="end"/>
            </w:r>
          </w:hyperlink>
        </w:p>
        <w:p w14:paraId="5E50F904" w14:textId="2986F478" w:rsidR="001620AE" w:rsidRDefault="00073B6D">
          <w:pPr>
            <w:pStyle w:val="Sommario3"/>
            <w:rPr>
              <w:rFonts w:asciiTheme="minorHAnsi" w:eastAsiaTheme="minorEastAsia" w:hAnsiTheme="minorHAnsi" w:cstheme="minorBidi"/>
              <w:kern w:val="2"/>
              <w:sz w:val="24"/>
              <w:szCs w:val="24"/>
              <w14:ligatures w14:val="standardContextual"/>
            </w:rPr>
          </w:pPr>
          <w:hyperlink w:anchor="_Toc213078401" w:history="1">
            <w:r w:rsidR="001620AE" w:rsidRPr="00C544D4">
              <w:rPr>
                <w:rStyle w:val="Collegamentoipertestuale"/>
              </w:rPr>
              <w:t>7.1.2</w:t>
            </w:r>
            <w:r w:rsidR="001620AE">
              <w:rPr>
                <w:rFonts w:asciiTheme="minorHAnsi" w:eastAsiaTheme="minorEastAsia" w:hAnsiTheme="minorHAnsi" w:cstheme="minorBidi"/>
                <w:kern w:val="2"/>
                <w:sz w:val="24"/>
                <w:szCs w:val="24"/>
                <w14:ligatures w14:val="standardContextual"/>
              </w:rPr>
              <w:tab/>
            </w:r>
            <w:r w:rsidR="001620AE" w:rsidRPr="00C544D4">
              <w:rPr>
                <w:rStyle w:val="Collegamentoipertestuale"/>
              </w:rPr>
              <w:t>Generazione degli scenari di assegnazione</w:t>
            </w:r>
            <w:r w:rsidR="001620AE">
              <w:rPr>
                <w:webHidden/>
              </w:rPr>
              <w:tab/>
            </w:r>
            <w:r w:rsidR="001620AE">
              <w:rPr>
                <w:webHidden/>
              </w:rPr>
              <w:fldChar w:fldCharType="begin"/>
            </w:r>
            <w:r w:rsidR="001620AE">
              <w:rPr>
                <w:webHidden/>
              </w:rPr>
              <w:instrText xml:space="preserve"> PAGEREF _Toc213078401 \h </w:instrText>
            </w:r>
            <w:r w:rsidR="001620AE">
              <w:rPr>
                <w:webHidden/>
              </w:rPr>
            </w:r>
            <w:r w:rsidR="001620AE">
              <w:rPr>
                <w:webHidden/>
              </w:rPr>
              <w:fldChar w:fldCharType="separate"/>
            </w:r>
            <w:r>
              <w:rPr>
                <w:webHidden/>
              </w:rPr>
              <w:t>115</w:t>
            </w:r>
            <w:r w:rsidR="001620AE">
              <w:rPr>
                <w:webHidden/>
              </w:rPr>
              <w:fldChar w:fldCharType="end"/>
            </w:r>
          </w:hyperlink>
        </w:p>
        <w:p w14:paraId="636E061D" w14:textId="51563103" w:rsidR="001620AE" w:rsidRDefault="00073B6D">
          <w:pPr>
            <w:pStyle w:val="Sommario3"/>
            <w:rPr>
              <w:rFonts w:asciiTheme="minorHAnsi" w:eastAsiaTheme="minorEastAsia" w:hAnsiTheme="minorHAnsi" w:cstheme="minorBidi"/>
              <w:kern w:val="2"/>
              <w:sz w:val="24"/>
              <w:szCs w:val="24"/>
              <w14:ligatures w14:val="standardContextual"/>
            </w:rPr>
          </w:pPr>
          <w:hyperlink w:anchor="_Toc213078402" w:history="1">
            <w:r w:rsidR="001620AE" w:rsidRPr="00C544D4">
              <w:rPr>
                <w:rStyle w:val="Collegamentoipertestuale"/>
              </w:rPr>
              <w:t>7.1.3</w:t>
            </w:r>
            <w:r w:rsidR="001620AE">
              <w:rPr>
                <w:rFonts w:asciiTheme="minorHAnsi" w:eastAsiaTheme="minorEastAsia" w:hAnsiTheme="minorHAnsi" w:cstheme="minorBidi"/>
                <w:kern w:val="2"/>
                <w:sz w:val="24"/>
                <w:szCs w:val="24"/>
                <w14:ligatures w14:val="standardContextual"/>
              </w:rPr>
              <w:tab/>
            </w:r>
            <w:r w:rsidR="001620AE" w:rsidRPr="00C544D4">
              <w:rPr>
                <w:rStyle w:val="Collegamentoipertestuale"/>
              </w:rPr>
              <w:t>Valutazione delle linee di inter-bacino</w:t>
            </w:r>
            <w:r w:rsidR="001620AE">
              <w:rPr>
                <w:webHidden/>
              </w:rPr>
              <w:tab/>
            </w:r>
            <w:r w:rsidR="001620AE">
              <w:rPr>
                <w:webHidden/>
              </w:rPr>
              <w:fldChar w:fldCharType="begin"/>
            </w:r>
            <w:r w:rsidR="001620AE">
              <w:rPr>
                <w:webHidden/>
              </w:rPr>
              <w:instrText xml:space="preserve"> PAGEREF _Toc213078402 \h </w:instrText>
            </w:r>
            <w:r w:rsidR="001620AE">
              <w:rPr>
                <w:webHidden/>
              </w:rPr>
            </w:r>
            <w:r w:rsidR="001620AE">
              <w:rPr>
                <w:webHidden/>
              </w:rPr>
              <w:fldChar w:fldCharType="separate"/>
            </w:r>
            <w:r>
              <w:rPr>
                <w:webHidden/>
              </w:rPr>
              <w:t>122</w:t>
            </w:r>
            <w:r w:rsidR="001620AE">
              <w:rPr>
                <w:webHidden/>
              </w:rPr>
              <w:fldChar w:fldCharType="end"/>
            </w:r>
          </w:hyperlink>
        </w:p>
        <w:p w14:paraId="0EED6373" w14:textId="79E0E632" w:rsidR="001620AE" w:rsidRDefault="00073B6D">
          <w:pPr>
            <w:pStyle w:val="Sommario2"/>
            <w:rPr>
              <w:rFonts w:asciiTheme="minorHAnsi" w:eastAsiaTheme="minorEastAsia" w:hAnsiTheme="minorHAnsi" w:cstheme="minorBidi"/>
              <w:noProof/>
              <w:kern w:val="2"/>
              <w:sz w:val="24"/>
              <w:szCs w:val="24"/>
              <w14:ligatures w14:val="standardContextual"/>
            </w:rPr>
          </w:pPr>
          <w:hyperlink w:anchor="_Toc213078403" w:history="1">
            <w:r w:rsidR="001620AE" w:rsidRPr="00C544D4">
              <w:rPr>
                <w:rStyle w:val="Collegamentoipertestuale"/>
                <w:noProof/>
              </w:rPr>
              <w:t>7.2</w:t>
            </w:r>
            <w:r w:rsidR="001620AE">
              <w:rPr>
                <w:rFonts w:asciiTheme="minorHAnsi" w:eastAsiaTheme="minorEastAsia" w:hAnsiTheme="minorHAnsi" w:cstheme="minorBidi"/>
                <w:noProof/>
                <w:kern w:val="2"/>
                <w:sz w:val="24"/>
                <w:szCs w:val="24"/>
                <w14:ligatures w14:val="standardContextual"/>
              </w:rPr>
              <w:tab/>
            </w:r>
            <w:r w:rsidR="001620AE" w:rsidRPr="00C544D4">
              <w:rPr>
                <w:rStyle w:val="Collegamentoipertestuale"/>
                <w:noProof/>
              </w:rPr>
              <w:t>Valutazioni sulle modalità di affidamento - indicazioni processo di consultazioni</w:t>
            </w:r>
            <w:r w:rsidR="001620AE">
              <w:rPr>
                <w:noProof/>
                <w:webHidden/>
              </w:rPr>
              <w:tab/>
            </w:r>
            <w:r w:rsidR="001620AE">
              <w:rPr>
                <w:noProof/>
                <w:webHidden/>
              </w:rPr>
              <w:fldChar w:fldCharType="begin"/>
            </w:r>
            <w:r w:rsidR="001620AE">
              <w:rPr>
                <w:noProof/>
                <w:webHidden/>
              </w:rPr>
              <w:instrText xml:space="preserve"> PAGEREF _Toc213078403 \h </w:instrText>
            </w:r>
            <w:r w:rsidR="001620AE">
              <w:rPr>
                <w:noProof/>
                <w:webHidden/>
              </w:rPr>
            </w:r>
            <w:r w:rsidR="001620AE">
              <w:rPr>
                <w:noProof/>
                <w:webHidden/>
              </w:rPr>
              <w:fldChar w:fldCharType="separate"/>
            </w:r>
            <w:r>
              <w:rPr>
                <w:noProof/>
                <w:webHidden/>
              </w:rPr>
              <w:t>124</w:t>
            </w:r>
            <w:r w:rsidR="001620AE">
              <w:rPr>
                <w:noProof/>
                <w:webHidden/>
              </w:rPr>
              <w:fldChar w:fldCharType="end"/>
            </w:r>
          </w:hyperlink>
        </w:p>
        <w:p w14:paraId="440CEF3F" w14:textId="4DC67062" w:rsidR="001620AE" w:rsidRDefault="00073B6D">
          <w:pPr>
            <w:pStyle w:val="Sommario3"/>
            <w:rPr>
              <w:rFonts w:asciiTheme="minorHAnsi" w:eastAsiaTheme="minorEastAsia" w:hAnsiTheme="minorHAnsi" w:cstheme="minorBidi"/>
              <w:kern w:val="2"/>
              <w:sz w:val="24"/>
              <w:szCs w:val="24"/>
              <w14:ligatures w14:val="standardContextual"/>
            </w:rPr>
          </w:pPr>
          <w:hyperlink w:anchor="_Toc213078404" w:history="1">
            <w:r w:rsidR="001620AE" w:rsidRPr="00C544D4">
              <w:rPr>
                <w:rStyle w:val="Collegamentoipertestuale"/>
              </w:rPr>
              <w:t>7.2.1</w:t>
            </w:r>
            <w:r w:rsidR="001620AE">
              <w:rPr>
                <w:rFonts w:asciiTheme="minorHAnsi" w:eastAsiaTheme="minorEastAsia" w:hAnsiTheme="minorHAnsi" w:cstheme="minorBidi"/>
                <w:kern w:val="2"/>
                <w:sz w:val="24"/>
                <w:szCs w:val="24"/>
                <w14:ligatures w14:val="standardContextual"/>
              </w:rPr>
              <w:tab/>
            </w:r>
            <w:r w:rsidR="001620AE" w:rsidRPr="00C544D4">
              <w:rPr>
                <w:rStyle w:val="Collegamentoipertestuale"/>
                <w:rFonts w:eastAsia="Calibri" w:cs="Calibri"/>
                <w:iCs/>
              </w:rPr>
              <w:t>Valutazioni istruttorie affidamento in-house</w:t>
            </w:r>
            <w:r w:rsidR="001620AE">
              <w:rPr>
                <w:webHidden/>
              </w:rPr>
              <w:tab/>
            </w:r>
            <w:r w:rsidR="001620AE">
              <w:rPr>
                <w:webHidden/>
              </w:rPr>
              <w:fldChar w:fldCharType="begin"/>
            </w:r>
            <w:r w:rsidR="001620AE">
              <w:rPr>
                <w:webHidden/>
              </w:rPr>
              <w:instrText xml:space="preserve"> PAGEREF _Toc213078404 \h </w:instrText>
            </w:r>
            <w:r w:rsidR="001620AE">
              <w:rPr>
                <w:webHidden/>
              </w:rPr>
            </w:r>
            <w:r w:rsidR="001620AE">
              <w:rPr>
                <w:webHidden/>
              </w:rPr>
              <w:fldChar w:fldCharType="separate"/>
            </w:r>
            <w:r>
              <w:rPr>
                <w:webHidden/>
              </w:rPr>
              <w:t>125</w:t>
            </w:r>
            <w:r w:rsidR="001620AE">
              <w:rPr>
                <w:webHidden/>
              </w:rPr>
              <w:fldChar w:fldCharType="end"/>
            </w:r>
          </w:hyperlink>
        </w:p>
        <w:p w14:paraId="3F430DC4" w14:textId="2CA78D94" w:rsidR="001620AE" w:rsidRDefault="00073B6D">
          <w:pPr>
            <w:pStyle w:val="Sommario3"/>
            <w:rPr>
              <w:rFonts w:asciiTheme="minorHAnsi" w:eastAsiaTheme="minorEastAsia" w:hAnsiTheme="minorHAnsi" w:cstheme="minorBidi"/>
              <w:kern w:val="2"/>
              <w:sz w:val="24"/>
              <w:szCs w:val="24"/>
              <w14:ligatures w14:val="standardContextual"/>
            </w:rPr>
          </w:pPr>
          <w:hyperlink w:anchor="_Toc213078405" w:history="1">
            <w:r w:rsidR="001620AE" w:rsidRPr="00C544D4">
              <w:rPr>
                <w:rStyle w:val="Collegamentoipertestuale"/>
                <w:rFonts w:eastAsia="Calibri" w:cs="Calibri"/>
              </w:rPr>
              <w:t>7.2.2</w:t>
            </w:r>
            <w:r w:rsidR="001620AE">
              <w:rPr>
                <w:rFonts w:asciiTheme="minorHAnsi" w:eastAsiaTheme="minorEastAsia" w:hAnsiTheme="minorHAnsi" w:cstheme="minorBidi"/>
                <w:kern w:val="2"/>
                <w:sz w:val="24"/>
                <w:szCs w:val="24"/>
                <w14:ligatures w14:val="standardContextual"/>
              </w:rPr>
              <w:tab/>
            </w:r>
            <w:r w:rsidR="001620AE" w:rsidRPr="00C544D4">
              <w:rPr>
                <w:rStyle w:val="Collegamentoipertestuale"/>
                <w:rFonts w:eastAsia="Calibri" w:cs="Calibri"/>
              </w:rPr>
              <w:t>Verifica requisiti affidamenti in-house – Controllo analogo</w:t>
            </w:r>
            <w:r w:rsidR="001620AE">
              <w:rPr>
                <w:webHidden/>
              </w:rPr>
              <w:tab/>
            </w:r>
            <w:r w:rsidR="001620AE">
              <w:rPr>
                <w:webHidden/>
              </w:rPr>
              <w:fldChar w:fldCharType="begin"/>
            </w:r>
            <w:r w:rsidR="001620AE">
              <w:rPr>
                <w:webHidden/>
              </w:rPr>
              <w:instrText xml:space="preserve"> PAGEREF _Toc213078405 \h </w:instrText>
            </w:r>
            <w:r w:rsidR="001620AE">
              <w:rPr>
                <w:webHidden/>
              </w:rPr>
            </w:r>
            <w:r w:rsidR="001620AE">
              <w:rPr>
                <w:webHidden/>
              </w:rPr>
              <w:fldChar w:fldCharType="separate"/>
            </w:r>
            <w:r>
              <w:rPr>
                <w:webHidden/>
              </w:rPr>
              <w:t>128</w:t>
            </w:r>
            <w:r w:rsidR="001620AE">
              <w:rPr>
                <w:webHidden/>
              </w:rPr>
              <w:fldChar w:fldCharType="end"/>
            </w:r>
          </w:hyperlink>
        </w:p>
        <w:p w14:paraId="0A73F5CB" w14:textId="1B135F96" w:rsidR="001620AE" w:rsidRDefault="00073B6D">
          <w:pPr>
            <w:pStyle w:val="Sommario3"/>
            <w:rPr>
              <w:rFonts w:asciiTheme="minorHAnsi" w:eastAsiaTheme="minorEastAsia" w:hAnsiTheme="minorHAnsi" w:cstheme="minorBidi"/>
              <w:kern w:val="2"/>
              <w:sz w:val="24"/>
              <w:szCs w:val="24"/>
              <w14:ligatures w14:val="standardContextual"/>
            </w:rPr>
          </w:pPr>
          <w:hyperlink w:anchor="_Toc213078406" w:history="1">
            <w:r w:rsidR="001620AE" w:rsidRPr="00C544D4">
              <w:rPr>
                <w:rStyle w:val="Collegamentoipertestuale"/>
                <w:rFonts w:eastAsia="Calibri" w:cs="Calibri"/>
                <w:iCs/>
              </w:rPr>
              <w:t>7.2.3</w:t>
            </w:r>
            <w:r w:rsidR="001620AE">
              <w:rPr>
                <w:rFonts w:asciiTheme="minorHAnsi" w:eastAsiaTheme="minorEastAsia" w:hAnsiTheme="minorHAnsi" w:cstheme="minorBidi"/>
                <w:kern w:val="2"/>
                <w:sz w:val="24"/>
                <w:szCs w:val="24"/>
                <w14:ligatures w14:val="standardContextual"/>
              </w:rPr>
              <w:tab/>
            </w:r>
            <w:r w:rsidR="001620AE" w:rsidRPr="00C544D4">
              <w:rPr>
                <w:rStyle w:val="Collegamentoipertestuale"/>
                <w:rFonts w:eastAsia="Calibri" w:cs="Calibri"/>
                <w:iCs/>
              </w:rPr>
              <w:t>Verifica requisiti affidamenti in-house – Pregresse gestioni</w:t>
            </w:r>
            <w:r w:rsidR="001620AE">
              <w:rPr>
                <w:webHidden/>
              </w:rPr>
              <w:tab/>
            </w:r>
            <w:r w:rsidR="001620AE">
              <w:rPr>
                <w:webHidden/>
              </w:rPr>
              <w:fldChar w:fldCharType="begin"/>
            </w:r>
            <w:r w:rsidR="001620AE">
              <w:rPr>
                <w:webHidden/>
              </w:rPr>
              <w:instrText xml:space="preserve"> PAGEREF _Toc213078406 \h </w:instrText>
            </w:r>
            <w:r w:rsidR="001620AE">
              <w:rPr>
                <w:webHidden/>
              </w:rPr>
            </w:r>
            <w:r w:rsidR="001620AE">
              <w:rPr>
                <w:webHidden/>
              </w:rPr>
              <w:fldChar w:fldCharType="separate"/>
            </w:r>
            <w:r>
              <w:rPr>
                <w:webHidden/>
              </w:rPr>
              <w:t>131</w:t>
            </w:r>
            <w:r w:rsidR="001620AE">
              <w:rPr>
                <w:webHidden/>
              </w:rPr>
              <w:fldChar w:fldCharType="end"/>
            </w:r>
          </w:hyperlink>
        </w:p>
        <w:p w14:paraId="1DA91B34" w14:textId="1F2295BA" w:rsidR="001620AE" w:rsidRDefault="00073B6D">
          <w:pPr>
            <w:pStyle w:val="Sommario2"/>
            <w:rPr>
              <w:rFonts w:asciiTheme="minorHAnsi" w:eastAsiaTheme="minorEastAsia" w:hAnsiTheme="minorHAnsi" w:cstheme="minorBidi"/>
              <w:noProof/>
              <w:kern w:val="2"/>
              <w:sz w:val="24"/>
              <w:szCs w:val="24"/>
              <w14:ligatures w14:val="standardContextual"/>
            </w:rPr>
          </w:pPr>
          <w:hyperlink w:anchor="_Toc213078407" w:history="1">
            <w:r w:rsidR="001620AE" w:rsidRPr="00C544D4">
              <w:rPr>
                <w:rStyle w:val="Collegamentoipertestuale"/>
                <w:noProof/>
              </w:rPr>
              <w:t>7.3</w:t>
            </w:r>
            <w:r w:rsidR="001620AE">
              <w:rPr>
                <w:rFonts w:asciiTheme="minorHAnsi" w:eastAsiaTheme="minorEastAsia" w:hAnsiTheme="minorHAnsi" w:cstheme="minorBidi"/>
                <w:noProof/>
                <w:kern w:val="2"/>
                <w:sz w:val="24"/>
                <w:szCs w:val="24"/>
                <w14:ligatures w14:val="standardContextual"/>
              </w:rPr>
              <w:tab/>
            </w:r>
            <w:r w:rsidR="001620AE" w:rsidRPr="00C544D4">
              <w:rPr>
                <w:rStyle w:val="Collegamentoipertestuale"/>
                <w:noProof/>
              </w:rPr>
              <w:t>Valutazioni economiche per la suddivisione dei lotti</w:t>
            </w:r>
            <w:r w:rsidR="001620AE">
              <w:rPr>
                <w:noProof/>
                <w:webHidden/>
              </w:rPr>
              <w:tab/>
            </w:r>
            <w:r w:rsidR="001620AE">
              <w:rPr>
                <w:noProof/>
                <w:webHidden/>
              </w:rPr>
              <w:fldChar w:fldCharType="begin"/>
            </w:r>
            <w:r w:rsidR="001620AE">
              <w:rPr>
                <w:noProof/>
                <w:webHidden/>
              </w:rPr>
              <w:instrText xml:space="preserve"> PAGEREF _Toc213078407 \h </w:instrText>
            </w:r>
            <w:r w:rsidR="001620AE">
              <w:rPr>
                <w:noProof/>
                <w:webHidden/>
              </w:rPr>
            </w:r>
            <w:r w:rsidR="001620AE">
              <w:rPr>
                <w:noProof/>
                <w:webHidden/>
              </w:rPr>
              <w:fldChar w:fldCharType="separate"/>
            </w:r>
            <w:r>
              <w:rPr>
                <w:noProof/>
                <w:webHidden/>
              </w:rPr>
              <w:t>134</w:t>
            </w:r>
            <w:r w:rsidR="001620AE">
              <w:rPr>
                <w:noProof/>
                <w:webHidden/>
              </w:rPr>
              <w:fldChar w:fldCharType="end"/>
            </w:r>
          </w:hyperlink>
        </w:p>
        <w:p w14:paraId="7B85650A" w14:textId="254450D5" w:rsidR="001620AE" w:rsidRDefault="00073B6D">
          <w:pPr>
            <w:pStyle w:val="Sommario3"/>
            <w:rPr>
              <w:rFonts w:asciiTheme="minorHAnsi" w:eastAsiaTheme="minorEastAsia" w:hAnsiTheme="minorHAnsi" w:cstheme="minorBidi"/>
              <w:kern w:val="2"/>
              <w:sz w:val="24"/>
              <w:szCs w:val="24"/>
              <w14:ligatures w14:val="standardContextual"/>
            </w:rPr>
          </w:pPr>
          <w:hyperlink w:anchor="_Toc213078408" w:history="1">
            <w:r w:rsidR="001620AE" w:rsidRPr="00C544D4">
              <w:rPr>
                <w:rStyle w:val="Collegamentoipertestuale"/>
              </w:rPr>
              <w:t>7.3.1</w:t>
            </w:r>
            <w:r w:rsidR="001620AE">
              <w:rPr>
                <w:rFonts w:asciiTheme="minorHAnsi" w:eastAsiaTheme="minorEastAsia" w:hAnsiTheme="minorHAnsi" w:cstheme="minorBidi"/>
                <w:kern w:val="2"/>
                <w:sz w:val="24"/>
                <w:szCs w:val="24"/>
                <w14:ligatures w14:val="standardContextual"/>
              </w:rPr>
              <w:tab/>
            </w:r>
            <w:r w:rsidR="001620AE" w:rsidRPr="00C544D4">
              <w:rPr>
                <w:rStyle w:val="Collegamentoipertestuale"/>
              </w:rPr>
              <w:t>Valutazione dei servizi a chiamata</w:t>
            </w:r>
            <w:r w:rsidR="001620AE">
              <w:rPr>
                <w:webHidden/>
              </w:rPr>
              <w:tab/>
            </w:r>
            <w:r w:rsidR="001620AE">
              <w:rPr>
                <w:webHidden/>
              </w:rPr>
              <w:fldChar w:fldCharType="begin"/>
            </w:r>
            <w:r w:rsidR="001620AE">
              <w:rPr>
                <w:webHidden/>
              </w:rPr>
              <w:instrText xml:space="preserve"> PAGEREF _Toc213078408 \h </w:instrText>
            </w:r>
            <w:r w:rsidR="001620AE">
              <w:rPr>
                <w:webHidden/>
              </w:rPr>
            </w:r>
            <w:r w:rsidR="001620AE">
              <w:rPr>
                <w:webHidden/>
              </w:rPr>
              <w:fldChar w:fldCharType="separate"/>
            </w:r>
            <w:r>
              <w:rPr>
                <w:webHidden/>
              </w:rPr>
              <w:t>140</w:t>
            </w:r>
            <w:r w:rsidR="001620AE">
              <w:rPr>
                <w:webHidden/>
              </w:rPr>
              <w:fldChar w:fldCharType="end"/>
            </w:r>
          </w:hyperlink>
        </w:p>
        <w:p w14:paraId="478237F4" w14:textId="7F91CACD" w:rsidR="001620AE" w:rsidRDefault="00073B6D">
          <w:pPr>
            <w:pStyle w:val="Sommario2"/>
            <w:rPr>
              <w:rFonts w:asciiTheme="minorHAnsi" w:eastAsiaTheme="minorEastAsia" w:hAnsiTheme="minorHAnsi" w:cstheme="minorBidi"/>
              <w:noProof/>
              <w:kern w:val="2"/>
              <w:sz w:val="24"/>
              <w:szCs w:val="24"/>
              <w14:ligatures w14:val="standardContextual"/>
            </w:rPr>
          </w:pPr>
          <w:hyperlink w:anchor="_Toc213078409" w:history="1">
            <w:r w:rsidR="001620AE" w:rsidRPr="00C544D4">
              <w:rPr>
                <w:rStyle w:val="Collegamentoipertestuale"/>
                <w:noProof/>
              </w:rPr>
              <w:t>7.4</w:t>
            </w:r>
            <w:r w:rsidR="001620AE">
              <w:rPr>
                <w:rFonts w:asciiTheme="minorHAnsi" w:eastAsiaTheme="minorEastAsia" w:hAnsiTheme="minorHAnsi" w:cstheme="minorBidi"/>
                <w:noProof/>
                <w:kern w:val="2"/>
                <w:sz w:val="24"/>
                <w:szCs w:val="24"/>
                <w14:ligatures w14:val="standardContextual"/>
              </w:rPr>
              <w:tab/>
            </w:r>
            <w:r w:rsidR="001620AE" w:rsidRPr="00C544D4">
              <w:rPr>
                <w:rStyle w:val="Collegamentoipertestuale"/>
                <w:noProof/>
              </w:rPr>
              <w:t>Valutazioni sulla contendibilità dei lotti</w:t>
            </w:r>
            <w:r w:rsidR="001620AE">
              <w:rPr>
                <w:noProof/>
                <w:webHidden/>
              </w:rPr>
              <w:tab/>
            </w:r>
            <w:r w:rsidR="001620AE">
              <w:rPr>
                <w:noProof/>
                <w:webHidden/>
              </w:rPr>
              <w:fldChar w:fldCharType="begin"/>
            </w:r>
            <w:r w:rsidR="001620AE">
              <w:rPr>
                <w:noProof/>
                <w:webHidden/>
              </w:rPr>
              <w:instrText xml:space="preserve"> PAGEREF _Toc213078409 \h </w:instrText>
            </w:r>
            <w:r w:rsidR="001620AE">
              <w:rPr>
                <w:noProof/>
                <w:webHidden/>
              </w:rPr>
            </w:r>
            <w:r w:rsidR="001620AE">
              <w:rPr>
                <w:noProof/>
                <w:webHidden/>
              </w:rPr>
              <w:fldChar w:fldCharType="separate"/>
            </w:r>
            <w:r>
              <w:rPr>
                <w:noProof/>
                <w:webHidden/>
              </w:rPr>
              <w:t>141</w:t>
            </w:r>
            <w:r w:rsidR="001620AE">
              <w:rPr>
                <w:noProof/>
                <w:webHidden/>
              </w:rPr>
              <w:fldChar w:fldCharType="end"/>
            </w:r>
          </w:hyperlink>
        </w:p>
        <w:p w14:paraId="69A96747" w14:textId="75A236AB" w:rsidR="001620AE" w:rsidRDefault="00073B6D">
          <w:pPr>
            <w:pStyle w:val="Sommario3"/>
            <w:rPr>
              <w:rFonts w:asciiTheme="minorHAnsi" w:eastAsiaTheme="minorEastAsia" w:hAnsiTheme="minorHAnsi" w:cstheme="minorBidi"/>
              <w:kern w:val="2"/>
              <w:sz w:val="24"/>
              <w:szCs w:val="24"/>
              <w14:ligatures w14:val="standardContextual"/>
            </w:rPr>
          </w:pPr>
          <w:hyperlink w:anchor="_Toc213078410" w:history="1">
            <w:r w:rsidR="001620AE" w:rsidRPr="00C544D4">
              <w:rPr>
                <w:rStyle w:val="Collegamentoipertestuale"/>
              </w:rPr>
              <w:t>7.4.1</w:t>
            </w:r>
            <w:r w:rsidR="001620AE">
              <w:rPr>
                <w:rFonts w:asciiTheme="minorHAnsi" w:eastAsiaTheme="minorEastAsia" w:hAnsiTheme="minorHAnsi" w:cstheme="minorBidi"/>
                <w:kern w:val="2"/>
                <w:sz w:val="24"/>
                <w:szCs w:val="24"/>
                <w14:ligatures w14:val="standardContextual"/>
              </w:rPr>
              <w:tab/>
            </w:r>
            <w:r w:rsidR="001620AE" w:rsidRPr="00C544D4">
              <w:rPr>
                <w:rStyle w:val="Collegamentoipertestuale"/>
              </w:rPr>
              <w:t>Valutazioni sugli operatori di mercato</w:t>
            </w:r>
            <w:r w:rsidR="001620AE">
              <w:rPr>
                <w:webHidden/>
              </w:rPr>
              <w:tab/>
            </w:r>
            <w:r w:rsidR="001620AE">
              <w:rPr>
                <w:webHidden/>
              </w:rPr>
              <w:fldChar w:fldCharType="begin"/>
            </w:r>
            <w:r w:rsidR="001620AE">
              <w:rPr>
                <w:webHidden/>
              </w:rPr>
              <w:instrText xml:space="preserve"> PAGEREF _Toc213078410 \h </w:instrText>
            </w:r>
            <w:r w:rsidR="001620AE">
              <w:rPr>
                <w:webHidden/>
              </w:rPr>
            </w:r>
            <w:r w:rsidR="001620AE">
              <w:rPr>
                <w:webHidden/>
              </w:rPr>
              <w:fldChar w:fldCharType="separate"/>
            </w:r>
            <w:r>
              <w:rPr>
                <w:webHidden/>
              </w:rPr>
              <w:t>141</w:t>
            </w:r>
            <w:r w:rsidR="001620AE">
              <w:rPr>
                <w:webHidden/>
              </w:rPr>
              <w:fldChar w:fldCharType="end"/>
            </w:r>
          </w:hyperlink>
        </w:p>
        <w:p w14:paraId="22EBEE41" w14:textId="1A417D51" w:rsidR="001620AE" w:rsidRDefault="00073B6D">
          <w:pPr>
            <w:pStyle w:val="Sommario3"/>
            <w:rPr>
              <w:rFonts w:asciiTheme="minorHAnsi" w:eastAsiaTheme="minorEastAsia" w:hAnsiTheme="minorHAnsi" w:cstheme="minorBidi"/>
              <w:kern w:val="2"/>
              <w:sz w:val="24"/>
              <w:szCs w:val="24"/>
              <w14:ligatures w14:val="standardContextual"/>
            </w:rPr>
          </w:pPr>
          <w:hyperlink w:anchor="_Toc213078411" w:history="1">
            <w:r w:rsidR="001620AE" w:rsidRPr="00C544D4">
              <w:rPr>
                <w:rStyle w:val="Collegamentoipertestuale"/>
              </w:rPr>
              <w:t>7.4.2</w:t>
            </w:r>
            <w:r w:rsidR="001620AE">
              <w:rPr>
                <w:rFonts w:asciiTheme="minorHAnsi" w:eastAsiaTheme="minorEastAsia" w:hAnsiTheme="minorHAnsi" w:cstheme="minorBidi"/>
                <w:kern w:val="2"/>
                <w:sz w:val="24"/>
                <w:szCs w:val="24"/>
                <w14:ligatures w14:val="standardContextual"/>
              </w:rPr>
              <w:tab/>
            </w:r>
            <w:r w:rsidR="001620AE" w:rsidRPr="00C544D4">
              <w:rPr>
                <w:rStyle w:val="Collegamentoipertestuale"/>
              </w:rPr>
              <w:t>Processo di consultazione - indicazioni sulla dimensione dei lotti</w:t>
            </w:r>
            <w:r w:rsidR="001620AE">
              <w:rPr>
                <w:webHidden/>
              </w:rPr>
              <w:tab/>
            </w:r>
            <w:r w:rsidR="001620AE">
              <w:rPr>
                <w:webHidden/>
              </w:rPr>
              <w:fldChar w:fldCharType="begin"/>
            </w:r>
            <w:r w:rsidR="001620AE">
              <w:rPr>
                <w:webHidden/>
              </w:rPr>
              <w:instrText xml:space="preserve"> PAGEREF _Toc213078411 \h </w:instrText>
            </w:r>
            <w:r w:rsidR="001620AE">
              <w:rPr>
                <w:webHidden/>
              </w:rPr>
            </w:r>
            <w:r w:rsidR="001620AE">
              <w:rPr>
                <w:webHidden/>
              </w:rPr>
              <w:fldChar w:fldCharType="separate"/>
            </w:r>
            <w:r>
              <w:rPr>
                <w:webHidden/>
              </w:rPr>
              <w:t>145</w:t>
            </w:r>
            <w:r w:rsidR="001620AE">
              <w:rPr>
                <w:webHidden/>
              </w:rPr>
              <w:fldChar w:fldCharType="end"/>
            </w:r>
          </w:hyperlink>
        </w:p>
        <w:p w14:paraId="501FF6D3" w14:textId="5D204D6A" w:rsidR="001620AE" w:rsidRDefault="00073B6D">
          <w:pPr>
            <w:pStyle w:val="Sommario3"/>
            <w:rPr>
              <w:rFonts w:asciiTheme="minorHAnsi" w:eastAsiaTheme="minorEastAsia" w:hAnsiTheme="minorHAnsi" w:cstheme="minorBidi"/>
              <w:kern w:val="2"/>
              <w:sz w:val="24"/>
              <w:szCs w:val="24"/>
              <w14:ligatures w14:val="standardContextual"/>
            </w:rPr>
          </w:pPr>
          <w:hyperlink w:anchor="_Toc213078412" w:history="1">
            <w:r w:rsidR="001620AE" w:rsidRPr="00C544D4">
              <w:rPr>
                <w:rStyle w:val="Collegamentoipertestuale"/>
              </w:rPr>
              <w:t>7.4.3</w:t>
            </w:r>
            <w:r w:rsidR="001620AE">
              <w:rPr>
                <w:rFonts w:asciiTheme="minorHAnsi" w:eastAsiaTheme="minorEastAsia" w:hAnsiTheme="minorHAnsi" w:cstheme="minorBidi"/>
                <w:kern w:val="2"/>
                <w:sz w:val="24"/>
                <w:szCs w:val="24"/>
                <w14:ligatures w14:val="standardContextual"/>
              </w:rPr>
              <w:tab/>
            </w:r>
            <w:r w:rsidR="001620AE" w:rsidRPr="00C544D4">
              <w:rPr>
                <w:rStyle w:val="Collegamentoipertestuale"/>
              </w:rPr>
              <w:t>Barriere alla contendibilità dei lotti</w:t>
            </w:r>
            <w:r w:rsidR="001620AE">
              <w:rPr>
                <w:webHidden/>
              </w:rPr>
              <w:tab/>
            </w:r>
            <w:r w:rsidR="001620AE">
              <w:rPr>
                <w:webHidden/>
              </w:rPr>
              <w:fldChar w:fldCharType="begin"/>
            </w:r>
            <w:r w:rsidR="001620AE">
              <w:rPr>
                <w:webHidden/>
              </w:rPr>
              <w:instrText xml:space="preserve"> PAGEREF _Toc213078412 \h </w:instrText>
            </w:r>
            <w:r w:rsidR="001620AE">
              <w:rPr>
                <w:webHidden/>
              </w:rPr>
            </w:r>
            <w:r w:rsidR="001620AE">
              <w:rPr>
                <w:webHidden/>
              </w:rPr>
              <w:fldChar w:fldCharType="separate"/>
            </w:r>
            <w:r>
              <w:rPr>
                <w:webHidden/>
              </w:rPr>
              <w:t>147</w:t>
            </w:r>
            <w:r w:rsidR="001620AE">
              <w:rPr>
                <w:webHidden/>
              </w:rPr>
              <w:fldChar w:fldCharType="end"/>
            </w:r>
          </w:hyperlink>
        </w:p>
        <w:p w14:paraId="754CD3DE" w14:textId="26A17B39" w:rsidR="001620AE" w:rsidRDefault="00073B6D">
          <w:pPr>
            <w:pStyle w:val="Sommario2"/>
            <w:rPr>
              <w:rFonts w:asciiTheme="minorHAnsi" w:eastAsiaTheme="minorEastAsia" w:hAnsiTheme="minorHAnsi" w:cstheme="minorBidi"/>
              <w:noProof/>
              <w:kern w:val="2"/>
              <w:sz w:val="24"/>
              <w:szCs w:val="24"/>
              <w14:ligatures w14:val="standardContextual"/>
            </w:rPr>
          </w:pPr>
          <w:hyperlink w:anchor="_Toc213078413" w:history="1">
            <w:r w:rsidR="001620AE" w:rsidRPr="00C544D4">
              <w:rPr>
                <w:rStyle w:val="Collegamentoipertestuale"/>
                <w:noProof/>
              </w:rPr>
              <w:t>7.5</w:t>
            </w:r>
            <w:r w:rsidR="001620AE">
              <w:rPr>
                <w:rFonts w:asciiTheme="minorHAnsi" w:eastAsiaTheme="minorEastAsia" w:hAnsiTheme="minorHAnsi" w:cstheme="minorBidi"/>
                <w:noProof/>
                <w:kern w:val="2"/>
                <w:sz w:val="24"/>
                <w:szCs w:val="24"/>
                <w14:ligatures w14:val="standardContextual"/>
              </w:rPr>
              <w:tab/>
            </w:r>
            <w:r w:rsidR="001620AE" w:rsidRPr="00C544D4">
              <w:rPr>
                <w:rStyle w:val="Collegamentoipertestuale"/>
                <w:noProof/>
              </w:rPr>
              <w:t>Configurazione dei lotti</w:t>
            </w:r>
            <w:r w:rsidR="001620AE">
              <w:rPr>
                <w:noProof/>
                <w:webHidden/>
              </w:rPr>
              <w:tab/>
            </w:r>
            <w:r w:rsidR="001620AE">
              <w:rPr>
                <w:noProof/>
                <w:webHidden/>
              </w:rPr>
              <w:fldChar w:fldCharType="begin"/>
            </w:r>
            <w:r w:rsidR="001620AE">
              <w:rPr>
                <w:noProof/>
                <w:webHidden/>
              </w:rPr>
              <w:instrText xml:space="preserve"> PAGEREF _Toc213078413 \h </w:instrText>
            </w:r>
            <w:r w:rsidR="001620AE">
              <w:rPr>
                <w:noProof/>
                <w:webHidden/>
              </w:rPr>
            </w:r>
            <w:r w:rsidR="001620AE">
              <w:rPr>
                <w:noProof/>
                <w:webHidden/>
              </w:rPr>
              <w:fldChar w:fldCharType="separate"/>
            </w:r>
            <w:r>
              <w:rPr>
                <w:noProof/>
                <w:webHidden/>
              </w:rPr>
              <w:t>148</w:t>
            </w:r>
            <w:r w:rsidR="001620AE">
              <w:rPr>
                <w:noProof/>
                <w:webHidden/>
              </w:rPr>
              <w:fldChar w:fldCharType="end"/>
            </w:r>
          </w:hyperlink>
        </w:p>
        <w:p w14:paraId="1F68D5F9" w14:textId="701E361D" w:rsidR="001620AE" w:rsidRDefault="00073B6D">
          <w:pPr>
            <w:pStyle w:val="Sommario3"/>
            <w:rPr>
              <w:rFonts w:asciiTheme="minorHAnsi" w:eastAsiaTheme="minorEastAsia" w:hAnsiTheme="minorHAnsi" w:cstheme="minorBidi"/>
              <w:kern w:val="2"/>
              <w:sz w:val="24"/>
              <w:szCs w:val="24"/>
              <w14:ligatures w14:val="standardContextual"/>
            </w:rPr>
          </w:pPr>
          <w:hyperlink w:anchor="_Toc213078414" w:history="1">
            <w:r w:rsidR="001620AE" w:rsidRPr="00C544D4">
              <w:rPr>
                <w:rStyle w:val="Collegamentoipertestuale"/>
              </w:rPr>
              <w:t>7.5.1</w:t>
            </w:r>
            <w:r w:rsidR="001620AE">
              <w:rPr>
                <w:rFonts w:asciiTheme="minorHAnsi" w:eastAsiaTheme="minorEastAsia" w:hAnsiTheme="minorHAnsi" w:cstheme="minorBidi"/>
                <w:kern w:val="2"/>
                <w:sz w:val="24"/>
                <w:szCs w:val="24"/>
                <w14:ligatures w14:val="standardContextual"/>
              </w:rPr>
              <w:tab/>
            </w:r>
            <w:r w:rsidR="001620AE" w:rsidRPr="00C544D4">
              <w:rPr>
                <w:rStyle w:val="Collegamentoipertestuale"/>
              </w:rPr>
              <w:t>Alternative prese in considerazione</w:t>
            </w:r>
            <w:r w:rsidR="001620AE">
              <w:rPr>
                <w:webHidden/>
              </w:rPr>
              <w:tab/>
            </w:r>
            <w:r w:rsidR="001620AE">
              <w:rPr>
                <w:webHidden/>
              </w:rPr>
              <w:fldChar w:fldCharType="begin"/>
            </w:r>
            <w:r w:rsidR="001620AE">
              <w:rPr>
                <w:webHidden/>
              </w:rPr>
              <w:instrText xml:space="preserve"> PAGEREF _Toc213078414 \h </w:instrText>
            </w:r>
            <w:r w:rsidR="001620AE">
              <w:rPr>
                <w:webHidden/>
              </w:rPr>
            </w:r>
            <w:r w:rsidR="001620AE">
              <w:rPr>
                <w:webHidden/>
              </w:rPr>
              <w:fldChar w:fldCharType="separate"/>
            </w:r>
            <w:r>
              <w:rPr>
                <w:webHidden/>
              </w:rPr>
              <w:t>148</w:t>
            </w:r>
            <w:r w:rsidR="001620AE">
              <w:rPr>
                <w:webHidden/>
              </w:rPr>
              <w:fldChar w:fldCharType="end"/>
            </w:r>
          </w:hyperlink>
        </w:p>
        <w:p w14:paraId="13E581B5" w14:textId="23E5B95B" w:rsidR="001620AE" w:rsidRDefault="00073B6D">
          <w:pPr>
            <w:pStyle w:val="Sommario3"/>
            <w:rPr>
              <w:rFonts w:asciiTheme="minorHAnsi" w:eastAsiaTheme="minorEastAsia" w:hAnsiTheme="minorHAnsi" w:cstheme="minorBidi"/>
              <w:kern w:val="2"/>
              <w:sz w:val="24"/>
              <w:szCs w:val="24"/>
              <w14:ligatures w14:val="standardContextual"/>
            </w:rPr>
          </w:pPr>
          <w:hyperlink w:anchor="_Toc213078415" w:history="1">
            <w:r w:rsidR="001620AE" w:rsidRPr="00C544D4">
              <w:rPr>
                <w:rStyle w:val="Collegamentoipertestuale"/>
              </w:rPr>
              <w:t>7.5.2</w:t>
            </w:r>
            <w:r w:rsidR="001620AE">
              <w:rPr>
                <w:rFonts w:asciiTheme="minorHAnsi" w:eastAsiaTheme="minorEastAsia" w:hAnsiTheme="minorHAnsi" w:cstheme="minorBidi"/>
                <w:kern w:val="2"/>
                <w:sz w:val="24"/>
                <w:szCs w:val="24"/>
                <w14:ligatures w14:val="standardContextual"/>
              </w:rPr>
              <w:tab/>
            </w:r>
            <w:r w:rsidR="001620AE" w:rsidRPr="00C544D4">
              <w:rPr>
                <w:rStyle w:val="Collegamentoipertestuale"/>
              </w:rPr>
              <w:t>Analisi costo standard</w:t>
            </w:r>
            <w:r w:rsidR="001620AE">
              <w:rPr>
                <w:webHidden/>
              </w:rPr>
              <w:tab/>
            </w:r>
            <w:r w:rsidR="001620AE">
              <w:rPr>
                <w:webHidden/>
              </w:rPr>
              <w:fldChar w:fldCharType="begin"/>
            </w:r>
            <w:r w:rsidR="001620AE">
              <w:rPr>
                <w:webHidden/>
              </w:rPr>
              <w:instrText xml:space="preserve"> PAGEREF _Toc213078415 \h </w:instrText>
            </w:r>
            <w:r w:rsidR="001620AE">
              <w:rPr>
                <w:webHidden/>
              </w:rPr>
            </w:r>
            <w:r w:rsidR="001620AE">
              <w:rPr>
                <w:webHidden/>
              </w:rPr>
              <w:fldChar w:fldCharType="separate"/>
            </w:r>
            <w:r>
              <w:rPr>
                <w:webHidden/>
              </w:rPr>
              <w:t>154</w:t>
            </w:r>
            <w:r w:rsidR="001620AE">
              <w:rPr>
                <w:webHidden/>
              </w:rPr>
              <w:fldChar w:fldCharType="end"/>
            </w:r>
          </w:hyperlink>
        </w:p>
        <w:p w14:paraId="66ADC4D5" w14:textId="30270D61" w:rsidR="001620AE" w:rsidRDefault="00073B6D">
          <w:pPr>
            <w:pStyle w:val="Sommario3"/>
            <w:rPr>
              <w:rFonts w:asciiTheme="minorHAnsi" w:eastAsiaTheme="minorEastAsia" w:hAnsiTheme="minorHAnsi" w:cstheme="minorBidi"/>
              <w:kern w:val="2"/>
              <w:sz w:val="24"/>
              <w:szCs w:val="24"/>
              <w14:ligatures w14:val="standardContextual"/>
            </w:rPr>
          </w:pPr>
          <w:hyperlink w:anchor="_Toc213078416" w:history="1">
            <w:r w:rsidR="001620AE" w:rsidRPr="00C544D4">
              <w:rPr>
                <w:rStyle w:val="Collegamentoipertestuale"/>
              </w:rPr>
              <w:t>7.5.3</w:t>
            </w:r>
            <w:r w:rsidR="001620AE">
              <w:rPr>
                <w:rFonts w:asciiTheme="minorHAnsi" w:eastAsiaTheme="minorEastAsia" w:hAnsiTheme="minorHAnsi" w:cstheme="minorBidi"/>
                <w:kern w:val="2"/>
                <w:sz w:val="24"/>
                <w:szCs w:val="24"/>
                <w14:ligatures w14:val="standardContextual"/>
              </w:rPr>
              <w:tab/>
            </w:r>
            <w:r w:rsidR="001620AE" w:rsidRPr="00C544D4">
              <w:rPr>
                <w:rStyle w:val="Collegamentoipertestuale"/>
              </w:rPr>
              <w:t>Definizione degli importi a base di gara</w:t>
            </w:r>
            <w:r w:rsidR="001620AE">
              <w:rPr>
                <w:webHidden/>
              </w:rPr>
              <w:tab/>
            </w:r>
            <w:r w:rsidR="001620AE">
              <w:rPr>
                <w:webHidden/>
              </w:rPr>
              <w:fldChar w:fldCharType="begin"/>
            </w:r>
            <w:r w:rsidR="001620AE">
              <w:rPr>
                <w:webHidden/>
              </w:rPr>
              <w:instrText xml:space="preserve"> PAGEREF _Toc213078416 \h </w:instrText>
            </w:r>
            <w:r w:rsidR="001620AE">
              <w:rPr>
                <w:webHidden/>
              </w:rPr>
            </w:r>
            <w:r w:rsidR="001620AE">
              <w:rPr>
                <w:webHidden/>
              </w:rPr>
              <w:fldChar w:fldCharType="separate"/>
            </w:r>
            <w:r>
              <w:rPr>
                <w:webHidden/>
              </w:rPr>
              <w:t>157</w:t>
            </w:r>
            <w:r w:rsidR="001620AE">
              <w:rPr>
                <w:webHidden/>
              </w:rPr>
              <w:fldChar w:fldCharType="end"/>
            </w:r>
          </w:hyperlink>
        </w:p>
        <w:p w14:paraId="3365158B" w14:textId="567650CC" w:rsidR="001620AE" w:rsidRDefault="00073B6D">
          <w:pPr>
            <w:pStyle w:val="Sommario3"/>
            <w:rPr>
              <w:rFonts w:asciiTheme="minorHAnsi" w:eastAsiaTheme="minorEastAsia" w:hAnsiTheme="minorHAnsi" w:cstheme="minorBidi"/>
              <w:kern w:val="2"/>
              <w:sz w:val="24"/>
              <w:szCs w:val="24"/>
              <w14:ligatures w14:val="standardContextual"/>
            </w:rPr>
          </w:pPr>
          <w:hyperlink w:anchor="_Toc213078417" w:history="1">
            <w:r w:rsidR="001620AE" w:rsidRPr="00C544D4">
              <w:rPr>
                <w:rStyle w:val="Collegamentoipertestuale"/>
              </w:rPr>
              <w:t>7.5.4</w:t>
            </w:r>
            <w:r w:rsidR="001620AE">
              <w:rPr>
                <w:rFonts w:asciiTheme="minorHAnsi" w:eastAsiaTheme="minorEastAsia" w:hAnsiTheme="minorHAnsi" w:cstheme="minorBidi"/>
                <w:kern w:val="2"/>
                <w:sz w:val="24"/>
                <w:szCs w:val="24"/>
                <w14:ligatures w14:val="standardContextual"/>
              </w:rPr>
              <w:tab/>
            </w:r>
            <w:r w:rsidR="001620AE" w:rsidRPr="00C544D4">
              <w:rPr>
                <w:rStyle w:val="Collegamentoipertestuale"/>
              </w:rPr>
              <w:t>Congruità delle risorse</w:t>
            </w:r>
            <w:r w:rsidR="001620AE">
              <w:rPr>
                <w:webHidden/>
              </w:rPr>
              <w:tab/>
            </w:r>
            <w:r w:rsidR="001620AE">
              <w:rPr>
                <w:webHidden/>
              </w:rPr>
              <w:fldChar w:fldCharType="begin"/>
            </w:r>
            <w:r w:rsidR="001620AE">
              <w:rPr>
                <w:webHidden/>
              </w:rPr>
              <w:instrText xml:space="preserve"> PAGEREF _Toc213078417 \h </w:instrText>
            </w:r>
            <w:r w:rsidR="001620AE">
              <w:rPr>
                <w:webHidden/>
              </w:rPr>
            </w:r>
            <w:r w:rsidR="001620AE">
              <w:rPr>
                <w:webHidden/>
              </w:rPr>
              <w:fldChar w:fldCharType="separate"/>
            </w:r>
            <w:r>
              <w:rPr>
                <w:webHidden/>
              </w:rPr>
              <w:t>159</w:t>
            </w:r>
            <w:r w:rsidR="001620AE">
              <w:rPr>
                <w:webHidden/>
              </w:rPr>
              <w:fldChar w:fldCharType="end"/>
            </w:r>
          </w:hyperlink>
        </w:p>
        <w:p w14:paraId="47F83A21" w14:textId="582CC6AE" w:rsidR="001620AE" w:rsidRDefault="00073B6D">
          <w:pPr>
            <w:pStyle w:val="Sommario1"/>
            <w:rPr>
              <w:rFonts w:asciiTheme="minorHAnsi" w:eastAsiaTheme="minorEastAsia" w:hAnsiTheme="minorHAnsi" w:cstheme="minorBidi"/>
              <w:noProof/>
              <w:kern w:val="2"/>
              <w:sz w:val="24"/>
              <w:szCs w:val="24"/>
              <w14:ligatures w14:val="standardContextual"/>
            </w:rPr>
          </w:pPr>
          <w:hyperlink w:anchor="_Toc213078418" w:history="1">
            <w:r w:rsidR="001620AE" w:rsidRPr="00C544D4">
              <w:rPr>
                <w:rStyle w:val="Collegamentoipertestuale"/>
                <w:noProof/>
              </w:rPr>
              <w:t>8</w:t>
            </w:r>
            <w:r w:rsidR="001620AE">
              <w:rPr>
                <w:rFonts w:asciiTheme="minorHAnsi" w:eastAsiaTheme="minorEastAsia" w:hAnsiTheme="minorHAnsi" w:cstheme="minorBidi"/>
                <w:noProof/>
                <w:kern w:val="2"/>
                <w:sz w:val="24"/>
                <w:szCs w:val="24"/>
                <w14:ligatures w14:val="standardContextual"/>
              </w:rPr>
              <w:tab/>
            </w:r>
            <w:r w:rsidR="001620AE" w:rsidRPr="00C544D4">
              <w:rPr>
                <w:rStyle w:val="Collegamentoipertestuale"/>
                <w:noProof/>
              </w:rPr>
              <w:t>Conclusioni</w:t>
            </w:r>
            <w:r w:rsidR="001620AE">
              <w:rPr>
                <w:noProof/>
                <w:webHidden/>
              </w:rPr>
              <w:tab/>
            </w:r>
            <w:r w:rsidR="001620AE">
              <w:rPr>
                <w:noProof/>
                <w:webHidden/>
              </w:rPr>
              <w:fldChar w:fldCharType="begin"/>
            </w:r>
            <w:r w:rsidR="001620AE">
              <w:rPr>
                <w:noProof/>
                <w:webHidden/>
              </w:rPr>
              <w:instrText xml:space="preserve"> PAGEREF _Toc213078418 \h </w:instrText>
            </w:r>
            <w:r w:rsidR="001620AE">
              <w:rPr>
                <w:noProof/>
                <w:webHidden/>
              </w:rPr>
            </w:r>
            <w:r w:rsidR="001620AE">
              <w:rPr>
                <w:noProof/>
                <w:webHidden/>
              </w:rPr>
              <w:fldChar w:fldCharType="separate"/>
            </w:r>
            <w:r>
              <w:rPr>
                <w:noProof/>
                <w:webHidden/>
              </w:rPr>
              <w:t>165</w:t>
            </w:r>
            <w:r w:rsidR="001620AE">
              <w:rPr>
                <w:noProof/>
                <w:webHidden/>
              </w:rPr>
              <w:fldChar w:fldCharType="end"/>
            </w:r>
          </w:hyperlink>
        </w:p>
        <w:p w14:paraId="1A980FB8" w14:textId="18DAEC84" w:rsidR="0054752F" w:rsidRDefault="004016BA" w:rsidP="004016BA">
          <w:pPr>
            <w:pStyle w:val="Sommario1"/>
            <w:rPr>
              <w:b/>
              <w:bCs/>
            </w:rPr>
            <w:sectPr w:rsidR="0054752F" w:rsidSect="005A1D6E">
              <w:headerReference w:type="default" r:id="rId11"/>
              <w:footerReference w:type="default" r:id="rId12"/>
              <w:pgSz w:w="11906" w:h="16838"/>
              <w:pgMar w:top="1418" w:right="1418" w:bottom="1418" w:left="1418" w:header="709" w:footer="709" w:gutter="0"/>
              <w:pgBorders w:offsetFrom="page">
                <w:right w:val="single" w:sz="48" w:space="24" w:color="EE3438"/>
              </w:pgBorders>
              <w:cols w:space="708"/>
              <w:titlePg/>
              <w:docGrid w:linePitch="360"/>
            </w:sectPr>
          </w:pPr>
          <w:r>
            <w:rPr>
              <w:b/>
              <w:bCs/>
            </w:rPr>
            <w:fldChar w:fldCharType="end"/>
          </w:r>
        </w:p>
      </w:sdtContent>
    </w:sdt>
    <w:p w14:paraId="2D7B7C0A" w14:textId="77777777" w:rsidR="005F12D2" w:rsidRDefault="005F12D2" w:rsidP="005F12D2">
      <w:pPr>
        <w:pStyle w:val="Sommario1"/>
        <w:rPr>
          <w:b/>
          <w:bCs/>
        </w:rPr>
      </w:pPr>
    </w:p>
    <w:p w14:paraId="574DA6B3" w14:textId="77777777" w:rsidR="00A21C50" w:rsidRPr="005B6D83" w:rsidRDefault="009F1A5C" w:rsidP="00A21C50">
      <w:pPr>
        <w:pStyle w:val="StileTITOLOPARTE"/>
        <w:rPr>
          <w:color w:val="003366"/>
          <w:szCs w:val="28"/>
        </w:rPr>
      </w:pPr>
      <w:r w:rsidRPr="005F1155">
        <w:tab/>
      </w:r>
      <w:r w:rsidR="00A21C50" w:rsidRPr="005B6D83">
        <w:rPr>
          <w:color w:val="003366"/>
          <w:szCs w:val="28"/>
        </w:rPr>
        <w:t>Allegati</w:t>
      </w:r>
    </w:p>
    <w:p w14:paraId="59010667" w14:textId="77777777" w:rsidR="00A21C50" w:rsidRPr="00207886" w:rsidRDefault="00A21C50" w:rsidP="00A21C50">
      <w:pPr>
        <w:spacing w:before="120" w:after="0" w:line="240" w:lineRule="auto"/>
        <w:ind w:left="1418" w:hanging="1418"/>
        <w:jc w:val="left"/>
      </w:pPr>
      <w:r w:rsidRPr="00207886">
        <w:t xml:space="preserve">Allegato 1 </w:t>
      </w:r>
      <w:r>
        <w:t>–</w:t>
      </w:r>
      <w:r w:rsidRPr="00207886">
        <w:t xml:space="preserve"> </w:t>
      </w:r>
      <w:r>
        <w:tab/>
      </w:r>
      <w:r w:rsidRPr="00207886">
        <w:t xml:space="preserve">Relazione sulle procedure di consultazione </w:t>
      </w:r>
    </w:p>
    <w:p w14:paraId="175F9468" w14:textId="77777777" w:rsidR="00A21C50" w:rsidRPr="00207886" w:rsidRDefault="00A21C50" w:rsidP="00A21C50">
      <w:pPr>
        <w:spacing w:before="120" w:after="0" w:line="240" w:lineRule="auto"/>
        <w:ind w:left="1418" w:hanging="1418"/>
        <w:jc w:val="left"/>
      </w:pPr>
      <w:r w:rsidRPr="00207886">
        <w:t xml:space="preserve">Allegato 2 </w:t>
      </w:r>
      <w:r>
        <w:t>–</w:t>
      </w:r>
      <w:r w:rsidRPr="00207886">
        <w:t xml:space="preserve"> </w:t>
      </w:r>
      <w:r>
        <w:tab/>
      </w:r>
      <w:r w:rsidRPr="00207886">
        <w:t xml:space="preserve">Esiti dei questionari realizzati all’interno del processo di consultazione </w:t>
      </w:r>
    </w:p>
    <w:p w14:paraId="48CD1E57" w14:textId="33DB1993" w:rsidR="00A21C50" w:rsidRPr="00207886" w:rsidRDefault="00A21C50" w:rsidP="00A21C50">
      <w:pPr>
        <w:spacing w:before="120" w:after="0" w:line="240" w:lineRule="auto"/>
        <w:ind w:left="1418" w:hanging="1418"/>
        <w:jc w:val="left"/>
      </w:pPr>
      <w:r w:rsidRPr="00207886">
        <w:t xml:space="preserve">Allegato 3 </w:t>
      </w:r>
      <w:r>
        <w:t>–</w:t>
      </w:r>
      <w:r w:rsidRPr="00207886">
        <w:t xml:space="preserve"> </w:t>
      </w:r>
      <w:r>
        <w:tab/>
        <w:t>D</w:t>
      </w:r>
      <w:r w:rsidRPr="00207886">
        <w:t xml:space="preserve">ocumento di sintesi sulle attività di consultazione </w:t>
      </w:r>
      <w:r>
        <w:t xml:space="preserve">– Bacino </w:t>
      </w:r>
      <w:r w:rsidR="00FD3DC6">
        <w:t>Metropolitano</w:t>
      </w:r>
    </w:p>
    <w:p w14:paraId="0011D12B" w14:textId="77777777" w:rsidR="00A21C50" w:rsidRDefault="00A21C50" w:rsidP="00A21C50">
      <w:pPr>
        <w:spacing w:before="120" w:after="0" w:line="240" w:lineRule="auto"/>
        <w:ind w:left="1418" w:hanging="1418"/>
        <w:jc w:val="left"/>
      </w:pPr>
      <w:r w:rsidRPr="00207886">
        <w:t xml:space="preserve">Allegato </w:t>
      </w:r>
      <w:r>
        <w:t>4 –</w:t>
      </w:r>
      <w:r w:rsidRPr="00207886">
        <w:t xml:space="preserve"> </w:t>
      </w:r>
      <w:r>
        <w:tab/>
        <w:t>Indirizzi regionali</w:t>
      </w:r>
    </w:p>
    <w:p w14:paraId="4691FEC4" w14:textId="77777777" w:rsidR="00A21C50" w:rsidRDefault="00A21C50" w:rsidP="00A21C50">
      <w:pPr>
        <w:spacing w:before="120" w:after="0" w:line="240" w:lineRule="auto"/>
        <w:ind w:left="1418" w:hanging="1418"/>
        <w:jc w:val="left"/>
      </w:pPr>
      <w:r w:rsidRPr="00207886">
        <w:t xml:space="preserve">Allegato </w:t>
      </w:r>
      <w:r>
        <w:t>5</w:t>
      </w:r>
      <w:r w:rsidRPr="00207886">
        <w:t xml:space="preserve"> – </w:t>
      </w:r>
      <w:r>
        <w:tab/>
      </w:r>
      <w:r w:rsidRPr="00207886">
        <w:t xml:space="preserve">Documento di sintesi sulla definizione dei lotti </w:t>
      </w:r>
    </w:p>
    <w:p w14:paraId="3A077A9E" w14:textId="77777777" w:rsidR="00FD3DC6" w:rsidRPr="00207886" w:rsidRDefault="00A21C50" w:rsidP="00FD3DC6">
      <w:pPr>
        <w:spacing w:before="120" w:after="0" w:line="240" w:lineRule="auto"/>
        <w:ind w:left="1418" w:hanging="1418"/>
        <w:jc w:val="left"/>
      </w:pPr>
      <w:r>
        <w:t xml:space="preserve">Allegato 6 – </w:t>
      </w:r>
      <w:r>
        <w:tab/>
        <w:t xml:space="preserve">Elenco delle linee dei singoli lotti – Bacino </w:t>
      </w:r>
      <w:r w:rsidR="00FD3DC6">
        <w:t>Metropolitano</w:t>
      </w:r>
    </w:p>
    <w:p w14:paraId="70918D59" w14:textId="0E3B9370" w:rsidR="00A21C50" w:rsidRPr="00E361F8" w:rsidRDefault="00A21C50" w:rsidP="00A21C50">
      <w:pPr>
        <w:spacing w:before="120" w:after="0" w:line="240" w:lineRule="auto"/>
        <w:ind w:left="1418" w:hanging="1418"/>
        <w:jc w:val="left"/>
      </w:pPr>
      <w:r w:rsidRPr="00E361F8">
        <w:t>Allegato 7 –</w:t>
      </w:r>
      <w:r w:rsidRPr="00E361F8">
        <w:tab/>
        <w:t>Panoramica depositi</w:t>
      </w:r>
      <w:r>
        <w:t xml:space="preserve"> – Bacino </w:t>
      </w:r>
      <w:r w:rsidR="00BC5BE9">
        <w:t>Metropolitano</w:t>
      </w:r>
    </w:p>
    <w:p w14:paraId="1AE8723D" w14:textId="0E76B578" w:rsidR="00A21C50" w:rsidRDefault="00A21C50" w:rsidP="00A21C50">
      <w:pPr>
        <w:spacing w:before="120" w:after="0" w:line="240" w:lineRule="auto"/>
        <w:ind w:left="1418" w:hanging="1418"/>
        <w:jc w:val="left"/>
      </w:pPr>
      <w:r w:rsidRPr="00E361F8">
        <w:t>Allegato 8 –</w:t>
      </w:r>
      <w:r w:rsidRPr="00E361F8">
        <w:tab/>
        <w:t xml:space="preserve">Elenco autobus per lotti </w:t>
      </w:r>
      <w:r>
        <w:t xml:space="preserve">– Bacino </w:t>
      </w:r>
      <w:r w:rsidR="00BC5BE9">
        <w:t>Metropolitano</w:t>
      </w:r>
    </w:p>
    <w:p w14:paraId="6F0AAB11" w14:textId="77777777" w:rsidR="00BC5BE9" w:rsidRPr="00207886" w:rsidRDefault="00A21C50" w:rsidP="00BC5BE9">
      <w:pPr>
        <w:spacing w:before="120" w:after="0" w:line="240" w:lineRule="auto"/>
        <w:ind w:left="1418" w:hanging="1418"/>
        <w:jc w:val="left"/>
      </w:pPr>
      <w:r>
        <w:t xml:space="preserve">Allegato 9 </w:t>
      </w:r>
      <w:r w:rsidRPr="00E361F8">
        <w:t>–</w:t>
      </w:r>
      <w:r>
        <w:tab/>
        <w:t>D</w:t>
      </w:r>
      <w:r w:rsidRPr="0092087D">
        <w:t xml:space="preserve">ocumentazione </w:t>
      </w:r>
      <w:r>
        <w:t xml:space="preserve">per istruttoria </w:t>
      </w:r>
      <w:r w:rsidRPr="0092087D">
        <w:t>affidament</w:t>
      </w:r>
      <w:r w:rsidR="00BC5BE9">
        <w:t>o</w:t>
      </w:r>
      <w:r w:rsidRPr="0092087D">
        <w:t xml:space="preserve"> </w:t>
      </w:r>
      <w:r w:rsidRPr="00FE10E2">
        <w:rPr>
          <w:i/>
        </w:rPr>
        <w:t>in-house</w:t>
      </w:r>
      <w:r w:rsidRPr="0092087D">
        <w:t xml:space="preserve"> </w:t>
      </w:r>
      <w:r>
        <w:t xml:space="preserve">– Bacino </w:t>
      </w:r>
      <w:r w:rsidR="00BC5BE9">
        <w:t>Metropolitano</w:t>
      </w:r>
    </w:p>
    <w:p w14:paraId="62735F02" w14:textId="0751A4DD" w:rsidR="00A21C50" w:rsidRPr="0092087D" w:rsidRDefault="00A21C50" w:rsidP="00A21C50">
      <w:pPr>
        <w:spacing w:before="120" w:after="0" w:line="240" w:lineRule="auto"/>
        <w:ind w:left="1418" w:hanging="1418"/>
        <w:jc w:val="left"/>
      </w:pPr>
    </w:p>
    <w:p w14:paraId="61A5FD58" w14:textId="77777777" w:rsidR="0085456E" w:rsidRDefault="0085456E" w:rsidP="00C4020B">
      <w:pPr>
        <w:sectPr w:rsidR="0085456E" w:rsidSect="00F41C4B">
          <w:footerReference w:type="default" r:id="rId13"/>
          <w:pgSz w:w="11906" w:h="16838"/>
          <w:pgMar w:top="1418" w:right="1418" w:bottom="1418" w:left="1418" w:header="709" w:footer="709" w:gutter="0"/>
          <w:pgBorders w:offsetFrom="page">
            <w:right w:val="single" w:sz="48" w:space="24" w:color="EE3438"/>
          </w:pgBorders>
          <w:cols w:space="708"/>
          <w:docGrid w:linePitch="360"/>
        </w:sectPr>
      </w:pPr>
    </w:p>
    <w:p w14:paraId="3A4BD84E" w14:textId="7F10A930" w:rsidR="005F12D2" w:rsidRPr="002C0183" w:rsidRDefault="005F12D2" w:rsidP="002C0183"/>
    <w:p w14:paraId="53307217" w14:textId="0AB5FDD5" w:rsidR="00C42A5A" w:rsidRPr="000C6009" w:rsidRDefault="00C42A5A" w:rsidP="00AB3000">
      <w:pPr>
        <w:pStyle w:val="Titolo1"/>
        <w:spacing w:after="360"/>
        <w:ind w:left="431" w:hanging="431"/>
      </w:pPr>
      <w:bookmarkStart w:id="1" w:name="_Toc213078330"/>
      <w:r w:rsidRPr="000C6009">
        <w:lastRenderedPageBreak/>
        <w:t>Premessa</w:t>
      </w:r>
      <w:bookmarkEnd w:id="1"/>
      <w:r w:rsidRPr="000C6009">
        <w:t xml:space="preserve"> </w:t>
      </w:r>
    </w:p>
    <w:p w14:paraId="0495BBBE" w14:textId="17AFF7F4" w:rsidR="00C42A5A" w:rsidRPr="000C6009" w:rsidRDefault="00C42A5A" w:rsidP="00C42A5A">
      <w:pPr>
        <w:pStyle w:val="Corpotesto"/>
        <w:spacing w:before="120" w:after="0" w:line="240" w:lineRule="auto"/>
        <w:rPr>
          <w:rFonts w:cstheme="minorHAnsi"/>
        </w:rPr>
      </w:pPr>
      <w:r w:rsidRPr="000C6009">
        <w:rPr>
          <w:rFonts w:cstheme="minorHAnsi"/>
        </w:rPr>
        <w:t xml:space="preserve">La presente relazione ha l’obiettivo di individuare i lotti di affidamento per la concessione dei servizi automobilistici, in conformità a quanto previsto dalla Delibera n. 48/2017 dell'Autorità di Regolazione dei Trasporti. Nello specifico, il documento si concentra sui servizi relativi al Bacino </w:t>
      </w:r>
      <w:r w:rsidR="00354754">
        <w:rPr>
          <w:rFonts w:cstheme="minorHAnsi"/>
        </w:rPr>
        <w:t>Metropolitano</w:t>
      </w:r>
      <w:r w:rsidRPr="000C6009">
        <w:rPr>
          <w:rFonts w:cstheme="minorHAnsi"/>
        </w:rPr>
        <w:t xml:space="preserve"> del Piemonte.</w:t>
      </w:r>
    </w:p>
    <w:p w14:paraId="7F502443" w14:textId="77777777" w:rsidR="00C42A5A" w:rsidRPr="000C6009" w:rsidRDefault="00C42A5A" w:rsidP="00C42A5A">
      <w:pPr>
        <w:pStyle w:val="Corpotesto"/>
        <w:spacing w:before="120" w:after="0" w:line="240" w:lineRule="auto"/>
        <w:rPr>
          <w:rFonts w:cstheme="minorHAnsi"/>
        </w:rPr>
      </w:pPr>
      <w:r w:rsidRPr="000C6009">
        <w:rPr>
          <w:rFonts w:cstheme="minorHAnsi"/>
        </w:rPr>
        <w:t xml:space="preserve">Si premette che, al fine di garantire un’organizzazione dei servizi pubblici locali concorde alle indicazioni della normativa vigente, sono stati individuati quattro bacini ottimali di mobilità costituenti il territorio regionale piemontese, definiti dall’autorità regionale con Deliberazione della Giunta Regionale (D.G.R.) n. 17-4134/2012. </w:t>
      </w:r>
    </w:p>
    <w:p w14:paraId="408C200A" w14:textId="77777777" w:rsidR="00C42A5A" w:rsidRPr="000C6009" w:rsidRDefault="00C42A5A" w:rsidP="00C42A5A">
      <w:pPr>
        <w:pStyle w:val="Corpotesto"/>
        <w:spacing w:before="120" w:after="0" w:line="240" w:lineRule="auto"/>
        <w:rPr>
          <w:rFonts w:cstheme="minorHAnsi"/>
        </w:rPr>
      </w:pPr>
      <w:r w:rsidRPr="000C6009">
        <w:rPr>
          <w:rFonts w:cstheme="minorHAnsi"/>
        </w:rPr>
        <w:t>Attualmente, gli atti di concessione relativi ai servizi automobilistici dell’intera Regione Piemonte, prorogati in attuazione della D.G.R. 52-6344 del 22 dicembre 2022 per l’applicazione dell’art. 24, comma 5-bis, del Decreto-Legge 4/2022 (convertito, con modificazioni, dalla Legge 28 marzo 2022, n. 25), risultano in scadenza.</w:t>
      </w:r>
    </w:p>
    <w:p w14:paraId="5AB609A8" w14:textId="52B4183D" w:rsidR="00C42A5A" w:rsidRPr="000C6009" w:rsidRDefault="00C42A5A" w:rsidP="00C42A5A">
      <w:pPr>
        <w:pStyle w:val="Corpotesto"/>
        <w:spacing w:before="120" w:after="0" w:line="240" w:lineRule="auto"/>
        <w:rPr>
          <w:rFonts w:cstheme="minorHAnsi"/>
        </w:rPr>
      </w:pPr>
      <w:r w:rsidRPr="000C6009">
        <w:rPr>
          <w:rFonts w:cstheme="minorHAnsi"/>
        </w:rPr>
        <w:t>In precedenza, nel gennaio 2022, l’Agenzia aveva pubblicato un avviso di preinformazione a livello europeo per ciascun bacino di mobilità, inerente alle procedure di gara per l’affidamento delle concessioni dei servizi automobilistici</w:t>
      </w:r>
      <w:r w:rsidRPr="000C6009">
        <w:rPr>
          <w:rFonts w:cstheme="minorHAnsi"/>
          <w:vertAlign w:val="superscript"/>
        </w:rPr>
        <w:footnoteReference w:id="2"/>
      </w:r>
      <w:r w:rsidRPr="000C6009">
        <w:rPr>
          <w:rFonts w:cstheme="minorHAnsi"/>
        </w:rPr>
        <w:t xml:space="preserve">, poi aggiornato in prossimità della scadenza delle proroghe. </w:t>
      </w:r>
    </w:p>
    <w:p w14:paraId="149D4CB3" w14:textId="224D42AC" w:rsidR="00C42A5A" w:rsidRPr="000C6009" w:rsidRDefault="00072AA8" w:rsidP="00C42A5A">
      <w:pPr>
        <w:pStyle w:val="Corpotesto"/>
        <w:spacing w:before="120" w:after="0" w:line="240" w:lineRule="auto"/>
        <w:rPr>
          <w:rFonts w:cstheme="minorHAnsi"/>
        </w:rPr>
      </w:pPr>
      <w:r w:rsidRPr="000C6009">
        <w:rPr>
          <w:rFonts w:cstheme="minorHAnsi"/>
          <w:noProof/>
        </w:rPr>
        <w:drawing>
          <wp:anchor distT="0" distB="0" distL="114300" distR="114300" simplePos="0" relativeHeight="251658253" behindDoc="0" locked="0" layoutInCell="1" allowOverlap="1" wp14:anchorId="473A7A01" wp14:editId="4735C149">
            <wp:simplePos x="0" y="0"/>
            <wp:positionH relativeFrom="margin">
              <wp:align>left</wp:align>
            </wp:positionH>
            <wp:positionV relativeFrom="margin">
              <wp:posOffset>3510849</wp:posOffset>
            </wp:positionV>
            <wp:extent cx="1636395" cy="2300605"/>
            <wp:effectExtent l="76200" t="38100" r="78105" b="118745"/>
            <wp:wrapSquare wrapText="bothSides"/>
            <wp:docPr id="721305093"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b="431"/>
                    <a:stretch/>
                  </pic:blipFill>
                  <pic:spPr bwMode="auto">
                    <a:xfrm>
                      <a:off x="0" y="0"/>
                      <a:ext cx="1636395" cy="2300605"/>
                    </a:xfrm>
                    <a:prstGeom prst="rect">
                      <a:avLst/>
                    </a:prstGeom>
                    <a:noFill/>
                    <a:ln w="6350">
                      <a:solidFill>
                        <a:srgbClr val="EE3438"/>
                      </a:solidFill>
                    </a:ln>
                    <a:effectLst>
                      <a:outerShdw blurRad="50800" dist="38100" dir="5400000" algn="t" rotWithShape="0">
                        <a:prstClr val="black">
                          <a:alpha val="40000"/>
                        </a:prst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42A5A" w:rsidRPr="000C6009">
        <w:rPr>
          <w:rFonts w:cstheme="minorHAnsi"/>
        </w:rPr>
        <w:t xml:space="preserve">Conseguentemente, l’Agenzia della Mobilità Piemontese (AMP) ha avviato, con determinazione dirigenziale n. 394 del 16/06/2024, l’iter tecnico-amministrativo finalizzato all’affidamento in concessione dei servizi automobilistici piemontesi. </w:t>
      </w:r>
    </w:p>
    <w:p w14:paraId="71941A42" w14:textId="77777777" w:rsidR="00C42A5A" w:rsidRPr="000C6009" w:rsidRDefault="00C42A5A" w:rsidP="00C42A5A">
      <w:pPr>
        <w:pStyle w:val="Corpotesto"/>
        <w:spacing w:before="120" w:after="0" w:line="240" w:lineRule="auto"/>
        <w:rPr>
          <w:rFonts w:cstheme="minorHAnsi"/>
        </w:rPr>
      </w:pPr>
      <w:r w:rsidRPr="000C6009">
        <w:rPr>
          <w:rFonts w:cstheme="minorHAnsi"/>
        </w:rPr>
        <w:t>Tale processo, originatosi con l’aggiornamento degli avvisi di preinformazione</w:t>
      </w:r>
      <w:r w:rsidRPr="000C6009">
        <w:rPr>
          <w:rFonts w:cstheme="minorHAnsi"/>
          <w:vertAlign w:val="superscript"/>
        </w:rPr>
        <w:t xml:space="preserve"> </w:t>
      </w:r>
      <w:r w:rsidRPr="000C6009">
        <w:rPr>
          <w:rFonts w:cstheme="minorHAnsi"/>
        </w:rPr>
        <w:t>per ciascun bacino di mobilità, ha previsto un’articolata fase consultiva iniziale, descritta approfonditamente nell’Allegato 1 alla presente relazione.</w:t>
      </w:r>
    </w:p>
    <w:p w14:paraId="59C04EC2" w14:textId="09F9F52B" w:rsidR="00C42A5A" w:rsidRPr="000C6009" w:rsidRDefault="00C42A5A" w:rsidP="00C42A5A">
      <w:pPr>
        <w:pStyle w:val="Corpotesto"/>
        <w:spacing w:before="120" w:after="0" w:line="240" w:lineRule="auto"/>
        <w:rPr>
          <w:rFonts w:cstheme="minorHAnsi"/>
        </w:rPr>
      </w:pPr>
      <w:r w:rsidRPr="000C6009">
        <w:rPr>
          <w:rFonts w:cstheme="minorHAnsi"/>
        </w:rPr>
        <w:t xml:space="preserve">Successivamente AMP ha svolto le valutazioni di carattere economico e trasportistico necessarie a definire la suddivisione di </w:t>
      </w:r>
      <w:r w:rsidR="005E2B69">
        <w:rPr>
          <w:rFonts w:cstheme="minorHAnsi"/>
        </w:rPr>
        <w:t xml:space="preserve">Bacini e </w:t>
      </w:r>
      <w:r w:rsidRPr="000C6009">
        <w:rPr>
          <w:rFonts w:cstheme="minorHAnsi"/>
        </w:rPr>
        <w:t>degli ambiti di mobilità in lotti.</w:t>
      </w:r>
    </w:p>
    <w:p w14:paraId="61FBA7AE" w14:textId="2CE46A2F" w:rsidR="005E2B69" w:rsidRPr="000C6009" w:rsidRDefault="005E2B69" w:rsidP="005E2B69">
      <w:pPr>
        <w:pStyle w:val="Corpotesto"/>
        <w:spacing w:before="120" w:after="0" w:line="240" w:lineRule="auto"/>
        <w:rPr>
          <w:rFonts w:cstheme="minorHAnsi"/>
        </w:rPr>
      </w:pPr>
      <w:r w:rsidRPr="000C6009">
        <w:rPr>
          <w:rFonts w:cstheme="minorHAnsi"/>
        </w:rPr>
        <w:t xml:space="preserve">Essendo presenti in Piemonte più bacini di mobilità, è necessario redigere una relazione per ciascun bacino di mobilità. Questo approccio garantisce che ogni bacino sia considerato in modo dettagliato e </w:t>
      </w:r>
      <w:r w:rsidRPr="006C2718">
        <w:rPr>
          <w:rFonts w:cstheme="minorHAnsi"/>
        </w:rPr>
        <w:t>che le specifiche esigenze di mobilità di ciascun bacino siano adeguatamente affrontate come illustrato nel workflow del procedimento descritto nell’appendice 1 della relazione illustrativa della delibera ART n. 48/2017 (</w:t>
      </w:r>
      <w:r w:rsidRPr="006C2718">
        <w:rPr>
          <w:rFonts w:cstheme="minorHAnsi"/>
        </w:rPr>
        <w:fldChar w:fldCharType="begin"/>
      </w:r>
      <w:r w:rsidRPr="006C2718">
        <w:rPr>
          <w:rFonts w:cstheme="minorHAnsi"/>
        </w:rPr>
        <w:instrText xml:space="preserve"> REF _Ref212650053 \h </w:instrText>
      </w:r>
      <w:r w:rsidRPr="006C2718">
        <w:rPr>
          <w:rFonts w:cstheme="minorHAnsi"/>
        </w:rPr>
      </w:r>
      <w:r w:rsidRPr="006C2718">
        <w:rPr>
          <w:rFonts w:cstheme="minorHAnsi"/>
        </w:rPr>
        <w:fldChar w:fldCharType="separate"/>
      </w:r>
      <w:r w:rsidR="00073B6D" w:rsidRPr="00354754">
        <w:rPr>
          <w:rFonts w:cstheme="minorHAnsi"/>
          <w:color w:val="003366"/>
        </w:rPr>
        <w:t xml:space="preserve">Figura </w:t>
      </w:r>
      <w:r w:rsidR="00073B6D">
        <w:rPr>
          <w:rFonts w:cstheme="minorHAnsi"/>
          <w:noProof/>
          <w:color w:val="003366"/>
        </w:rPr>
        <w:t>1</w:t>
      </w:r>
      <w:r w:rsidRPr="006C2718">
        <w:rPr>
          <w:rFonts w:cstheme="minorHAnsi"/>
        </w:rPr>
        <w:fldChar w:fldCharType="end"/>
      </w:r>
      <w:r w:rsidRPr="006C2718">
        <w:rPr>
          <w:rFonts w:cstheme="minorHAnsi"/>
        </w:rPr>
        <w:t>).</w:t>
      </w:r>
    </w:p>
    <w:p w14:paraId="0E5CB71C" w14:textId="77777777" w:rsidR="005E2B69" w:rsidRDefault="005E2B69" w:rsidP="005E2B69">
      <w:pPr>
        <w:spacing w:before="120" w:after="0" w:line="240" w:lineRule="auto"/>
        <w:jc w:val="center"/>
        <w:rPr>
          <w:rFonts w:cstheme="minorHAnsi"/>
          <w:color w:val="003366"/>
        </w:rPr>
      </w:pPr>
      <w:r w:rsidRPr="000C6009">
        <w:rPr>
          <w:rFonts w:cstheme="minorHAnsi"/>
          <w:noProof/>
          <w:color w:val="242424"/>
          <w:sz w:val="21"/>
          <w:szCs w:val="21"/>
          <w:bdr w:val="none" w:sz="0" w:space="0" w:color="auto" w:frame="1"/>
          <w:shd w:val="clear" w:color="auto" w:fill="FAFAFA"/>
        </w:rPr>
        <w:lastRenderedPageBreak/>
        <w:drawing>
          <wp:inline distT="0" distB="0" distL="0" distR="0" wp14:anchorId="387D8BD4" wp14:editId="59596460">
            <wp:extent cx="5073103" cy="3039461"/>
            <wp:effectExtent l="19050" t="19050" r="13335" b="27940"/>
            <wp:docPr id="469892682" name="Immagine 2" descr="Immagine che contiene testo, schermata, Carattere, diagramm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892682" name="Immagine 2" descr="Immagine che contiene testo, schermata, Carattere, diagramma&#10;&#10;Descrizione generata automaticament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109044" cy="3060994"/>
                    </a:xfrm>
                    <a:prstGeom prst="rect">
                      <a:avLst/>
                    </a:prstGeom>
                    <a:noFill/>
                    <a:ln w="19050">
                      <a:solidFill>
                        <a:srgbClr val="C00000"/>
                      </a:solidFill>
                    </a:ln>
                  </pic:spPr>
                </pic:pic>
              </a:graphicData>
            </a:graphic>
          </wp:inline>
        </w:drawing>
      </w:r>
      <w:bookmarkStart w:id="2" w:name="_Ref190769144"/>
    </w:p>
    <w:p w14:paraId="15E976C1" w14:textId="78587817" w:rsidR="005E2B69" w:rsidRPr="00042780" w:rsidRDefault="005E2B69" w:rsidP="005E2B69">
      <w:pPr>
        <w:pStyle w:val="Didascalia"/>
        <w:spacing w:after="240"/>
        <w:jc w:val="center"/>
        <w:rPr>
          <w:rFonts w:cstheme="minorHAnsi"/>
          <w:color w:val="003366"/>
        </w:rPr>
      </w:pPr>
      <w:bookmarkStart w:id="3" w:name="_Ref212650053"/>
      <w:bookmarkStart w:id="4" w:name="_Ref212650043"/>
      <w:r w:rsidRPr="00354754">
        <w:rPr>
          <w:rFonts w:cstheme="minorHAnsi"/>
          <w:color w:val="003366"/>
        </w:rPr>
        <w:t xml:space="preserve">Figura </w:t>
      </w:r>
      <w:r w:rsidRPr="00354754">
        <w:rPr>
          <w:rFonts w:cstheme="minorHAnsi"/>
          <w:color w:val="003366"/>
        </w:rPr>
        <w:fldChar w:fldCharType="begin"/>
      </w:r>
      <w:r w:rsidRPr="00354754">
        <w:rPr>
          <w:rFonts w:cstheme="minorHAnsi"/>
          <w:color w:val="003366"/>
        </w:rPr>
        <w:instrText xml:space="preserve"> SEQ Figura \* ARABIC </w:instrText>
      </w:r>
      <w:r w:rsidRPr="00354754">
        <w:rPr>
          <w:rFonts w:cstheme="minorHAnsi"/>
          <w:color w:val="003366"/>
        </w:rPr>
        <w:fldChar w:fldCharType="separate"/>
      </w:r>
      <w:r w:rsidR="00073B6D">
        <w:rPr>
          <w:rFonts w:cstheme="minorHAnsi"/>
          <w:noProof/>
          <w:color w:val="003366"/>
        </w:rPr>
        <w:t>1</w:t>
      </w:r>
      <w:r w:rsidRPr="00354754">
        <w:rPr>
          <w:rFonts w:cstheme="minorHAnsi"/>
          <w:color w:val="003366"/>
        </w:rPr>
        <w:fldChar w:fldCharType="end"/>
      </w:r>
      <w:bookmarkEnd w:id="2"/>
      <w:bookmarkEnd w:id="3"/>
      <w:r w:rsidRPr="00354754">
        <w:rPr>
          <w:rFonts w:cstheme="minorHAnsi"/>
          <w:color w:val="003366"/>
        </w:rPr>
        <w:t xml:space="preserve"> – Work-flow del procedimento</w:t>
      </w:r>
      <w:bookmarkEnd w:id="4"/>
    </w:p>
    <w:p w14:paraId="1178CA75" w14:textId="77777777" w:rsidR="005E2B69" w:rsidRPr="000C6009" w:rsidRDefault="005E2B69" w:rsidP="00C42A5A">
      <w:pPr>
        <w:pStyle w:val="Corpotesto"/>
        <w:spacing w:before="120" w:after="0" w:line="240" w:lineRule="auto"/>
        <w:rPr>
          <w:rFonts w:cstheme="minorHAnsi"/>
        </w:rPr>
      </w:pPr>
    </w:p>
    <w:p w14:paraId="419A6130" w14:textId="71CC6830" w:rsidR="00C42A5A" w:rsidRPr="000C6009" w:rsidRDefault="00C42A5A" w:rsidP="00C42A5A">
      <w:pPr>
        <w:pStyle w:val="Corpotesto"/>
        <w:spacing w:before="120" w:after="0" w:line="240" w:lineRule="auto"/>
        <w:rPr>
          <w:rFonts w:cstheme="minorHAnsi"/>
        </w:rPr>
      </w:pPr>
      <w:r w:rsidRPr="000C6009">
        <w:rPr>
          <w:rFonts w:cstheme="minorHAnsi"/>
        </w:rPr>
        <w:t>L</w:t>
      </w:r>
      <w:r w:rsidR="005C2DBC">
        <w:rPr>
          <w:rFonts w:cstheme="minorHAnsi"/>
        </w:rPr>
        <w:t xml:space="preserve">e valutazioni e le </w:t>
      </w:r>
      <w:r w:rsidRPr="000C6009">
        <w:rPr>
          <w:rFonts w:cstheme="minorHAnsi"/>
        </w:rPr>
        <w:t>analisi</w:t>
      </w:r>
      <w:r w:rsidR="005C2DBC">
        <w:rPr>
          <w:rFonts w:cstheme="minorHAnsi"/>
        </w:rPr>
        <w:t xml:space="preserve"> condotte</w:t>
      </w:r>
      <w:r w:rsidRPr="000C6009">
        <w:rPr>
          <w:rFonts w:cstheme="minorHAnsi"/>
        </w:rPr>
        <w:t>, congiuntamente alle considerazioni emerse durante le consultazioni condotte a livello regionale, costituisc</w:t>
      </w:r>
      <w:r w:rsidR="006669CD">
        <w:rPr>
          <w:rFonts w:cstheme="minorHAnsi"/>
        </w:rPr>
        <w:t>ono</w:t>
      </w:r>
      <w:r w:rsidRPr="000C6009">
        <w:rPr>
          <w:rFonts w:cstheme="minorHAnsi"/>
        </w:rPr>
        <w:t xml:space="preserve"> parte integrante del documento di sintesi, trasmesso alla Regione, il quale contiene </w:t>
      </w:r>
      <w:r w:rsidR="009C1D95">
        <w:rPr>
          <w:rFonts w:cstheme="minorHAnsi"/>
        </w:rPr>
        <w:t>la</w:t>
      </w:r>
      <w:r w:rsidRPr="000C6009">
        <w:rPr>
          <w:rFonts w:cstheme="minorHAnsi"/>
        </w:rPr>
        <w:t xml:space="preserve"> suddivisione dei bacini di mobilità in lotti e le varie possibili configurazioni di affidamento degli stessi attraverso le modalità previste dall’art. 5 del Regolamento 1370/2007 e s.m.i.</w:t>
      </w:r>
    </w:p>
    <w:p w14:paraId="53EAC792" w14:textId="0FB410DF" w:rsidR="002E1A45" w:rsidRPr="000C6009" w:rsidRDefault="00A473F2" w:rsidP="00C42A5A">
      <w:pPr>
        <w:pStyle w:val="Corpotesto"/>
        <w:spacing w:before="120" w:after="0" w:line="240" w:lineRule="auto"/>
        <w:rPr>
          <w:rFonts w:cstheme="minorHAnsi"/>
        </w:rPr>
      </w:pPr>
      <w:r w:rsidRPr="00C45810">
        <w:rPr>
          <w:rFonts w:cstheme="minorHAnsi"/>
          <w:noProof/>
        </w:rPr>
        <w:drawing>
          <wp:anchor distT="0" distB="0" distL="114300" distR="114300" simplePos="0" relativeHeight="251658254" behindDoc="0" locked="0" layoutInCell="1" allowOverlap="1" wp14:anchorId="42FA25B3" wp14:editId="0F7918D7">
            <wp:simplePos x="0" y="0"/>
            <wp:positionH relativeFrom="margin">
              <wp:posOffset>2781935</wp:posOffset>
            </wp:positionH>
            <wp:positionV relativeFrom="paragraph">
              <wp:posOffset>113030</wp:posOffset>
            </wp:positionV>
            <wp:extent cx="2928620" cy="1632585"/>
            <wp:effectExtent l="76200" t="38100" r="81280" b="120015"/>
            <wp:wrapSquare wrapText="bothSides"/>
            <wp:docPr id="1101259699"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928620" cy="1632585"/>
                    </a:xfrm>
                    <a:prstGeom prst="rect">
                      <a:avLst/>
                    </a:prstGeom>
                    <a:noFill/>
                    <a:ln w="6350">
                      <a:solidFill>
                        <a:srgbClr val="EE3438"/>
                      </a:solidFill>
                    </a:ln>
                    <a:effectLst>
                      <a:outerShdw blurRad="50800" dist="38100" dir="5400000" algn="t"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00F64EE2">
        <w:rPr>
          <w:rFonts w:cstheme="minorHAnsi"/>
        </w:rPr>
        <w:t>Successivamente all</w:t>
      </w:r>
      <w:r w:rsidR="0038500B">
        <w:rPr>
          <w:rFonts w:cstheme="minorHAnsi"/>
        </w:rPr>
        <w:t>a conclusione</w:t>
      </w:r>
      <w:r w:rsidR="00F64EE2">
        <w:rPr>
          <w:rFonts w:cstheme="minorHAnsi"/>
        </w:rPr>
        <w:t xml:space="preserve"> </w:t>
      </w:r>
      <w:r w:rsidR="0043702A">
        <w:rPr>
          <w:rFonts w:cstheme="minorHAnsi"/>
        </w:rPr>
        <w:t>della redazione delle Relazioni dei Lotti per il Bacino Sud, per il Bacino Sud-Est e per il Bacino Nord-Est</w:t>
      </w:r>
      <w:r w:rsidR="00637418">
        <w:rPr>
          <w:rFonts w:cstheme="minorHAnsi"/>
        </w:rPr>
        <w:t>,</w:t>
      </w:r>
      <w:r w:rsidR="0038500B">
        <w:rPr>
          <w:rFonts w:cstheme="minorHAnsi"/>
        </w:rPr>
        <w:t xml:space="preserve"> all’esito </w:t>
      </w:r>
      <w:r w:rsidR="00F64EE2">
        <w:rPr>
          <w:rFonts w:cstheme="minorHAnsi"/>
        </w:rPr>
        <w:t xml:space="preserve">dei </w:t>
      </w:r>
      <w:r w:rsidR="00637418">
        <w:rPr>
          <w:rFonts w:cstheme="minorHAnsi"/>
        </w:rPr>
        <w:t>relativi</w:t>
      </w:r>
      <w:r w:rsidR="00F64EE2">
        <w:rPr>
          <w:rFonts w:cstheme="minorHAnsi"/>
        </w:rPr>
        <w:t xml:space="preserve"> pareri acquisiti dall’ART</w:t>
      </w:r>
      <w:r w:rsidR="00B87DB0">
        <w:rPr>
          <w:rStyle w:val="Rimandonotaapidipagina"/>
          <w:rFonts w:cstheme="minorHAnsi"/>
        </w:rPr>
        <w:footnoteReference w:id="3"/>
      </w:r>
      <w:r w:rsidR="00F64EE2">
        <w:rPr>
          <w:rFonts w:cstheme="minorHAnsi"/>
        </w:rPr>
        <w:t xml:space="preserve"> rispetto alle prime tre relazioni sui lotti</w:t>
      </w:r>
      <w:r w:rsidR="00546C6F">
        <w:rPr>
          <w:rFonts w:cstheme="minorHAnsi"/>
        </w:rPr>
        <w:t xml:space="preserve">, ed alla luce delle valutazioni condotte </w:t>
      </w:r>
      <w:r w:rsidR="00060DF8">
        <w:rPr>
          <w:rFonts w:cstheme="minorHAnsi"/>
        </w:rPr>
        <w:t xml:space="preserve">per il Bacino Metropolitano e riportate in questa Relazione si è proceduto ad aggiornare la Relazione dei Sintesi e trasmetterla alla Regione </w:t>
      </w:r>
      <w:r w:rsidR="00B32677">
        <w:rPr>
          <w:rFonts w:cstheme="minorHAnsi"/>
        </w:rPr>
        <w:t>nel mese di Ottobre 2025 (Allegato 5)</w:t>
      </w:r>
    </w:p>
    <w:p w14:paraId="5A8F39D0" w14:textId="07C16349" w:rsidR="00C42A5A" w:rsidRPr="000C6009" w:rsidRDefault="00C42A5A" w:rsidP="00C42A5A">
      <w:pPr>
        <w:pStyle w:val="Corpotesto"/>
        <w:spacing w:before="120" w:after="0" w:line="240" w:lineRule="auto"/>
        <w:rPr>
          <w:rFonts w:cstheme="minorHAnsi"/>
        </w:rPr>
      </w:pPr>
      <w:r w:rsidRPr="000C6009">
        <w:rPr>
          <w:rFonts w:cstheme="minorHAnsi"/>
        </w:rPr>
        <w:t xml:space="preserve">Nella </w:t>
      </w:r>
      <w:r w:rsidR="004E7933">
        <w:rPr>
          <w:rFonts w:cstheme="minorHAnsi"/>
        </w:rPr>
        <w:t>nuova</w:t>
      </w:r>
      <w:r w:rsidRPr="000C6009">
        <w:rPr>
          <w:rFonts w:cstheme="minorHAnsi"/>
        </w:rPr>
        <w:t xml:space="preserve"> </w:t>
      </w:r>
      <w:r w:rsidR="004E7933">
        <w:rPr>
          <w:rFonts w:cstheme="minorHAnsi"/>
        </w:rPr>
        <w:t>R</w:t>
      </w:r>
      <w:r w:rsidRPr="000C6009">
        <w:rPr>
          <w:rFonts w:cstheme="minorHAnsi"/>
        </w:rPr>
        <w:t xml:space="preserve">elazione </w:t>
      </w:r>
      <w:r w:rsidR="004E7933">
        <w:rPr>
          <w:rFonts w:cstheme="minorHAnsi"/>
        </w:rPr>
        <w:t>di Sintesi</w:t>
      </w:r>
      <w:r w:rsidRPr="000C6009">
        <w:rPr>
          <w:rFonts w:cstheme="minorHAnsi"/>
        </w:rPr>
        <w:t xml:space="preserve"> si dà atto di quanto emerso durante la fase di consultazione e delle richieste pervenute circa la previsione di procedere con affidamenti attraverso le modalità previste dall’art. 5 par. 3 del Regolamento 1370/2007 e s.m.i. cd </w:t>
      </w:r>
      <w:r w:rsidRPr="00737638">
        <w:rPr>
          <w:rFonts w:cstheme="minorHAnsi"/>
          <w:i/>
        </w:rPr>
        <w:t>in-house</w:t>
      </w:r>
      <w:r w:rsidRPr="000C6009">
        <w:rPr>
          <w:rFonts w:cstheme="minorHAnsi"/>
        </w:rPr>
        <w:t xml:space="preserve"> providing.</w:t>
      </w:r>
    </w:p>
    <w:p w14:paraId="67C65209" w14:textId="77777777" w:rsidR="00E26320" w:rsidRDefault="00672E2C" w:rsidP="00C42A5A">
      <w:pPr>
        <w:pStyle w:val="Corpotesto"/>
        <w:spacing w:before="120" w:after="0" w:line="240" w:lineRule="auto"/>
        <w:rPr>
          <w:rFonts w:cstheme="minorHAnsi"/>
        </w:rPr>
      </w:pPr>
      <w:r>
        <w:rPr>
          <w:rFonts w:cstheme="minorHAnsi"/>
        </w:rPr>
        <w:t>Inoltre s</w:t>
      </w:r>
      <w:r w:rsidRPr="00672E2C">
        <w:rPr>
          <w:rFonts w:cstheme="minorHAnsi"/>
        </w:rPr>
        <w:t xml:space="preserve">i </w:t>
      </w:r>
      <w:r w:rsidR="009664AE" w:rsidRPr="000C6009">
        <w:rPr>
          <w:rFonts w:cstheme="minorHAnsi"/>
        </w:rPr>
        <w:t>dà</w:t>
      </w:r>
      <w:r w:rsidR="00785BA1">
        <w:rPr>
          <w:rFonts w:cstheme="minorHAnsi"/>
        </w:rPr>
        <w:t xml:space="preserve"> atto delle </w:t>
      </w:r>
      <w:r w:rsidRPr="00672E2C">
        <w:rPr>
          <w:rFonts w:cstheme="minorHAnsi"/>
        </w:rPr>
        <w:t>osservazioni formulate dall’Autorità di Regolazione dei Trasporti (</w:t>
      </w:r>
      <w:r w:rsidR="00785BA1">
        <w:rPr>
          <w:rFonts w:cstheme="minorHAnsi"/>
        </w:rPr>
        <w:t>ART</w:t>
      </w:r>
      <w:r w:rsidRPr="00672E2C">
        <w:rPr>
          <w:rFonts w:cstheme="minorHAnsi"/>
        </w:rPr>
        <w:t>)</w:t>
      </w:r>
      <w:r w:rsidR="001966E0">
        <w:rPr>
          <w:rFonts w:cstheme="minorHAnsi"/>
        </w:rPr>
        <w:t xml:space="preserve"> in merito alla perimetrazione dei lotti </w:t>
      </w:r>
      <w:r w:rsidR="004403D1">
        <w:rPr>
          <w:rFonts w:cstheme="minorHAnsi"/>
        </w:rPr>
        <w:t>del Bacino Nord Est</w:t>
      </w:r>
      <w:r w:rsidRPr="00672E2C">
        <w:rPr>
          <w:rFonts w:cstheme="minorHAnsi"/>
        </w:rPr>
        <w:t>. Su tali osservazioni è stata</w:t>
      </w:r>
      <w:r w:rsidR="00704E8E">
        <w:rPr>
          <w:rFonts w:cstheme="minorHAnsi"/>
        </w:rPr>
        <w:t xml:space="preserve"> </w:t>
      </w:r>
      <w:r w:rsidR="000E0212">
        <w:rPr>
          <w:rFonts w:cstheme="minorHAnsi"/>
        </w:rPr>
        <w:t>avviata l’istruttoria</w:t>
      </w:r>
      <w:r w:rsidRPr="00672E2C">
        <w:rPr>
          <w:rFonts w:cstheme="minorHAnsi"/>
        </w:rPr>
        <w:t>,</w:t>
      </w:r>
      <w:r w:rsidR="000E0212">
        <w:rPr>
          <w:rFonts w:cstheme="minorHAnsi"/>
        </w:rPr>
        <w:t xml:space="preserve"> che </w:t>
      </w:r>
      <w:r w:rsidRPr="00672E2C">
        <w:rPr>
          <w:rFonts w:cstheme="minorHAnsi"/>
        </w:rPr>
        <w:t>porterà all’aggiornamento</w:t>
      </w:r>
      <w:r w:rsidR="000E0212">
        <w:rPr>
          <w:rFonts w:cstheme="minorHAnsi"/>
        </w:rPr>
        <w:t xml:space="preserve"> della relazione </w:t>
      </w:r>
      <w:r w:rsidRPr="00672E2C">
        <w:rPr>
          <w:rFonts w:cstheme="minorHAnsi"/>
        </w:rPr>
        <w:t>relativa ai lotti, al fine di recepire le indicazioni dell’Autorità e garantire la piena coerenza con il quadro normativo e regolatorio.</w:t>
      </w:r>
    </w:p>
    <w:p w14:paraId="77DFEB53" w14:textId="1FE596B6" w:rsidR="0067556A" w:rsidRDefault="00C42A5A" w:rsidP="00C42A5A">
      <w:pPr>
        <w:pStyle w:val="Corpotesto"/>
        <w:spacing w:before="120" w:after="0" w:line="240" w:lineRule="auto"/>
        <w:rPr>
          <w:rFonts w:cstheme="minorHAnsi"/>
        </w:rPr>
      </w:pPr>
      <w:r w:rsidRPr="000C6009">
        <w:rPr>
          <w:rFonts w:cstheme="minorHAnsi"/>
        </w:rPr>
        <w:lastRenderedPageBreak/>
        <w:t>La relazione si inquadra quindi nel complesso processo di affidamento dei servizi automobilistici che riguardano l’intera regione</w:t>
      </w:r>
      <w:r w:rsidR="007D531C">
        <w:rPr>
          <w:rFonts w:cstheme="minorHAnsi"/>
        </w:rPr>
        <w:t>; la</w:t>
      </w:r>
      <w:r w:rsidRPr="000C6009">
        <w:rPr>
          <w:rFonts w:cstheme="minorHAnsi"/>
        </w:rPr>
        <w:t xml:space="preserve"> pr</w:t>
      </w:r>
      <w:r w:rsidR="0067556A">
        <w:rPr>
          <w:rFonts w:cstheme="minorHAnsi"/>
        </w:rPr>
        <w:t>ogrammazione</w:t>
      </w:r>
      <w:r w:rsidRPr="000C6009">
        <w:rPr>
          <w:rFonts w:cstheme="minorHAnsi"/>
        </w:rPr>
        <w:t xml:space="preserve"> generale</w:t>
      </w:r>
      <w:r w:rsidR="007D531C">
        <w:rPr>
          <w:rFonts w:cstheme="minorHAnsi"/>
        </w:rPr>
        <w:t>, schematizzata nella figura seguente,</w:t>
      </w:r>
      <w:r w:rsidR="0067556A">
        <w:rPr>
          <w:rFonts w:cstheme="minorHAnsi"/>
        </w:rPr>
        <w:t xml:space="preserve"> prevede:</w:t>
      </w:r>
    </w:p>
    <w:p w14:paraId="6436E8D0" w14:textId="40037D59" w:rsidR="0067556A" w:rsidRDefault="00C42A5A" w:rsidP="004B0DBE">
      <w:pPr>
        <w:pStyle w:val="Corpotesto"/>
        <w:numPr>
          <w:ilvl w:val="0"/>
          <w:numId w:val="93"/>
        </w:numPr>
        <w:spacing w:before="120" w:after="0" w:line="240" w:lineRule="auto"/>
        <w:rPr>
          <w:rFonts w:cstheme="minorHAnsi"/>
        </w:rPr>
      </w:pPr>
      <w:r w:rsidRPr="000C6009">
        <w:rPr>
          <w:rFonts w:cstheme="minorHAnsi"/>
        </w:rPr>
        <w:t xml:space="preserve">8 lotti a gara, 2 per ciascuno dei </w:t>
      </w:r>
      <w:r w:rsidR="0067556A">
        <w:rPr>
          <w:rFonts w:cstheme="minorHAnsi"/>
        </w:rPr>
        <w:t>quattro</w:t>
      </w:r>
      <w:r w:rsidRPr="000C6009">
        <w:rPr>
          <w:rFonts w:cstheme="minorHAnsi"/>
        </w:rPr>
        <w:t xml:space="preserve"> bacini di mobilità</w:t>
      </w:r>
    </w:p>
    <w:p w14:paraId="4E103E74" w14:textId="0E3F92C8" w:rsidR="0067556A" w:rsidRDefault="00C42A5A" w:rsidP="004B0DBE">
      <w:pPr>
        <w:pStyle w:val="Corpotesto"/>
        <w:numPr>
          <w:ilvl w:val="0"/>
          <w:numId w:val="93"/>
        </w:numPr>
        <w:spacing w:before="120" w:after="0" w:line="240" w:lineRule="auto"/>
        <w:rPr>
          <w:rFonts w:cstheme="minorHAnsi"/>
        </w:rPr>
      </w:pPr>
      <w:r w:rsidRPr="000C6009">
        <w:rPr>
          <w:rFonts w:cstheme="minorHAnsi"/>
        </w:rPr>
        <w:t>4 lotti in house</w:t>
      </w:r>
      <w:r w:rsidR="00E70CEE">
        <w:rPr>
          <w:rFonts w:cstheme="minorHAnsi"/>
        </w:rPr>
        <w:t xml:space="preserve"> </w:t>
      </w:r>
      <w:r w:rsidR="0067556A">
        <w:rPr>
          <w:rFonts w:cstheme="minorHAnsi"/>
        </w:rPr>
        <w:t>in due Bacini.</w:t>
      </w:r>
    </w:p>
    <w:p w14:paraId="43A9D66D" w14:textId="74C39532" w:rsidR="00C42A5A" w:rsidRPr="000C6009" w:rsidRDefault="00E70CEE" w:rsidP="004B0DBE">
      <w:pPr>
        <w:pStyle w:val="Corpotesto"/>
        <w:numPr>
          <w:ilvl w:val="0"/>
          <w:numId w:val="93"/>
        </w:numPr>
        <w:spacing w:before="120" w:after="0" w:line="240" w:lineRule="auto"/>
        <w:rPr>
          <w:rFonts w:cstheme="minorHAnsi"/>
          <w:noProof/>
        </w:rPr>
      </w:pPr>
      <w:r>
        <w:rPr>
          <w:rFonts w:cstheme="minorHAnsi"/>
        </w:rPr>
        <w:t>2 lotti in area a domanda debole</w:t>
      </w:r>
      <w:r w:rsidR="0067556A">
        <w:rPr>
          <w:rFonts w:cstheme="minorHAnsi"/>
        </w:rPr>
        <w:t xml:space="preserve"> in due Bacini</w:t>
      </w:r>
      <w:r w:rsidR="00C42A5A" w:rsidRPr="000C6009">
        <w:rPr>
          <w:rFonts w:cstheme="minorHAnsi"/>
        </w:rPr>
        <w:t>.</w:t>
      </w:r>
    </w:p>
    <w:p w14:paraId="63BD2288" w14:textId="77777777" w:rsidR="000E0212" w:rsidRPr="000C6009" w:rsidRDefault="000E0212" w:rsidP="00C42A5A">
      <w:pPr>
        <w:pStyle w:val="Corpotesto"/>
        <w:spacing w:before="120" w:after="0" w:line="240" w:lineRule="auto"/>
        <w:rPr>
          <w:rFonts w:cstheme="minorHAnsi"/>
          <w:noProof/>
        </w:rPr>
      </w:pPr>
    </w:p>
    <w:p w14:paraId="6593E2B8" w14:textId="14262C52" w:rsidR="00C42A5A" w:rsidRPr="000C6009" w:rsidRDefault="00051AA3" w:rsidP="00C42A5A">
      <w:pPr>
        <w:pStyle w:val="Corpotesto"/>
        <w:spacing w:before="120" w:after="0" w:line="240" w:lineRule="auto"/>
        <w:jc w:val="center"/>
        <w:rPr>
          <w:rFonts w:cstheme="minorHAnsi"/>
        </w:rPr>
      </w:pPr>
      <w:r w:rsidRPr="00051AA3">
        <w:rPr>
          <w:rFonts w:cstheme="minorHAnsi"/>
          <w:noProof/>
        </w:rPr>
        <w:drawing>
          <wp:inline distT="0" distB="0" distL="0" distR="0" wp14:anchorId="177F094D" wp14:editId="3FDF8A60">
            <wp:extent cx="3841750" cy="4111111"/>
            <wp:effectExtent l="19050" t="19050" r="25400" b="22860"/>
            <wp:docPr id="14" name="Immagine 13" descr="Immagine che contiene diagramma, testo, mappa&#10;&#10;Descrizione generata automaticamente">
              <a:extLst xmlns:a="http://schemas.openxmlformats.org/drawingml/2006/main">
                <a:ext uri="{FF2B5EF4-FFF2-40B4-BE49-F238E27FC236}">
                  <a16:creationId xmlns:a16="http://schemas.microsoft.com/office/drawing/2014/main" id="{B249634E-0C98-C044-90DE-4EEF2DE38FF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magine 13" descr="Immagine che contiene diagramma, testo, mappa&#10;&#10;Descrizione generata automaticamente">
                      <a:extLst>
                        <a:ext uri="{FF2B5EF4-FFF2-40B4-BE49-F238E27FC236}">
                          <a16:creationId xmlns:a16="http://schemas.microsoft.com/office/drawing/2014/main" id="{B249634E-0C98-C044-90DE-4EEF2DE38FFC}"/>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855482" cy="4125805"/>
                    </a:xfrm>
                    <a:prstGeom prst="rect">
                      <a:avLst/>
                    </a:prstGeom>
                    <a:ln w="19050">
                      <a:solidFill>
                        <a:srgbClr val="EE0000"/>
                      </a:solidFill>
                    </a:ln>
                  </pic:spPr>
                </pic:pic>
              </a:graphicData>
            </a:graphic>
          </wp:inline>
        </w:drawing>
      </w:r>
    </w:p>
    <w:p w14:paraId="756DA5DA" w14:textId="277549F8" w:rsidR="00C42A5A" w:rsidRPr="000C6009" w:rsidRDefault="00C42A5A" w:rsidP="00F104CA">
      <w:pPr>
        <w:pStyle w:val="Didascalia"/>
        <w:spacing w:after="240"/>
        <w:jc w:val="center"/>
        <w:rPr>
          <w:rFonts w:cstheme="minorHAnsi"/>
          <w:color w:val="003366"/>
        </w:rPr>
      </w:pPr>
      <w:r w:rsidRPr="000C6009">
        <w:rPr>
          <w:rFonts w:cstheme="minorHAnsi"/>
          <w:color w:val="003366"/>
        </w:rPr>
        <w:t xml:space="preserve">Figura </w:t>
      </w:r>
      <w:r w:rsidRPr="000C6009">
        <w:rPr>
          <w:rFonts w:cstheme="minorHAnsi"/>
          <w:color w:val="003366"/>
        </w:rPr>
        <w:fldChar w:fldCharType="begin"/>
      </w:r>
      <w:r w:rsidRPr="000C6009">
        <w:rPr>
          <w:rFonts w:cstheme="minorHAnsi"/>
          <w:color w:val="003366"/>
        </w:rPr>
        <w:instrText xml:space="preserve"> SEQ Figura \* ARABIC </w:instrText>
      </w:r>
      <w:r w:rsidRPr="000C6009">
        <w:rPr>
          <w:rFonts w:cstheme="minorHAnsi"/>
          <w:color w:val="003366"/>
        </w:rPr>
        <w:fldChar w:fldCharType="separate"/>
      </w:r>
      <w:r w:rsidR="00073B6D">
        <w:rPr>
          <w:rFonts w:cstheme="minorHAnsi"/>
          <w:noProof/>
          <w:color w:val="003366"/>
        </w:rPr>
        <w:t>2</w:t>
      </w:r>
      <w:r w:rsidRPr="000C6009">
        <w:rPr>
          <w:rFonts w:cstheme="minorHAnsi"/>
          <w:noProof/>
          <w:color w:val="003366"/>
        </w:rPr>
        <w:fldChar w:fldCharType="end"/>
      </w:r>
      <w:r w:rsidRPr="000C6009">
        <w:rPr>
          <w:rFonts w:cstheme="minorHAnsi"/>
          <w:color w:val="003366"/>
        </w:rPr>
        <w:t xml:space="preserve"> – Quadro dei futuri affidamenti di TPL nella Regione Piemonte</w:t>
      </w:r>
    </w:p>
    <w:p w14:paraId="3026FA86" w14:textId="1169AA44" w:rsidR="00354754" w:rsidRPr="0067556A" w:rsidRDefault="00354754" w:rsidP="00354754">
      <w:pPr>
        <w:sectPr w:rsidR="00354754" w:rsidRPr="0067556A" w:rsidSect="0047122C">
          <w:footerReference w:type="default" r:id="rId18"/>
          <w:type w:val="continuous"/>
          <w:pgSz w:w="11906" w:h="16838"/>
          <w:pgMar w:top="1418" w:right="1418" w:bottom="1418" w:left="1418" w:header="709" w:footer="709" w:gutter="0"/>
          <w:pgBorders w:offsetFrom="page">
            <w:right w:val="single" w:sz="48" w:space="24" w:color="EE3438"/>
          </w:pgBorders>
          <w:pgNumType w:start="5"/>
          <w:cols w:space="708"/>
          <w:docGrid w:linePitch="360"/>
        </w:sectPr>
      </w:pPr>
    </w:p>
    <w:p w14:paraId="202148B0" w14:textId="77777777" w:rsidR="002E0EA3" w:rsidRPr="000C6009" w:rsidRDefault="002E0EA3" w:rsidP="007D531C">
      <w:pPr>
        <w:pStyle w:val="Titolo1"/>
        <w:spacing w:after="360"/>
        <w:ind w:left="431" w:hanging="431"/>
      </w:pPr>
      <w:bookmarkStart w:id="5" w:name="_Ref190356963"/>
      <w:bookmarkStart w:id="6" w:name="_Ref190357183"/>
      <w:bookmarkStart w:id="7" w:name="_Ref190680994"/>
      <w:bookmarkStart w:id="8" w:name="_Ref190681438"/>
      <w:bookmarkStart w:id="9" w:name="_Toc193374070"/>
      <w:bookmarkStart w:id="10" w:name="_Toc718640435"/>
      <w:bookmarkStart w:id="11" w:name="_Toc204616463"/>
      <w:bookmarkStart w:id="12" w:name="_Toc213078331"/>
      <w:r w:rsidRPr="000C6009">
        <w:lastRenderedPageBreak/>
        <w:t>Quadro di riferimento normativo</w:t>
      </w:r>
      <w:bookmarkEnd w:id="5"/>
      <w:bookmarkEnd w:id="6"/>
      <w:bookmarkEnd w:id="7"/>
      <w:bookmarkEnd w:id="8"/>
      <w:bookmarkEnd w:id="9"/>
      <w:bookmarkEnd w:id="10"/>
      <w:bookmarkEnd w:id="11"/>
      <w:bookmarkEnd w:id="12"/>
      <w:r w:rsidRPr="000C6009">
        <w:t xml:space="preserve"> </w:t>
      </w:r>
    </w:p>
    <w:p w14:paraId="37EE4621" w14:textId="77777777" w:rsidR="002E0EA3" w:rsidRPr="000C6009" w:rsidRDefault="002E0EA3" w:rsidP="007D531C">
      <w:pPr>
        <w:pStyle w:val="Titolo2"/>
        <w:tabs>
          <w:tab w:val="clear" w:pos="1276"/>
          <w:tab w:val="left" w:pos="426"/>
        </w:tabs>
        <w:spacing w:after="240"/>
        <w:ind w:left="0" w:firstLine="0"/>
        <w:rPr>
          <w:rFonts w:asciiTheme="minorHAnsi" w:hAnsiTheme="minorHAnsi" w:cstheme="minorHAnsi"/>
        </w:rPr>
      </w:pPr>
      <w:bookmarkStart w:id="13" w:name="_Toc193374071"/>
      <w:bookmarkStart w:id="14" w:name="_Toc1330130003"/>
      <w:bookmarkStart w:id="15" w:name="_Toc204616464"/>
      <w:bookmarkStart w:id="16" w:name="_Toc213078332"/>
      <w:r w:rsidRPr="000C6009">
        <w:rPr>
          <w:rFonts w:asciiTheme="minorHAnsi" w:hAnsiTheme="minorHAnsi" w:cstheme="minorHAnsi"/>
        </w:rPr>
        <w:t xml:space="preserve">Breve </w:t>
      </w:r>
      <w:r w:rsidRPr="000C6009">
        <w:rPr>
          <w:rFonts w:asciiTheme="minorHAnsi" w:hAnsiTheme="minorHAnsi" w:cstheme="minorHAnsi"/>
          <w:i/>
        </w:rPr>
        <w:t>excursus</w:t>
      </w:r>
      <w:r w:rsidRPr="000C6009">
        <w:rPr>
          <w:rFonts w:asciiTheme="minorHAnsi" w:hAnsiTheme="minorHAnsi" w:cstheme="minorHAnsi"/>
        </w:rPr>
        <w:t xml:space="preserve"> sull’assetto normativo europeo e nazionale</w:t>
      </w:r>
      <w:bookmarkEnd w:id="13"/>
      <w:bookmarkEnd w:id="14"/>
      <w:bookmarkEnd w:id="15"/>
      <w:bookmarkEnd w:id="16"/>
    </w:p>
    <w:p w14:paraId="4B0530B0" w14:textId="77777777" w:rsidR="002E0EA3" w:rsidRPr="000C6009" w:rsidRDefault="002E0EA3" w:rsidP="002E0EA3">
      <w:pPr>
        <w:pStyle w:val="Corpotesto"/>
        <w:spacing w:before="120" w:after="0" w:line="240" w:lineRule="auto"/>
        <w:rPr>
          <w:rFonts w:cstheme="minorHAnsi"/>
        </w:rPr>
      </w:pPr>
      <w:r w:rsidRPr="000C6009">
        <w:rPr>
          <w:rFonts w:cstheme="minorHAnsi"/>
        </w:rPr>
        <w:t>Per lo svolgimento dei propri compiti istituzionali AMP opera nel quadro normativo che nasce dalla regolamentazione Europea ed è attuato in Italia attraverso la legislazione nazionale, regionale e le deliberazioni emanate dall’Autorità di Regolazione dei Trasporti.</w:t>
      </w:r>
    </w:p>
    <w:p w14:paraId="21299B78" w14:textId="77777777" w:rsidR="002E0EA3" w:rsidRPr="000C6009" w:rsidRDefault="002E0EA3" w:rsidP="002E0EA3">
      <w:pPr>
        <w:pStyle w:val="Corpotesto"/>
        <w:spacing w:before="120" w:after="0" w:line="240" w:lineRule="auto"/>
        <w:rPr>
          <w:rFonts w:cstheme="minorHAnsi"/>
        </w:rPr>
      </w:pPr>
      <w:r w:rsidRPr="000C6009">
        <w:rPr>
          <w:rFonts w:cstheme="minorHAnsi"/>
        </w:rPr>
        <w:t xml:space="preserve">Si ritiene opportuno, prima di introdurre l’assetto normativo regionale, richiamare brevemente le seguenti norme: </w:t>
      </w:r>
    </w:p>
    <w:p w14:paraId="543E01AA" w14:textId="77777777" w:rsidR="002E0EA3" w:rsidRPr="000C6009" w:rsidRDefault="002E0EA3" w:rsidP="002E0EA3">
      <w:pPr>
        <w:pStyle w:val="Corpotesto"/>
        <w:spacing w:before="120" w:after="0" w:line="240" w:lineRule="auto"/>
        <w:rPr>
          <w:rFonts w:eastAsia="Times New Roman" w:cstheme="minorHAnsi"/>
        </w:rPr>
      </w:pPr>
      <w:r w:rsidRPr="000C6009">
        <w:rPr>
          <w:rFonts w:eastAsia="Times New Roman" w:cstheme="minorHAnsi"/>
          <w:u w:val="single"/>
        </w:rPr>
        <w:t>A livello europeo</w:t>
      </w:r>
      <w:r w:rsidRPr="000C6009">
        <w:rPr>
          <w:rFonts w:eastAsia="Times New Roman" w:cstheme="minorHAnsi"/>
        </w:rPr>
        <w:t xml:space="preserve">, il </w:t>
      </w:r>
      <w:r w:rsidRPr="000C6009">
        <w:rPr>
          <w:rFonts w:eastAsia="Times New Roman" w:cstheme="minorHAnsi"/>
          <w:b/>
          <w:bCs/>
        </w:rPr>
        <w:t>Regolamento UE 1370/2007</w:t>
      </w:r>
      <w:r w:rsidRPr="000C6009">
        <w:rPr>
          <w:rFonts w:eastAsia="Times New Roman" w:cstheme="minorHAnsi"/>
        </w:rPr>
        <w:t xml:space="preserve"> è il principale strumento che disciplina la gestione e l'affidamento dei servizi di TPL, promuovendo la trasparenza, la concorrenza e il rispetto delle normative sugli aiuti di Stato. Il regolamento stabilisce l'obbligo di pubblicità per i contratti di servizio pubblico e impone la pubblicazione annuale di relazioni da parte delle autorità competenti, come l’Agenzia.</w:t>
      </w:r>
    </w:p>
    <w:p w14:paraId="69D2C400" w14:textId="77777777" w:rsidR="002E0EA3" w:rsidRPr="000C6009" w:rsidRDefault="002E0EA3" w:rsidP="002E0EA3">
      <w:pPr>
        <w:pStyle w:val="Corpotesto"/>
        <w:spacing w:before="120" w:after="0" w:line="240" w:lineRule="auto"/>
        <w:rPr>
          <w:rFonts w:eastAsia="Times New Roman" w:cstheme="minorHAnsi"/>
        </w:rPr>
      </w:pPr>
      <w:r w:rsidRPr="000C6009">
        <w:rPr>
          <w:rFonts w:eastAsia="Times New Roman" w:cstheme="minorHAnsi"/>
          <w:u w:val="single"/>
        </w:rPr>
        <w:t>A livello nazionale</w:t>
      </w:r>
      <w:r w:rsidRPr="000C6009">
        <w:rPr>
          <w:rFonts w:eastAsia="Times New Roman" w:cstheme="minorHAnsi"/>
        </w:rPr>
        <w:t xml:space="preserve">, il </w:t>
      </w:r>
      <w:r w:rsidRPr="000C6009">
        <w:rPr>
          <w:rFonts w:eastAsia="Times New Roman" w:cstheme="minorHAnsi"/>
          <w:b/>
          <w:bCs/>
        </w:rPr>
        <w:t>Decreto Legislativo 422/1997</w:t>
      </w:r>
      <w:r w:rsidRPr="000C6009">
        <w:rPr>
          <w:rFonts w:eastAsia="Times New Roman" w:cstheme="minorHAnsi"/>
        </w:rPr>
        <w:t xml:space="preserve"> riforma il sistema del trasporto pubblico locale, trasferendo molte competenze dallo Stato alle regioni, che possono poi delegare agli enti locali. Questo decreto promuove un'organizzazione decentrata, favorendo una gestione integrata dei servizi e garantendo la sostenibilità economica e ambientale. </w:t>
      </w:r>
    </w:p>
    <w:p w14:paraId="55B62DC2" w14:textId="77777777" w:rsidR="002E0EA3" w:rsidRPr="000C6009" w:rsidRDefault="002E0EA3" w:rsidP="002E0EA3">
      <w:pPr>
        <w:pStyle w:val="Corpotesto"/>
        <w:spacing w:before="120" w:after="0" w:line="240" w:lineRule="auto"/>
        <w:rPr>
          <w:rFonts w:eastAsia="Times New Roman" w:cstheme="minorHAnsi"/>
        </w:rPr>
      </w:pPr>
      <w:r w:rsidRPr="000C6009">
        <w:rPr>
          <w:rFonts w:eastAsia="Times New Roman" w:cstheme="minorHAnsi"/>
        </w:rPr>
        <w:t xml:space="preserve">Il </w:t>
      </w:r>
      <w:r w:rsidRPr="000C6009">
        <w:rPr>
          <w:rFonts w:eastAsia="Times New Roman" w:cstheme="minorHAnsi"/>
          <w:b/>
          <w:bCs/>
        </w:rPr>
        <w:t>Decreto Ministeriale n. 157/2018</w:t>
      </w:r>
      <w:r w:rsidRPr="000C6009">
        <w:rPr>
          <w:rFonts w:eastAsia="Times New Roman" w:cstheme="minorHAnsi"/>
        </w:rPr>
        <w:t xml:space="preserve"> stabilisce i costi standard per i servizi di TPL, tenendo conto di fattori come la velocità commerciale e le condizioni geografiche, e promuove una gestione ottimale delle risorse per garantire l'efficienza del sistema di trasporto pubblico. </w:t>
      </w:r>
    </w:p>
    <w:p w14:paraId="49064BAF" w14:textId="77777777" w:rsidR="002E0EA3" w:rsidRPr="000C6009" w:rsidRDefault="002E0EA3" w:rsidP="002E0EA3">
      <w:pPr>
        <w:pStyle w:val="Corpotesto"/>
        <w:spacing w:before="120" w:after="0" w:line="240" w:lineRule="auto"/>
        <w:rPr>
          <w:rFonts w:eastAsia="Times New Roman" w:cstheme="minorHAnsi"/>
        </w:rPr>
      </w:pPr>
      <w:r w:rsidRPr="000C6009">
        <w:rPr>
          <w:rFonts w:eastAsia="Times New Roman" w:cstheme="minorHAnsi"/>
        </w:rPr>
        <w:t xml:space="preserve">Il </w:t>
      </w:r>
      <w:r w:rsidRPr="000C6009">
        <w:rPr>
          <w:rFonts w:eastAsia="Times New Roman" w:cstheme="minorHAnsi"/>
          <w:b/>
          <w:bCs/>
        </w:rPr>
        <w:t>Decreto Legislativo n. 201/2022</w:t>
      </w:r>
      <w:r w:rsidRPr="000C6009">
        <w:rPr>
          <w:rFonts w:eastAsia="Times New Roman" w:cstheme="minorHAnsi"/>
        </w:rPr>
        <w:t xml:space="preserve"> riordina la disciplina dei servizi pubblici locali, permettendo agli enti locali di scegliere tra diverse modalità di gestione, come l’affidamento a terzi, in house o tramite società miste. Per il TPL, l'integrazione con le normative europee è cruciale, e gli enti locali devono garantire la qualità del servizio e la tutela dei lavoratori. </w:t>
      </w:r>
    </w:p>
    <w:p w14:paraId="11925B1C" w14:textId="77777777" w:rsidR="002E0EA3" w:rsidRPr="000C6009" w:rsidRDefault="002E0EA3" w:rsidP="002E0EA3">
      <w:pPr>
        <w:pStyle w:val="Corpotesto"/>
        <w:spacing w:before="120" w:after="0" w:line="240" w:lineRule="auto"/>
        <w:rPr>
          <w:rFonts w:eastAsia="Times New Roman" w:cstheme="minorHAnsi"/>
        </w:rPr>
      </w:pPr>
      <w:r w:rsidRPr="000C6009">
        <w:rPr>
          <w:rFonts w:eastAsia="Times New Roman" w:cstheme="minorHAnsi"/>
        </w:rPr>
        <w:t xml:space="preserve">Le </w:t>
      </w:r>
      <w:r w:rsidRPr="000C6009">
        <w:rPr>
          <w:rFonts w:eastAsia="Times New Roman" w:cstheme="minorHAnsi"/>
          <w:b/>
          <w:bCs/>
        </w:rPr>
        <w:t>delibere dell'Autorità di Regolazione dei Trasporti (ART)</w:t>
      </w:r>
      <w:r w:rsidRPr="000C6009">
        <w:rPr>
          <w:rFonts w:eastAsia="Times New Roman" w:cstheme="minorHAnsi"/>
        </w:rPr>
        <w:t xml:space="preserve">, come le </w:t>
      </w:r>
      <w:r w:rsidRPr="000C6009">
        <w:rPr>
          <w:rFonts w:eastAsia="Times New Roman" w:cstheme="minorHAnsi"/>
          <w:b/>
        </w:rPr>
        <w:t>n. 154/2019, n. 53/2024, n. 64/2024 e n. 48/2017</w:t>
      </w:r>
      <w:r w:rsidRPr="000C6009">
        <w:rPr>
          <w:rFonts w:eastAsia="Times New Roman" w:cstheme="minorHAnsi"/>
        </w:rPr>
        <w:t>, stabiliscono i criteri per l'affidamento dei servizi di TPL, inclusa l'individuazione dei lotti di servizio. Queste delibere pongono un accento particolare sulla trasparenza, sulla partecipazione pubblica e sulla sostenibilità economica, e stabiliscono le modalità per la pianificazione e l'affidamento dei servizi.</w:t>
      </w:r>
    </w:p>
    <w:p w14:paraId="36BDEF2E" w14:textId="77777777" w:rsidR="002E0EA3" w:rsidRPr="000C6009" w:rsidRDefault="002E0EA3" w:rsidP="002E0EA3">
      <w:pPr>
        <w:spacing w:before="120" w:after="0" w:line="240" w:lineRule="auto"/>
        <w:rPr>
          <w:rFonts w:eastAsia="Times New Roman" w:cstheme="minorHAnsi"/>
        </w:rPr>
      </w:pPr>
      <w:r w:rsidRPr="000C6009">
        <w:rPr>
          <w:rFonts w:eastAsia="Times New Roman" w:cstheme="minorHAnsi"/>
        </w:rPr>
        <w:t>In sintesi, la normativa europea e nazionale mira a garantire un sistema di trasporto pubblico locale efficiente, trasparente e sostenibile, favorendo la concorrenza, la pianificazione integrata e la partecipazione degli attori locali.</w:t>
      </w:r>
    </w:p>
    <w:p w14:paraId="2F8D7F6B" w14:textId="77777777" w:rsidR="002E0EA3" w:rsidRPr="000C6009" w:rsidRDefault="002E0EA3" w:rsidP="007D531C">
      <w:pPr>
        <w:pStyle w:val="Titolo2"/>
        <w:tabs>
          <w:tab w:val="clear" w:pos="1276"/>
          <w:tab w:val="left" w:pos="426"/>
        </w:tabs>
        <w:spacing w:after="240"/>
        <w:ind w:left="0" w:firstLine="0"/>
        <w:rPr>
          <w:rFonts w:asciiTheme="minorHAnsi" w:hAnsiTheme="minorHAnsi" w:cstheme="minorHAnsi"/>
        </w:rPr>
      </w:pPr>
      <w:bookmarkStart w:id="17" w:name="_Toc193374072"/>
      <w:bookmarkStart w:id="18" w:name="_Ref193386147"/>
      <w:bookmarkStart w:id="19" w:name="_Toc1380117164"/>
      <w:bookmarkStart w:id="20" w:name="_Toc204616465"/>
      <w:bookmarkStart w:id="21" w:name="_Toc213078333"/>
      <w:r w:rsidRPr="000C6009">
        <w:rPr>
          <w:rFonts w:asciiTheme="minorHAnsi" w:hAnsiTheme="minorHAnsi" w:cstheme="minorHAnsi"/>
        </w:rPr>
        <w:t>Assetto normativo regionale</w:t>
      </w:r>
      <w:bookmarkEnd w:id="17"/>
      <w:bookmarkEnd w:id="18"/>
      <w:bookmarkEnd w:id="19"/>
      <w:bookmarkEnd w:id="20"/>
      <w:bookmarkEnd w:id="21"/>
    </w:p>
    <w:p w14:paraId="625DFF31" w14:textId="77777777" w:rsidR="002E0EA3" w:rsidRPr="000C6009" w:rsidRDefault="002E0EA3" w:rsidP="002E0EA3">
      <w:pPr>
        <w:pStyle w:val="Titolo3"/>
        <w:ind w:left="709"/>
        <w:rPr>
          <w:rFonts w:asciiTheme="minorHAnsi" w:hAnsiTheme="minorHAnsi" w:cstheme="minorHAnsi"/>
          <w:i w:val="0"/>
        </w:rPr>
      </w:pPr>
      <w:bookmarkStart w:id="22" w:name="_Toc155362333"/>
      <w:bookmarkStart w:id="23" w:name="_Toc193374073"/>
      <w:bookmarkStart w:id="24" w:name="_Toc527638480"/>
      <w:bookmarkStart w:id="25" w:name="_Toc204616466"/>
      <w:bookmarkStart w:id="26" w:name="_Toc213078334"/>
      <w:r w:rsidRPr="000C6009">
        <w:rPr>
          <w:rFonts w:asciiTheme="minorHAnsi" w:hAnsiTheme="minorHAnsi" w:cstheme="minorHAnsi"/>
        </w:rPr>
        <w:t>Le Leggi Regionali n. 1/2000</w:t>
      </w:r>
      <w:bookmarkEnd w:id="22"/>
      <w:r w:rsidRPr="000C6009">
        <w:rPr>
          <w:rFonts w:asciiTheme="minorHAnsi" w:hAnsiTheme="minorHAnsi" w:cstheme="minorHAnsi"/>
        </w:rPr>
        <w:t xml:space="preserve"> e n. 1/2015</w:t>
      </w:r>
      <w:bookmarkEnd w:id="23"/>
      <w:bookmarkEnd w:id="24"/>
      <w:bookmarkEnd w:id="25"/>
      <w:bookmarkEnd w:id="26"/>
    </w:p>
    <w:p w14:paraId="4B13D40A" w14:textId="77777777" w:rsidR="002E0EA3" w:rsidRPr="000C6009" w:rsidRDefault="002E0EA3" w:rsidP="002E0EA3">
      <w:pPr>
        <w:spacing w:before="120" w:after="0" w:line="240" w:lineRule="auto"/>
        <w:rPr>
          <w:rFonts w:cstheme="minorHAnsi"/>
        </w:rPr>
      </w:pPr>
      <w:bookmarkStart w:id="27" w:name="_Ref93327947"/>
      <w:bookmarkStart w:id="28" w:name="_Toc155362334"/>
      <w:r w:rsidRPr="000C6009">
        <w:rPr>
          <w:rFonts w:cstheme="minorHAnsi"/>
        </w:rPr>
        <w:t xml:space="preserve">Con la riforma introdotta dal </w:t>
      </w:r>
      <w:r w:rsidRPr="000C6009">
        <w:rPr>
          <w:rFonts w:cstheme="minorHAnsi"/>
          <w:bCs/>
          <w:i/>
        </w:rPr>
        <w:t>decreto legislativo n. 422</w:t>
      </w:r>
      <w:r w:rsidRPr="000C6009">
        <w:rPr>
          <w:rFonts w:cstheme="minorHAnsi"/>
          <w:bCs/>
        </w:rPr>
        <w:t xml:space="preserve"> del </w:t>
      </w:r>
      <w:r w:rsidRPr="000C6009">
        <w:rPr>
          <w:rFonts w:cstheme="minorHAnsi"/>
          <w:bCs/>
          <w:i/>
        </w:rPr>
        <w:t>19 novembre 1997</w:t>
      </w:r>
      <w:r w:rsidRPr="000C6009">
        <w:rPr>
          <w:rFonts w:cstheme="minorHAnsi"/>
          <w:b/>
          <w:bCs/>
        </w:rPr>
        <w:t xml:space="preserve">, </w:t>
      </w:r>
      <w:r w:rsidRPr="000C6009">
        <w:rPr>
          <w:rFonts w:cstheme="minorHAnsi"/>
        </w:rPr>
        <w:t>sono stati trasferiti alle Regioni tutti i compiti e le funzioni relative al trasporto pubblico locale e regionale.</w:t>
      </w:r>
    </w:p>
    <w:p w14:paraId="52BA6A49" w14:textId="328001E1" w:rsidR="002E0EA3" w:rsidRPr="000C6009" w:rsidRDefault="002E0EA3" w:rsidP="002E0EA3">
      <w:pPr>
        <w:spacing w:before="120" w:after="0" w:line="240" w:lineRule="auto"/>
        <w:rPr>
          <w:rFonts w:cstheme="minorHAnsi"/>
        </w:rPr>
      </w:pPr>
      <w:r w:rsidRPr="000C6009">
        <w:rPr>
          <w:rFonts w:cstheme="minorHAnsi"/>
          <w:u w:val="single"/>
        </w:rPr>
        <w:t>A livello regionale</w:t>
      </w:r>
      <w:r w:rsidRPr="000C6009">
        <w:rPr>
          <w:rFonts w:cstheme="minorHAnsi"/>
        </w:rPr>
        <w:t xml:space="preserve">, i principi di cui al succitato decreto legislativo sono stati recepiti con </w:t>
      </w:r>
      <w:r w:rsidRPr="000C6009">
        <w:rPr>
          <w:rFonts w:cstheme="minorHAnsi"/>
          <w:b/>
        </w:rPr>
        <w:t xml:space="preserve">la </w:t>
      </w:r>
      <w:r w:rsidRPr="000C6009">
        <w:rPr>
          <w:rFonts w:cstheme="minorHAnsi"/>
          <w:b/>
          <w:bCs/>
        </w:rPr>
        <w:t xml:space="preserve">legge </w:t>
      </w:r>
      <w:r w:rsidRPr="000C6009">
        <w:rPr>
          <w:rFonts w:cstheme="minorHAnsi"/>
          <w:b/>
          <w:bCs/>
          <w:i/>
        </w:rPr>
        <w:t>regionale n. 1</w:t>
      </w:r>
      <w:r w:rsidRPr="000C6009">
        <w:rPr>
          <w:rFonts w:cstheme="minorHAnsi"/>
          <w:b/>
        </w:rPr>
        <w:t xml:space="preserve"> del </w:t>
      </w:r>
      <w:r w:rsidRPr="000C6009">
        <w:rPr>
          <w:rFonts w:cstheme="minorHAnsi"/>
          <w:b/>
          <w:bCs/>
          <w:i/>
        </w:rPr>
        <w:t>4 gennaio 2000</w:t>
      </w:r>
      <w:r w:rsidRPr="000C6009">
        <w:rPr>
          <w:rFonts w:cstheme="minorHAnsi"/>
          <w:bCs/>
        </w:rPr>
        <w:t xml:space="preserve"> (L.R. n. 1/2000)</w:t>
      </w:r>
      <w:r w:rsidRPr="000C6009">
        <w:rPr>
          <w:rFonts w:cstheme="minorHAnsi"/>
          <w:b/>
          <w:bCs/>
        </w:rPr>
        <w:t xml:space="preserve">, </w:t>
      </w:r>
      <w:r w:rsidRPr="000C6009">
        <w:rPr>
          <w:rFonts w:cstheme="minorHAnsi"/>
        </w:rPr>
        <w:t>che attribuisce alla Regione le</w:t>
      </w:r>
      <w:r w:rsidR="007D531C">
        <w:rPr>
          <w:rFonts w:cstheme="minorHAnsi"/>
        </w:rPr>
        <w:t xml:space="preserve"> </w:t>
      </w:r>
      <w:r w:rsidRPr="000C6009">
        <w:rPr>
          <w:rFonts w:cstheme="minorHAnsi"/>
          <w:bCs/>
          <w:i/>
        </w:rPr>
        <w:t>funzioni di indirizzo, promozione, coordinamento e controllo di tutti i servizi di TPL</w:t>
      </w:r>
      <w:r w:rsidRPr="000C6009">
        <w:rPr>
          <w:rFonts w:cstheme="minorHAnsi"/>
        </w:rPr>
        <w:t xml:space="preserve"> al fine di garantire la necessaria integrazione tra le diverse modalità di trasporto. La L.R. n. 1/2000 aveva individuato i soggetti ai quali </w:t>
      </w:r>
      <w:r w:rsidRPr="000C6009">
        <w:rPr>
          <w:rFonts w:cstheme="minorHAnsi"/>
        </w:rPr>
        <w:lastRenderedPageBreak/>
        <w:t xml:space="preserve">delegare le competenze sul TPL: le province per servizi extraurbani provinciali (non ferroviari) e urbani dei comuni sotto i 30 mila abitanti e i Comuni con più di 30 mila abitanti per i propri servizi urbani. </w:t>
      </w:r>
    </w:p>
    <w:p w14:paraId="548C4683" w14:textId="77777777" w:rsidR="002E0EA3" w:rsidRPr="000C6009" w:rsidRDefault="002E0EA3" w:rsidP="002E0EA3">
      <w:pPr>
        <w:spacing w:before="120" w:after="0" w:line="240" w:lineRule="auto"/>
        <w:rPr>
          <w:rFonts w:cstheme="minorHAnsi"/>
        </w:rPr>
      </w:pPr>
      <w:r w:rsidRPr="000C6009">
        <w:rPr>
          <w:rFonts w:cstheme="minorHAnsi"/>
          <w:u w:val="single"/>
        </w:rPr>
        <w:t>Per la conurbazione torinese,</w:t>
      </w:r>
      <w:r w:rsidRPr="000C6009">
        <w:rPr>
          <w:rFonts w:cstheme="minorHAnsi"/>
        </w:rPr>
        <w:t xml:space="preserve"> la legge istituiva l’</w:t>
      </w:r>
      <w:r w:rsidRPr="000C6009">
        <w:rPr>
          <w:rFonts w:cstheme="minorHAnsi"/>
          <w:i/>
        </w:rPr>
        <w:t>Agenzia per la Mobilità Metropolitana</w:t>
      </w:r>
      <w:r w:rsidRPr="000C6009">
        <w:rPr>
          <w:rFonts w:cstheme="minorHAnsi"/>
        </w:rPr>
        <w:t xml:space="preserve"> in forma di Consorzio tra Regione Piemonte, Provincia di Torino, Comune di Torino e 31 (ora 32</w:t>
      </w:r>
      <w:r w:rsidRPr="000C6009">
        <w:rPr>
          <w:rStyle w:val="Rimandonotaapidipagina"/>
          <w:rFonts w:cstheme="minorHAnsi"/>
        </w:rPr>
        <w:footnoteReference w:id="4"/>
      </w:r>
      <w:r w:rsidRPr="000C6009">
        <w:rPr>
          <w:rFonts w:cstheme="minorHAnsi"/>
        </w:rPr>
        <w:t xml:space="preserve">) Comuni di cintura.  Le competenze dell’Agenzia si estendevano sui servizi urbani nei Comuni consorziati, sui servizi extraurbani con sviluppo maggioritario nell’area della conurbazione e sui servizi ferroviari </w:t>
      </w:r>
      <w:r w:rsidRPr="000C6009">
        <w:rPr>
          <w:rFonts w:cstheme="minorHAnsi"/>
          <w:i/>
        </w:rPr>
        <w:t xml:space="preserve">Regionali </w:t>
      </w:r>
      <w:r w:rsidRPr="000C6009">
        <w:rPr>
          <w:rFonts w:cstheme="minorHAnsi"/>
        </w:rPr>
        <w:t xml:space="preserve">(locali) convergenti sul capoluogo regionale. </w:t>
      </w:r>
    </w:p>
    <w:p w14:paraId="247A012F" w14:textId="77777777" w:rsidR="002E0EA3" w:rsidRPr="000C6009" w:rsidRDefault="002E0EA3" w:rsidP="002E0EA3">
      <w:pPr>
        <w:spacing w:before="120" w:after="0" w:line="240" w:lineRule="auto"/>
        <w:rPr>
          <w:rFonts w:cstheme="minorHAnsi"/>
        </w:rPr>
      </w:pPr>
      <w:r w:rsidRPr="000C6009">
        <w:rPr>
          <w:rFonts w:cstheme="minorHAnsi"/>
        </w:rPr>
        <w:t xml:space="preserve">La Regione Piemonte manteneva in prima persona le competenze sui servizi ferroviari </w:t>
      </w:r>
      <w:r w:rsidRPr="000C6009">
        <w:rPr>
          <w:rFonts w:cstheme="minorHAnsi"/>
          <w:i/>
        </w:rPr>
        <w:t>Regionali Veloci</w:t>
      </w:r>
      <w:r w:rsidRPr="000C6009">
        <w:rPr>
          <w:rFonts w:cstheme="minorHAnsi"/>
        </w:rPr>
        <w:t xml:space="preserve"> e </w:t>
      </w:r>
      <w:r w:rsidRPr="000C6009">
        <w:rPr>
          <w:rFonts w:cstheme="minorHAnsi"/>
          <w:i/>
        </w:rPr>
        <w:t>Regionali</w:t>
      </w:r>
      <w:r w:rsidRPr="000C6009">
        <w:rPr>
          <w:rFonts w:cstheme="minorHAnsi"/>
        </w:rPr>
        <w:t xml:space="preserve"> (locali) non convergenti su Torino e sui servizi extraurbani interprovinciali e regionali. Successivamente la Regione delegava anche queste competenze all’Agenzia divenendo “</w:t>
      </w:r>
      <w:r w:rsidRPr="000C6009">
        <w:rPr>
          <w:rFonts w:cstheme="minorHAnsi"/>
          <w:i/>
        </w:rPr>
        <w:t>Agenzia per la Mobilità che diveniva Metropolitana e Regionale</w:t>
      </w:r>
      <w:r w:rsidRPr="000C6009">
        <w:rPr>
          <w:rFonts w:cstheme="minorHAnsi"/>
          <w:iCs/>
        </w:rPr>
        <w:t>”</w:t>
      </w:r>
      <w:r w:rsidRPr="000C6009">
        <w:rPr>
          <w:rFonts w:cstheme="minorHAnsi"/>
          <w:i/>
        </w:rPr>
        <w:t xml:space="preserve"> </w:t>
      </w:r>
      <w:r w:rsidRPr="000C6009">
        <w:rPr>
          <w:rFonts w:cstheme="minorHAnsi"/>
          <w:iCs/>
        </w:rPr>
        <w:t>(L.R n. 10 del 11/07/2011)</w:t>
      </w:r>
      <w:r w:rsidRPr="000C6009">
        <w:rPr>
          <w:rFonts w:cstheme="minorHAnsi"/>
        </w:rPr>
        <w:t>.</w:t>
      </w:r>
    </w:p>
    <w:p w14:paraId="778C29A2" w14:textId="77777777" w:rsidR="002E0EA3" w:rsidRPr="000C6009" w:rsidRDefault="002E0EA3" w:rsidP="002E0EA3">
      <w:pPr>
        <w:pStyle w:val="NormaleWeb"/>
        <w:shd w:val="clear" w:color="auto" w:fill="FFFFFF"/>
        <w:spacing w:before="120" w:after="0" w:line="240" w:lineRule="auto"/>
        <w:rPr>
          <w:rFonts w:asciiTheme="minorHAnsi" w:hAnsiTheme="minorHAnsi" w:cstheme="minorHAnsi"/>
          <w:color w:val="000000" w:themeColor="text1"/>
          <w:sz w:val="22"/>
          <w:szCs w:val="22"/>
        </w:rPr>
      </w:pPr>
      <w:r w:rsidRPr="000C6009">
        <w:rPr>
          <w:rFonts w:asciiTheme="minorHAnsi" w:hAnsiTheme="minorHAnsi" w:cstheme="minorHAnsi"/>
          <w:color w:val="000000" w:themeColor="text1"/>
          <w:sz w:val="22"/>
          <w:szCs w:val="22"/>
        </w:rPr>
        <w:t xml:space="preserve">Con </w:t>
      </w:r>
      <w:r w:rsidRPr="000C6009">
        <w:rPr>
          <w:rFonts w:asciiTheme="minorHAnsi" w:hAnsiTheme="minorHAnsi" w:cstheme="minorHAnsi"/>
          <w:b/>
          <w:i/>
          <w:color w:val="000000" w:themeColor="text1"/>
          <w:sz w:val="22"/>
          <w:szCs w:val="22"/>
        </w:rPr>
        <w:t>l</w:t>
      </w:r>
      <w:r w:rsidRPr="000C6009">
        <w:rPr>
          <w:rStyle w:val="Enfasigrassetto"/>
          <w:rFonts w:asciiTheme="minorHAnsi" w:hAnsiTheme="minorHAnsi" w:cstheme="minorHAnsi"/>
          <w:i/>
          <w:color w:val="000000" w:themeColor="text1"/>
          <w:sz w:val="22"/>
          <w:szCs w:val="22"/>
        </w:rPr>
        <w:t xml:space="preserve">egge regionale n. 1 </w:t>
      </w:r>
      <w:r w:rsidRPr="000C6009">
        <w:rPr>
          <w:rStyle w:val="Enfasigrassetto"/>
          <w:rFonts w:asciiTheme="minorHAnsi" w:hAnsiTheme="minorHAnsi" w:cstheme="minorHAnsi"/>
          <w:color w:val="000000" w:themeColor="text1"/>
          <w:sz w:val="22"/>
          <w:szCs w:val="22"/>
        </w:rPr>
        <w:t>del</w:t>
      </w:r>
      <w:r w:rsidRPr="000C6009">
        <w:rPr>
          <w:rStyle w:val="Enfasigrassetto"/>
          <w:rFonts w:asciiTheme="minorHAnsi" w:hAnsiTheme="minorHAnsi" w:cstheme="minorHAnsi"/>
          <w:i/>
          <w:color w:val="000000" w:themeColor="text1"/>
          <w:sz w:val="22"/>
          <w:szCs w:val="22"/>
        </w:rPr>
        <w:t xml:space="preserve"> 27 gennaio 2015</w:t>
      </w:r>
      <w:r w:rsidRPr="000C6009">
        <w:rPr>
          <w:rStyle w:val="Enfasigrassetto"/>
          <w:rFonts w:asciiTheme="minorHAnsi" w:hAnsiTheme="minorHAnsi" w:cstheme="minorHAnsi"/>
          <w:color w:val="000000" w:themeColor="text1"/>
          <w:sz w:val="22"/>
          <w:szCs w:val="22"/>
        </w:rPr>
        <w:t xml:space="preserve"> (L.R. n. 1/2015)</w:t>
      </w:r>
      <w:r w:rsidRPr="000C6009">
        <w:rPr>
          <w:rFonts w:asciiTheme="minorHAnsi" w:hAnsiTheme="minorHAnsi" w:cstheme="minorHAnsi"/>
          <w:color w:val="000000" w:themeColor="text1"/>
          <w:sz w:val="22"/>
          <w:szCs w:val="22"/>
        </w:rPr>
        <w:t xml:space="preserve"> è stato ampliato l’ambito di operatività dell’</w:t>
      </w:r>
      <w:r w:rsidRPr="000C6009">
        <w:rPr>
          <w:rFonts w:asciiTheme="minorHAnsi" w:hAnsiTheme="minorHAnsi" w:cstheme="minorHAnsi"/>
          <w:i/>
          <w:color w:val="000000" w:themeColor="text1"/>
          <w:sz w:val="22"/>
          <w:szCs w:val="22"/>
        </w:rPr>
        <w:t>Agenzia per la Mobilità Metropolitana e Regionale</w:t>
      </w:r>
      <w:r w:rsidRPr="000C6009">
        <w:rPr>
          <w:rFonts w:asciiTheme="minorHAnsi" w:hAnsiTheme="minorHAnsi" w:cstheme="minorHAnsi"/>
          <w:color w:val="000000" w:themeColor="text1"/>
          <w:sz w:val="22"/>
          <w:szCs w:val="22"/>
        </w:rPr>
        <w:t xml:space="preserve"> definendo l’</w:t>
      </w:r>
      <w:r w:rsidRPr="000C6009">
        <w:rPr>
          <w:rFonts w:asciiTheme="minorHAnsi" w:hAnsiTheme="minorHAnsi" w:cstheme="minorHAnsi"/>
          <w:i/>
          <w:color w:val="000000" w:themeColor="text1"/>
          <w:sz w:val="22"/>
          <w:szCs w:val="22"/>
        </w:rPr>
        <w:t>Agenzia della mobilità piemontese</w:t>
      </w:r>
      <w:r w:rsidRPr="000C6009">
        <w:rPr>
          <w:rFonts w:asciiTheme="minorHAnsi" w:hAnsiTheme="minorHAnsi" w:cstheme="minorHAnsi"/>
          <w:color w:val="000000" w:themeColor="text1"/>
          <w:sz w:val="22"/>
          <w:szCs w:val="22"/>
        </w:rPr>
        <w:t xml:space="preserve"> quale ente pubblico di interesse regionale che mantiene la forma di consorzio per l’esercizio in forma obbligatoriamente associate delle funzioni degli enti territoriali in materia di TPL. Nell’</w:t>
      </w:r>
      <w:r w:rsidRPr="000C6009">
        <w:rPr>
          <w:rFonts w:asciiTheme="minorHAnsi" w:hAnsiTheme="minorHAnsi" w:cstheme="minorHAnsi"/>
          <w:i/>
          <w:color w:val="000000" w:themeColor="text1"/>
          <w:sz w:val="22"/>
          <w:szCs w:val="22"/>
        </w:rPr>
        <w:t>Agenzia della mobilità piemontese</w:t>
      </w:r>
      <w:r w:rsidRPr="000C6009">
        <w:rPr>
          <w:rFonts w:asciiTheme="minorHAnsi" w:hAnsiTheme="minorHAnsi" w:cstheme="minorHAnsi"/>
          <w:color w:val="000000" w:themeColor="text1"/>
          <w:sz w:val="22"/>
          <w:szCs w:val="22"/>
        </w:rPr>
        <w:t xml:space="preserve"> sono quindi entrati come consorziati i rimanenti soggetti di delega: le altre 7 Province piemontesi (Alessandria, Asti, Biella, Cuneo, Novara, Verbano Cusio Ossola, Vercelli) oltre quella di Torino (divenuta nel frattempo </w:t>
      </w:r>
      <w:r w:rsidRPr="000C6009">
        <w:rPr>
          <w:rFonts w:asciiTheme="minorHAnsi" w:hAnsiTheme="minorHAnsi" w:cstheme="minorHAnsi"/>
          <w:i/>
          <w:color w:val="000000" w:themeColor="text1"/>
          <w:sz w:val="22"/>
          <w:szCs w:val="22"/>
        </w:rPr>
        <w:t>Città Metropolitana</w:t>
      </w:r>
      <w:r w:rsidRPr="000C6009">
        <w:rPr>
          <w:rFonts w:asciiTheme="minorHAnsi" w:hAnsiTheme="minorHAnsi" w:cstheme="minorHAnsi"/>
          <w:color w:val="000000" w:themeColor="text1"/>
          <w:sz w:val="22"/>
          <w:szCs w:val="22"/>
        </w:rPr>
        <w:t xml:space="preserve">), gli altri 7 Comuni capoluogo di Provincia oltre Torino (Alessandria, Asti, Biella, Cuneo, Novara, Verbania, Vercelli), gli altri 5 Comuni con più di 30 mila abitanti (Alba, Bra, Casale Monferrato, Ivrea, Pinerolo) oltre quelli della conurbazione torinese già presenti. Su base volontaria è data facoltà di aderire all’Agenzia anche ai Comuni e alle Unioni di Comuni con popolazione compresa tra 15 mila e 30 mila abitanti. Attualmente, sono consorziati 9 di questi comuni (Acqui Terme, Carmagnola, Chivasso, Ciriè, Fossano, </w:t>
      </w:r>
      <w:r w:rsidRPr="000C6009">
        <w:rPr>
          <w:rFonts w:asciiTheme="minorHAnsi" w:hAnsiTheme="minorHAnsi" w:cstheme="minorHAnsi"/>
          <w:sz w:val="22"/>
          <w:szCs w:val="22"/>
        </w:rPr>
        <w:t>Giaveno</w:t>
      </w:r>
      <w:r w:rsidRPr="000C6009">
        <w:rPr>
          <w:rFonts w:asciiTheme="minorHAnsi" w:hAnsiTheme="minorHAnsi" w:cstheme="minorHAnsi"/>
          <w:color w:val="000000" w:themeColor="text1"/>
          <w:sz w:val="22"/>
          <w:szCs w:val="22"/>
        </w:rPr>
        <w:t>, Mondovì, Saluzzo, Savigliano</w:t>
      </w:r>
      <w:r w:rsidRPr="000C6009">
        <w:rPr>
          <w:rFonts w:asciiTheme="minorHAnsi" w:hAnsiTheme="minorHAnsi" w:cstheme="minorHAnsi"/>
          <w:sz w:val="22"/>
          <w:szCs w:val="22"/>
        </w:rPr>
        <w:t xml:space="preserve">) </w:t>
      </w:r>
      <w:r w:rsidRPr="000C6009">
        <w:rPr>
          <w:rFonts w:asciiTheme="minorHAnsi" w:hAnsiTheme="minorHAnsi" w:cstheme="minorHAnsi"/>
          <w:color w:val="000000" w:themeColor="text1"/>
          <w:sz w:val="22"/>
          <w:szCs w:val="22"/>
        </w:rPr>
        <w:t>oltre quelli della conurbazione torinese già presenti.</w:t>
      </w:r>
    </w:p>
    <w:p w14:paraId="57262995" w14:textId="77777777" w:rsidR="002E0EA3" w:rsidRPr="000C6009" w:rsidRDefault="002E0EA3" w:rsidP="002E0EA3">
      <w:pPr>
        <w:pStyle w:val="NormaleWeb"/>
        <w:shd w:val="clear" w:color="auto" w:fill="FFFFFF"/>
        <w:spacing w:before="120" w:after="0" w:line="240" w:lineRule="auto"/>
        <w:rPr>
          <w:rFonts w:asciiTheme="minorHAnsi" w:hAnsiTheme="minorHAnsi" w:cstheme="minorHAnsi"/>
          <w:color w:val="000000" w:themeColor="text1"/>
          <w:sz w:val="22"/>
          <w:szCs w:val="22"/>
        </w:rPr>
      </w:pPr>
      <w:r w:rsidRPr="000C6009">
        <w:rPr>
          <w:rFonts w:asciiTheme="minorHAnsi" w:hAnsiTheme="minorHAnsi" w:cstheme="minorHAnsi"/>
          <w:color w:val="000000" w:themeColor="text1"/>
          <w:sz w:val="22"/>
          <w:szCs w:val="22"/>
        </w:rPr>
        <w:t>A seguito dell’entrata in vigore della L.R. 1/2015, la titolarità dei Contratti di Servizio per il TPL nella Regione Piemonte è passata in capo all’Agenzia.</w:t>
      </w:r>
    </w:p>
    <w:p w14:paraId="6E160B2C" w14:textId="77777777" w:rsidR="002E0EA3" w:rsidRPr="000C6009" w:rsidRDefault="002E0EA3" w:rsidP="002E0EA3">
      <w:pPr>
        <w:pStyle w:val="NormaleWeb"/>
        <w:shd w:val="clear" w:color="auto" w:fill="FFFFFF"/>
        <w:spacing w:before="120" w:after="0" w:line="240" w:lineRule="auto"/>
        <w:rPr>
          <w:rFonts w:asciiTheme="minorHAnsi" w:hAnsiTheme="minorHAnsi" w:cstheme="minorHAnsi"/>
          <w:color w:val="000000" w:themeColor="text1"/>
          <w:sz w:val="22"/>
          <w:szCs w:val="22"/>
        </w:rPr>
      </w:pPr>
      <w:r w:rsidRPr="000C6009">
        <w:rPr>
          <w:rFonts w:asciiTheme="minorHAnsi" w:hAnsiTheme="minorHAnsi" w:cstheme="minorHAnsi"/>
          <w:color w:val="000000" w:themeColor="text1"/>
          <w:sz w:val="22"/>
          <w:szCs w:val="22"/>
        </w:rPr>
        <w:t>Tra le attività cui è preposta l'Agenzia vi sono: pianificare le strategie di mobilità, programmare gli sviluppi e provvedere agli affidamenti dei servizi di Trasporto Pubblico, amministrare il sistema tariffario, stipulare e amministrare i contratti con le Aziende di trasporto (art. 8 comma 2 L.R. 1/2000).</w:t>
      </w:r>
    </w:p>
    <w:p w14:paraId="5EB79337" w14:textId="7A16217C" w:rsidR="002E0EA3" w:rsidRPr="000C6009" w:rsidRDefault="002E0EA3" w:rsidP="002E0EA3">
      <w:pPr>
        <w:pStyle w:val="NormaleWeb"/>
        <w:shd w:val="clear" w:color="auto" w:fill="FFFFFF"/>
        <w:spacing w:before="120" w:after="0" w:line="240" w:lineRule="auto"/>
        <w:rPr>
          <w:rFonts w:asciiTheme="minorHAnsi" w:hAnsiTheme="minorHAnsi" w:cstheme="minorHAnsi"/>
          <w:color w:val="000000" w:themeColor="text1"/>
          <w:sz w:val="22"/>
          <w:szCs w:val="22"/>
        </w:rPr>
      </w:pPr>
      <w:r w:rsidRPr="000C6009">
        <w:rPr>
          <w:rFonts w:asciiTheme="minorHAnsi" w:hAnsiTheme="minorHAnsi" w:cstheme="minorHAnsi"/>
          <w:color w:val="000000" w:themeColor="text1"/>
          <w:sz w:val="22"/>
          <w:szCs w:val="22"/>
        </w:rPr>
        <w:t>In particolare il </w:t>
      </w:r>
      <w:hyperlink r:id="rId19" w:anchor="art11-com1" w:tgtFrame="_blank" w:history="1">
        <w:r w:rsidRPr="000C6009">
          <w:rPr>
            <w:rFonts w:asciiTheme="minorHAnsi" w:hAnsiTheme="minorHAnsi" w:cstheme="minorHAnsi"/>
            <w:color w:val="000000" w:themeColor="text1"/>
            <w:sz w:val="22"/>
            <w:szCs w:val="22"/>
          </w:rPr>
          <w:t>comma 1 dell'articolo 11 della L.R. 1/2000</w:t>
        </w:r>
      </w:hyperlink>
      <w:r w:rsidRPr="000C6009">
        <w:rPr>
          <w:rFonts w:asciiTheme="minorHAnsi" w:hAnsiTheme="minorHAnsi" w:cstheme="minorHAnsi"/>
          <w:color w:val="000000" w:themeColor="text1"/>
          <w:sz w:val="22"/>
          <w:szCs w:val="22"/>
        </w:rPr>
        <w:t>,  così come riformulato dalla L.R. 1/2015, così recita</w:t>
      </w:r>
    </w:p>
    <w:p w14:paraId="4397851D" w14:textId="77777777" w:rsidR="002E0EA3" w:rsidRPr="000C6009" w:rsidRDefault="002E0EA3" w:rsidP="007D531C">
      <w:pPr>
        <w:spacing w:before="120" w:after="0" w:line="240" w:lineRule="auto"/>
        <w:ind w:left="567" w:right="565"/>
        <w:rPr>
          <w:rFonts w:cstheme="minorHAnsi"/>
          <w:color w:val="0F6FC6" w:themeColor="accent1"/>
        </w:rPr>
      </w:pPr>
      <w:r w:rsidRPr="000C6009">
        <w:rPr>
          <w:rFonts w:cstheme="minorHAnsi"/>
          <w:color w:val="0F6FC6" w:themeColor="accent1"/>
        </w:rPr>
        <w:t>L.R. 1/2000 – art. 11 comma 1</w:t>
      </w:r>
    </w:p>
    <w:p w14:paraId="26DA8519" w14:textId="77777777" w:rsidR="002E0EA3" w:rsidRPr="000C6009" w:rsidRDefault="002E0EA3" w:rsidP="007D531C">
      <w:pPr>
        <w:pStyle w:val="Stile5"/>
        <w:ind w:left="567" w:right="565"/>
        <w:rPr>
          <w:rFonts w:asciiTheme="minorHAnsi" w:hAnsiTheme="minorHAnsi" w:cstheme="minorHAnsi"/>
          <w:i/>
        </w:rPr>
      </w:pPr>
      <w:r w:rsidRPr="000C6009">
        <w:rPr>
          <w:rFonts w:asciiTheme="minorHAnsi" w:hAnsiTheme="minorHAnsi" w:cstheme="minorHAnsi"/>
          <w:i/>
        </w:rPr>
        <w:t>L'Agenzia della mobilità piemontese stipula i contratti di servizio con i soggetti aggiudicatari o affidatari, a seguito dell'espletamento, ai sensi dell'articolo 5, comma 1 bis, di gare con procedura ad evidenza pubblica o di altra forma di affidamento prevista dalla normativa comunitaria e nazionale vigente. I soggetti devono essere in possesso dei requisiti di idoneità morale, finanziaria e professionale richiesti, ai sensi della normativa vigente, per il conseguimento della prescritta abilitazione all'autotrasporto di viaggiatori su strada.</w:t>
      </w:r>
    </w:p>
    <w:p w14:paraId="2830E893" w14:textId="77777777" w:rsidR="002E0EA3" w:rsidRPr="000C6009" w:rsidRDefault="002E0EA3" w:rsidP="002E0EA3">
      <w:pPr>
        <w:pStyle w:val="Titolo3"/>
        <w:ind w:left="709"/>
        <w:rPr>
          <w:rFonts w:asciiTheme="minorHAnsi" w:hAnsiTheme="minorHAnsi" w:cstheme="minorHAnsi"/>
        </w:rPr>
      </w:pPr>
      <w:bookmarkStart w:id="29" w:name="_Toc193374074"/>
      <w:bookmarkStart w:id="30" w:name="_Toc204933232"/>
      <w:bookmarkStart w:id="31" w:name="_Toc204616467"/>
      <w:bookmarkStart w:id="32" w:name="_Toc213078335"/>
      <w:r w:rsidRPr="000C6009">
        <w:rPr>
          <w:rFonts w:asciiTheme="minorHAnsi" w:hAnsiTheme="minorHAnsi" w:cstheme="minorHAnsi"/>
        </w:rPr>
        <w:lastRenderedPageBreak/>
        <w:t>D.G.R. N. 17-4134/2012</w:t>
      </w:r>
      <w:bookmarkEnd w:id="29"/>
      <w:bookmarkEnd w:id="30"/>
      <w:bookmarkEnd w:id="31"/>
      <w:bookmarkEnd w:id="32"/>
    </w:p>
    <w:p w14:paraId="775716BB" w14:textId="77777777" w:rsidR="002E0EA3" w:rsidRPr="000C6009" w:rsidRDefault="002E0EA3" w:rsidP="002E0EA3">
      <w:pPr>
        <w:spacing w:before="120" w:after="0" w:line="240" w:lineRule="auto"/>
        <w:rPr>
          <w:rFonts w:cstheme="minorHAnsi"/>
        </w:rPr>
      </w:pPr>
      <w:r w:rsidRPr="000C6009">
        <w:rPr>
          <w:rFonts w:cstheme="minorHAnsi"/>
        </w:rPr>
        <w:t>Con D.G.R. n. 17‐4134 del 12 luglio 2012, la Giunta Regionale del Piemonte ha definito i Bacini ottimali ai sensi dell’art. 3 bis del D.L. 13 agosto 2011 n. 138, convertito, con modificazioni, dalla Legge 14 settembre 2011, n. 148. Sono stati quindi individuati 4 baci così distinti:</w:t>
      </w:r>
    </w:p>
    <w:p w14:paraId="63100123" w14:textId="77777777" w:rsidR="002E0EA3" w:rsidRPr="000C6009" w:rsidRDefault="002E0EA3" w:rsidP="00472F1B">
      <w:pPr>
        <w:pStyle w:val="Paragrafoelenco"/>
        <w:numPr>
          <w:ilvl w:val="0"/>
          <w:numId w:val="18"/>
        </w:numPr>
        <w:spacing w:before="120" w:after="0" w:line="240" w:lineRule="auto"/>
        <w:contextualSpacing w:val="0"/>
        <w:rPr>
          <w:rFonts w:cstheme="minorHAnsi"/>
        </w:rPr>
      </w:pPr>
      <w:r w:rsidRPr="000C6009">
        <w:rPr>
          <w:rFonts w:cstheme="minorHAnsi"/>
        </w:rPr>
        <w:t>Bacino Metropolitano di Torino coincidente con l’ambito territoriale provinciale,</w:t>
      </w:r>
    </w:p>
    <w:p w14:paraId="780889A2" w14:textId="77777777" w:rsidR="002E0EA3" w:rsidRPr="000C6009" w:rsidRDefault="002E0EA3" w:rsidP="00472F1B">
      <w:pPr>
        <w:pStyle w:val="Paragrafoelenco"/>
        <w:numPr>
          <w:ilvl w:val="0"/>
          <w:numId w:val="18"/>
        </w:numPr>
        <w:spacing w:before="120" w:after="0" w:line="240" w:lineRule="auto"/>
        <w:contextualSpacing w:val="0"/>
        <w:rPr>
          <w:rFonts w:cstheme="minorHAnsi"/>
        </w:rPr>
      </w:pPr>
      <w:r w:rsidRPr="000C6009">
        <w:rPr>
          <w:rFonts w:cstheme="minorHAnsi"/>
        </w:rPr>
        <w:t>Bacino Sud coincidente con l’ambito territoriale della Provincia di Cuneo;</w:t>
      </w:r>
    </w:p>
    <w:p w14:paraId="7A94F798" w14:textId="77777777" w:rsidR="002E0EA3" w:rsidRPr="000C6009" w:rsidRDefault="002E0EA3" w:rsidP="00472F1B">
      <w:pPr>
        <w:pStyle w:val="Paragrafoelenco"/>
        <w:numPr>
          <w:ilvl w:val="0"/>
          <w:numId w:val="18"/>
        </w:numPr>
        <w:spacing w:before="120" w:after="0" w:line="240" w:lineRule="auto"/>
        <w:contextualSpacing w:val="0"/>
        <w:rPr>
          <w:rFonts w:cstheme="minorHAnsi"/>
        </w:rPr>
      </w:pPr>
      <w:r w:rsidRPr="000C6009">
        <w:rPr>
          <w:rFonts w:cstheme="minorHAnsi"/>
        </w:rPr>
        <w:t>Bacino Nord Est coincidente con gli ambiti amministrativi delle province di Biella, Novara, Vercelli e Verbano Cusio Ossola;</w:t>
      </w:r>
    </w:p>
    <w:p w14:paraId="3FEB8A37" w14:textId="77777777" w:rsidR="002E0EA3" w:rsidRPr="000C6009" w:rsidRDefault="002E0EA3" w:rsidP="00472F1B">
      <w:pPr>
        <w:pStyle w:val="Paragrafoelenco"/>
        <w:numPr>
          <w:ilvl w:val="0"/>
          <w:numId w:val="18"/>
        </w:numPr>
        <w:spacing w:before="120" w:after="0" w:line="240" w:lineRule="auto"/>
        <w:contextualSpacing w:val="0"/>
        <w:rPr>
          <w:rFonts w:cstheme="minorHAnsi"/>
        </w:rPr>
      </w:pPr>
      <w:r w:rsidRPr="000C6009">
        <w:rPr>
          <w:rFonts w:cstheme="minorHAnsi"/>
        </w:rPr>
        <w:t>Bacino Sud Est coincidente con gli ambiti amministrativi delle province di Alessandria e Asti.</w:t>
      </w:r>
    </w:p>
    <w:p w14:paraId="4A222D88" w14:textId="77777777" w:rsidR="002E0EA3" w:rsidRPr="000C6009" w:rsidRDefault="002E0EA3" w:rsidP="002E0EA3">
      <w:pPr>
        <w:spacing w:before="120" w:after="0" w:line="240" w:lineRule="auto"/>
        <w:rPr>
          <w:rFonts w:cstheme="minorHAnsi"/>
        </w:rPr>
      </w:pPr>
      <w:r w:rsidRPr="000C6009">
        <w:rPr>
          <w:rFonts w:cstheme="minorHAnsi"/>
        </w:rPr>
        <w:t>All’interno di ciascun Bacino afferiscono i servizi e le risorse regionali per il finanziamento dei servizi minimi di trasporto pubblico locale assegnate dalla regione a ciascun Ente soggetto di delega rientrante nel bacino stesso.</w:t>
      </w:r>
    </w:p>
    <w:p w14:paraId="1C39942C" w14:textId="77777777" w:rsidR="002E0EA3" w:rsidRPr="000C6009" w:rsidRDefault="002E0EA3" w:rsidP="002E0EA3">
      <w:pPr>
        <w:spacing w:before="120" w:after="0" w:line="240" w:lineRule="auto"/>
        <w:rPr>
          <w:rFonts w:eastAsia="Times New Roman" w:cstheme="minorHAnsi"/>
          <w:sz w:val="24"/>
          <w:szCs w:val="24"/>
        </w:rPr>
      </w:pPr>
      <w:r w:rsidRPr="000C6009">
        <w:rPr>
          <w:rFonts w:cstheme="minorHAnsi"/>
        </w:rPr>
        <w:t>Essi sono stati utilizzati per segmentare i servizi di trasporto non ferroviari e per definire l’architettura istituzionale dell'</w:t>
      </w:r>
      <w:r w:rsidRPr="000C6009">
        <w:rPr>
          <w:rFonts w:cstheme="minorHAnsi"/>
          <w:i/>
        </w:rPr>
        <w:t>Agenzia della Mobilità Piemontese</w:t>
      </w:r>
      <w:r w:rsidRPr="000C6009">
        <w:rPr>
          <w:rFonts w:cstheme="minorHAnsi"/>
        </w:rPr>
        <w:t xml:space="preserve">, evoluta dal 12 novembre 2015, dalla precedente </w:t>
      </w:r>
      <w:r w:rsidRPr="000C6009">
        <w:rPr>
          <w:rFonts w:cstheme="minorHAnsi"/>
          <w:i/>
        </w:rPr>
        <w:t>Agenzia per la Mobilità Metropolitana e Regionale</w:t>
      </w:r>
      <w:r w:rsidRPr="000C6009">
        <w:rPr>
          <w:rFonts w:eastAsia="Times New Roman" w:cstheme="minorHAnsi"/>
          <w:sz w:val="24"/>
          <w:szCs w:val="24"/>
        </w:rPr>
        <w:t>.</w:t>
      </w:r>
    </w:p>
    <w:p w14:paraId="67F626B0" w14:textId="77777777" w:rsidR="002E0EA3" w:rsidRPr="000C6009" w:rsidRDefault="002E0EA3" w:rsidP="002E0EA3">
      <w:pPr>
        <w:spacing w:before="120" w:after="0" w:line="240" w:lineRule="auto"/>
        <w:rPr>
          <w:rFonts w:cstheme="minorHAnsi"/>
        </w:rPr>
      </w:pPr>
      <w:r w:rsidRPr="000C6009">
        <w:rPr>
          <w:rFonts w:cstheme="minorHAnsi"/>
        </w:rPr>
        <w:t>Gli organi di governo del consorzio sono stati strutturati affinché tutti gli aderenti siano rappresentati in particolare lo statuto prevede:</w:t>
      </w:r>
    </w:p>
    <w:p w14:paraId="69370B72" w14:textId="77777777" w:rsidR="002E0EA3" w:rsidRPr="000C6009" w:rsidRDefault="002E0EA3" w:rsidP="00472F1B">
      <w:pPr>
        <w:pStyle w:val="Paragrafoelenco"/>
        <w:numPr>
          <w:ilvl w:val="0"/>
          <w:numId w:val="23"/>
        </w:numPr>
        <w:spacing w:before="120" w:after="0" w:line="240" w:lineRule="auto"/>
        <w:contextualSpacing w:val="0"/>
        <w:rPr>
          <w:rFonts w:cstheme="minorHAnsi"/>
        </w:rPr>
      </w:pPr>
      <w:r w:rsidRPr="000C6009">
        <w:rPr>
          <w:rFonts w:cstheme="minorHAnsi"/>
        </w:rPr>
        <w:t>un’Assemblea composta dai rappresentanti dei 62 enti aderenti nella persona del Sindaco o del Presidente.</w:t>
      </w:r>
    </w:p>
    <w:p w14:paraId="7FBF08A0" w14:textId="77777777" w:rsidR="002E0EA3" w:rsidRPr="000C6009" w:rsidRDefault="002E0EA3" w:rsidP="00472F1B">
      <w:pPr>
        <w:pStyle w:val="Paragrafoelenco"/>
        <w:numPr>
          <w:ilvl w:val="0"/>
          <w:numId w:val="23"/>
        </w:numPr>
        <w:spacing w:before="120" w:after="0" w:line="240" w:lineRule="auto"/>
        <w:contextualSpacing w:val="0"/>
        <w:rPr>
          <w:rFonts w:cstheme="minorHAnsi"/>
        </w:rPr>
      </w:pPr>
      <w:r w:rsidRPr="000C6009">
        <w:rPr>
          <w:rFonts w:cstheme="minorHAnsi"/>
        </w:rPr>
        <w:t>un Consiglio di Amministrazione costituito da 4 rappresentanti uno per bacino di mobilità più un presidente nominato di concerto tra la Regione Piemonte e la Città di Torino.</w:t>
      </w:r>
    </w:p>
    <w:p w14:paraId="5EBAD7C3" w14:textId="77777777" w:rsidR="002E0EA3" w:rsidRPr="000C6009" w:rsidRDefault="002E0EA3" w:rsidP="002E0EA3">
      <w:pPr>
        <w:spacing w:before="120" w:after="0" w:line="240" w:lineRule="auto"/>
        <w:rPr>
          <w:rFonts w:cstheme="minorHAnsi"/>
        </w:rPr>
      </w:pPr>
      <w:r w:rsidRPr="000C6009">
        <w:rPr>
          <w:rFonts w:cstheme="minorHAnsi"/>
        </w:rPr>
        <w:t>Ogni bacino ha una propria Assemblea presieduta dal rappresentante del bacino in Consiglio di Amministrazione e ad esse partecipano tutti gli enti consorziati appartenenti al bacino, alle assemblee di bacino sono sottoposti, prima dell’approvazione, gli schemi dei piani e dei programmi triennali di bacino, predisposti, in coerenza con il programma triennale dei servizi di trasporto pubblico regionale, dalle commissioni tecniche di bacino di concerto con l’Agenzia.</w:t>
      </w:r>
    </w:p>
    <w:p w14:paraId="40F43493" w14:textId="77777777" w:rsidR="002E0EA3" w:rsidRPr="000C6009" w:rsidRDefault="002E0EA3" w:rsidP="002E0EA3">
      <w:pPr>
        <w:spacing w:before="120" w:after="0" w:line="240" w:lineRule="auto"/>
        <w:rPr>
          <w:rFonts w:cstheme="minorHAnsi"/>
        </w:rPr>
      </w:pPr>
      <w:r w:rsidRPr="000C6009">
        <w:rPr>
          <w:rFonts w:cstheme="minorHAnsi"/>
        </w:rPr>
        <w:t>È inoltre istituito per statuto un Comitato tecnico composto dal Direttore Generale ed almeno 6 dirigenti competenti in materia di trasporti, uno in rappresentanza di Regione Piemonte, uno in rappresentanza del Comune di Torino e uno per ogni bacino designato dagli enti di appartenenza. Lo stesso si articola attraverso commissioni tecniche di bacino, composte dai dirigenti dei singoli enti afferenti al bacino coordinate dal rappresentante di bacino in seno al comitato.</w:t>
      </w:r>
    </w:p>
    <w:p w14:paraId="7391B1FB" w14:textId="77777777" w:rsidR="002E0EA3" w:rsidRPr="000C6009" w:rsidRDefault="002E0EA3" w:rsidP="002E0EA3">
      <w:pPr>
        <w:pStyle w:val="Titolo3"/>
        <w:ind w:left="709"/>
        <w:rPr>
          <w:rFonts w:asciiTheme="minorHAnsi" w:hAnsiTheme="minorHAnsi" w:cstheme="minorHAnsi"/>
          <w:i w:val="0"/>
        </w:rPr>
      </w:pPr>
      <w:bookmarkStart w:id="33" w:name="_Toc193374075"/>
      <w:bookmarkStart w:id="34" w:name="_Ref193386102"/>
      <w:bookmarkStart w:id="35" w:name="_Toc1382273104"/>
      <w:bookmarkStart w:id="36" w:name="_Toc204616468"/>
      <w:bookmarkStart w:id="37" w:name="_Toc213078336"/>
      <w:r w:rsidRPr="000C6009">
        <w:rPr>
          <w:rFonts w:asciiTheme="minorHAnsi" w:hAnsiTheme="minorHAnsi" w:cstheme="minorHAnsi"/>
          <w:i w:val="0"/>
        </w:rPr>
        <w:t>D.G.R. n. 13-6608/2013</w:t>
      </w:r>
      <w:bookmarkEnd w:id="27"/>
      <w:bookmarkEnd w:id="28"/>
      <w:bookmarkEnd w:id="33"/>
      <w:bookmarkEnd w:id="34"/>
      <w:bookmarkEnd w:id="35"/>
      <w:bookmarkEnd w:id="36"/>
      <w:bookmarkEnd w:id="37"/>
      <w:r w:rsidRPr="000C6009">
        <w:rPr>
          <w:rFonts w:asciiTheme="minorHAnsi" w:hAnsiTheme="minorHAnsi" w:cstheme="minorHAnsi"/>
          <w:i w:val="0"/>
        </w:rPr>
        <w:t xml:space="preserve"> </w:t>
      </w:r>
    </w:p>
    <w:p w14:paraId="3765EE6F" w14:textId="77777777" w:rsidR="002E0EA3" w:rsidRPr="000C6009" w:rsidRDefault="002E0EA3" w:rsidP="002E0EA3">
      <w:pPr>
        <w:spacing w:before="120" w:after="0" w:line="240" w:lineRule="auto"/>
        <w:rPr>
          <w:rFonts w:cstheme="minorHAnsi"/>
        </w:rPr>
      </w:pPr>
      <w:r w:rsidRPr="000C6009">
        <w:rPr>
          <w:rFonts w:cstheme="minorHAnsi"/>
        </w:rPr>
        <w:t xml:space="preserve">ll </w:t>
      </w:r>
      <w:r w:rsidRPr="000C6009">
        <w:rPr>
          <w:rFonts w:cstheme="minorHAnsi"/>
          <w:b/>
        </w:rPr>
        <w:t>sistema tariffario</w:t>
      </w:r>
      <w:r w:rsidRPr="000C6009">
        <w:rPr>
          <w:rFonts w:cstheme="minorHAnsi"/>
        </w:rPr>
        <w:t xml:space="preserve"> per i servizi di TPL in Piemonte è disciplinato dall'</w:t>
      </w:r>
      <w:r w:rsidRPr="000C6009">
        <w:rPr>
          <w:rFonts w:cstheme="minorHAnsi"/>
          <w:b/>
        </w:rPr>
        <w:t>articolo 12 della L.R. 1/2000</w:t>
      </w:r>
      <w:r w:rsidRPr="000C6009">
        <w:rPr>
          <w:rFonts w:cstheme="minorHAnsi"/>
        </w:rPr>
        <w:t xml:space="preserve">, che assegna alla Giunta regionale il compito di definire, in collaborazione con gli Enti locali, la politica tariffaria in linea con principi di uniformità e integrazione tra i diversi sistemi di trasporto e con gli obiettivi di equilibrio tra ricavi e costi dei servizi. </w:t>
      </w:r>
    </w:p>
    <w:p w14:paraId="5C78E2BA" w14:textId="77777777" w:rsidR="002E0EA3" w:rsidRPr="000C6009" w:rsidRDefault="002E0EA3" w:rsidP="002E0EA3">
      <w:pPr>
        <w:spacing w:before="120" w:after="0" w:line="240" w:lineRule="auto"/>
        <w:rPr>
          <w:rFonts w:cstheme="minorHAnsi"/>
        </w:rPr>
      </w:pPr>
      <w:r w:rsidRPr="000C6009">
        <w:rPr>
          <w:rFonts w:cstheme="minorHAnsi"/>
          <w:b/>
        </w:rPr>
        <w:t>La D.G.R. n. 13-6608/2013</w:t>
      </w:r>
      <w:r w:rsidRPr="000C6009">
        <w:rPr>
          <w:rFonts w:cstheme="minorHAnsi"/>
        </w:rPr>
        <w:t xml:space="preserve"> ha stabilito le </w:t>
      </w:r>
      <w:r w:rsidRPr="000C6009">
        <w:rPr>
          <w:rFonts w:cstheme="minorHAnsi"/>
          <w:b/>
        </w:rPr>
        <w:t xml:space="preserve">tariffe </w:t>
      </w:r>
      <w:r w:rsidRPr="000C6009">
        <w:rPr>
          <w:rFonts w:cstheme="minorHAnsi"/>
        </w:rPr>
        <w:t>dei servizi TPL e ha introdotto un meccanismo di adeguamento automatico basato sull'inflazione programmata. A partire dal 2015, le tariffe sono state incrementate annualmente in base all'inflazione programmata, con arrotondamenti specifici per biglietti e abbonamenti. Tuttavia, durante il 2020 e il 2021, tali adeguamenti non sono stati applicati a causa dell'emergenza COVID-19.</w:t>
      </w:r>
    </w:p>
    <w:p w14:paraId="249EE193" w14:textId="77777777" w:rsidR="002E0EA3" w:rsidRPr="000C6009" w:rsidRDefault="002E0EA3" w:rsidP="002E0EA3">
      <w:pPr>
        <w:spacing w:before="120" w:after="0" w:line="240" w:lineRule="auto"/>
        <w:rPr>
          <w:rFonts w:cstheme="minorHAnsi"/>
        </w:rPr>
      </w:pPr>
      <w:r w:rsidRPr="000C6009">
        <w:rPr>
          <w:rFonts w:cstheme="minorHAnsi"/>
        </w:rPr>
        <w:lastRenderedPageBreak/>
        <w:t>L'intesa tariffaria tra la Regione e gli Enti Locali avviene nell'Assemblea dell'Agenzia della mobilità piemontese, che ha deliberato, nel corso degli anni, diversi adeguamenti tariffari. Nel 2019 è stato approvato un aumento medio del 2,86%, mentre nel 2021 sono stati recepiti gli adeguamenti relativi agli anni precedenti, con un incremento medio dell'1,51%. Nel 2022 le tariffe sono state adeguate al tasso di inflazione programmata del 2022, con un aumento medio del 5,45% per i servizi automobilistici extraurbani. Nel 2023, è stato nuovamente applicato l'adeguamento automatico con decorrenza dal 1° luglio, portando a un incremento medio del 5,88%. Nel 2024 è stato approvato un aumento medio delle tariffe, rispetto ai livelli del 2023, del 3,61. Per l’adeguamento tariffario 2025 l’aumento medio applicato è dello 0,60%.</w:t>
      </w:r>
    </w:p>
    <w:p w14:paraId="7E407C5F" w14:textId="77777777" w:rsidR="002E0EA3" w:rsidRPr="000C6009" w:rsidRDefault="002E0EA3" w:rsidP="002E0EA3">
      <w:pPr>
        <w:spacing w:before="120" w:after="0" w:line="240" w:lineRule="auto"/>
        <w:rPr>
          <w:rFonts w:cstheme="minorHAnsi"/>
        </w:rPr>
      </w:pPr>
      <w:r w:rsidRPr="000C6009">
        <w:rPr>
          <w:rFonts w:cstheme="minorHAnsi"/>
        </w:rPr>
        <w:t>Gli aggiornamenti tariffari vengono calcolati sulla base delle revisioni periodiche dei tassi di inflazione programmata, indicati in apposite delibere e documenti ufficiali. Tali revisioni tengono conto delle variazioni introdotte nei documenti di programmazione economica e finanziaria, come DEF e NADEF, e sono dettagliate nelle tabelle allegate alle delibere dell'Assemblea</w:t>
      </w:r>
      <w:r w:rsidRPr="000C6009">
        <w:rPr>
          <w:rStyle w:val="Rimandonotaapidipagina"/>
          <w:rFonts w:cstheme="minorHAnsi"/>
        </w:rPr>
        <w:footnoteReference w:id="5"/>
      </w:r>
      <w:r w:rsidRPr="000C6009">
        <w:rPr>
          <w:rFonts w:cstheme="minorHAnsi"/>
        </w:rPr>
        <w:t>.</w:t>
      </w:r>
    </w:p>
    <w:p w14:paraId="0AF03CA7" w14:textId="77777777" w:rsidR="002E0EA3" w:rsidRPr="000C6009" w:rsidRDefault="002E0EA3" w:rsidP="002E0EA3">
      <w:pPr>
        <w:pStyle w:val="Titolo3"/>
        <w:ind w:left="709"/>
        <w:rPr>
          <w:rFonts w:asciiTheme="minorHAnsi" w:hAnsiTheme="minorHAnsi" w:cstheme="minorHAnsi"/>
          <w:i w:val="0"/>
        </w:rPr>
      </w:pPr>
      <w:bookmarkStart w:id="38" w:name="_Toc193374076"/>
      <w:bookmarkStart w:id="39" w:name="_Toc99314454"/>
      <w:bookmarkStart w:id="40" w:name="_Toc204616469"/>
      <w:bookmarkStart w:id="41" w:name="_Toc213078337"/>
      <w:r w:rsidRPr="000C6009">
        <w:rPr>
          <w:rFonts w:asciiTheme="minorHAnsi" w:hAnsiTheme="minorHAnsi" w:cstheme="minorHAnsi"/>
          <w:i w:val="0"/>
        </w:rPr>
        <w:t>D.G.R. n. 7-4621/2017</w:t>
      </w:r>
      <w:bookmarkEnd w:id="38"/>
      <w:bookmarkEnd w:id="39"/>
      <w:bookmarkEnd w:id="40"/>
      <w:bookmarkEnd w:id="41"/>
    </w:p>
    <w:p w14:paraId="3D539B20" w14:textId="77777777" w:rsidR="002E0EA3" w:rsidRPr="000C6009" w:rsidRDefault="002E0EA3" w:rsidP="002E0EA3">
      <w:pPr>
        <w:spacing w:before="120" w:after="0" w:line="240" w:lineRule="auto"/>
        <w:rPr>
          <w:rFonts w:cstheme="minorHAnsi"/>
        </w:rPr>
      </w:pPr>
      <w:r w:rsidRPr="000C6009">
        <w:rPr>
          <w:rFonts w:cstheme="minorHAnsi"/>
        </w:rPr>
        <w:t>La Deliberazione della Giunta Regionale del Piemonte</w:t>
      </w:r>
      <w:r w:rsidRPr="000C6009">
        <w:rPr>
          <w:rFonts w:cstheme="minorHAnsi"/>
          <w:b/>
        </w:rPr>
        <w:t xml:space="preserve"> n. 7-4621/2017 </w:t>
      </w:r>
      <w:r w:rsidRPr="000C6009">
        <w:rPr>
          <w:rFonts w:cstheme="minorHAnsi"/>
        </w:rPr>
        <w:t xml:space="preserve">ha istituito il </w:t>
      </w:r>
      <w:r w:rsidRPr="000C6009">
        <w:rPr>
          <w:rFonts w:cstheme="minorHAnsi"/>
          <w:b/>
        </w:rPr>
        <w:t>Sistema Informativo Regionale Trasporti (SIRT) e regolamentato il Debito Informativo Trasporti (DIT)</w:t>
      </w:r>
      <w:r w:rsidRPr="000C6009">
        <w:rPr>
          <w:rFonts w:cstheme="minorHAnsi"/>
        </w:rPr>
        <w:t>, strumenti concepiti per supportare le attività funzionali della regione in materia di trasporti.</w:t>
      </w:r>
    </w:p>
    <w:p w14:paraId="4B72E6E7" w14:textId="77777777" w:rsidR="002E0EA3" w:rsidRPr="000C6009" w:rsidRDefault="002E0EA3" w:rsidP="002E0EA3">
      <w:pPr>
        <w:spacing w:before="120" w:after="0" w:line="240" w:lineRule="auto"/>
        <w:rPr>
          <w:rFonts w:cstheme="minorHAnsi"/>
        </w:rPr>
      </w:pPr>
      <w:r w:rsidRPr="000C6009">
        <w:rPr>
          <w:rFonts w:cstheme="minorHAnsi"/>
        </w:rPr>
        <w:t xml:space="preserve">Il SIRT è un sistema basato su banche dati specifiche definite nell’allegato tecnico della delibera stessa, che funge da riferimento per le funzioni di pianificazione, programmazione e controllo in materia di trasporto pubblico locale e regionale. </w:t>
      </w:r>
    </w:p>
    <w:p w14:paraId="12110250" w14:textId="77777777" w:rsidR="002E0EA3" w:rsidRPr="000C6009" w:rsidRDefault="002E0EA3" w:rsidP="002E0EA3">
      <w:pPr>
        <w:spacing w:before="120" w:after="0" w:line="240" w:lineRule="auto"/>
        <w:rPr>
          <w:rFonts w:cstheme="minorHAnsi"/>
        </w:rPr>
      </w:pPr>
      <w:r w:rsidRPr="000C6009">
        <w:rPr>
          <w:rFonts w:cstheme="minorHAnsi"/>
        </w:rPr>
        <w:t>Il DIT, invece, obbliga enti e aziende del settore a fornire dati secondo flussi, tempistiche e modalità stabilite nel medesimo allegato, assicurando l’adempimento normativo tramite conformità con le indicazioni previste. Il monitoraggio è basato su modalità di certificazione dei singoli flussi informativi. La direzione regionale competente è dunque incaricata di aggiornare la documentazione tecnica e sviluppare indicatori per il monitoraggio del trasporto pubblico al fine di implementare un Cruscotto di Monitoraggio Regionale dei Trasporti (CMRT)</w:t>
      </w:r>
      <w:r w:rsidRPr="000C6009">
        <w:rPr>
          <w:rFonts w:cstheme="minorHAnsi"/>
          <w:vertAlign w:val="superscript"/>
        </w:rPr>
        <w:footnoteReference w:id="6"/>
      </w:r>
      <w:r w:rsidRPr="000C6009">
        <w:rPr>
          <w:rFonts w:cstheme="minorHAnsi"/>
        </w:rPr>
        <w:t xml:space="preserve"> con funzioni automatizzate per analisi e reportistica. In caso di inadempienze al DIT, sono previste sanzioni, incluse la sospensione del 5% delle compensazioni regionali durante il periodo di mancata conformità. Inoltre, la pubblicazione dei dati sarà soggetta alle normative in materia di trasparenza, secondo le linee guida dell'Autorità Nazionale Anticorruzione. </w:t>
      </w:r>
    </w:p>
    <w:p w14:paraId="31927B19" w14:textId="77777777" w:rsidR="002E0EA3" w:rsidRPr="000C6009" w:rsidRDefault="002E0EA3" w:rsidP="00472F1B">
      <w:pPr>
        <w:pStyle w:val="Titolo2"/>
        <w:tabs>
          <w:tab w:val="clear" w:pos="1276"/>
        </w:tabs>
        <w:spacing w:after="240"/>
        <w:ind w:left="567" w:hanging="567"/>
        <w:rPr>
          <w:rFonts w:asciiTheme="minorHAnsi" w:hAnsiTheme="minorHAnsi" w:cstheme="minorHAnsi"/>
        </w:rPr>
      </w:pPr>
      <w:bookmarkStart w:id="42" w:name="_Ref93326321"/>
      <w:bookmarkStart w:id="43" w:name="_Toc155362336"/>
      <w:bookmarkStart w:id="44" w:name="_Toc193374077"/>
      <w:bookmarkStart w:id="45" w:name="_Toc1870428770"/>
      <w:bookmarkStart w:id="46" w:name="_Toc204616470"/>
      <w:bookmarkStart w:id="47" w:name="_Toc213078338"/>
      <w:r w:rsidRPr="000C6009">
        <w:rPr>
          <w:rFonts w:asciiTheme="minorHAnsi" w:hAnsiTheme="minorHAnsi" w:cstheme="minorHAnsi"/>
        </w:rPr>
        <w:t>Quadro di riferimento per la pianificazione del sistema di trasporto pubblico regionale</w:t>
      </w:r>
      <w:bookmarkEnd w:id="42"/>
      <w:bookmarkEnd w:id="43"/>
      <w:bookmarkEnd w:id="44"/>
      <w:bookmarkEnd w:id="45"/>
      <w:bookmarkEnd w:id="46"/>
      <w:bookmarkEnd w:id="47"/>
      <w:r w:rsidRPr="000C6009">
        <w:rPr>
          <w:rFonts w:asciiTheme="minorHAnsi" w:hAnsiTheme="minorHAnsi" w:cstheme="minorHAnsi"/>
        </w:rPr>
        <w:t xml:space="preserve"> </w:t>
      </w:r>
    </w:p>
    <w:p w14:paraId="5B894539" w14:textId="77777777" w:rsidR="002E0EA3" w:rsidRPr="000C6009" w:rsidRDefault="002E0EA3" w:rsidP="002E0EA3">
      <w:pPr>
        <w:spacing w:before="120" w:after="0" w:line="240" w:lineRule="auto"/>
        <w:rPr>
          <w:rFonts w:cstheme="minorHAnsi"/>
        </w:rPr>
      </w:pPr>
      <w:bookmarkStart w:id="48" w:name="_Ref92961403"/>
      <w:bookmarkStart w:id="49" w:name="_Ref92961414"/>
      <w:bookmarkStart w:id="50" w:name="_Ref93325217"/>
      <w:bookmarkStart w:id="51" w:name="_Toc155362337"/>
      <w:r w:rsidRPr="000C6009">
        <w:rPr>
          <w:rFonts w:cstheme="minorHAnsi"/>
        </w:rPr>
        <w:t xml:space="preserve">A livello regionale, sono previsti due principali livelli di pianificazione: il piano strategico e i piani di settore. Il piano strategico fissa gli obiettivi di lungo periodo e ha come strumento di riferimento il </w:t>
      </w:r>
      <w:r w:rsidRPr="000C6009">
        <w:rPr>
          <w:rFonts w:cstheme="minorHAnsi"/>
          <w:b/>
        </w:rPr>
        <w:t>Piano Regionale della Mobilità e dei Trasporti</w:t>
      </w:r>
      <w:r w:rsidRPr="000C6009">
        <w:rPr>
          <w:rFonts w:cstheme="minorHAnsi"/>
        </w:rPr>
        <w:t xml:space="preserve"> (PRMT). I piani di settore, invece, definiscono le caratteristiche che il sistema dei trasporti deve assumere nel medio periodo per raggiungere tali obiettivi, in Piemonte sono stati declinati nel </w:t>
      </w:r>
      <w:r w:rsidRPr="000C6009">
        <w:rPr>
          <w:rFonts w:cstheme="minorHAnsi"/>
          <w:b/>
          <w:i/>
        </w:rPr>
        <w:t>Piano Regionale per la Mobilità delle Persone</w:t>
      </w:r>
      <w:r w:rsidRPr="000C6009">
        <w:rPr>
          <w:rFonts w:cstheme="minorHAnsi"/>
        </w:rPr>
        <w:t xml:space="preserve"> (PrMoP), nel </w:t>
      </w:r>
      <w:r w:rsidRPr="000C6009">
        <w:rPr>
          <w:rFonts w:cstheme="minorHAnsi"/>
          <w:b/>
          <w:i/>
        </w:rPr>
        <w:t>Piano Regionale della Logistica</w:t>
      </w:r>
      <w:r w:rsidRPr="000C6009">
        <w:rPr>
          <w:rFonts w:cstheme="minorHAnsi"/>
        </w:rPr>
        <w:t xml:space="preserve"> (PrLog) e nel </w:t>
      </w:r>
      <w:r w:rsidRPr="000C6009">
        <w:rPr>
          <w:rFonts w:cstheme="minorHAnsi"/>
          <w:b/>
          <w:bCs/>
          <w:i/>
        </w:rPr>
        <w:t>Piano Regionale della Mobilità Ciclistica</w:t>
      </w:r>
      <w:r w:rsidRPr="000C6009">
        <w:rPr>
          <w:rFonts w:cstheme="minorHAnsi"/>
        </w:rPr>
        <w:t> (PRMC).</w:t>
      </w:r>
    </w:p>
    <w:p w14:paraId="3C317F10" w14:textId="77777777" w:rsidR="002E0EA3" w:rsidRPr="000C6009" w:rsidRDefault="002E0EA3" w:rsidP="002E0EA3">
      <w:pPr>
        <w:pStyle w:val="Titolo3"/>
        <w:ind w:left="709"/>
        <w:rPr>
          <w:rFonts w:asciiTheme="minorHAnsi" w:hAnsiTheme="minorHAnsi" w:cstheme="minorHAnsi"/>
          <w:i w:val="0"/>
        </w:rPr>
      </w:pPr>
      <w:bookmarkStart w:id="52" w:name="_Toc155362338"/>
      <w:bookmarkStart w:id="53" w:name="_Toc193374078"/>
      <w:bookmarkStart w:id="54" w:name="_Toc389641052"/>
      <w:bookmarkStart w:id="55" w:name="_Toc204616471"/>
      <w:bookmarkStart w:id="56" w:name="_Toc213078339"/>
      <w:bookmarkEnd w:id="48"/>
      <w:bookmarkEnd w:id="49"/>
      <w:bookmarkEnd w:id="50"/>
      <w:bookmarkEnd w:id="51"/>
      <w:r w:rsidRPr="000C6009">
        <w:rPr>
          <w:rFonts w:asciiTheme="minorHAnsi" w:hAnsiTheme="minorHAnsi" w:cstheme="minorHAnsi"/>
          <w:i w:val="0"/>
        </w:rPr>
        <w:lastRenderedPageBreak/>
        <w:t>Il Piano Regionale della Mobilità e dei Trasporti</w:t>
      </w:r>
      <w:bookmarkEnd w:id="52"/>
      <w:bookmarkEnd w:id="53"/>
      <w:bookmarkEnd w:id="54"/>
      <w:bookmarkEnd w:id="55"/>
      <w:bookmarkEnd w:id="56"/>
      <w:r w:rsidRPr="000C6009">
        <w:rPr>
          <w:rFonts w:asciiTheme="minorHAnsi" w:hAnsiTheme="minorHAnsi" w:cstheme="minorHAnsi"/>
          <w:i w:val="0"/>
        </w:rPr>
        <w:t xml:space="preserve"> </w:t>
      </w:r>
    </w:p>
    <w:p w14:paraId="51E45D1B" w14:textId="762B35D7" w:rsidR="002E0EA3" w:rsidRPr="000C6009" w:rsidRDefault="002E0EA3" w:rsidP="002E0EA3">
      <w:pPr>
        <w:spacing w:before="120" w:after="0" w:line="240" w:lineRule="auto"/>
        <w:rPr>
          <w:rFonts w:cstheme="minorHAnsi"/>
          <w:color w:val="000000" w:themeColor="text1"/>
        </w:rPr>
      </w:pPr>
      <w:r w:rsidRPr="000C6009">
        <w:rPr>
          <w:rFonts w:cstheme="minorHAnsi"/>
          <w:color w:val="000000" w:themeColor="text1"/>
        </w:rPr>
        <w:t>Il PRMT, approvato con </w:t>
      </w:r>
      <w:hyperlink r:id="rId20" w:history="1">
        <w:r w:rsidRPr="000C6009">
          <w:rPr>
            <w:rFonts w:cstheme="minorHAnsi"/>
            <w:color w:val="000000" w:themeColor="text1"/>
          </w:rPr>
          <w:t>D.C.R. n. 256-2458/2018</w:t>
        </w:r>
      </w:hyperlink>
      <w:r w:rsidRPr="000C6009">
        <w:rPr>
          <w:rFonts w:cstheme="minorHAnsi"/>
          <w:color w:val="000000" w:themeColor="text1"/>
        </w:rPr>
        <w:t xml:space="preserve">, ragiona su un orizzonte temporale di lungo periodo, ha fissato le linee guida per lo sviluppo del settore e gli obiettivi da raggiungere al 2020, 2030 e 2050.  </w:t>
      </w:r>
    </w:p>
    <w:p w14:paraId="40D4BBE9" w14:textId="77777777" w:rsidR="002E0EA3" w:rsidRPr="000C6009" w:rsidRDefault="002E0EA3" w:rsidP="002E0EA3">
      <w:pPr>
        <w:spacing w:before="120" w:after="0" w:line="240" w:lineRule="auto"/>
        <w:rPr>
          <w:rFonts w:cstheme="minorHAnsi"/>
          <w:color w:val="000000" w:themeColor="text1"/>
        </w:rPr>
      </w:pPr>
      <w:r w:rsidRPr="000C6009">
        <w:rPr>
          <w:rFonts w:cstheme="minorHAnsi"/>
          <w:color w:val="000000" w:themeColor="text1"/>
        </w:rPr>
        <w:t>Le strategie del PRMT mirano a incrementare:</w:t>
      </w:r>
    </w:p>
    <w:p w14:paraId="3C39B116" w14:textId="77777777" w:rsidR="002E0EA3" w:rsidRPr="000C6009" w:rsidRDefault="002E0EA3" w:rsidP="00EE5B48">
      <w:pPr>
        <w:pStyle w:val="Paragrafoelenco"/>
        <w:numPr>
          <w:ilvl w:val="0"/>
          <w:numId w:val="16"/>
        </w:numPr>
        <w:spacing w:before="120" w:after="0" w:line="240" w:lineRule="auto"/>
        <w:ind w:left="426" w:hanging="426"/>
        <w:contextualSpacing w:val="0"/>
        <w:rPr>
          <w:rFonts w:cstheme="minorHAnsi"/>
          <w:color w:val="000000" w:themeColor="text1"/>
        </w:rPr>
      </w:pPr>
      <w:r w:rsidRPr="000C6009">
        <w:rPr>
          <w:rFonts w:cstheme="minorHAnsi"/>
          <w:color w:val="000000" w:themeColor="text1"/>
        </w:rPr>
        <w:t>la sicurezza di cittadini e imprese (protezione e incolumità);</w:t>
      </w:r>
    </w:p>
    <w:p w14:paraId="0C4B71DC" w14:textId="77777777" w:rsidR="002E0EA3" w:rsidRPr="000C6009" w:rsidRDefault="002E0EA3" w:rsidP="00EE5B48">
      <w:pPr>
        <w:pStyle w:val="Paragrafoelenco"/>
        <w:numPr>
          <w:ilvl w:val="0"/>
          <w:numId w:val="16"/>
        </w:numPr>
        <w:spacing w:before="120" w:after="0" w:line="240" w:lineRule="auto"/>
        <w:ind w:left="426" w:hanging="426"/>
        <w:contextualSpacing w:val="0"/>
        <w:rPr>
          <w:rFonts w:cstheme="minorHAnsi"/>
          <w:color w:val="000000" w:themeColor="text1"/>
        </w:rPr>
      </w:pPr>
      <w:r w:rsidRPr="000C6009">
        <w:rPr>
          <w:rFonts w:cstheme="minorHAnsi"/>
          <w:color w:val="000000" w:themeColor="text1"/>
        </w:rPr>
        <w:t>l’accessibilità (disponibilità di reti, fruibilità di servizi, accessibilità alle informazioni, integrazione dei sistemi);</w:t>
      </w:r>
    </w:p>
    <w:p w14:paraId="455BC8BB" w14:textId="77777777" w:rsidR="002E0EA3" w:rsidRPr="000C6009" w:rsidRDefault="002E0EA3" w:rsidP="00EE5B48">
      <w:pPr>
        <w:pStyle w:val="Paragrafoelenco"/>
        <w:numPr>
          <w:ilvl w:val="0"/>
          <w:numId w:val="16"/>
        </w:numPr>
        <w:spacing w:before="120" w:after="0" w:line="240" w:lineRule="auto"/>
        <w:ind w:left="426" w:hanging="426"/>
        <w:contextualSpacing w:val="0"/>
        <w:rPr>
          <w:rFonts w:cstheme="minorHAnsi"/>
          <w:color w:val="000000" w:themeColor="text1"/>
        </w:rPr>
      </w:pPr>
      <w:r w:rsidRPr="000C6009">
        <w:rPr>
          <w:rFonts w:cstheme="minorHAnsi"/>
          <w:color w:val="000000" w:themeColor="text1"/>
        </w:rPr>
        <w:t>l’efficacia (utilità del sistema, qualità dell’offerta);</w:t>
      </w:r>
    </w:p>
    <w:p w14:paraId="6D309688" w14:textId="77777777" w:rsidR="002E0EA3" w:rsidRPr="000C6009" w:rsidRDefault="002E0EA3" w:rsidP="00EE5B48">
      <w:pPr>
        <w:pStyle w:val="Paragrafoelenco"/>
        <w:numPr>
          <w:ilvl w:val="0"/>
          <w:numId w:val="16"/>
        </w:numPr>
        <w:spacing w:before="120" w:after="0" w:line="240" w:lineRule="auto"/>
        <w:ind w:left="426" w:hanging="426"/>
        <w:contextualSpacing w:val="0"/>
        <w:rPr>
          <w:rFonts w:cstheme="minorHAnsi"/>
          <w:color w:val="000000" w:themeColor="text1"/>
        </w:rPr>
      </w:pPr>
      <w:r w:rsidRPr="000C6009">
        <w:rPr>
          <w:rFonts w:cstheme="minorHAnsi"/>
          <w:color w:val="000000" w:themeColor="text1"/>
        </w:rPr>
        <w:t>l’efficienza (razionalizzazione della spesa, internalizzazione dei costi esterni);</w:t>
      </w:r>
    </w:p>
    <w:p w14:paraId="7C0BCF1F" w14:textId="77777777" w:rsidR="002E0EA3" w:rsidRPr="000C6009" w:rsidRDefault="002E0EA3" w:rsidP="00EE5B48">
      <w:pPr>
        <w:pStyle w:val="Paragrafoelenco"/>
        <w:numPr>
          <w:ilvl w:val="0"/>
          <w:numId w:val="16"/>
        </w:numPr>
        <w:spacing w:before="120" w:after="0" w:line="240" w:lineRule="auto"/>
        <w:ind w:left="426" w:hanging="426"/>
        <w:contextualSpacing w:val="0"/>
        <w:rPr>
          <w:rFonts w:cstheme="minorHAnsi"/>
          <w:color w:val="000000" w:themeColor="text1"/>
        </w:rPr>
      </w:pPr>
      <w:r w:rsidRPr="000C6009">
        <w:rPr>
          <w:rFonts w:cstheme="minorHAnsi"/>
          <w:color w:val="000000" w:themeColor="text1"/>
        </w:rPr>
        <w:t>l’attenzione agli impatti energetici e ambientali (riqualificazione energetica, uso razionale del suolo, limitazione delle emissioni, contenimento della produzione di rifiuti);</w:t>
      </w:r>
    </w:p>
    <w:p w14:paraId="6C15D1DE" w14:textId="77777777" w:rsidR="002E0EA3" w:rsidRPr="000C6009" w:rsidRDefault="002E0EA3" w:rsidP="00EE5B48">
      <w:pPr>
        <w:pStyle w:val="Paragrafoelenco"/>
        <w:numPr>
          <w:ilvl w:val="0"/>
          <w:numId w:val="16"/>
        </w:numPr>
        <w:spacing w:before="120" w:after="0" w:line="240" w:lineRule="auto"/>
        <w:ind w:left="426" w:hanging="426"/>
        <w:contextualSpacing w:val="0"/>
        <w:rPr>
          <w:rFonts w:cstheme="minorHAnsi"/>
          <w:color w:val="000000" w:themeColor="text1"/>
        </w:rPr>
      </w:pPr>
      <w:r w:rsidRPr="000C6009">
        <w:rPr>
          <w:rFonts w:cstheme="minorHAnsi"/>
          <w:color w:val="000000" w:themeColor="text1"/>
        </w:rPr>
        <w:t>il sostegno alle imprese (competitività, occupazione);</w:t>
      </w:r>
    </w:p>
    <w:p w14:paraId="1C212A5C" w14:textId="77777777" w:rsidR="002E0EA3" w:rsidRPr="000C6009" w:rsidRDefault="002E0EA3" w:rsidP="00EE5B48">
      <w:pPr>
        <w:pStyle w:val="Paragrafoelenco"/>
        <w:numPr>
          <w:ilvl w:val="0"/>
          <w:numId w:val="16"/>
        </w:numPr>
        <w:spacing w:before="120" w:after="0" w:line="240" w:lineRule="auto"/>
        <w:ind w:left="426" w:hanging="426"/>
        <w:contextualSpacing w:val="0"/>
        <w:rPr>
          <w:rFonts w:cstheme="minorHAnsi"/>
          <w:color w:val="000000" w:themeColor="text1"/>
        </w:rPr>
      </w:pPr>
      <w:r w:rsidRPr="000C6009">
        <w:rPr>
          <w:rFonts w:cstheme="minorHAnsi"/>
          <w:color w:val="000000" w:themeColor="text1"/>
        </w:rPr>
        <w:t>la vivibilità del territorio e la qualità della vita (salvaguardia, recupero).</w:t>
      </w:r>
    </w:p>
    <w:p w14:paraId="3F62D6E0" w14:textId="77777777" w:rsidR="002E0EA3" w:rsidRPr="000C6009" w:rsidRDefault="002E0EA3" w:rsidP="002E0EA3">
      <w:pPr>
        <w:spacing w:before="120" w:after="0" w:line="240" w:lineRule="auto"/>
        <w:rPr>
          <w:rFonts w:cstheme="minorHAnsi"/>
          <w:color w:val="000000" w:themeColor="text1"/>
        </w:rPr>
      </w:pPr>
      <w:r w:rsidRPr="000C6009">
        <w:rPr>
          <w:rFonts w:cstheme="minorHAnsi"/>
          <w:color w:val="000000" w:themeColor="text1"/>
        </w:rPr>
        <w:t>Il PRMT è lo strumento di riferimento a livello regionale per la definizione dei propri programmi di settore, delle gare e dei bandi in tema di trasporti, nonché lo strumento di indirizzo a cui gli enti locali devono attenersi per la pianificazione locale. Riconosce le relazioni tra mobilità e territorio e l’importanza di operare in settori e a livelli istituzionali diversi.</w:t>
      </w:r>
    </w:p>
    <w:p w14:paraId="4DDA25D7" w14:textId="77777777" w:rsidR="002E0EA3" w:rsidRPr="000C6009" w:rsidRDefault="002E0EA3" w:rsidP="002E0EA3">
      <w:pPr>
        <w:pStyle w:val="Titolo3"/>
        <w:ind w:left="709"/>
        <w:rPr>
          <w:rFonts w:asciiTheme="minorHAnsi" w:hAnsiTheme="minorHAnsi" w:cstheme="minorHAnsi"/>
          <w:i w:val="0"/>
        </w:rPr>
      </w:pPr>
      <w:bookmarkStart w:id="57" w:name="_Toc193374079"/>
      <w:bookmarkStart w:id="58" w:name="_Toc558792948"/>
      <w:bookmarkStart w:id="59" w:name="_Toc204616472"/>
      <w:bookmarkStart w:id="60" w:name="_Toc213078340"/>
      <w:r w:rsidRPr="000C6009">
        <w:rPr>
          <w:rFonts w:asciiTheme="minorHAnsi" w:hAnsiTheme="minorHAnsi" w:cstheme="minorHAnsi"/>
          <w:i w:val="0"/>
        </w:rPr>
        <w:t>I piani di settore del PRMT</w:t>
      </w:r>
      <w:bookmarkEnd w:id="57"/>
      <w:bookmarkEnd w:id="58"/>
      <w:bookmarkEnd w:id="59"/>
      <w:bookmarkEnd w:id="60"/>
    </w:p>
    <w:p w14:paraId="44EA9A79" w14:textId="77777777" w:rsidR="002E0EA3" w:rsidRPr="000C6009" w:rsidRDefault="002E0EA3" w:rsidP="002E0EA3">
      <w:pPr>
        <w:spacing w:before="120" w:after="0" w:line="240" w:lineRule="auto"/>
        <w:rPr>
          <w:rFonts w:cstheme="minorHAnsi"/>
          <w:color w:val="000000" w:themeColor="text1"/>
        </w:rPr>
      </w:pPr>
      <w:r w:rsidRPr="000C6009">
        <w:rPr>
          <w:rFonts w:cstheme="minorHAnsi"/>
          <w:b/>
          <w:color w:val="000000" w:themeColor="text1"/>
        </w:rPr>
        <w:t xml:space="preserve">Il Piano Regionale della Mobilità delle Persone (PrMoP) </w:t>
      </w:r>
      <w:r w:rsidRPr="000C6009">
        <w:rPr>
          <w:rFonts w:cstheme="minorHAnsi"/>
          <w:color w:val="000000" w:themeColor="text1"/>
        </w:rPr>
        <w:t xml:space="preserve">e il </w:t>
      </w:r>
      <w:r w:rsidRPr="000C6009">
        <w:rPr>
          <w:rFonts w:cstheme="minorHAnsi"/>
          <w:b/>
          <w:color w:val="000000" w:themeColor="text1"/>
        </w:rPr>
        <w:t>Piano Regionale della Logistica (PrLog),</w:t>
      </w:r>
      <w:r w:rsidRPr="000C6009">
        <w:rPr>
          <w:rFonts w:cstheme="minorHAnsi"/>
          <w:color w:val="000000" w:themeColor="text1"/>
        </w:rPr>
        <w:t xml:space="preserve"> </w:t>
      </w:r>
      <w:r w:rsidRPr="000C6009">
        <w:rPr>
          <w:rFonts w:cstheme="minorHAnsi"/>
        </w:rPr>
        <w:t xml:space="preserve">approvati con la </w:t>
      </w:r>
      <w:r w:rsidRPr="000C6009">
        <w:rPr>
          <w:rStyle w:val="Enfasigrassetto"/>
          <w:rFonts w:cstheme="minorHAnsi"/>
        </w:rPr>
        <w:t>D.G.R. n. 6-7459 del 25 settembre 2023</w:t>
      </w:r>
      <w:r w:rsidRPr="000C6009">
        <w:rPr>
          <w:rFonts w:cstheme="minorHAnsi"/>
        </w:rPr>
        <w:t>,</w:t>
      </w:r>
      <w:r w:rsidRPr="000C6009">
        <w:rPr>
          <w:rFonts w:cstheme="minorHAnsi"/>
          <w:color w:val="000000" w:themeColor="text1"/>
        </w:rPr>
        <w:t xml:space="preserve"> sono documenti chiave per la pianificazione della mobilità e della logistica in Piemonte. Entrambi, sviluppati con l'obiettivo di promuovere una mobilità sostenibile e un sistema logistico efficiente, definiscono strategie e azioni per il periodo fino al 2030. Il</w:t>
      </w:r>
      <w:r w:rsidRPr="000C6009">
        <w:rPr>
          <w:rFonts w:cstheme="minorHAnsi"/>
          <w:b/>
          <w:color w:val="000000" w:themeColor="text1"/>
        </w:rPr>
        <w:t xml:space="preserve"> PrMoP</w:t>
      </w:r>
      <w:r w:rsidRPr="000C6009">
        <w:rPr>
          <w:rFonts w:cstheme="minorHAnsi"/>
          <w:color w:val="000000" w:themeColor="text1"/>
        </w:rPr>
        <w:t xml:space="preserve"> si concentra sulla mobilità delle persone e propone diverse azioni per migliorare l'accessibilità e ridurre l'impatto ambientale dei trasporti. Si articola in diverse sezioni che includono un'analisi dell'assetto territoriale e delle criticità, la definizione delle azioni strategiche da intraprendere, e la gestione delle risorse. Include misure specifiche per integrare i trasporti urbani ed extraurbani, e promuove iniziative come il miglioramento del trasporto pubblico e la transizione verso forme di mobilità meno inquinanti. Il </w:t>
      </w:r>
      <w:r w:rsidRPr="000C6009">
        <w:rPr>
          <w:rFonts w:cstheme="minorHAnsi"/>
          <w:b/>
          <w:color w:val="000000" w:themeColor="text1"/>
        </w:rPr>
        <w:t>PrLog</w:t>
      </w:r>
      <w:r w:rsidRPr="000C6009">
        <w:rPr>
          <w:rFonts w:cstheme="minorHAnsi"/>
          <w:color w:val="000000" w:themeColor="text1"/>
        </w:rPr>
        <w:t>, invece, si occupa della logistica delle merci e propone interventi per migliorare l'efficienza del trasporto e della distribuzione delle merci nel Piemonte, facilitando anche la connessione con i principali</w:t>
      </w:r>
      <w:r w:rsidRPr="000C6009">
        <w:rPr>
          <w:rFonts w:cstheme="minorHAnsi"/>
          <w:i/>
          <w:color w:val="000000" w:themeColor="text1"/>
        </w:rPr>
        <w:t xml:space="preserve"> hub</w:t>
      </w:r>
      <w:r w:rsidRPr="000C6009">
        <w:rPr>
          <w:rFonts w:cstheme="minorHAnsi"/>
          <w:color w:val="000000" w:themeColor="text1"/>
        </w:rPr>
        <w:t xml:space="preserve"> logistici europei. Entrambi sono parte di una visione più ampia che mira ad un'evoluzione sostenibile del sistema di trasporto, in linea con le politiche europee e nazionali. </w:t>
      </w:r>
    </w:p>
    <w:p w14:paraId="7734E6F9" w14:textId="77777777" w:rsidR="002E0EA3" w:rsidRPr="000C6009" w:rsidRDefault="002E0EA3" w:rsidP="002E0EA3">
      <w:pPr>
        <w:spacing w:before="120" w:after="0" w:line="240" w:lineRule="auto"/>
        <w:rPr>
          <w:rFonts w:cstheme="minorHAnsi"/>
          <w:color w:val="000000" w:themeColor="text1"/>
        </w:rPr>
      </w:pPr>
      <w:r w:rsidRPr="000C6009">
        <w:rPr>
          <w:rFonts w:cstheme="minorHAnsi"/>
          <w:color w:val="000000" w:themeColor="text1"/>
        </w:rPr>
        <w:t>I suddetti piani contengono 7 Linee Strategiche d’intervento così enucleate:</w:t>
      </w:r>
    </w:p>
    <w:p w14:paraId="438DE88D" w14:textId="77777777" w:rsidR="002E0EA3" w:rsidRPr="000C6009" w:rsidRDefault="002E0EA3" w:rsidP="00EE5B48">
      <w:pPr>
        <w:pStyle w:val="Paragrafoelenco"/>
        <w:numPr>
          <w:ilvl w:val="0"/>
          <w:numId w:val="22"/>
        </w:numPr>
        <w:spacing w:before="120" w:after="0" w:line="240" w:lineRule="auto"/>
        <w:contextualSpacing w:val="0"/>
        <w:rPr>
          <w:rFonts w:cstheme="minorHAnsi"/>
          <w:color w:val="000000" w:themeColor="text1"/>
        </w:rPr>
      </w:pPr>
      <w:r w:rsidRPr="000C6009">
        <w:rPr>
          <w:rFonts w:cstheme="minorHAnsi"/>
          <w:color w:val="000000" w:themeColor="text1"/>
        </w:rPr>
        <w:t>LsA1 Protezione del contesto – LsA2 Incolumità delle persone;</w:t>
      </w:r>
    </w:p>
    <w:p w14:paraId="361F3A12" w14:textId="77777777" w:rsidR="002E0EA3" w:rsidRPr="000C6009" w:rsidRDefault="002E0EA3" w:rsidP="00EE5B48">
      <w:pPr>
        <w:pStyle w:val="Paragrafoelenco"/>
        <w:numPr>
          <w:ilvl w:val="0"/>
          <w:numId w:val="22"/>
        </w:numPr>
        <w:spacing w:before="120" w:after="0" w:line="240" w:lineRule="auto"/>
        <w:contextualSpacing w:val="0"/>
        <w:rPr>
          <w:rFonts w:cstheme="minorHAnsi"/>
          <w:color w:val="000000" w:themeColor="text1"/>
        </w:rPr>
      </w:pPr>
      <w:r w:rsidRPr="000C6009">
        <w:rPr>
          <w:rFonts w:cstheme="minorHAnsi"/>
          <w:color w:val="000000" w:themeColor="text1"/>
        </w:rPr>
        <w:t>LsB1 Assetto gerarchico di reti, nodi e servizi di trasporto – LsB2 Integrazione dei sistemi per la mobilità;</w:t>
      </w:r>
    </w:p>
    <w:p w14:paraId="67039E00" w14:textId="77777777" w:rsidR="002E0EA3" w:rsidRPr="000C6009" w:rsidRDefault="002E0EA3" w:rsidP="00EE5B48">
      <w:pPr>
        <w:pStyle w:val="Paragrafoelenco"/>
        <w:numPr>
          <w:ilvl w:val="0"/>
          <w:numId w:val="22"/>
        </w:numPr>
        <w:spacing w:before="120" w:after="0" w:line="240" w:lineRule="auto"/>
        <w:contextualSpacing w:val="0"/>
        <w:rPr>
          <w:rFonts w:cstheme="minorHAnsi"/>
          <w:color w:val="000000" w:themeColor="text1"/>
        </w:rPr>
      </w:pPr>
      <w:r w:rsidRPr="000C6009">
        <w:rPr>
          <w:rFonts w:cstheme="minorHAnsi"/>
          <w:color w:val="000000" w:themeColor="text1"/>
        </w:rPr>
        <w:t>LsC Affidabilità ed efficacia dei servizi di trasporto pubblico locale;</w:t>
      </w:r>
    </w:p>
    <w:p w14:paraId="10D1618F" w14:textId="77777777" w:rsidR="002E0EA3" w:rsidRPr="000C6009" w:rsidRDefault="002E0EA3" w:rsidP="00EE5B48">
      <w:pPr>
        <w:pStyle w:val="Paragrafoelenco"/>
        <w:numPr>
          <w:ilvl w:val="0"/>
          <w:numId w:val="22"/>
        </w:numPr>
        <w:spacing w:before="120" w:after="0" w:line="240" w:lineRule="auto"/>
        <w:contextualSpacing w:val="0"/>
        <w:rPr>
          <w:rFonts w:cstheme="minorHAnsi"/>
          <w:color w:val="000000" w:themeColor="text1"/>
        </w:rPr>
      </w:pPr>
      <w:r w:rsidRPr="000C6009">
        <w:rPr>
          <w:rFonts w:cstheme="minorHAnsi"/>
          <w:color w:val="000000" w:themeColor="text1"/>
        </w:rPr>
        <w:t>LsD Efficienza economica del sistema trasporti;</w:t>
      </w:r>
    </w:p>
    <w:p w14:paraId="4B987295" w14:textId="77777777" w:rsidR="002E0EA3" w:rsidRPr="000C6009" w:rsidRDefault="002E0EA3" w:rsidP="00EE5B48">
      <w:pPr>
        <w:pStyle w:val="Paragrafoelenco"/>
        <w:numPr>
          <w:ilvl w:val="0"/>
          <w:numId w:val="22"/>
        </w:numPr>
        <w:spacing w:before="120" w:after="0" w:line="240" w:lineRule="auto"/>
        <w:contextualSpacing w:val="0"/>
        <w:rPr>
          <w:rFonts w:cstheme="minorHAnsi"/>
          <w:color w:val="000000" w:themeColor="text1"/>
        </w:rPr>
      </w:pPr>
      <w:r w:rsidRPr="000C6009">
        <w:rPr>
          <w:rFonts w:cstheme="minorHAnsi"/>
          <w:color w:val="000000" w:themeColor="text1"/>
        </w:rPr>
        <w:t>LsE Transizione energetica e ambientale dei trasporti;</w:t>
      </w:r>
    </w:p>
    <w:p w14:paraId="32708A7B" w14:textId="77777777" w:rsidR="002E0EA3" w:rsidRPr="000C6009" w:rsidRDefault="002E0EA3" w:rsidP="00EE5B48">
      <w:pPr>
        <w:pStyle w:val="Paragrafoelenco"/>
        <w:numPr>
          <w:ilvl w:val="0"/>
          <w:numId w:val="22"/>
        </w:numPr>
        <w:autoSpaceDE w:val="0"/>
        <w:autoSpaceDN w:val="0"/>
        <w:adjustRightInd w:val="0"/>
        <w:spacing w:before="120" w:after="0" w:line="240" w:lineRule="auto"/>
        <w:contextualSpacing w:val="0"/>
        <w:jc w:val="left"/>
        <w:rPr>
          <w:rFonts w:cstheme="minorHAnsi"/>
        </w:rPr>
      </w:pPr>
      <w:r w:rsidRPr="000C6009">
        <w:rPr>
          <w:rFonts w:cstheme="minorHAnsi"/>
          <w:color w:val="000000" w:themeColor="text1"/>
        </w:rPr>
        <w:t>LsF Competitività delle imprese e sviluppo dell’occupazione;</w:t>
      </w:r>
    </w:p>
    <w:p w14:paraId="227D6E0C" w14:textId="77777777" w:rsidR="002E0EA3" w:rsidRPr="000C6009" w:rsidRDefault="002E0EA3" w:rsidP="00EE5B48">
      <w:pPr>
        <w:pStyle w:val="Paragrafoelenco"/>
        <w:numPr>
          <w:ilvl w:val="0"/>
          <w:numId w:val="22"/>
        </w:numPr>
        <w:autoSpaceDE w:val="0"/>
        <w:autoSpaceDN w:val="0"/>
        <w:adjustRightInd w:val="0"/>
        <w:spacing w:before="120" w:after="0" w:line="240" w:lineRule="auto"/>
        <w:contextualSpacing w:val="0"/>
        <w:jc w:val="left"/>
        <w:rPr>
          <w:rFonts w:cstheme="minorHAnsi"/>
          <w:color w:val="000000" w:themeColor="text1"/>
        </w:rPr>
      </w:pPr>
      <w:r w:rsidRPr="000C6009">
        <w:rPr>
          <w:rFonts w:cstheme="minorHAnsi"/>
          <w:color w:val="000000" w:themeColor="text1"/>
        </w:rPr>
        <w:lastRenderedPageBreak/>
        <w:t xml:space="preserve">LsG1 Fruizione sostenibile dell’ambiente naturale e </w:t>
      </w:r>
      <w:r w:rsidRPr="000C6009">
        <w:rPr>
          <w:rFonts w:cstheme="minorHAnsi"/>
        </w:rPr>
        <w:t>del patrimonio culturale- LsG2 Recupero e vivibilita degli spazi urbani</w:t>
      </w:r>
    </w:p>
    <w:p w14:paraId="40F38246" w14:textId="77777777" w:rsidR="002E0EA3" w:rsidRPr="000C6009" w:rsidRDefault="002E0EA3" w:rsidP="002E0EA3">
      <w:pPr>
        <w:spacing w:before="120" w:after="0" w:line="240" w:lineRule="auto"/>
        <w:rPr>
          <w:rFonts w:cstheme="minorHAnsi"/>
          <w:color w:val="000000" w:themeColor="text1"/>
        </w:rPr>
      </w:pPr>
      <w:r w:rsidRPr="000C6009">
        <w:rPr>
          <w:rFonts w:cstheme="minorHAnsi"/>
          <w:color w:val="000000" w:themeColor="text1"/>
        </w:rPr>
        <w:t>Le linee LsB, LsC e LsD sono alla base della definizione dei futuri affidamenti dei servizi di trasporto pubblico locale.</w:t>
      </w:r>
    </w:p>
    <w:p w14:paraId="58D98EF2" w14:textId="67349C47" w:rsidR="002E0EA3" w:rsidRPr="000C6009" w:rsidRDefault="002E0EA3" w:rsidP="002E0EA3">
      <w:pPr>
        <w:spacing w:before="120" w:after="0" w:line="240" w:lineRule="auto"/>
        <w:rPr>
          <w:rFonts w:cstheme="minorHAnsi"/>
          <w:color w:val="000000" w:themeColor="text1"/>
        </w:rPr>
      </w:pPr>
      <w:r w:rsidRPr="000C6009">
        <w:rPr>
          <w:rFonts w:cstheme="minorHAnsi"/>
          <w:color w:val="000000" w:themeColor="text1"/>
        </w:rPr>
        <w:t xml:space="preserve">Inoltre, gli strumenti di piano qui descritti sono stati redatti tenendo a riferimento uno strumento di pianificazione trasversale che è il </w:t>
      </w:r>
      <w:r w:rsidRPr="000C6009">
        <w:rPr>
          <w:rFonts w:cstheme="minorHAnsi"/>
          <w:b/>
          <w:color w:val="000000" w:themeColor="text1"/>
        </w:rPr>
        <w:t>Piano Regionale della Mobilità Ciclistica</w:t>
      </w:r>
      <w:r w:rsidRPr="000C6009">
        <w:rPr>
          <w:rFonts w:cstheme="minorHAnsi"/>
          <w:i/>
          <w:color w:val="000000" w:themeColor="text1"/>
        </w:rPr>
        <w:t xml:space="preserve"> </w:t>
      </w:r>
      <w:r w:rsidRPr="000C6009">
        <w:rPr>
          <w:rFonts w:cstheme="minorHAnsi"/>
          <w:b/>
          <w:color w:val="000000" w:themeColor="text1"/>
        </w:rPr>
        <w:t>(PRMC)</w:t>
      </w:r>
      <w:r w:rsidRPr="000C6009">
        <w:rPr>
          <w:rFonts w:cstheme="minorHAnsi"/>
          <w:color w:val="000000" w:themeColor="text1"/>
        </w:rPr>
        <w:t xml:space="preserve"> previsto a livello nazionale dalla </w:t>
      </w:r>
      <w:hyperlink r:id="rId21" w:history="1">
        <w:r w:rsidRPr="000C6009">
          <w:rPr>
            <w:rFonts w:cstheme="minorHAnsi"/>
            <w:color w:val="000000" w:themeColor="text1"/>
          </w:rPr>
          <w:t>legge n.2/2018 </w:t>
        </w:r>
      </w:hyperlink>
      <w:r w:rsidRPr="000C6009">
        <w:rPr>
          <w:rFonts w:cstheme="minorHAnsi"/>
          <w:color w:val="000000" w:themeColor="text1"/>
        </w:rPr>
        <w:t>e adottato dalla regione Piemonte con D.G.R.  n. 14-6571 del 6/03/2023.</w:t>
      </w:r>
    </w:p>
    <w:p w14:paraId="2D4DB9C0" w14:textId="77777777" w:rsidR="002E0EA3" w:rsidRPr="000C6009" w:rsidRDefault="002E0EA3" w:rsidP="002E0EA3">
      <w:pPr>
        <w:spacing w:before="120" w:after="0" w:line="240" w:lineRule="auto"/>
        <w:rPr>
          <w:rFonts w:cstheme="minorHAnsi"/>
          <w:color w:val="000000" w:themeColor="text1"/>
        </w:rPr>
      </w:pPr>
      <w:r w:rsidRPr="000C6009">
        <w:rPr>
          <w:rFonts w:cstheme="minorHAnsi"/>
          <w:color w:val="000000" w:themeColor="text1"/>
        </w:rPr>
        <w:t>Il Piano regionale per la mobilità delle persone, per quanto attiene le linee strategiche d’intervento legate ai servizi di trasporto pubblico locale è implementato attraverso la definizione di programmi pluriennali specifici descritti nel seguente paragrafo.</w:t>
      </w:r>
    </w:p>
    <w:p w14:paraId="19DBBA71" w14:textId="77777777" w:rsidR="002E0EA3" w:rsidRPr="000C6009" w:rsidRDefault="002E0EA3" w:rsidP="00EE5B48">
      <w:pPr>
        <w:pStyle w:val="Titolo2"/>
        <w:tabs>
          <w:tab w:val="clear" w:pos="1276"/>
          <w:tab w:val="left" w:pos="426"/>
        </w:tabs>
        <w:spacing w:after="240"/>
        <w:ind w:left="0" w:firstLine="0"/>
        <w:rPr>
          <w:rFonts w:asciiTheme="minorHAnsi" w:hAnsiTheme="minorHAnsi" w:cstheme="minorHAnsi"/>
        </w:rPr>
      </w:pPr>
      <w:bookmarkStart w:id="61" w:name="_Toc193374080"/>
      <w:bookmarkStart w:id="62" w:name="_Toc1866630845"/>
      <w:bookmarkStart w:id="63" w:name="_Toc204616473"/>
      <w:bookmarkStart w:id="64" w:name="_Toc213078341"/>
      <w:r w:rsidRPr="000C6009">
        <w:rPr>
          <w:rFonts w:asciiTheme="minorHAnsi" w:hAnsiTheme="minorHAnsi" w:cstheme="minorHAnsi"/>
        </w:rPr>
        <w:t>Altri strumenti di pianificazione</w:t>
      </w:r>
      <w:bookmarkEnd w:id="61"/>
      <w:bookmarkEnd w:id="62"/>
      <w:bookmarkEnd w:id="63"/>
      <w:bookmarkEnd w:id="64"/>
    </w:p>
    <w:p w14:paraId="1D8C43AA" w14:textId="77777777" w:rsidR="002E0EA3" w:rsidRPr="000C6009" w:rsidRDefault="002E0EA3" w:rsidP="002E0EA3">
      <w:pPr>
        <w:spacing w:before="120" w:after="0" w:line="240" w:lineRule="auto"/>
        <w:rPr>
          <w:rFonts w:cstheme="minorHAnsi"/>
        </w:rPr>
      </w:pPr>
      <w:r w:rsidRPr="000C6009">
        <w:rPr>
          <w:rFonts w:cstheme="minorHAnsi"/>
        </w:rPr>
        <w:t xml:space="preserve">L’Agenzia, ritenendo opportuno che ogni Bacino definisca delle strategie di mobilità condivise tra tutti gli Enti afferenti ad esso e in linea con gli indirizzi contenuti del Piano Regionale della Mobilità e dei Trasporti, con Delibera del CdA n° 33 del 04/12/2023 ha approvato l’assegnazione delle risorse ai Bacini per la redazione del </w:t>
      </w:r>
      <w:r w:rsidRPr="000C6009">
        <w:rPr>
          <w:rFonts w:cstheme="minorHAnsi"/>
          <w:b/>
          <w:bCs/>
        </w:rPr>
        <w:t>Piano Integrato della Mobilità Pubblica e Accessibilità</w:t>
      </w:r>
      <w:r w:rsidRPr="000C6009">
        <w:rPr>
          <w:rFonts w:cstheme="minorHAnsi"/>
        </w:rPr>
        <w:t>. Oltre ad assegnare le risorse, al fine di avere strumenti di indirizzo e pianificazione omogenei ha definito i contenuti che dovranno essere presenti nei Piani.</w:t>
      </w:r>
    </w:p>
    <w:p w14:paraId="290C9698" w14:textId="77777777" w:rsidR="002E0EA3" w:rsidRPr="000C6009" w:rsidRDefault="002E0EA3" w:rsidP="002E0EA3">
      <w:pPr>
        <w:spacing w:before="120" w:after="0" w:line="240" w:lineRule="auto"/>
        <w:rPr>
          <w:rFonts w:cstheme="minorHAnsi"/>
          <w:color w:val="000000" w:themeColor="text1"/>
        </w:rPr>
      </w:pPr>
      <w:r w:rsidRPr="000C6009">
        <w:rPr>
          <w:rFonts w:cstheme="minorHAnsi"/>
          <w:color w:val="000000" w:themeColor="text1"/>
        </w:rPr>
        <w:t>I Piani saranno definiti e approvati con tempistiche differenti per ciascun Bacino, ma l’implementazione delle strategie previste dagli enti territoriali avverrà in due momenti distinti come descritto di seguito:</w:t>
      </w:r>
    </w:p>
    <w:p w14:paraId="62FA03C8" w14:textId="77777777" w:rsidR="002E0EA3" w:rsidRPr="000C6009" w:rsidRDefault="002E0EA3" w:rsidP="00EE5B48">
      <w:pPr>
        <w:pStyle w:val="Paragrafoelenco"/>
        <w:numPr>
          <w:ilvl w:val="0"/>
          <w:numId w:val="24"/>
        </w:numPr>
        <w:spacing w:before="120" w:after="0" w:line="240" w:lineRule="auto"/>
        <w:contextualSpacing w:val="0"/>
        <w:rPr>
          <w:rFonts w:cstheme="minorHAnsi"/>
        </w:rPr>
      </w:pPr>
      <w:r w:rsidRPr="000C6009">
        <w:rPr>
          <w:rFonts w:cstheme="minorHAnsi"/>
        </w:rPr>
        <w:t>qualora il Piano sia temporalmente disponibile tra la pubblicazione del bando di gara e la sottoscrizione del contratto di servizio (CdS) sarà valutato, con l’azienda aggiudicataria, le modalità di attivazione delle strategie all’interno del nuovo contratto in coerenza con le formule di flessibilità contrattuali già previste nello schema di CdS pubblicato con il bando di gara;</w:t>
      </w:r>
    </w:p>
    <w:p w14:paraId="2C700332" w14:textId="77777777" w:rsidR="002E0EA3" w:rsidRPr="000C6009" w:rsidRDefault="002E0EA3" w:rsidP="00EE5B48">
      <w:pPr>
        <w:pStyle w:val="Paragrafoelenco"/>
        <w:numPr>
          <w:ilvl w:val="0"/>
          <w:numId w:val="24"/>
        </w:numPr>
        <w:spacing w:before="120" w:after="0" w:line="240" w:lineRule="auto"/>
        <w:contextualSpacing w:val="0"/>
        <w:rPr>
          <w:rFonts w:cstheme="minorHAnsi"/>
        </w:rPr>
      </w:pPr>
      <w:r w:rsidRPr="000C6009">
        <w:rPr>
          <w:rFonts w:cstheme="minorHAnsi"/>
        </w:rPr>
        <w:t>qualora il Piano sia adottato o integrato successivamente all’avvio del contratto di servizio potrà essere percorsa la stessa modalità operativa descritta al punto precedente.</w:t>
      </w:r>
    </w:p>
    <w:p w14:paraId="60377273" w14:textId="6EEEEB58" w:rsidR="002E0EA3" w:rsidRPr="000C6009" w:rsidRDefault="002E0EA3" w:rsidP="002E0EA3">
      <w:pPr>
        <w:spacing w:before="120" w:after="0" w:line="240" w:lineRule="auto"/>
        <w:rPr>
          <w:rFonts w:cstheme="minorHAnsi"/>
        </w:rPr>
      </w:pPr>
      <w:r w:rsidRPr="000C6009">
        <w:rPr>
          <w:rFonts w:cstheme="minorHAnsi"/>
        </w:rPr>
        <w:t xml:space="preserve">Tuttavia, se il Piano fosse formalmente approvato in data utile all’inserimento della documentazione di gara, sarà richiesto alle imprese di predisporre proposte dello scenario base e/o dello scenario evolutivo comprendenti gli indirizzi del Piano, come meglio descritto nel paragrafo </w:t>
      </w:r>
      <w:r w:rsidR="008C6112">
        <w:rPr>
          <w:rFonts w:cstheme="minorHAnsi"/>
        </w:rPr>
        <w:fldChar w:fldCharType="begin"/>
      </w:r>
      <w:r w:rsidR="008C6112">
        <w:rPr>
          <w:rFonts w:cstheme="minorHAnsi"/>
        </w:rPr>
        <w:instrText xml:space="preserve"> REF _Ref213072029 \r \h </w:instrText>
      </w:r>
      <w:r w:rsidR="008C6112">
        <w:rPr>
          <w:rFonts w:cstheme="minorHAnsi"/>
        </w:rPr>
      </w:r>
      <w:r w:rsidR="008C6112">
        <w:rPr>
          <w:rFonts w:cstheme="minorHAnsi"/>
        </w:rPr>
        <w:fldChar w:fldCharType="separate"/>
      </w:r>
      <w:r w:rsidR="00073B6D">
        <w:rPr>
          <w:rFonts w:cstheme="minorHAnsi"/>
        </w:rPr>
        <w:t>4.3</w:t>
      </w:r>
      <w:r w:rsidR="008C6112">
        <w:rPr>
          <w:rFonts w:cstheme="minorHAnsi"/>
        </w:rPr>
        <w:fldChar w:fldCharType="end"/>
      </w:r>
      <w:r w:rsidRPr="000C6009">
        <w:rPr>
          <w:rFonts w:cstheme="minorHAnsi"/>
        </w:rPr>
        <w:t>.</w:t>
      </w:r>
    </w:p>
    <w:p w14:paraId="4A2E8516" w14:textId="77777777" w:rsidR="002E0EA3" w:rsidRPr="000C6009" w:rsidRDefault="002E0EA3" w:rsidP="002E0EA3">
      <w:pPr>
        <w:spacing w:before="120" w:after="0" w:line="240" w:lineRule="auto"/>
        <w:rPr>
          <w:rFonts w:cstheme="minorHAnsi"/>
        </w:rPr>
      </w:pPr>
      <w:r w:rsidRPr="000C6009">
        <w:rPr>
          <w:rFonts w:cstheme="minorHAnsi"/>
          <w:u w:val="single"/>
        </w:rPr>
        <w:t>A livello di Bacino e provinciale</w:t>
      </w:r>
      <w:r w:rsidRPr="000C6009">
        <w:rPr>
          <w:rFonts w:cstheme="minorHAnsi"/>
        </w:rPr>
        <w:t xml:space="preserve"> sono previsti tre Piani Integrati della Mobilità Pubblica e Accessibilità; il Piano per il Bacino Sud è stato approvato dall’Assemblea del Bacino Sud nella seduta del 12/05/2025 ed è stato approvato dalla Provincia di Cuneo con Delibera del Consiglio Provinciale n° 27 del 28/05/2025; anche il CDA di AMP con delibera n. 15 del 06/06/2025 ha preso atto della approvazione e lo ha reso pubblico nella documentazione di gara.</w:t>
      </w:r>
    </w:p>
    <w:p w14:paraId="75B478A0" w14:textId="77777777" w:rsidR="002E0EA3" w:rsidRPr="000C6009" w:rsidRDefault="002E0EA3" w:rsidP="002E0EA3">
      <w:pPr>
        <w:spacing w:before="120" w:after="0" w:line="240" w:lineRule="auto"/>
        <w:rPr>
          <w:rFonts w:cstheme="minorHAnsi"/>
        </w:rPr>
      </w:pPr>
      <w:r w:rsidRPr="000C6009">
        <w:rPr>
          <w:rFonts w:cstheme="minorHAnsi"/>
        </w:rPr>
        <w:t xml:space="preserve">Per il Bacino Sud Est e il Bacino Nord Est sono in corso le attività di definizione del Piano. Come per il Bacino Sud i futuri piani saranno approvati dalle rispettive Assemblee di Bacino nei prossimi mesi. </w:t>
      </w:r>
    </w:p>
    <w:p w14:paraId="278497F3" w14:textId="77777777" w:rsidR="002E0EA3" w:rsidRPr="000C6009" w:rsidRDefault="002E0EA3" w:rsidP="002E0EA3">
      <w:pPr>
        <w:spacing w:before="120" w:after="0" w:line="240" w:lineRule="auto"/>
        <w:rPr>
          <w:rFonts w:cstheme="minorHAnsi"/>
        </w:rPr>
      </w:pPr>
      <w:r w:rsidRPr="000C6009">
        <w:rPr>
          <w:rFonts w:cstheme="minorHAnsi"/>
          <w:u w:val="single"/>
        </w:rPr>
        <w:t>La Città Metropolitana</w:t>
      </w:r>
      <w:r w:rsidRPr="000C6009">
        <w:rPr>
          <w:rFonts w:cstheme="minorHAnsi"/>
        </w:rPr>
        <w:t xml:space="preserve"> ha già approvato il PUMS nel 2021 e sta sviluppando attualmente il proprio Piano dell’accessibilità </w:t>
      </w:r>
      <w:r>
        <w:rPr>
          <w:rFonts w:cstheme="minorHAnsi"/>
        </w:rPr>
        <w:t xml:space="preserve">e </w:t>
      </w:r>
      <w:r w:rsidRPr="000C6009">
        <w:rPr>
          <w:rFonts w:cstheme="minorHAnsi"/>
        </w:rPr>
        <w:t>dell’intermodalità con l’obiettivo di migliorare l'efficacia e l'efficienza del sistema di mobilità attraverso un potenziamento del trasporto pubblico e della rete metropolitana, ridurre l'impatto ambientale promuovendo modalità di trasporto sostenibili e riducendo le emissioni di gas serra e garantire l'accessibilità e la sicurezza per tutti i cittadini.</w:t>
      </w:r>
      <w:r>
        <w:rPr>
          <w:rFonts w:cstheme="minorHAnsi"/>
        </w:rPr>
        <w:t xml:space="preserve"> </w:t>
      </w:r>
    </w:p>
    <w:p w14:paraId="24C608A4" w14:textId="77777777" w:rsidR="002E0EA3" w:rsidRPr="006C748F" w:rsidRDefault="002E0EA3" w:rsidP="002E0EA3">
      <w:pPr>
        <w:spacing w:before="120" w:after="0" w:line="240" w:lineRule="auto"/>
        <w:rPr>
          <w:rFonts w:cstheme="minorHAnsi"/>
        </w:rPr>
      </w:pPr>
      <w:r w:rsidRPr="000C6009">
        <w:rPr>
          <w:rFonts w:cstheme="minorHAnsi"/>
          <w:u w:val="single"/>
        </w:rPr>
        <w:lastRenderedPageBreak/>
        <w:t>A livello comunale</w:t>
      </w:r>
      <w:r w:rsidRPr="000C6009">
        <w:rPr>
          <w:rFonts w:cstheme="minorHAnsi"/>
        </w:rPr>
        <w:t xml:space="preserve">, </w:t>
      </w:r>
      <w:r w:rsidRPr="006C748F">
        <w:rPr>
          <w:rFonts w:cstheme="minorHAnsi"/>
        </w:rPr>
        <w:t>prima dell’approvazione del PUMS della Città Metropolitana nel 2021, diversi comuni avevano avviato percorsi autonomi di pianificazione della mobilità. Le città di Pinerolo e Carmagnola</w:t>
      </w:r>
      <w:r>
        <w:rPr>
          <w:rFonts w:cstheme="minorHAnsi"/>
        </w:rPr>
        <w:t xml:space="preserve"> </w:t>
      </w:r>
      <w:r w:rsidRPr="006C748F">
        <w:rPr>
          <w:rFonts w:cstheme="minorHAnsi"/>
        </w:rPr>
        <w:t xml:space="preserve">hanno adottato il proprio Piano Urbano della Mobilità Sostenibile (PUMS) nel 2018. Rivoli ha approvato il Piano Urbano del Traffico (PUT) nel 2014, mentre Settimo Torinese lo aveva fatto già nel 2011. Il Comune di Chivasso ha adottato il Piano Generale del Traffico Urbano (PGTU) </w:t>
      </w:r>
      <w:r>
        <w:rPr>
          <w:rFonts w:cstheme="minorHAnsi"/>
        </w:rPr>
        <w:t xml:space="preserve">nel </w:t>
      </w:r>
      <w:r w:rsidRPr="006C748F">
        <w:rPr>
          <w:rFonts w:cstheme="minorHAnsi"/>
        </w:rPr>
        <w:t>2019.</w:t>
      </w:r>
    </w:p>
    <w:p w14:paraId="5C463A5E" w14:textId="77777777" w:rsidR="002E0EA3" w:rsidRDefault="002E0EA3" w:rsidP="002E0EA3">
      <w:pPr>
        <w:spacing w:before="120" w:after="0" w:line="240" w:lineRule="auto"/>
        <w:rPr>
          <w:rFonts w:cstheme="minorHAnsi"/>
        </w:rPr>
      </w:pPr>
      <w:r w:rsidRPr="006C748F">
        <w:rPr>
          <w:rFonts w:cstheme="minorHAnsi"/>
        </w:rPr>
        <w:t>Negli anni successivi, anche altri comuni hanno dimostrato attenzione verso una pianificazione strategica della mobilità: Chieri e Volpiano hanno adottato un PGTU nel 2023, Giaveno ha approvato un PUT nello stesso anno, mentre Rivarolo Canavese ha adottato il proprio piano nel 2022.</w:t>
      </w:r>
    </w:p>
    <w:p w14:paraId="0D3A0A3C" w14:textId="77777777" w:rsidR="002E0EA3" w:rsidRPr="000C6009" w:rsidRDefault="002E0EA3" w:rsidP="002B0ACD">
      <w:pPr>
        <w:spacing w:before="120" w:after="0" w:line="240" w:lineRule="auto"/>
        <w:rPr>
          <w:rFonts w:cstheme="minorHAnsi"/>
        </w:rPr>
      </w:pPr>
      <w:r w:rsidRPr="006C748F">
        <w:rPr>
          <w:rFonts w:cstheme="minorHAnsi"/>
        </w:rPr>
        <w:t xml:space="preserve">Questi interventi evidenziano </w:t>
      </w:r>
      <w:r>
        <w:rPr>
          <w:rFonts w:cstheme="minorHAnsi"/>
        </w:rPr>
        <w:t>l’attenzione</w:t>
      </w:r>
      <w:r w:rsidRPr="006C748F">
        <w:rPr>
          <w:rFonts w:cstheme="minorHAnsi"/>
        </w:rPr>
        <w:t xml:space="preserve"> delle amministrazioni locali nel promuovere una visione </w:t>
      </w:r>
      <w:r>
        <w:rPr>
          <w:rFonts w:cstheme="minorHAnsi"/>
        </w:rPr>
        <w:t>strategica di integrazione del sistema di trasporto pubblico con le altre modalità di trasporto</w:t>
      </w:r>
      <w:r w:rsidRPr="006C748F">
        <w:rPr>
          <w:rFonts w:cstheme="minorHAnsi"/>
        </w:rPr>
        <w:t>.</w:t>
      </w:r>
    </w:p>
    <w:p w14:paraId="06A74A5C" w14:textId="77777777" w:rsidR="002E0EA3" w:rsidRPr="000C6009" w:rsidRDefault="002E0EA3" w:rsidP="00C556AE">
      <w:pPr>
        <w:pStyle w:val="Titolo2"/>
        <w:tabs>
          <w:tab w:val="clear" w:pos="1276"/>
          <w:tab w:val="left" w:pos="426"/>
        </w:tabs>
        <w:spacing w:after="240"/>
        <w:ind w:left="0" w:firstLine="0"/>
        <w:rPr>
          <w:rFonts w:asciiTheme="minorHAnsi" w:hAnsiTheme="minorHAnsi" w:cstheme="minorHAnsi"/>
        </w:rPr>
      </w:pPr>
      <w:bookmarkStart w:id="65" w:name="_Toc193374081"/>
      <w:bookmarkStart w:id="66" w:name="_Toc2135842802"/>
      <w:bookmarkStart w:id="67" w:name="_Toc204616474"/>
      <w:bookmarkStart w:id="68" w:name="_Toc213078342"/>
      <w:r w:rsidRPr="000C6009">
        <w:rPr>
          <w:rFonts w:asciiTheme="minorHAnsi" w:hAnsiTheme="minorHAnsi" w:cstheme="minorHAnsi"/>
        </w:rPr>
        <w:t>La programmazione del sistema di trasporto pubblico piemontese</w:t>
      </w:r>
      <w:bookmarkEnd w:id="65"/>
      <w:bookmarkEnd w:id="66"/>
      <w:bookmarkEnd w:id="67"/>
      <w:bookmarkEnd w:id="68"/>
    </w:p>
    <w:p w14:paraId="5ADC657D" w14:textId="77777777" w:rsidR="002E0EA3" w:rsidRPr="000C6009" w:rsidRDefault="002E0EA3" w:rsidP="002E0EA3">
      <w:pPr>
        <w:pStyle w:val="NormaleWeb"/>
        <w:spacing w:before="120" w:after="0" w:line="240" w:lineRule="auto"/>
        <w:rPr>
          <w:rFonts w:asciiTheme="minorHAnsi" w:hAnsiTheme="minorHAnsi" w:cstheme="minorHAnsi"/>
          <w:sz w:val="22"/>
          <w:szCs w:val="22"/>
        </w:rPr>
      </w:pPr>
      <w:r w:rsidRPr="000C6009">
        <w:rPr>
          <w:rFonts w:asciiTheme="minorHAnsi" w:hAnsiTheme="minorHAnsi" w:cstheme="minorHAnsi"/>
          <w:sz w:val="22"/>
          <w:szCs w:val="22"/>
        </w:rPr>
        <w:t xml:space="preserve">La programmazione dei servizi di trasporto pubblico avviene attraverso programmi triennali. </w:t>
      </w:r>
    </w:p>
    <w:p w14:paraId="542E63D8" w14:textId="77777777" w:rsidR="002E0EA3" w:rsidRPr="000C6009" w:rsidRDefault="002E0EA3" w:rsidP="002E0EA3">
      <w:pPr>
        <w:pStyle w:val="NormaleWeb"/>
        <w:spacing w:before="120" w:after="0" w:line="240" w:lineRule="auto"/>
        <w:rPr>
          <w:rFonts w:asciiTheme="minorHAnsi" w:hAnsiTheme="minorHAnsi" w:cstheme="minorHAnsi"/>
          <w:sz w:val="22"/>
          <w:szCs w:val="22"/>
        </w:rPr>
      </w:pPr>
      <w:r w:rsidRPr="000C6009">
        <w:rPr>
          <w:rFonts w:asciiTheme="minorHAnsi" w:hAnsiTheme="minorHAnsi" w:cstheme="minorHAnsi"/>
          <w:sz w:val="22"/>
          <w:szCs w:val="22"/>
        </w:rPr>
        <w:t xml:space="preserve">Il </w:t>
      </w:r>
      <w:r w:rsidRPr="000C6009">
        <w:rPr>
          <w:rFonts w:asciiTheme="minorHAnsi" w:hAnsiTheme="minorHAnsi" w:cstheme="minorHAnsi"/>
          <w:b/>
          <w:bCs/>
          <w:sz w:val="22"/>
          <w:szCs w:val="22"/>
        </w:rPr>
        <w:t>Programma Triennale dei Servizi di Trasporto Pubblico Locale (PTS) 2019-2021</w:t>
      </w:r>
      <w:r w:rsidRPr="000C6009">
        <w:rPr>
          <w:rFonts w:asciiTheme="minorHAnsi" w:hAnsiTheme="minorHAnsi" w:cstheme="minorHAnsi"/>
          <w:sz w:val="22"/>
          <w:szCs w:val="22"/>
        </w:rPr>
        <w:t xml:space="preserve"> approvato con D.G.R. 7-1721 del 31 luglio 2020, </w:t>
      </w:r>
      <w:r w:rsidRPr="000C6009">
        <w:rPr>
          <w:rFonts w:asciiTheme="minorHAnsi" w:hAnsiTheme="minorHAnsi" w:cstheme="minorHAnsi"/>
          <w:bCs/>
          <w:sz w:val="22"/>
          <w:szCs w:val="22"/>
        </w:rPr>
        <w:t>prorogato fino</w:t>
      </w:r>
      <w:r w:rsidRPr="000C6009">
        <w:rPr>
          <w:rStyle w:val="Enfasigrassetto"/>
          <w:rFonts w:asciiTheme="minorHAnsi" w:hAnsiTheme="minorHAnsi" w:cstheme="minorHAnsi"/>
          <w:b w:val="0"/>
          <w:sz w:val="22"/>
          <w:szCs w:val="22"/>
        </w:rPr>
        <w:t xml:space="preserve"> al 2022 a causa dell’emergenza epidemiologica,</w:t>
      </w:r>
      <w:r w:rsidRPr="000C6009">
        <w:rPr>
          <w:rStyle w:val="Enfasigrassetto"/>
          <w:rFonts w:asciiTheme="minorHAnsi" w:hAnsiTheme="minorHAnsi" w:cstheme="minorHAnsi"/>
          <w:sz w:val="22"/>
          <w:szCs w:val="22"/>
        </w:rPr>
        <w:t xml:space="preserve"> </w:t>
      </w:r>
      <w:r w:rsidRPr="000C6009">
        <w:rPr>
          <w:rFonts w:asciiTheme="minorHAnsi" w:hAnsiTheme="minorHAnsi" w:cstheme="minorHAnsi"/>
          <w:sz w:val="22"/>
          <w:szCs w:val="22"/>
        </w:rPr>
        <w:t>aveva visto l’introduzione di un sistema più integrato tra le diverse reti di trasporto e una maggiore efficienza nella gestione dei servizi, grazie al rafforzamento del ruolo dell’AMP, che aveva sviluppato proposte di programmazione e gestito i processi di consultazione con sindacati, aziende e consumatori, al fine di migliorare l’offerta ed ottimizzare i costi operativi. Le risorse assegnate (535 milioni di euro nel 2019) includevano finanziamenti per nuovi mezzi e agevolazioni tariffarie. Il programma si poneva obiettivi importanti, che si sono poi inevitabilmente scontrati con gli impatti della pandemia, durante la quale sono state introdotte misure straordinarie per il sostegno della domanda ridotta e per garantire la continuità dei servizi, e parallelamente sono stati incrementati gli investimenti in sicurezza sanitaria destinati ai mezzi pubblici.</w:t>
      </w:r>
    </w:p>
    <w:p w14:paraId="12B943D7" w14:textId="77777777" w:rsidR="002E0EA3" w:rsidRPr="000C6009" w:rsidRDefault="002E0EA3" w:rsidP="002E0EA3">
      <w:pPr>
        <w:spacing w:before="120" w:after="0" w:line="240" w:lineRule="auto"/>
        <w:rPr>
          <w:rFonts w:cstheme="minorHAnsi"/>
        </w:rPr>
      </w:pPr>
      <w:r w:rsidRPr="000C6009">
        <w:rPr>
          <w:rFonts w:cstheme="minorHAnsi"/>
        </w:rPr>
        <w:t>Era stato strutturato in base ai principi di efficienza, sostenibilità e integrazione con gli obiettivi regionali, in linea con le direttive nazionali ed europee; definiva, tra l’altro, d’intesa con gli Enti locali aggregati nel consorzio le risorse da destinare all'esercizio specificando l'entità di quelle relative al trasporto ferroviario, la ripartizione tra servizi urbani ed extraurbani di ciascun bacino ottimale.</w:t>
      </w:r>
    </w:p>
    <w:p w14:paraId="686C57EF" w14:textId="77777777" w:rsidR="002E0EA3" w:rsidRPr="000C6009" w:rsidRDefault="002E0EA3" w:rsidP="002E0EA3">
      <w:pPr>
        <w:spacing w:before="120" w:after="0" w:line="240" w:lineRule="auto"/>
        <w:rPr>
          <w:rFonts w:cstheme="minorHAnsi"/>
        </w:rPr>
      </w:pPr>
      <w:r w:rsidRPr="000C6009">
        <w:rPr>
          <w:rFonts w:cstheme="minorHAnsi"/>
        </w:rPr>
        <w:t xml:space="preserve">La componente finanziaria del PTS 2019-2021 è stata annualmente estesa in continuità sino al 2024. </w:t>
      </w:r>
    </w:p>
    <w:p w14:paraId="1F765AF2" w14:textId="77777777" w:rsidR="002E0EA3" w:rsidRPr="000C6009" w:rsidRDefault="002E0EA3" w:rsidP="002E0EA3">
      <w:pPr>
        <w:spacing w:before="120" w:after="0" w:line="240" w:lineRule="auto"/>
        <w:rPr>
          <w:rFonts w:cstheme="minorHAnsi"/>
        </w:rPr>
      </w:pPr>
      <w:r w:rsidRPr="000C6009">
        <w:rPr>
          <w:rFonts w:cstheme="minorHAnsi"/>
        </w:rPr>
        <w:t>Con la D.G.R. n. 52-6344 del 22 dicembre 2022 la Regione ha avviato il percorso per la redazione del Programma Triennale dei servizi 2023-2025 prevedendo, fra l'altro, l’applicazione a tutti i contratti di servizio in essere, ove possibile, della proroga ex art. 24 comma 5 bis D.L. 4/22 convertito, con modificazioni dalla L. 25/22, c.d. "proroga per investimenti". Disposizione a cui l’Agenzia ha dato adempimento con deliberazione del proprio CdA n. 4 del 3/03/2023, attivando il Piano Stralcio relativo alle proroghe del TPL, adottando gli indirizzi per la definizione delle proroghe stesse e indicando quest’ultimi come elementi da inserire nello Stralcio del Programma Triennale.</w:t>
      </w:r>
    </w:p>
    <w:p w14:paraId="1A8BB7B4" w14:textId="77777777" w:rsidR="002E0EA3" w:rsidRPr="000C6009" w:rsidRDefault="002E0EA3" w:rsidP="002E0EA3">
      <w:pPr>
        <w:spacing w:before="120" w:after="0" w:line="240" w:lineRule="auto"/>
        <w:rPr>
          <w:rFonts w:cstheme="minorHAnsi"/>
        </w:rPr>
      </w:pPr>
      <w:r w:rsidRPr="000C6009">
        <w:rPr>
          <w:rFonts w:cstheme="minorHAnsi"/>
        </w:rPr>
        <w:t>L’aggiornamento del Programma Triennale dei Servizi è attualmente in fase di elaborazione.</w:t>
      </w:r>
    </w:p>
    <w:p w14:paraId="7D133A4C" w14:textId="77777777" w:rsidR="002E0EA3" w:rsidRPr="001D5603" w:rsidRDefault="002E0EA3" w:rsidP="00C556AE">
      <w:pPr>
        <w:pStyle w:val="Titolo2"/>
        <w:tabs>
          <w:tab w:val="clear" w:pos="1276"/>
          <w:tab w:val="left" w:pos="426"/>
        </w:tabs>
        <w:spacing w:after="240"/>
        <w:ind w:left="0" w:firstLine="0"/>
        <w:rPr>
          <w:rFonts w:asciiTheme="minorHAnsi" w:hAnsiTheme="minorHAnsi" w:cstheme="minorHAnsi"/>
        </w:rPr>
      </w:pPr>
      <w:bookmarkStart w:id="69" w:name="_Toc193374082"/>
      <w:bookmarkStart w:id="70" w:name="_Toc211117213"/>
      <w:bookmarkStart w:id="71" w:name="_Toc204616475"/>
      <w:bookmarkStart w:id="72" w:name="_Toc213078343"/>
      <w:r w:rsidRPr="001D5603">
        <w:rPr>
          <w:rFonts w:asciiTheme="minorHAnsi" w:hAnsiTheme="minorHAnsi" w:cstheme="minorHAnsi"/>
        </w:rPr>
        <w:t>Indirizzi regionali a supporto dell’Agenzia della Mobilità Piemontese</w:t>
      </w:r>
      <w:bookmarkEnd w:id="69"/>
      <w:bookmarkEnd w:id="70"/>
      <w:bookmarkEnd w:id="71"/>
      <w:bookmarkEnd w:id="72"/>
    </w:p>
    <w:p w14:paraId="65B06181" w14:textId="77777777" w:rsidR="002E0EA3" w:rsidRDefault="002E0EA3" w:rsidP="002E0EA3">
      <w:pPr>
        <w:pStyle w:val="NormaleWeb"/>
        <w:spacing w:before="120" w:after="0" w:line="240" w:lineRule="auto"/>
        <w:rPr>
          <w:rFonts w:asciiTheme="minorHAnsi" w:hAnsiTheme="minorHAnsi" w:cstheme="minorHAnsi"/>
          <w:color w:val="242424"/>
          <w:sz w:val="22"/>
          <w:szCs w:val="22"/>
        </w:rPr>
      </w:pPr>
      <w:r w:rsidRPr="006647E2">
        <w:rPr>
          <w:rFonts w:asciiTheme="minorHAnsi" w:hAnsiTheme="minorHAnsi" w:cstheme="minorHAnsi"/>
          <w:sz w:val="22"/>
          <w:szCs w:val="22"/>
        </w:rPr>
        <w:t>A valle del processo di consultazione degli stakeholder territoriali previsto dalle delibere ART n. 154/2019 e n. 48/2017 (Allegato 1), la Regione Piemonte ha inviato all’Agenzia un documento specifico</w:t>
      </w:r>
      <w:r w:rsidRPr="00C556AE">
        <w:rPr>
          <w:rFonts w:asciiTheme="minorHAnsi" w:hAnsiTheme="minorHAnsi" w:cstheme="minorHAnsi"/>
          <w:sz w:val="22"/>
          <w:szCs w:val="22"/>
          <w:vertAlign w:val="superscript"/>
        </w:rPr>
        <w:footnoteReference w:id="7"/>
      </w:r>
      <w:r w:rsidRPr="00C556AE">
        <w:rPr>
          <w:rFonts w:asciiTheme="minorHAnsi" w:hAnsiTheme="minorHAnsi" w:cstheme="minorHAnsi"/>
          <w:sz w:val="22"/>
          <w:szCs w:val="22"/>
          <w:vertAlign w:val="superscript"/>
        </w:rPr>
        <w:t xml:space="preserve"> </w:t>
      </w:r>
      <w:r w:rsidRPr="006647E2">
        <w:rPr>
          <w:rFonts w:asciiTheme="minorHAnsi" w:hAnsiTheme="minorHAnsi" w:cstheme="minorHAnsi"/>
          <w:sz w:val="22"/>
          <w:szCs w:val="22"/>
        </w:rPr>
        <w:t xml:space="preserve">sugli indirizzi da adottare per la predisposizione della documentazione di affidamento dei </w:t>
      </w:r>
      <w:r w:rsidRPr="006647E2">
        <w:rPr>
          <w:rFonts w:asciiTheme="minorHAnsi" w:hAnsiTheme="minorHAnsi" w:cstheme="minorHAnsi"/>
          <w:sz w:val="22"/>
          <w:szCs w:val="22"/>
        </w:rPr>
        <w:lastRenderedPageBreak/>
        <w:t>servizi di trasporto pubblico locale.</w:t>
      </w:r>
      <w:r w:rsidRPr="006647E2">
        <w:rPr>
          <w:rFonts w:asciiTheme="minorHAnsi" w:hAnsiTheme="minorHAnsi" w:cstheme="minorHAnsi"/>
          <w:color w:val="242424"/>
          <w:sz w:val="22"/>
          <w:szCs w:val="22"/>
          <w:shd w:val="clear" w:color="auto" w:fill="FAFAFA"/>
        </w:rPr>
        <w:t xml:space="preserve"> </w:t>
      </w:r>
      <w:r w:rsidRPr="006647E2">
        <w:rPr>
          <w:rFonts w:asciiTheme="minorHAnsi" w:hAnsiTheme="minorHAnsi" w:cstheme="minorHAnsi"/>
          <w:color w:val="242424"/>
          <w:sz w:val="22"/>
          <w:szCs w:val="22"/>
        </w:rPr>
        <w:t>Questi indirizzi mirano a garantire efficienza, qualità e unitarietà del servizio di trasporto pubblico locale, promuovendo la partecipazione alle gare e ottimizzando le risorse disponibili. In particolare sono state fornite indicazioni in merito ai seguenti punti:</w:t>
      </w:r>
    </w:p>
    <w:p w14:paraId="61A1E8FE" w14:textId="77777777" w:rsidR="008D5F29" w:rsidRPr="006647E2" w:rsidRDefault="008D5F29" w:rsidP="002E0EA3">
      <w:pPr>
        <w:pStyle w:val="NormaleWeb"/>
        <w:spacing w:before="120" w:after="0" w:line="240" w:lineRule="auto"/>
        <w:rPr>
          <w:rFonts w:asciiTheme="minorHAnsi" w:hAnsiTheme="minorHAnsi" w:cstheme="minorHAnsi"/>
          <w:color w:val="242424"/>
          <w:sz w:val="22"/>
          <w:szCs w:val="22"/>
          <w:shd w:val="clear" w:color="auto" w:fill="FAFAFA"/>
        </w:rPr>
      </w:pPr>
    </w:p>
    <w:p w14:paraId="3A998148" w14:textId="77777777" w:rsidR="002E0EA3" w:rsidRPr="006647E2" w:rsidRDefault="002E0EA3" w:rsidP="00004D3F">
      <w:pPr>
        <w:pStyle w:val="Paragrafoelenco"/>
        <w:numPr>
          <w:ilvl w:val="0"/>
          <w:numId w:val="20"/>
        </w:numPr>
        <w:spacing w:before="120" w:after="0" w:line="240" w:lineRule="auto"/>
        <w:contextualSpacing w:val="0"/>
        <w:rPr>
          <w:rFonts w:cstheme="minorHAnsi"/>
          <w:b/>
          <w:bCs/>
        </w:rPr>
      </w:pPr>
      <w:r w:rsidRPr="006647E2">
        <w:rPr>
          <w:rFonts w:cstheme="minorHAnsi"/>
          <w:b/>
          <w:bCs/>
        </w:rPr>
        <w:t>Modalità di affidamento</w:t>
      </w:r>
    </w:p>
    <w:p w14:paraId="2E0184D1" w14:textId="77777777" w:rsidR="002E0EA3" w:rsidRPr="006647E2" w:rsidRDefault="002E0EA3" w:rsidP="002E0EA3">
      <w:pPr>
        <w:numPr>
          <w:ilvl w:val="0"/>
          <w:numId w:val="21"/>
        </w:numPr>
        <w:tabs>
          <w:tab w:val="clear" w:pos="720"/>
          <w:tab w:val="num" w:pos="1276"/>
        </w:tabs>
        <w:spacing w:before="120" w:after="0" w:line="240" w:lineRule="auto"/>
        <w:ind w:left="993" w:hanging="426"/>
        <w:rPr>
          <w:rFonts w:cstheme="minorHAnsi"/>
          <w:color w:val="242424"/>
        </w:rPr>
      </w:pPr>
      <w:r w:rsidRPr="006647E2">
        <w:rPr>
          <w:rFonts w:cstheme="minorHAnsi"/>
          <w:color w:val="242424"/>
        </w:rPr>
        <w:t>Il servizio di trasporto pubblico locale può essere affidato tramite gara, in house o gestione diretta</w:t>
      </w:r>
    </w:p>
    <w:p w14:paraId="0B5121B7" w14:textId="77777777" w:rsidR="002E0EA3" w:rsidRPr="006647E2" w:rsidRDefault="002E0EA3" w:rsidP="002E0EA3">
      <w:pPr>
        <w:numPr>
          <w:ilvl w:val="0"/>
          <w:numId w:val="21"/>
        </w:numPr>
        <w:tabs>
          <w:tab w:val="clear" w:pos="720"/>
          <w:tab w:val="num" w:pos="1276"/>
        </w:tabs>
        <w:spacing w:before="120" w:after="0" w:line="240" w:lineRule="auto"/>
        <w:ind w:left="993" w:hanging="426"/>
        <w:rPr>
          <w:rFonts w:cstheme="minorHAnsi"/>
          <w:color w:val="242424"/>
        </w:rPr>
      </w:pPr>
      <w:r w:rsidRPr="006647E2">
        <w:rPr>
          <w:rFonts w:cstheme="minorHAnsi"/>
          <w:color w:val="242424"/>
        </w:rPr>
        <w:t>Per gli affidamenti in house, l'AMP deve verificare la "qualificata motivazione" e prevedere l'avvio di una nuova gara se gli obiettivi del contratto di servizio non vengono raggiunti.</w:t>
      </w:r>
    </w:p>
    <w:p w14:paraId="42873083" w14:textId="77777777" w:rsidR="002E0EA3" w:rsidRPr="006647E2" w:rsidRDefault="002E0EA3" w:rsidP="002E0EA3">
      <w:pPr>
        <w:numPr>
          <w:ilvl w:val="0"/>
          <w:numId w:val="21"/>
        </w:numPr>
        <w:tabs>
          <w:tab w:val="clear" w:pos="720"/>
          <w:tab w:val="num" w:pos="1276"/>
        </w:tabs>
        <w:spacing w:before="120" w:after="0" w:line="240" w:lineRule="auto"/>
        <w:ind w:left="993" w:hanging="426"/>
        <w:rPr>
          <w:rFonts w:cstheme="minorHAnsi"/>
          <w:color w:val="242424"/>
        </w:rPr>
      </w:pPr>
      <w:r w:rsidRPr="006647E2">
        <w:rPr>
          <w:rFonts w:cstheme="minorHAnsi"/>
          <w:color w:val="242424"/>
        </w:rPr>
        <w:t>Sono previsti limiti ai subaffidamenti per gli affidamenti in house.</w:t>
      </w:r>
    </w:p>
    <w:p w14:paraId="575CF2EC" w14:textId="77777777" w:rsidR="002E0EA3" w:rsidRPr="006647E2" w:rsidRDefault="002E0EA3" w:rsidP="00004D3F">
      <w:pPr>
        <w:pStyle w:val="Paragrafoelenco"/>
        <w:numPr>
          <w:ilvl w:val="0"/>
          <w:numId w:val="19"/>
        </w:numPr>
        <w:spacing w:before="120" w:after="0" w:line="240" w:lineRule="auto"/>
        <w:contextualSpacing w:val="0"/>
        <w:rPr>
          <w:rFonts w:cstheme="minorHAnsi"/>
          <w:b/>
          <w:bCs/>
        </w:rPr>
      </w:pPr>
      <w:r w:rsidRPr="006647E2">
        <w:rPr>
          <w:rFonts w:cstheme="minorHAnsi"/>
          <w:b/>
          <w:bCs/>
        </w:rPr>
        <w:t>Definizione dei lotti</w:t>
      </w:r>
    </w:p>
    <w:p w14:paraId="23E01FB4" w14:textId="77777777" w:rsidR="002E0EA3" w:rsidRPr="006647E2" w:rsidRDefault="002E0EA3" w:rsidP="002E0EA3">
      <w:pPr>
        <w:numPr>
          <w:ilvl w:val="0"/>
          <w:numId w:val="21"/>
        </w:numPr>
        <w:tabs>
          <w:tab w:val="clear" w:pos="720"/>
          <w:tab w:val="num" w:pos="1276"/>
        </w:tabs>
        <w:spacing w:before="120" w:after="0" w:line="240" w:lineRule="auto"/>
        <w:ind w:left="993" w:hanging="426"/>
        <w:rPr>
          <w:rFonts w:cstheme="minorHAnsi"/>
          <w:color w:val="242424"/>
        </w:rPr>
      </w:pPr>
      <w:r w:rsidRPr="006647E2">
        <w:rPr>
          <w:rFonts w:cstheme="minorHAnsi"/>
          <w:color w:val="242424"/>
        </w:rPr>
        <w:t>I bacini di mobilità vengono suddivisi in lotti per favorire la partecipazione alle gare.</w:t>
      </w:r>
    </w:p>
    <w:p w14:paraId="682CF94E" w14:textId="77777777" w:rsidR="002E0EA3" w:rsidRPr="006647E2" w:rsidRDefault="002E0EA3" w:rsidP="002E0EA3">
      <w:pPr>
        <w:numPr>
          <w:ilvl w:val="0"/>
          <w:numId w:val="21"/>
        </w:numPr>
        <w:tabs>
          <w:tab w:val="clear" w:pos="720"/>
          <w:tab w:val="num" w:pos="1276"/>
        </w:tabs>
        <w:spacing w:before="120" w:after="0" w:line="240" w:lineRule="auto"/>
        <w:ind w:left="993" w:hanging="426"/>
        <w:rPr>
          <w:rFonts w:cstheme="minorHAnsi"/>
          <w:color w:val="242424"/>
        </w:rPr>
      </w:pPr>
      <w:r w:rsidRPr="006647E2">
        <w:rPr>
          <w:rFonts w:cstheme="minorHAnsi"/>
          <w:color w:val="242424"/>
        </w:rPr>
        <w:t>La dimensione ottimale dei lotti è di circa 4 milioni di bus*km/anno, tenendo conto anche dell'organizzazione provinciale dei servizi.</w:t>
      </w:r>
    </w:p>
    <w:p w14:paraId="20651907" w14:textId="77777777" w:rsidR="002E0EA3" w:rsidRPr="006647E2" w:rsidRDefault="002E0EA3" w:rsidP="002E0EA3">
      <w:pPr>
        <w:numPr>
          <w:ilvl w:val="0"/>
          <w:numId w:val="21"/>
        </w:numPr>
        <w:tabs>
          <w:tab w:val="clear" w:pos="720"/>
          <w:tab w:val="num" w:pos="1276"/>
        </w:tabs>
        <w:spacing w:before="120" w:after="0" w:line="240" w:lineRule="auto"/>
        <w:ind w:left="993" w:hanging="426"/>
        <w:rPr>
          <w:rFonts w:cstheme="minorHAnsi"/>
          <w:color w:val="242424"/>
        </w:rPr>
      </w:pPr>
      <w:r w:rsidRPr="006647E2">
        <w:rPr>
          <w:rFonts w:cstheme="minorHAnsi"/>
          <w:color w:val="242424"/>
        </w:rPr>
        <w:t>La suddivisione in lotti dimensionalmente pari a circa 4 milioni bus*km consente un costo a base d'asta minimo.</w:t>
      </w:r>
    </w:p>
    <w:p w14:paraId="617DE666" w14:textId="77777777" w:rsidR="002E0EA3" w:rsidRPr="006647E2" w:rsidRDefault="002E0EA3" w:rsidP="002E0EA3">
      <w:pPr>
        <w:numPr>
          <w:ilvl w:val="0"/>
          <w:numId w:val="21"/>
        </w:numPr>
        <w:tabs>
          <w:tab w:val="clear" w:pos="720"/>
          <w:tab w:val="num" w:pos="1276"/>
        </w:tabs>
        <w:spacing w:before="120" w:after="0" w:line="240" w:lineRule="auto"/>
        <w:ind w:left="993" w:hanging="426"/>
        <w:rPr>
          <w:rFonts w:cstheme="minorHAnsi"/>
          <w:color w:val="242424"/>
        </w:rPr>
      </w:pPr>
      <w:r w:rsidRPr="006647E2">
        <w:rPr>
          <w:rFonts w:cstheme="minorHAnsi"/>
          <w:color w:val="242424"/>
        </w:rPr>
        <w:t>La perimetrazione dei lotti deve tenere conto anche dell'organizzazione provinciale dei servizi.</w:t>
      </w:r>
    </w:p>
    <w:p w14:paraId="35FCD47C" w14:textId="77777777" w:rsidR="002E0EA3" w:rsidRPr="006647E2" w:rsidRDefault="002E0EA3" w:rsidP="00004D3F">
      <w:pPr>
        <w:pStyle w:val="Paragrafoelenco"/>
        <w:numPr>
          <w:ilvl w:val="0"/>
          <w:numId w:val="19"/>
        </w:numPr>
        <w:spacing w:before="120" w:after="0" w:line="240" w:lineRule="auto"/>
        <w:contextualSpacing w:val="0"/>
        <w:rPr>
          <w:rFonts w:cstheme="minorHAnsi"/>
          <w:b/>
          <w:bCs/>
        </w:rPr>
      </w:pPr>
      <w:r w:rsidRPr="006647E2">
        <w:rPr>
          <w:rFonts w:cstheme="minorHAnsi"/>
          <w:b/>
          <w:bCs/>
        </w:rPr>
        <w:t>Soggetti ammessi alla partecipazione</w:t>
      </w:r>
    </w:p>
    <w:p w14:paraId="3F70756F" w14:textId="77777777" w:rsidR="002E0EA3" w:rsidRPr="006647E2" w:rsidRDefault="002E0EA3" w:rsidP="002E0EA3">
      <w:pPr>
        <w:numPr>
          <w:ilvl w:val="0"/>
          <w:numId w:val="21"/>
        </w:numPr>
        <w:tabs>
          <w:tab w:val="clear" w:pos="720"/>
          <w:tab w:val="num" w:pos="1276"/>
        </w:tabs>
        <w:spacing w:before="120" w:after="0" w:line="240" w:lineRule="auto"/>
        <w:ind w:left="993" w:hanging="426"/>
        <w:rPr>
          <w:rFonts w:cstheme="minorHAnsi"/>
          <w:color w:val="242424"/>
        </w:rPr>
      </w:pPr>
      <w:r w:rsidRPr="006647E2">
        <w:rPr>
          <w:rFonts w:cstheme="minorHAnsi"/>
          <w:color w:val="242424"/>
        </w:rPr>
        <w:t>I requisiti di partecipazione variano a seconda delle caratteristiche di ciascun lotto.</w:t>
      </w:r>
    </w:p>
    <w:p w14:paraId="5855FBBD" w14:textId="77777777" w:rsidR="002E0EA3" w:rsidRPr="006647E2" w:rsidRDefault="002E0EA3" w:rsidP="002E0EA3">
      <w:pPr>
        <w:numPr>
          <w:ilvl w:val="0"/>
          <w:numId w:val="21"/>
        </w:numPr>
        <w:tabs>
          <w:tab w:val="clear" w:pos="720"/>
          <w:tab w:val="num" w:pos="1276"/>
        </w:tabs>
        <w:spacing w:before="120" w:after="0" w:line="240" w:lineRule="auto"/>
        <w:ind w:left="993" w:hanging="426"/>
        <w:rPr>
          <w:rFonts w:cstheme="minorHAnsi"/>
          <w:color w:val="242424"/>
        </w:rPr>
      </w:pPr>
      <w:r w:rsidRPr="006647E2">
        <w:rPr>
          <w:rFonts w:cstheme="minorHAnsi"/>
          <w:color w:val="242424"/>
        </w:rPr>
        <w:t>Sono previste limitazioni alla partecipazione in forma aggregata.</w:t>
      </w:r>
    </w:p>
    <w:p w14:paraId="75A76862" w14:textId="77777777" w:rsidR="002E0EA3" w:rsidRPr="006647E2" w:rsidRDefault="002E0EA3" w:rsidP="002E0EA3">
      <w:pPr>
        <w:numPr>
          <w:ilvl w:val="0"/>
          <w:numId w:val="21"/>
        </w:numPr>
        <w:tabs>
          <w:tab w:val="clear" w:pos="720"/>
          <w:tab w:val="num" w:pos="1276"/>
        </w:tabs>
        <w:spacing w:before="120" w:after="0" w:line="240" w:lineRule="auto"/>
        <w:ind w:left="993" w:hanging="426"/>
        <w:rPr>
          <w:rFonts w:cstheme="minorHAnsi"/>
          <w:color w:val="242424"/>
        </w:rPr>
      </w:pPr>
      <w:r w:rsidRPr="006647E2">
        <w:rPr>
          <w:rFonts w:cstheme="minorHAnsi"/>
          <w:color w:val="242424"/>
        </w:rPr>
        <w:t>I partecipanti alla procedura di affidamento di un singolo lotto non possono essere presenti in più di un consorzio stabile/reti di imprese o equivalente forma aggregata.</w:t>
      </w:r>
    </w:p>
    <w:p w14:paraId="325C78EE" w14:textId="77777777" w:rsidR="002E0EA3" w:rsidRPr="006647E2" w:rsidRDefault="002E0EA3" w:rsidP="00004D3F">
      <w:pPr>
        <w:pStyle w:val="Paragrafoelenco"/>
        <w:numPr>
          <w:ilvl w:val="0"/>
          <w:numId w:val="19"/>
        </w:numPr>
        <w:spacing w:before="120" w:after="0" w:line="240" w:lineRule="auto"/>
        <w:contextualSpacing w:val="0"/>
        <w:rPr>
          <w:rFonts w:cstheme="minorHAnsi"/>
          <w:b/>
          <w:bCs/>
        </w:rPr>
      </w:pPr>
      <w:r w:rsidRPr="006647E2">
        <w:rPr>
          <w:rFonts w:cstheme="minorHAnsi"/>
          <w:b/>
          <w:bCs/>
        </w:rPr>
        <w:t>Aggiudicazione dei lotti</w:t>
      </w:r>
    </w:p>
    <w:p w14:paraId="209809B8" w14:textId="77777777" w:rsidR="002E0EA3" w:rsidRPr="006647E2" w:rsidRDefault="002E0EA3" w:rsidP="002E0EA3">
      <w:pPr>
        <w:numPr>
          <w:ilvl w:val="0"/>
          <w:numId w:val="21"/>
        </w:numPr>
        <w:tabs>
          <w:tab w:val="clear" w:pos="720"/>
          <w:tab w:val="num" w:pos="1276"/>
        </w:tabs>
        <w:spacing w:before="120" w:after="0" w:line="240" w:lineRule="auto"/>
        <w:ind w:left="993" w:hanging="426"/>
        <w:rPr>
          <w:rFonts w:cstheme="minorHAnsi"/>
          <w:color w:val="242424"/>
        </w:rPr>
      </w:pPr>
      <w:r w:rsidRPr="006647E2">
        <w:rPr>
          <w:rFonts w:cstheme="minorHAnsi"/>
          <w:color w:val="242424"/>
        </w:rPr>
        <w:t>Un soggetto partecipante può presentare un'unica offerta economica per tutti i lotti di un bacino.</w:t>
      </w:r>
    </w:p>
    <w:p w14:paraId="03B9A7B9" w14:textId="77777777" w:rsidR="002E0EA3" w:rsidRPr="006647E2" w:rsidRDefault="002E0EA3" w:rsidP="002E0EA3">
      <w:pPr>
        <w:numPr>
          <w:ilvl w:val="0"/>
          <w:numId w:val="21"/>
        </w:numPr>
        <w:tabs>
          <w:tab w:val="clear" w:pos="720"/>
          <w:tab w:val="num" w:pos="1276"/>
        </w:tabs>
        <w:spacing w:before="120" w:after="0" w:line="240" w:lineRule="auto"/>
        <w:ind w:left="993" w:hanging="426"/>
        <w:rPr>
          <w:rFonts w:cstheme="minorHAnsi"/>
          <w:color w:val="242424"/>
        </w:rPr>
      </w:pPr>
      <w:r w:rsidRPr="006647E2">
        <w:rPr>
          <w:rFonts w:cstheme="minorHAnsi"/>
          <w:color w:val="242424"/>
        </w:rPr>
        <w:t>Un soggetto partecipante può aggiudicarsi lotti in massimo due bacini.</w:t>
      </w:r>
    </w:p>
    <w:p w14:paraId="04640973" w14:textId="77777777" w:rsidR="002E0EA3" w:rsidRPr="006647E2" w:rsidRDefault="002E0EA3" w:rsidP="002E0EA3">
      <w:pPr>
        <w:numPr>
          <w:ilvl w:val="0"/>
          <w:numId w:val="21"/>
        </w:numPr>
        <w:tabs>
          <w:tab w:val="clear" w:pos="720"/>
          <w:tab w:val="num" w:pos="1276"/>
        </w:tabs>
        <w:spacing w:before="120" w:after="0" w:line="240" w:lineRule="auto"/>
        <w:ind w:left="993" w:hanging="426"/>
        <w:rPr>
          <w:rFonts w:cstheme="minorHAnsi"/>
          <w:color w:val="242424"/>
        </w:rPr>
      </w:pPr>
      <w:r w:rsidRPr="006647E2">
        <w:rPr>
          <w:rFonts w:cstheme="minorHAnsi"/>
          <w:color w:val="242424"/>
        </w:rPr>
        <w:t>Per le zone "a domanda debole", si possono prevedere affidamenti diretti.</w:t>
      </w:r>
    </w:p>
    <w:p w14:paraId="0CCB3ED2" w14:textId="77777777" w:rsidR="002E0EA3" w:rsidRPr="006647E2" w:rsidRDefault="002E0EA3" w:rsidP="00004D3F">
      <w:pPr>
        <w:pStyle w:val="Paragrafoelenco"/>
        <w:numPr>
          <w:ilvl w:val="0"/>
          <w:numId w:val="19"/>
        </w:numPr>
        <w:spacing w:before="120" w:after="0" w:line="240" w:lineRule="auto"/>
        <w:contextualSpacing w:val="0"/>
        <w:rPr>
          <w:rFonts w:cstheme="minorHAnsi"/>
          <w:b/>
          <w:bCs/>
        </w:rPr>
      </w:pPr>
      <w:r w:rsidRPr="006647E2">
        <w:rPr>
          <w:rFonts w:cstheme="minorHAnsi"/>
          <w:b/>
          <w:bCs/>
        </w:rPr>
        <w:t>Beni essenziali</w:t>
      </w:r>
    </w:p>
    <w:p w14:paraId="6C35C10C" w14:textId="77777777" w:rsidR="002E0EA3" w:rsidRPr="006647E2" w:rsidRDefault="002E0EA3" w:rsidP="002E0EA3">
      <w:pPr>
        <w:numPr>
          <w:ilvl w:val="0"/>
          <w:numId w:val="21"/>
        </w:numPr>
        <w:tabs>
          <w:tab w:val="clear" w:pos="720"/>
          <w:tab w:val="num" w:pos="1276"/>
        </w:tabs>
        <w:spacing w:before="120" w:after="0" w:line="240" w:lineRule="auto"/>
        <w:ind w:left="993" w:hanging="426"/>
        <w:rPr>
          <w:rFonts w:cstheme="minorHAnsi"/>
          <w:color w:val="242424"/>
        </w:rPr>
      </w:pPr>
      <w:r w:rsidRPr="006647E2">
        <w:rPr>
          <w:rFonts w:cstheme="minorHAnsi"/>
          <w:color w:val="242424"/>
        </w:rPr>
        <w:t>Nel caso di mancata disponibilità di beni essenziali, come depositi/officine, è previsto un periodo transitorio a canone concordato per permettere all'impresa aggiudicataria di dotarsi di tali beni.</w:t>
      </w:r>
    </w:p>
    <w:p w14:paraId="653BE37E" w14:textId="77777777" w:rsidR="002E0EA3" w:rsidRPr="004230CF" w:rsidRDefault="002E0EA3" w:rsidP="002E0EA3">
      <w:pPr>
        <w:pStyle w:val="NormaleWeb"/>
        <w:spacing w:before="120" w:after="0" w:line="240" w:lineRule="auto"/>
        <w:rPr>
          <w:rFonts w:ascii="Calibri" w:hAnsi="Calibri" w:cs="Calibri"/>
          <w:sz w:val="22"/>
          <w:szCs w:val="22"/>
        </w:rPr>
      </w:pPr>
      <w:r w:rsidRPr="004230CF">
        <w:rPr>
          <w:rFonts w:ascii="Calibri" w:hAnsi="Calibri" w:cs="Calibri"/>
          <w:sz w:val="22"/>
          <w:szCs w:val="22"/>
        </w:rPr>
        <w:t>Successivamente alla comunicazione degli indirizzi sono pervenute da parte delle Associazioni di categoria Agens, Anav e Confservizi, e da parte delle aziende, Autoguidovie, Arriva e GTT una serie di osservazioni. In merito alle osservazioni pervenute, d’intesa con Regione, sono stati forniti alcuni chiarimenti ed alcune precisazioni, nonché la rimozione del vincolo posto per l’aggiudicazione congiunta di lotti di servizio del bacino metropolitano con lotti di altri bacini.</w:t>
      </w:r>
    </w:p>
    <w:p w14:paraId="4593359C" w14:textId="77777777" w:rsidR="002E0EA3" w:rsidRPr="0010681B" w:rsidRDefault="002E0EA3" w:rsidP="002E0EA3">
      <w:pPr>
        <w:pStyle w:val="Titolo3"/>
        <w:ind w:left="709"/>
        <w:rPr>
          <w:rFonts w:cs="Calibri"/>
          <w:sz w:val="22"/>
          <w:szCs w:val="22"/>
        </w:rPr>
      </w:pPr>
      <w:bookmarkStart w:id="73" w:name="_Toc213078344"/>
      <w:r w:rsidRPr="0010681B">
        <w:rPr>
          <w:rFonts w:cs="Calibri"/>
          <w:sz w:val="22"/>
          <w:szCs w:val="22"/>
        </w:rPr>
        <w:lastRenderedPageBreak/>
        <w:t>Sintesi delle Osservazioni agli Indirizzi della Regione Piemonte</w:t>
      </w:r>
      <w:bookmarkEnd w:id="73"/>
    </w:p>
    <w:p w14:paraId="3B7C7D89" w14:textId="77777777" w:rsidR="002E0EA3" w:rsidRPr="0010681B" w:rsidRDefault="002E0EA3" w:rsidP="002E0EA3">
      <w:pPr>
        <w:spacing w:before="120" w:after="0" w:line="240" w:lineRule="auto"/>
        <w:rPr>
          <w:rFonts w:cs="Calibri"/>
        </w:rPr>
      </w:pPr>
      <w:r w:rsidRPr="0010681B">
        <w:rPr>
          <w:rFonts w:cs="Calibri"/>
        </w:rPr>
        <w:t>Di seguito si riporta una sintesi strutturata delle osservazioni ricevute da aziende e associazioni in merito ai detti Indirizzi. Le osservazioni sono organizzate per tema con indicazione del soggetto proponente e del contenuto dell’osservazione.</w:t>
      </w:r>
    </w:p>
    <w:p w14:paraId="31E8BEC5" w14:textId="77777777" w:rsidR="002E0EA3" w:rsidRPr="0010681B" w:rsidRDefault="002E0EA3" w:rsidP="002E0EA3">
      <w:pPr>
        <w:spacing w:before="120" w:after="0" w:line="240" w:lineRule="auto"/>
        <w:rPr>
          <w:rFonts w:cs="Calibri"/>
          <w:u w:val="single"/>
        </w:rPr>
      </w:pPr>
      <w:r w:rsidRPr="0010681B">
        <w:rPr>
          <w:rFonts w:cs="Calibri"/>
          <w:u w:val="single"/>
        </w:rPr>
        <w:t>Considerazioni Preliminari e Metodologiche</w:t>
      </w:r>
    </w:p>
    <w:p w14:paraId="48EB68C7" w14:textId="77777777" w:rsidR="002E0EA3" w:rsidRPr="0010681B" w:rsidRDefault="002E0EA3" w:rsidP="002E0EA3">
      <w:pPr>
        <w:spacing w:before="120" w:after="0" w:line="240" w:lineRule="auto"/>
        <w:ind w:left="284"/>
        <w:rPr>
          <w:rFonts w:cs="Calibri"/>
        </w:rPr>
      </w:pPr>
      <w:r w:rsidRPr="0010681B">
        <w:rPr>
          <w:rFonts w:cs="Calibri"/>
        </w:rPr>
        <w:t>Soggetto proponente: AGENS</w:t>
      </w:r>
    </w:p>
    <w:p w14:paraId="0A1F72A3" w14:textId="77777777" w:rsidR="002E0EA3" w:rsidRPr="0010681B" w:rsidRDefault="002E0EA3" w:rsidP="002E0EA3">
      <w:pPr>
        <w:spacing w:before="120" w:after="0" w:line="240" w:lineRule="auto"/>
        <w:ind w:left="708"/>
        <w:rPr>
          <w:rFonts w:cs="Calibri"/>
        </w:rPr>
      </w:pPr>
      <w:r w:rsidRPr="0010681B">
        <w:rPr>
          <w:rFonts w:cs="Calibri"/>
        </w:rPr>
        <w:t>Osservazione: Riconosce la non vincolatività degli indirizzi regionali e propone l’apertura di una consultazione strutturata con operatori e associazioni. Richiede incontri per definire modalità e calendario.</w:t>
      </w:r>
    </w:p>
    <w:p w14:paraId="737D909B" w14:textId="77777777" w:rsidR="002E0EA3" w:rsidRPr="0010681B" w:rsidRDefault="002E0EA3" w:rsidP="002E0EA3">
      <w:pPr>
        <w:spacing w:before="120" w:after="0" w:line="240" w:lineRule="auto"/>
        <w:rPr>
          <w:rFonts w:cs="Calibri"/>
          <w:u w:val="single"/>
        </w:rPr>
      </w:pPr>
      <w:r w:rsidRPr="0010681B">
        <w:rPr>
          <w:rFonts w:cs="Calibri"/>
          <w:u w:val="single"/>
        </w:rPr>
        <w:t>Beni essenziali/indispensabili</w:t>
      </w:r>
    </w:p>
    <w:p w14:paraId="33218FC2" w14:textId="77777777" w:rsidR="002E0EA3" w:rsidRPr="0010681B" w:rsidRDefault="002E0EA3" w:rsidP="002E0EA3">
      <w:pPr>
        <w:spacing w:before="120" w:after="0" w:line="240" w:lineRule="auto"/>
        <w:ind w:left="284"/>
        <w:rPr>
          <w:rFonts w:cs="Calibri"/>
        </w:rPr>
      </w:pPr>
      <w:r w:rsidRPr="0010681B">
        <w:rPr>
          <w:rFonts w:cs="Calibri"/>
        </w:rPr>
        <w:t>Soggetto proponente: ANAV, Confservizi, Autoguidovie</w:t>
      </w:r>
    </w:p>
    <w:p w14:paraId="2994CC49" w14:textId="77777777" w:rsidR="002E0EA3" w:rsidRPr="0010681B" w:rsidRDefault="002E0EA3" w:rsidP="002E0EA3">
      <w:pPr>
        <w:spacing w:before="120" w:after="0" w:line="240" w:lineRule="auto"/>
        <w:ind w:left="708"/>
        <w:rPr>
          <w:rFonts w:cs="Calibri"/>
        </w:rPr>
      </w:pPr>
      <w:r w:rsidRPr="0010681B">
        <w:rPr>
          <w:rFonts w:cs="Calibri"/>
        </w:rPr>
        <w:t>Osservazione: Contestano l’obbligo di messa a disposizione di depositi/officine a canone concordato, ritenendolo privo di base normativa e contrario alla delibera ART 154/2019. Propongono di limitare l’obbligo al solo materiale rotabile (art. 11 L.R. 1/2000) e di definire un limite temporale chiaro.</w:t>
      </w:r>
    </w:p>
    <w:p w14:paraId="4C6DD8F2" w14:textId="77777777" w:rsidR="002E0EA3" w:rsidRPr="0010681B" w:rsidRDefault="002E0EA3" w:rsidP="002E0EA3">
      <w:pPr>
        <w:spacing w:before="120" w:after="0" w:line="240" w:lineRule="auto"/>
        <w:ind w:left="284"/>
        <w:rPr>
          <w:rFonts w:cs="Calibri"/>
        </w:rPr>
      </w:pPr>
      <w:r w:rsidRPr="0010681B">
        <w:rPr>
          <w:rFonts w:cs="Calibri"/>
        </w:rPr>
        <w:t>Soggetto proponente: Arriva Italia</w:t>
      </w:r>
    </w:p>
    <w:p w14:paraId="2D28A03F" w14:textId="77777777" w:rsidR="002E0EA3" w:rsidRPr="0010681B" w:rsidRDefault="002E0EA3" w:rsidP="002E0EA3">
      <w:pPr>
        <w:spacing w:before="120" w:after="0" w:line="240" w:lineRule="auto"/>
        <w:ind w:left="708"/>
        <w:rPr>
          <w:rFonts w:cs="Calibri"/>
        </w:rPr>
      </w:pPr>
      <w:r w:rsidRPr="0010681B">
        <w:rPr>
          <w:rFonts w:cs="Calibri"/>
        </w:rPr>
        <w:t>Osservazione: Segnala che l’assenza di disponibilità dei depositi può creare disparità di trattamento e percorsi a vuoto. Chiede verifica della domanda di primo/ultimo miglio per linee con capolinea presso depositi non disponibili.</w:t>
      </w:r>
    </w:p>
    <w:p w14:paraId="0A984CAF" w14:textId="77777777" w:rsidR="002E0EA3" w:rsidRPr="0010681B" w:rsidRDefault="002E0EA3" w:rsidP="002E0EA3">
      <w:pPr>
        <w:spacing w:before="120" w:after="0" w:line="240" w:lineRule="auto"/>
        <w:rPr>
          <w:rFonts w:cs="Calibri"/>
          <w:u w:val="single"/>
        </w:rPr>
      </w:pPr>
      <w:r w:rsidRPr="0010681B">
        <w:rPr>
          <w:rFonts w:cs="Calibri"/>
          <w:u w:val="single"/>
        </w:rPr>
        <w:t>Soggetti ammessi alla partecipazione e forma giuridica</w:t>
      </w:r>
    </w:p>
    <w:p w14:paraId="0FC2871B" w14:textId="77777777" w:rsidR="002E0EA3" w:rsidRPr="0010681B" w:rsidRDefault="002E0EA3" w:rsidP="002E0EA3">
      <w:pPr>
        <w:spacing w:before="120" w:after="0" w:line="240" w:lineRule="auto"/>
        <w:ind w:left="284"/>
        <w:rPr>
          <w:rFonts w:cs="Calibri"/>
        </w:rPr>
      </w:pPr>
      <w:r w:rsidRPr="0010681B">
        <w:rPr>
          <w:rFonts w:cs="Calibri"/>
        </w:rPr>
        <w:t>Soggetto proponente: ANAV, Arriva Italia, Autoguidovie</w:t>
      </w:r>
    </w:p>
    <w:p w14:paraId="34C5CCC2" w14:textId="77777777" w:rsidR="002E0EA3" w:rsidRPr="0010681B" w:rsidRDefault="002E0EA3" w:rsidP="002E0EA3">
      <w:pPr>
        <w:spacing w:before="120" w:after="0" w:line="240" w:lineRule="auto"/>
        <w:ind w:left="708"/>
        <w:rPr>
          <w:rFonts w:cs="Calibri"/>
        </w:rPr>
      </w:pPr>
      <w:r w:rsidRPr="0010681B">
        <w:rPr>
          <w:rFonts w:cs="Calibri"/>
        </w:rPr>
        <w:t>Osservazione: Contestano l’imposizione di una forma giuridica specifica agli aggiudicatari, richiamando il principio di neutralità sancito dalla Direttiva 2014/24/UE e dal Codice dei Contratti. L’unica eccezione ammessa riguarda i RTI. Arriva chiede che eventuali obblighi siano recepiti nel PEFS. ANAV contesta limitazioni alla partecipazione aggregata, ritenendole dannose per le aziende locali.</w:t>
      </w:r>
    </w:p>
    <w:p w14:paraId="234CFFED" w14:textId="77777777" w:rsidR="002E0EA3" w:rsidRPr="0010681B" w:rsidRDefault="002E0EA3" w:rsidP="002E0EA3">
      <w:pPr>
        <w:spacing w:before="120" w:after="0" w:line="240" w:lineRule="auto"/>
        <w:rPr>
          <w:rFonts w:cs="Calibri"/>
          <w:u w:val="single"/>
        </w:rPr>
      </w:pPr>
      <w:r w:rsidRPr="0010681B">
        <w:rPr>
          <w:rFonts w:cs="Calibri"/>
          <w:u w:val="single"/>
        </w:rPr>
        <w:t>Aggiudicazione dei lotti e limiti di partecipazione</w:t>
      </w:r>
    </w:p>
    <w:p w14:paraId="5C02EB95" w14:textId="77777777" w:rsidR="002E0EA3" w:rsidRPr="0010681B" w:rsidRDefault="002E0EA3" w:rsidP="002E0EA3">
      <w:pPr>
        <w:spacing w:before="120" w:after="0" w:line="240" w:lineRule="auto"/>
        <w:ind w:left="284"/>
        <w:rPr>
          <w:rFonts w:cs="Calibri"/>
        </w:rPr>
      </w:pPr>
      <w:r w:rsidRPr="0010681B">
        <w:rPr>
          <w:rFonts w:cs="Calibri"/>
        </w:rPr>
        <w:t>Soggetto proponente: GTT</w:t>
      </w:r>
    </w:p>
    <w:p w14:paraId="77148DB7" w14:textId="77777777" w:rsidR="002E0EA3" w:rsidRPr="0010681B" w:rsidRDefault="002E0EA3" w:rsidP="002E0EA3">
      <w:pPr>
        <w:spacing w:before="120" w:after="0" w:line="240" w:lineRule="auto"/>
        <w:ind w:left="708"/>
        <w:rPr>
          <w:rFonts w:cs="Calibri"/>
        </w:rPr>
      </w:pPr>
      <w:r w:rsidRPr="0010681B">
        <w:rPr>
          <w:rFonts w:cs="Calibri"/>
        </w:rPr>
        <w:t>Osservazione: Chiede chiarimenti su cosa si intenda per 'controllata' o 'collegata' e se partecipazioni inferiori al 20% siano escluse dal vincolo.</w:t>
      </w:r>
    </w:p>
    <w:p w14:paraId="6A8D9678" w14:textId="77777777" w:rsidR="002E0EA3" w:rsidRPr="0010681B" w:rsidRDefault="002E0EA3" w:rsidP="002E0EA3">
      <w:pPr>
        <w:spacing w:before="120" w:after="0" w:line="240" w:lineRule="auto"/>
        <w:ind w:left="284"/>
        <w:rPr>
          <w:rFonts w:cs="Calibri"/>
        </w:rPr>
      </w:pPr>
      <w:r w:rsidRPr="0010681B">
        <w:rPr>
          <w:rFonts w:cs="Calibri"/>
        </w:rPr>
        <w:t>Soggetto proponente: ANAV</w:t>
      </w:r>
    </w:p>
    <w:p w14:paraId="54D27680" w14:textId="77777777" w:rsidR="002E0EA3" w:rsidRPr="0010681B" w:rsidRDefault="002E0EA3" w:rsidP="002E0EA3">
      <w:pPr>
        <w:spacing w:before="120" w:after="0" w:line="240" w:lineRule="auto"/>
        <w:ind w:left="708"/>
        <w:rPr>
          <w:rFonts w:cs="Calibri"/>
        </w:rPr>
      </w:pPr>
      <w:r w:rsidRPr="0010681B">
        <w:rPr>
          <w:rFonts w:cs="Calibri"/>
        </w:rPr>
        <w:t>Osservazione: Presenta esempi di RTI con partecipazioni incrociate e chiede se ciò pregiudichi l’aggiudicazione.</w:t>
      </w:r>
    </w:p>
    <w:p w14:paraId="2918DE79" w14:textId="77777777" w:rsidR="002E0EA3" w:rsidRPr="0010681B" w:rsidRDefault="002E0EA3" w:rsidP="002E0EA3">
      <w:pPr>
        <w:spacing w:before="120" w:after="0" w:line="240" w:lineRule="auto"/>
        <w:ind w:left="284"/>
        <w:rPr>
          <w:rFonts w:cs="Calibri"/>
        </w:rPr>
      </w:pPr>
      <w:r w:rsidRPr="0010681B">
        <w:rPr>
          <w:rFonts w:cs="Calibri"/>
        </w:rPr>
        <w:t>Soggetto proponente: Autoguidovie</w:t>
      </w:r>
    </w:p>
    <w:p w14:paraId="3A1B96DB" w14:textId="77777777" w:rsidR="002E0EA3" w:rsidRPr="0010681B" w:rsidRDefault="002E0EA3" w:rsidP="002E0EA3">
      <w:pPr>
        <w:spacing w:before="120" w:after="0" w:line="240" w:lineRule="auto"/>
        <w:ind w:left="708"/>
        <w:rPr>
          <w:rFonts w:cs="Calibri"/>
        </w:rPr>
      </w:pPr>
      <w:r w:rsidRPr="0010681B">
        <w:rPr>
          <w:rFonts w:cs="Calibri"/>
        </w:rPr>
        <w:t>Osservazione: Evidenzia asimmetrie concorrenziali e chiede motivazioni dettagliate per i limiti.</w:t>
      </w:r>
    </w:p>
    <w:p w14:paraId="4F7733AA" w14:textId="77777777" w:rsidR="002E0EA3" w:rsidRPr="0010681B" w:rsidRDefault="002E0EA3" w:rsidP="002E0EA3">
      <w:pPr>
        <w:spacing w:before="120" w:after="0" w:line="240" w:lineRule="auto"/>
        <w:ind w:left="284"/>
        <w:rPr>
          <w:rFonts w:cs="Calibri"/>
        </w:rPr>
      </w:pPr>
      <w:r w:rsidRPr="0010681B">
        <w:rPr>
          <w:rFonts w:cs="Calibri"/>
        </w:rPr>
        <w:t>Soggetto proponente: Arriva Italia</w:t>
      </w:r>
    </w:p>
    <w:p w14:paraId="2B05CE03" w14:textId="77777777" w:rsidR="002E0EA3" w:rsidRPr="0010681B" w:rsidRDefault="002E0EA3" w:rsidP="002E0EA3">
      <w:pPr>
        <w:spacing w:before="120" w:after="0" w:line="240" w:lineRule="auto"/>
        <w:ind w:left="708"/>
        <w:rPr>
          <w:rFonts w:cs="Calibri"/>
        </w:rPr>
      </w:pPr>
      <w:r w:rsidRPr="0010681B">
        <w:rPr>
          <w:rFonts w:cs="Calibri"/>
        </w:rPr>
        <w:t>Osservazione: Contesta la limitazione per bacino metropolitano e chiede chiarimenti sull’impossibilità di aggiudicarsi lotti in bacini diversi.</w:t>
      </w:r>
    </w:p>
    <w:p w14:paraId="18BD06FC" w14:textId="77777777" w:rsidR="002E0EA3" w:rsidRPr="0010681B" w:rsidRDefault="002E0EA3" w:rsidP="002E0EA3">
      <w:pPr>
        <w:spacing w:before="120" w:after="0" w:line="240" w:lineRule="auto"/>
        <w:ind w:left="284"/>
        <w:rPr>
          <w:rFonts w:cs="Calibri"/>
        </w:rPr>
      </w:pPr>
      <w:r w:rsidRPr="0010681B">
        <w:rPr>
          <w:rFonts w:cs="Calibri"/>
        </w:rPr>
        <w:t>Soggetto proponente: Confservizi</w:t>
      </w:r>
    </w:p>
    <w:p w14:paraId="26C1A660" w14:textId="77777777" w:rsidR="002E0EA3" w:rsidRPr="0010681B" w:rsidRDefault="002E0EA3" w:rsidP="002E0EA3">
      <w:pPr>
        <w:spacing w:before="120" w:after="0" w:line="240" w:lineRule="auto"/>
        <w:ind w:left="708"/>
        <w:rPr>
          <w:rFonts w:cs="Calibri"/>
        </w:rPr>
      </w:pPr>
      <w:r w:rsidRPr="0010681B">
        <w:rPr>
          <w:rFonts w:cs="Calibri"/>
        </w:rPr>
        <w:lastRenderedPageBreak/>
        <w:t>Osservazione: Chiede se siano previste misure correttive o compensative per evitare distorsioni.</w:t>
      </w:r>
    </w:p>
    <w:p w14:paraId="6E186685" w14:textId="77777777" w:rsidR="002E0EA3" w:rsidRPr="0010681B" w:rsidRDefault="002E0EA3" w:rsidP="002E0EA3">
      <w:pPr>
        <w:spacing w:before="120" w:after="0" w:line="240" w:lineRule="auto"/>
        <w:rPr>
          <w:rFonts w:cs="Calibri"/>
          <w:u w:val="single"/>
        </w:rPr>
      </w:pPr>
      <w:r w:rsidRPr="0010681B">
        <w:rPr>
          <w:rFonts w:cs="Calibri"/>
          <w:u w:val="single"/>
        </w:rPr>
        <w:t>Valutazione dei mezzi acquistati con contributo pubblico</w:t>
      </w:r>
    </w:p>
    <w:p w14:paraId="3921FE9E" w14:textId="77777777" w:rsidR="002E0EA3" w:rsidRPr="0010681B" w:rsidRDefault="002E0EA3" w:rsidP="002E0EA3">
      <w:pPr>
        <w:spacing w:before="120" w:after="0" w:line="240" w:lineRule="auto"/>
        <w:ind w:left="284"/>
        <w:rPr>
          <w:rFonts w:cs="Calibri"/>
        </w:rPr>
      </w:pPr>
      <w:r w:rsidRPr="0010681B">
        <w:rPr>
          <w:rFonts w:cs="Calibri"/>
        </w:rPr>
        <w:t>Soggetto proponente: Confservizi</w:t>
      </w:r>
    </w:p>
    <w:p w14:paraId="6831C871" w14:textId="77777777" w:rsidR="002E0EA3" w:rsidRPr="0010681B" w:rsidRDefault="002E0EA3" w:rsidP="002E0EA3">
      <w:pPr>
        <w:spacing w:before="120" w:after="0" w:line="240" w:lineRule="auto"/>
        <w:ind w:left="708"/>
        <w:rPr>
          <w:rFonts w:cs="Calibri"/>
        </w:rPr>
      </w:pPr>
      <w:r w:rsidRPr="0010681B">
        <w:rPr>
          <w:rFonts w:cs="Calibri"/>
        </w:rPr>
        <w:t>Osservazione: Chiede se i mezzi a gasolio Euro VI per servizi extraurbani saranno penalizzati rispetto ad altre tecnologie. Richiede criteri chiari e trasparenti per la valutazione tecnica.</w:t>
      </w:r>
    </w:p>
    <w:p w14:paraId="58E3771C" w14:textId="77777777" w:rsidR="002E0EA3" w:rsidRPr="0010681B" w:rsidRDefault="002E0EA3" w:rsidP="002E0EA3">
      <w:pPr>
        <w:spacing w:before="120" w:after="0" w:line="240" w:lineRule="auto"/>
        <w:rPr>
          <w:rFonts w:cs="Calibri"/>
          <w:u w:val="single"/>
        </w:rPr>
      </w:pPr>
      <w:r w:rsidRPr="0010681B">
        <w:rPr>
          <w:rFonts w:cs="Calibri"/>
          <w:u w:val="single"/>
        </w:rPr>
        <w:t>Affidamento in house</w:t>
      </w:r>
    </w:p>
    <w:p w14:paraId="295D41C5" w14:textId="77777777" w:rsidR="002E0EA3" w:rsidRPr="0010681B" w:rsidRDefault="002E0EA3" w:rsidP="002E0EA3">
      <w:pPr>
        <w:spacing w:before="120" w:after="0" w:line="240" w:lineRule="auto"/>
        <w:ind w:left="284"/>
        <w:rPr>
          <w:rFonts w:cs="Calibri"/>
        </w:rPr>
      </w:pPr>
      <w:r w:rsidRPr="0010681B">
        <w:rPr>
          <w:rFonts w:cs="Calibri"/>
        </w:rPr>
        <w:t>Soggetto proponente: Arriva Italia</w:t>
      </w:r>
    </w:p>
    <w:p w14:paraId="79B0D8D0" w14:textId="77777777" w:rsidR="002E0EA3" w:rsidRPr="0010681B" w:rsidRDefault="002E0EA3" w:rsidP="002E0EA3">
      <w:pPr>
        <w:spacing w:before="120" w:after="0" w:line="240" w:lineRule="auto"/>
        <w:ind w:left="708"/>
        <w:rPr>
          <w:rFonts w:cs="Calibri"/>
        </w:rPr>
      </w:pPr>
      <w:r w:rsidRPr="0010681B">
        <w:rPr>
          <w:rFonts w:cs="Calibri"/>
        </w:rPr>
        <w:t>Osservazione: Chiede che venga considerata la valutazione dei risultati delle gestioni in house precedenti, come previsto dal D.Lgs. 201/2022.</w:t>
      </w:r>
    </w:p>
    <w:p w14:paraId="107A90E3" w14:textId="77777777" w:rsidR="002E0EA3" w:rsidRPr="0010681B" w:rsidRDefault="002E0EA3" w:rsidP="002E0EA3">
      <w:pPr>
        <w:spacing w:before="120" w:after="0" w:line="240" w:lineRule="auto"/>
        <w:ind w:left="284"/>
        <w:rPr>
          <w:rFonts w:cs="Calibri"/>
        </w:rPr>
      </w:pPr>
      <w:r w:rsidRPr="0010681B">
        <w:rPr>
          <w:rFonts w:cs="Calibri"/>
        </w:rPr>
        <w:t>Soggetto proponente: GTT</w:t>
      </w:r>
    </w:p>
    <w:p w14:paraId="4915088A" w14:textId="77777777" w:rsidR="002E0EA3" w:rsidRPr="0010681B" w:rsidRDefault="002E0EA3" w:rsidP="002E0EA3">
      <w:pPr>
        <w:spacing w:before="120" w:after="0" w:line="240" w:lineRule="auto"/>
        <w:ind w:left="708"/>
        <w:rPr>
          <w:rFonts w:cs="Calibri"/>
        </w:rPr>
      </w:pPr>
      <w:r w:rsidRPr="0010681B">
        <w:rPr>
          <w:rFonts w:cs="Calibri"/>
        </w:rPr>
        <w:t>Osservazione: Chiede conferma che l’art. 4-bis del DL 78/2009 sia tacitamente abrogato e che valgano solo le limitazioni del Reg. CE 1370/2007.</w:t>
      </w:r>
    </w:p>
    <w:p w14:paraId="46F57930" w14:textId="77777777" w:rsidR="002E0EA3" w:rsidRPr="0010681B" w:rsidRDefault="002E0EA3" w:rsidP="002E0EA3">
      <w:pPr>
        <w:spacing w:before="120" w:after="0" w:line="240" w:lineRule="auto"/>
        <w:rPr>
          <w:rFonts w:cs="Calibri"/>
          <w:u w:val="single"/>
        </w:rPr>
      </w:pPr>
      <w:r w:rsidRPr="0010681B">
        <w:rPr>
          <w:rFonts w:cs="Calibri"/>
          <w:u w:val="single"/>
        </w:rPr>
        <w:t>Ripartizione in lotti</w:t>
      </w:r>
    </w:p>
    <w:p w14:paraId="52370539" w14:textId="77777777" w:rsidR="002E0EA3" w:rsidRPr="0010681B" w:rsidRDefault="002E0EA3" w:rsidP="002E0EA3">
      <w:pPr>
        <w:spacing w:before="120" w:after="0" w:line="240" w:lineRule="auto"/>
        <w:ind w:left="284"/>
        <w:rPr>
          <w:rFonts w:cs="Calibri"/>
        </w:rPr>
      </w:pPr>
      <w:r w:rsidRPr="0010681B">
        <w:rPr>
          <w:rFonts w:cs="Calibri"/>
        </w:rPr>
        <w:t>Soggetto proponente: Arriva Italia</w:t>
      </w:r>
    </w:p>
    <w:p w14:paraId="23D02CEE" w14:textId="77777777" w:rsidR="002E0EA3" w:rsidRPr="0010681B" w:rsidRDefault="002E0EA3" w:rsidP="002E0EA3">
      <w:pPr>
        <w:spacing w:before="120" w:after="0" w:line="240" w:lineRule="auto"/>
        <w:ind w:left="708"/>
        <w:rPr>
          <w:rFonts w:cs="Calibri"/>
        </w:rPr>
      </w:pPr>
      <w:r w:rsidRPr="0010681B">
        <w:rPr>
          <w:rFonts w:cs="Calibri"/>
        </w:rPr>
        <w:t>Osservazione: Chiede maggiore trasparenza sugli scenari di ripartizione. Propone un tavolo tecnico congiunto con i gestori. Segnala criticità nella previsione di annullamento automatico della gara in caso di unica offerta.</w:t>
      </w:r>
    </w:p>
    <w:p w14:paraId="04587C68" w14:textId="77777777" w:rsidR="002E0EA3" w:rsidRPr="0010681B" w:rsidRDefault="002E0EA3" w:rsidP="002E0EA3">
      <w:pPr>
        <w:spacing w:before="120" w:after="0" w:line="240" w:lineRule="auto"/>
        <w:rPr>
          <w:rFonts w:cs="Calibri"/>
          <w:u w:val="single"/>
        </w:rPr>
      </w:pPr>
      <w:r w:rsidRPr="0010681B">
        <w:rPr>
          <w:rFonts w:cs="Calibri"/>
          <w:u w:val="single"/>
        </w:rPr>
        <w:t>Sistema di qualificazione</w:t>
      </w:r>
    </w:p>
    <w:p w14:paraId="51A9625E" w14:textId="77777777" w:rsidR="002E0EA3" w:rsidRPr="0010681B" w:rsidRDefault="002E0EA3" w:rsidP="002E0EA3">
      <w:pPr>
        <w:spacing w:before="120" w:after="0" w:line="240" w:lineRule="auto"/>
        <w:ind w:left="284"/>
        <w:rPr>
          <w:rFonts w:cs="Calibri"/>
        </w:rPr>
      </w:pPr>
      <w:r w:rsidRPr="0010681B">
        <w:rPr>
          <w:rFonts w:cs="Calibri"/>
        </w:rPr>
        <w:t>Soggetto proponente: ANAV</w:t>
      </w:r>
    </w:p>
    <w:p w14:paraId="6A2FA004" w14:textId="77777777" w:rsidR="002E0EA3" w:rsidRPr="0010681B" w:rsidRDefault="002E0EA3" w:rsidP="002E0EA3">
      <w:pPr>
        <w:spacing w:before="120" w:after="0" w:line="240" w:lineRule="auto"/>
        <w:ind w:left="708"/>
        <w:rPr>
          <w:rFonts w:cs="Calibri"/>
        </w:rPr>
      </w:pPr>
      <w:r w:rsidRPr="0010681B">
        <w:rPr>
          <w:rFonts w:cs="Calibri"/>
        </w:rPr>
        <w:t>Osservazione: Chiede conferma che il limite superiore della classe possa essere aumentato di un quinto per partecipare alle gare, come previsto dal sistema di qualificazione.</w:t>
      </w:r>
    </w:p>
    <w:p w14:paraId="401A9A8F" w14:textId="77777777" w:rsidR="002E0EA3" w:rsidRPr="0010681B" w:rsidRDefault="002E0EA3" w:rsidP="002E0EA3">
      <w:pPr>
        <w:spacing w:before="120" w:after="0" w:line="240" w:lineRule="auto"/>
        <w:rPr>
          <w:rFonts w:cs="Calibri"/>
          <w:u w:val="single"/>
        </w:rPr>
      </w:pPr>
      <w:r w:rsidRPr="0010681B">
        <w:rPr>
          <w:rFonts w:cs="Calibri"/>
          <w:u w:val="single"/>
        </w:rPr>
        <w:t>Offerta economica unica per bacino</w:t>
      </w:r>
    </w:p>
    <w:p w14:paraId="57A8495F" w14:textId="77777777" w:rsidR="002E0EA3" w:rsidRPr="0010681B" w:rsidRDefault="002E0EA3" w:rsidP="002E0EA3">
      <w:pPr>
        <w:spacing w:before="120" w:after="0" w:line="240" w:lineRule="auto"/>
        <w:ind w:left="284"/>
        <w:rPr>
          <w:rFonts w:cs="Calibri"/>
        </w:rPr>
      </w:pPr>
      <w:r w:rsidRPr="0010681B">
        <w:rPr>
          <w:rFonts w:cs="Calibri"/>
        </w:rPr>
        <w:t>Soggetto proponente: Arriva Italia</w:t>
      </w:r>
    </w:p>
    <w:p w14:paraId="6E13B127" w14:textId="77777777" w:rsidR="002E0EA3" w:rsidRPr="0010681B" w:rsidRDefault="002E0EA3" w:rsidP="002E0EA3">
      <w:pPr>
        <w:spacing w:before="120" w:after="0" w:line="240" w:lineRule="auto"/>
        <w:ind w:left="708"/>
        <w:rPr>
          <w:rFonts w:cs="Calibri"/>
        </w:rPr>
      </w:pPr>
      <w:r w:rsidRPr="0010681B">
        <w:rPr>
          <w:rFonts w:cs="Calibri"/>
        </w:rPr>
        <w:t>Osservazione: Contesta la legittimità della possibilità di presentare un’offerta economica unica per tutti i lotti di un bacino. Ritiene che possa generare disparità di trattamento e allungare i tempi di aggiudicazione.</w:t>
      </w:r>
    </w:p>
    <w:p w14:paraId="048017BD" w14:textId="77777777" w:rsidR="002E0EA3" w:rsidRPr="0010681B" w:rsidRDefault="002E0EA3" w:rsidP="002E0EA3">
      <w:pPr>
        <w:spacing w:before="120" w:after="0" w:line="240" w:lineRule="auto"/>
        <w:rPr>
          <w:rFonts w:cs="Calibri"/>
          <w:u w:val="single"/>
        </w:rPr>
      </w:pPr>
      <w:r w:rsidRPr="0010681B">
        <w:rPr>
          <w:rFonts w:cs="Calibri"/>
          <w:u w:val="single"/>
        </w:rPr>
        <w:t>Univocità degli indirizzi</w:t>
      </w:r>
    </w:p>
    <w:p w14:paraId="411B56CC" w14:textId="77777777" w:rsidR="002E0EA3" w:rsidRPr="0010681B" w:rsidRDefault="002E0EA3" w:rsidP="002E0EA3">
      <w:pPr>
        <w:spacing w:before="120" w:after="0" w:line="240" w:lineRule="auto"/>
        <w:ind w:left="284"/>
        <w:rPr>
          <w:rFonts w:cs="Calibri"/>
        </w:rPr>
      </w:pPr>
      <w:r w:rsidRPr="0010681B">
        <w:rPr>
          <w:rFonts w:cs="Calibri"/>
        </w:rPr>
        <w:t>Soggetto proponente: ANAV</w:t>
      </w:r>
    </w:p>
    <w:p w14:paraId="50DD9F3C" w14:textId="77777777" w:rsidR="002E0EA3" w:rsidRPr="0010681B" w:rsidRDefault="002E0EA3" w:rsidP="002E0EA3">
      <w:pPr>
        <w:spacing w:before="120" w:after="0" w:line="240" w:lineRule="auto"/>
        <w:ind w:left="708"/>
        <w:rPr>
          <w:rFonts w:cs="Calibri"/>
        </w:rPr>
      </w:pPr>
      <w:r w:rsidRPr="0010681B">
        <w:rPr>
          <w:rFonts w:cs="Calibri"/>
        </w:rPr>
        <w:t>Osservazione: Segnala incoerenze tra le Linee Guida regionali e la Relazione dei lotti del Bacino Sud-Ovest. Chiede contestualità delle procedure per evitare distorsioni.</w:t>
      </w:r>
    </w:p>
    <w:p w14:paraId="61329371" w14:textId="70E29BBC" w:rsidR="002E0EA3" w:rsidRPr="004500E3" w:rsidRDefault="002E0EA3" w:rsidP="002E0EA3">
      <w:pPr>
        <w:spacing w:before="120" w:after="0" w:line="240" w:lineRule="auto"/>
        <w:rPr>
          <w:rFonts w:cs="Calibri"/>
        </w:rPr>
      </w:pPr>
      <w:r w:rsidRPr="0010681B">
        <w:rPr>
          <w:rFonts w:cs="Calibri"/>
        </w:rPr>
        <w:t>L’insieme delle Osservazioni è già stato analizzato e si è effettuato un primo confronto con le aziende per chiarire gli aspetti reputati controversi.</w:t>
      </w:r>
    </w:p>
    <w:p w14:paraId="6C4F3D4D" w14:textId="77777777" w:rsidR="002E0EA3" w:rsidRPr="000C6009" w:rsidRDefault="002E0EA3" w:rsidP="002E0EA3">
      <w:pPr>
        <w:pStyle w:val="NormaleWeb"/>
        <w:spacing w:before="120" w:after="0" w:line="240" w:lineRule="auto"/>
        <w:rPr>
          <w:rFonts w:asciiTheme="minorHAnsi" w:hAnsiTheme="minorHAnsi" w:cstheme="minorHAnsi"/>
          <w:color w:val="242424"/>
          <w:sz w:val="22"/>
          <w:szCs w:val="22"/>
          <w:shd w:val="clear" w:color="auto" w:fill="FAFAFA"/>
        </w:rPr>
      </w:pPr>
    </w:p>
    <w:p w14:paraId="36EF985A" w14:textId="77777777" w:rsidR="002E0EA3" w:rsidRPr="000C6009" w:rsidRDefault="002E0EA3" w:rsidP="002E0EA3">
      <w:pPr>
        <w:pStyle w:val="Contenuto"/>
        <w:rPr>
          <w:rFonts w:cstheme="minorHAnsi"/>
        </w:rPr>
        <w:sectPr w:rsidR="002E0EA3" w:rsidRPr="000C6009" w:rsidSect="0047122C">
          <w:headerReference w:type="default" r:id="rId22"/>
          <w:footerReference w:type="default" r:id="rId23"/>
          <w:pgSz w:w="11906" w:h="16838"/>
          <w:pgMar w:top="1418" w:right="1418" w:bottom="1418" w:left="1418" w:header="709" w:footer="709" w:gutter="0"/>
          <w:pgBorders w:offsetFrom="page">
            <w:right w:val="single" w:sz="48" w:space="24" w:color="EE3438"/>
          </w:pgBorders>
          <w:cols w:space="708"/>
          <w:docGrid w:linePitch="360"/>
        </w:sectPr>
      </w:pPr>
    </w:p>
    <w:p w14:paraId="20B48565" w14:textId="77777777" w:rsidR="002E0EA3" w:rsidRPr="000C6009" w:rsidRDefault="002E0EA3" w:rsidP="002E0EA3">
      <w:pPr>
        <w:pStyle w:val="Titolo1"/>
        <w:spacing w:after="360"/>
        <w:ind w:left="431" w:hanging="431"/>
        <w:rPr>
          <w:rFonts w:asciiTheme="minorHAnsi" w:hAnsiTheme="minorHAnsi" w:cstheme="minorHAnsi"/>
        </w:rPr>
      </w:pPr>
      <w:bookmarkStart w:id="74" w:name="_Ref190357248"/>
      <w:bookmarkStart w:id="75" w:name="_Ref190681337"/>
      <w:bookmarkStart w:id="76" w:name="_Toc193374083"/>
      <w:bookmarkStart w:id="77" w:name="_Ref193376132"/>
      <w:bookmarkStart w:id="78" w:name="_Ref193377952"/>
      <w:bookmarkStart w:id="79" w:name="_Toc440997623"/>
      <w:bookmarkStart w:id="80" w:name="_Toc204616476"/>
      <w:bookmarkStart w:id="81" w:name="_Ref205195905"/>
      <w:bookmarkStart w:id="82" w:name="_Toc213078345"/>
      <w:r w:rsidRPr="000C6009">
        <w:rPr>
          <w:rFonts w:asciiTheme="minorHAnsi" w:hAnsiTheme="minorHAnsi" w:cstheme="minorHAnsi"/>
        </w:rPr>
        <w:lastRenderedPageBreak/>
        <w:t>Quadro di riferimento attuale degli affidamenti</w:t>
      </w:r>
      <w:bookmarkEnd w:id="74"/>
      <w:bookmarkEnd w:id="75"/>
      <w:r w:rsidRPr="000C6009">
        <w:rPr>
          <w:rFonts w:asciiTheme="minorHAnsi" w:hAnsiTheme="minorHAnsi" w:cstheme="minorHAnsi"/>
        </w:rPr>
        <w:t xml:space="preserve"> del Bacino </w:t>
      </w:r>
      <w:bookmarkEnd w:id="76"/>
      <w:bookmarkEnd w:id="77"/>
      <w:bookmarkEnd w:id="78"/>
      <w:bookmarkEnd w:id="79"/>
      <w:r>
        <w:rPr>
          <w:rFonts w:asciiTheme="minorHAnsi" w:hAnsiTheme="minorHAnsi" w:cstheme="minorHAnsi"/>
        </w:rPr>
        <w:t>Metropolitano</w:t>
      </w:r>
      <w:bookmarkEnd w:id="80"/>
      <w:bookmarkEnd w:id="81"/>
      <w:bookmarkEnd w:id="82"/>
    </w:p>
    <w:p w14:paraId="486E3F38" w14:textId="0A7AADC3" w:rsidR="002E0EA3" w:rsidRPr="00F77855" w:rsidRDefault="002E0EA3" w:rsidP="002E0EA3">
      <w:pPr>
        <w:pStyle w:val="Titolo2"/>
        <w:ind w:left="426" w:hanging="426"/>
        <w:rPr>
          <w:rFonts w:asciiTheme="minorHAnsi" w:hAnsiTheme="minorHAnsi" w:cstheme="minorHAnsi"/>
        </w:rPr>
      </w:pPr>
      <w:bookmarkStart w:id="83" w:name="_Toc193374084"/>
      <w:bookmarkStart w:id="84" w:name="_Toc204616477"/>
      <w:bookmarkStart w:id="85" w:name="_Toc213078346"/>
      <w:bookmarkStart w:id="86" w:name="_Toc2064554025"/>
      <w:r w:rsidRPr="000C6009">
        <w:rPr>
          <w:rFonts w:asciiTheme="minorHAnsi" w:hAnsiTheme="minorHAnsi" w:cstheme="minorHAnsi"/>
        </w:rPr>
        <w:t xml:space="preserve">Modalità di affidamento del </w:t>
      </w:r>
      <w:r w:rsidRPr="000C6009">
        <w:rPr>
          <w:rFonts w:asciiTheme="minorHAnsi" w:hAnsiTheme="minorHAnsi" w:cstheme="minorHAnsi"/>
        </w:rPr>
        <w:fldChar w:fldCharType="begin"/>
      </w:r>
      <w:r w:rsidRPr="000C6009">
        <w:rPr>
          <w:rFonts w:asciiTheme="minorHAnsi" w:hAnsiTheme="minorHAnsi" w:cstheme="minorHAnsi"/>
        </w:rPr>
        <w:instrText xml:space="preserve"> MERGEFIELD "Servizio" </w:instrText>
      </w:r>
      <w:r w:rsidRPr="000C6009">
        <w:rPr>
          <w:rFonts w:asciiTheme="minorHAnsi" w:hAnsiTheme="minorHAnsi" w:cstheme="minorHAnsi"/>
        </w:rPr>
        <w:fldChar w:fldCharType="separate"/>
      </w:r>
      <w:r w:rsidR="0047122C">
        <w:rPr>
          <w:rFonts w:asciiTheme="minorHAnsi" w:hAnsiTheme="minorHAnsi" w:cstheme="minorHAnsi"/>
          <w:noProof/>
        </w:rPr>
        <w:t>«Servizio»</w:t>
      </w:r>
      <w:bookmarkEnd w:id="83"/>
      <w:bookmarkEnd w:id="84"/>
      <w:bookmarkEnd w:id="85"/>
      <w:r w:rsidRPr="000C6009">
        <w:rPr>
          <w:rFonts w:asciiTheme="minorHAnsi" w:hAnsiTheme="minorHAnsi" w:cstheme="minorHAnsi"/>
          <w:noProof/>
        </w:rPr>
        <w:fldChar w:fldCharType="end"/>
      </w:r>
      <w:bookmarkStart w:id="87" w:name="_Toc193374085"/>
      <w:bookmarkEnd w:id="86"/>
    </w:p>
    <w:p w14:paraId="487C24C7" w14:textId="77777777" w:rsidR="002E0EA3" w:rsidRPr="000F7F79" w:rsidRDefault="002E0EA3" w:rsidP="002E0EA3">
      <w:pPr>
        <w:rPr>
          <w:rFonts w:cs="Calibri"/>
        </w:rPr>
      </w:pPr>
      <w:r w:rsidRPr="000F7F79">
        <w:rPr>
          <w:rFonts w:cs="Calibri"/>
        </w:rPr>
        <w:t>I Contratti di servizio che afferiscono al Bacino Metropolitano comprendono, da un lato, i servizi urbani e suburbani di Torino, che non sono oggetto delle future procedure di gara; dall’altro, i servizi extraurbani della Città metropolitana di Torino.</w:t>
      </w:r>
    </w:p>
    <w:p w14:paraId="5D9BD389" w14:textId="77777777" w:rsidR="002E0EA3" w:rsidRPr="000F7F79" w:rsidRDefault="002E0EA3" w:rsidP="002E0EA3">
      <w:pPr>
        <w:rPr>
          <w:rFonts w:cs="Calibri"/>
        </w:rPr>
      </w:pPr>
      <w:r w:rsidRPr="000F7F79">
        <w:rPr>
          <w:rFonts w:cs="Calibri"/>
        </w:rPr>
        <w:t>Per l’esercizio del Servizio di TPL Extraurbano afferente al Bacino Metropolitano, l’operatore economico EXTRA.TO ha sottoscritto i seguenti contratti di servizio:</w:t>
      </w:r>
    </w:p>
    <w:p w14:paraId="3E0F2887" w14:textId="77777777" w:rsidR="002E0EA3" w:rsidRPr="000F7F79" w:rsidRDefault="002E0EA3" w:rsidP="002E0EA3">
      <w:pPr>
        <w:pStyle w:val="Default"/>
        <w:numPr>
          <w:ilvl w:val="0"/>
          <w:numId w:val="25"/>
        </w:numPr>
        <w:spacing w:after="0" w:line="240" w:lineRule="auto"/>
        <w:rPr>
          <w:sz w:val="22"/>
          <w:szCs w:val="22"/>
        </w:rPr>
      </w:pPr>
      <w:r w:rsidRPr="000F7F79">
        <w:rPr>
          <w:sz w:val="22"/>
          <w:szCs w:val="22"/>
        </w:rPr>
        <w:t xml:space="preserve"> per i servizi afferenti alla Città Metropolitana di Torino contratto rep. n. 13689 del 22/12/2010 con durata 01/01/2011-31/12/2016; </w:t>
      </w:r>
    </w:p>
    <w:p w14:paraId="6692A340" w14:textId="77777777" w:rsidR="002E0EA3" w:rsidRPr="000F7F79" w:rsidRDefault="002E0EA3" w:rsidP="002E0EA3">
      <w:pPr>
        <w:pStyle w:val="Default"/>
        <w:numPr>
          <w:ilvl w:val="0"/>
          <w:numId w:val="25"/>
        </w:numPr>
        <w:spacing w:after="0" w:line="240" w:lineRule="auto"/>
        <w:rPr>
          <w:sz w:val="22"/>
          <w:szCs w:val="22"/>
        </w:rPr>
      </w:pPr>
      <w:r w:rsidRPr="000F7F79">
        <w:rPr>
          <w:sz w:val="22"/>
          <w:szCs w:val="22"/>
        </w:rPr>
        <w:t xml:space="preserve">per i servizi afferenti al bacino della Città di Ivrea contratto rep. n. 8875 del 28/12/2010 con durata 01/01/2011-31/12/2016; </w:t>
      </w:r>
    </w:p>
    <w:p w14:paraId="228DB0C8" w14:textId="77777777" w:rsidR="002E0EA3" w:rsidRPr="000F7F79" w:rsidRDefault="002E0EA3" w:rsidP="002E0EA3">
      <w:pPr>
        <w:pStyle w:val="Default"/>
        <w:numPr>
          <w:ilvl w:val="0"/>
          <w:numId w:val="25"/>
        </w:numPr>
        <w:spacing w:after="0" w:line="240" w:lineRule="auto"/>
        <w:rPr>
          <w:sz w:val="22"/>
          <w:szCs w:val="22"/>
        </w:rPr>
      </w:pPr>
      <w:r w:rsidRPr="000F7F79">
        <w:rPr>
          <w:sz w:val="22"/>
          <w:szCs w:val="22"/>
        </w:rPr>
        <w:t xml:space="preserve">per i servizi afferenti al bacino della Città di Pinerolo contratto rep. n. 902 del 28/12/2010 con durata 01/01/2011-31/12/2016; </w:t>
      </w:r>
    </w:p>
    <w:p w14:paraId="30C3BD07" w14:textId="77777777" w:rsidR="002E0EA3" w:rsidRPr="000F7F79" w:rsidRDefault="002E0EA3" w:rsidP="002E0EA3">
      <w:pPr>
        <w:pStyle w:val="Default"/>
        <w:numPr>
          <w:ilvl w:val="0"/>
          <w:numId w:val="25"/>
        </w:numPr>
        <w:spacing w:after="0" w:line="240" w:lineRule="auto"/>
        <w:rPr>
          <w:sz w:val="22"/>
          <w:szCs w:val="22"/>
        </w:rPr>
      </w:pPr>
      <w:r w:rsidRPr="000F7F79">
        <w:rPr>
          <w:sz w:val="22"/>
          <w:szCs w:val="22"/>
        </w:rPr>
        <w:t xml:space="preserve">per i servizi afferenti al Comune di Carmagnola contratto rep. n. 7447 del 28/12/2010 con durata 01/01/2011-31/12/2016; </w:t>
      </w:r>
    </w:p>
    <w:p w14:paraId="60377D3F" w14:textId="77777777" w:rsidR="002E0EA3" w:rsidRPr="000F7F79" w:rsidRDefault="002E0EA3" w:rsidP="002E0EA3">
      <w:pPr>
        <w:pStyle w:val="Default"/>
        <w:numPr>
          <w:ilvl w:val="0"/>
          <w:numId w:val="25"/>
        </w:numPr>
        <w:spacing w:after="0" w:line="240" w:lineRule="auto"/>
        <w:rPr>
          <w:sz w:val="22"/>
          <w:szCs w:val="22"/>
        </w:rPr>
      </w:pPr>
      <w:r w:rsidRPr="000F7F79">
        <w:rPr>
          <w:sz w:val="22"/>
          <w:szCs w:val="22"/>
        </w:rPr>
        <w:t xml:space="preserve">per i servizi afferenti al Comune di Giaveno contratto rep. 1010 del 28/12/2010 con durata 01/01/2011-31/12/2016; </w:t>
      </w:r>
    </w:p>
    <w:p w14:paraId="4BCCD392" w14:textId="77777777" w:rsidR="002E0EA3" w:rsidRPr="000F7F79" w:rsidRDefault="002E0EA3" w:rsidP="002E0EA3">
      <w:pPr>
        <w:pStyle w:val="Default"/>
        <w:numPr>
          <w:ilvl w:val="0"/>
          <w:numId w:val="25"/>
        </w:numPr>
        <w:spacing w:after="0" w:line="240" w:lineRule="auto"/>
        <w:rPr>
          <w:sz w:val="22"/>
          <w:szCs w:val="22"/>
        </w:rPr>
      </w:pPr>
      <w:r w:rsidRPr="000F7F79">
        <w:rPr>
          <w:sz w:val="22"/>
          <w:szCs w:val="22"/>
        </w:rPr>
        <w:t xml:space="preserve">per i servizi afferenti al Comune di Bardonecchia contratto rep. 679 del 28/12/20210 con durata 01/01/2011-31/12/2016; </w:t>
      </w:r>
    </w:p>
    <w:p w14:paraId="0BDD6148" w14:textId="77777777" w:rsidR="002E0EA3" w:rsidRPr="000F7F79" w:rsidRDefault="002E0EA3" w:rsidP="002E0EA3">
      <w:pPr>
        <w:pStyle w:val="Default"/>
        <w:numPr>
          <w:ilvl w:val="0"/>
          <w:numId w:val="25"/>
        </w:numPr>
        <w:spacing w:line="240" w:lineRule="auto"/>
        <w:rPr>
          <w:sz w:val="22"/>
          <w:szCs w:val="22"/>
        </w:rPr>
      </w:pPr>
      <w:r w:rsidRPr="000F7F79">
        <w:rPr>
          <w:sz w:val="22"/>
          <w:szCs w:val="22"/>
        </w:rPr>
        <w:t xml:space="preserve">per i servizi extraurbani afferenti all’ambito metropolitano di Torino contratto rep. n. 174 del 16/07/2012 con durata 01/08/2012-31/07/2018; </w:t>
      </w:r>
    </w:p>
    <w:p w14:paraId="46E9C772" w14:textId="77777777" w:rsidR="002E0EA3" w:rsidRPr="000F7F79" w:rsidRDefault="002E0EA3" w:rsidP="00203152">
      <w:pPr>
        <w:pStyle w:val="Default"/>
        <w:jc w:val="both"/>
        <w:rPr>
          <w:sz w:val="22"/>
          <w:szCs w:val="22"/>
        </w:rPr>
      </w:pPr>
      <w:r w:rsidRPr="000F7F79">
        <w:rPr>
          <w:sz w:val="22"/>
          <w:szCs w:val="22"/>
        </w:rPr>
        <w:t xml:space="preserve">Con Determinazione Dirigenziale n°761 del 24/10/2023 si è provveduto a rilevare la sussistenza dei presupposti per concedere all’operatore EXTRA.TO la c.d. “proroga per investimenti”. </w:t>
      </w:r>
    </w:p>
    <w:p w14:paraId="11953469" w14:textId="77777777" w:rsidR="002E0EA3" w:rsidRPr="000F7F79" w:rsidRDefault="002E0EA3" w:rsidP="00203152">
      <w:pPr>
        <w:pStyle w:val="Default"/>
        <w:jc w:val="both"/>
        <w:rPr>
          <w:sz w:val="22"/>
          <w:szCs w:val="22"/>
        </w:rPr>
      </w:pPr>
      <w:r w:rsidRPr="000F7F79">
        <w:rPr>
          <w:sz w:val="22"/>
          <w:szCs w:val="22"/>
        </w:rPr>
        <w:t>La proroga per il periodo 01/01/2023-31/12/2026 ha avuto per oggetto l’insieme dei servizi sopracitati tutti inerenti al Bacino Metropolitano.</w:t>
      </w:r>
    </w:p>
    <w:p w14:paraId="4555FC38" w14:textId="45CB76BB" w:rsidR="002E0EA3" w:rsidRPr="000F7F79" w:rsidRDefault="002E0EA3" w:rsidP="002E0EA3">
      <w:pPr>
        <w:rPr>
          <w:rFonts w:cs="Calibri"/>
        </w:rPr>
      </w:pPr>
      <w:r w:rsidRPr="000F7F79">
        <w:rPr>
          <w:rFonts w:cs="Calibri"/>
        </w:rPr>
        <w:t>L’Atto aggiuntivo tra AMP e il Consorzio EXTRA.TO per i servizi extraurbano ed urbani afferenti al territorio della Città Metropolitana di Torino in attuazione della D.G.R. 52-6344 del 22/12/2022 è stato sottoscritto il 04/10/2024 mediante stipula del contratto Rep. Contr. 378.</w:t>
      </w:r>
    </w:p>
    <w:tbl>
      <w:tblPr>
        <w:tblW w:w="9204" w:type="dxa"/>
        <w:tblCellMar>
          <w:left w:w="70" w:type="dxa"/>
          <w:right w:w="70" w:type="dxa"/>
        </w:tblCellMar>
        <w:tblLook w:val="04A0" w:firstRow="1" w:lastRow="0" w:firstColumn="1" w:lastColumn="0" w:noHBand="0" w:noVBand="1"/>
      </w:tblPr>
      <w:tblGrid>
        <w:gridCol w:w="2117"/>
        <w:gridCol w:w="7087"/>
      </w:tblGrid>
      <w:tr w:rsidR="002E0EA3" w:rsidRPr="00D20E79" w14:paraId="0979FF9C" w14:textId="77777777">
        <w:trPr>
          <w:trHeight w:val="315"/>
        </w:trPr>
        <w:tc>
          <w:tcPr>
            <w:tcW w:w="9204" w:type="dxa"/>
            <w:gridSpan w:val="2"/>
            <w:tcBorders>
              <w:top w:val="single" w:sz="8" w:space="0" w:color="A6A6A6"/>
              <w:left w:val="single" w:sz="8" w:space="0" w:color="A6A6A6"/>
              <w:bottom w:val="single" w:sz="8" w:space="0" w:color="A6A6A6"/>
              <w:right w:val="single" w:sz="8" w:space="0" w:color="A6A6A6"/>
            </w:tcBorders>
            <w:vAlign w:val="center"/>
            <w:hideMark/>
          </w:tcPr>
          <w:p w14:paraId="0EB9D055" w14:textId="77777777" w:rsidR="002E0EA3" w:rsidRPr="00D20E79" w:rsidRDefault="002E0EA3">
            <w:pPr>
              <w:spacing w:after="0" w:line="240" w:lineRule="auto"/>
              <w:rPr>
                <w:rFonts w:eastAsia="Times New Roman" w:cs="Calibri"/>
                <w:b/>
                <w:color w:val="000000"/>
              </w:rPr>
            </w:pPr>
            <w:r w:rsidRPr="00D20E79">
              <w:rPr>
                <w:rFonts w:eastAsia="Times New Roman" w:cs="Calibri"/>
                <w:b/>
                <w:color w:val="000000"/>
              </w:rPr>
              <w:t>SERVIZIO DI TPL EXTRAURBANO BACINO METROPOLITANO</w:t>
            </w:r>
          </w:p>
        </w:tc>
      </w:tr>
      <w:tr w:rsidR="002E0EA3" w:rsidRPr="00D20E79" w14:paraId="43DC335A" w14:textId="77777777">
        <w:trPr>
          <w:trHeight w:val="315"/>
        </w:trPr>
        <w:tc>
          <w:tcPr>
            <w:tcW w:w="2117" w:type="dxa"/>
            <w:tcBorders>
              <w:top w:val="nil"/>
              <w:left w:val="single" w:sz="8" w:space="0" w:color="A6A6A6"/>
              <w:bottom w:val="single" w:sz="8" w:space="0" w:color="A6A6A6"/>
              <w:right w:val="single" w:sz="8" w:space="0" w:color="A6A6A6"/>
            </w:tcBorders>
            <w:vAlign w:val="center"/>
            <w:hideMark/>
          </w:tcPr>
          <w:p w14:paraId="284FB607" w14:textId="77777777" w:rsidR="002E0EA3" w:rsidRPr="00D20E79" w:rsidRDefault="002E0EA3">
            <w:pPr>
              <w:spacing w:after="0" w:line="240" w:lineRule="auto"/>
              <w:rPr>
                <w:rFonts w:eastAsia="Times New Roman" w:cs="Calibri"/>
                <w:b/>
                <w:color w:val="000000"/>
              </w:rPr>
            </w:pPr>
            <w:r w:rsidRPr="00D20E79">
              <w:rPr>
                <w:rFonts w:eastAsia="Times New Roman" w:cs="Calibri"/>
                <w:b/>
                <w:color w:val="000000"/>
              </w:rPr>
              <w:t>Ente Affidante:</w:t>
            </w:r>
          </w:p>
        </w:tc>
        <w:tc>
          <w:tcPr>
            <w:tcW w:w="7087" w:type="dxa"/>
            <w:tcBorders>
              <w:top w:val="nil"/>
              <w:left w:val="nil"/>
              <w:bottom w:val="single" w:sz="8" w:space="0" w:color="A6A6A6"/>
              <w:right w:val="single" w:sz="8" w:space="0" w:color="A6A6A6"/>
            </w:tcBorders>
            <w:vAlign w:val="center"/>
            <w:hideMark/>
          </w:tcPr>
          <w:p w14:paraId="1506E06B" w14:textId="77777777" w:rsidR="002E0EA3" w:rsidRPr="00D20E79" w:rsidRDefault="002E0EA3">
            <w:pPr>
              <w:spacing w:after="0" w:line="240" w:lineRule="auto"/>
              <w:rPr>
                <w:rFonts w:eastAsia="Times New Roman" w:cs="Calibri"/>
                <w:color w:val="000000"/>
              </w:rPr>
            </w:pPr>
            <w:r w:rsidRPr="00D20E79">
              <w:rPr>
                <w:rFonts w:eastAsia="Times New Roman" w:cs="Calibri"/>
                <w:color w:val="000000"/>
              </w:rPr>
              <w:t>Agenzia della mobilità piemontese</w:t>
            </w:r>
          </w:p>
        </w:tc>
      </w:tr>
      <w:tr w:rsidR="002E0EA3" w:rsidRPr="00D20E79" w14:paraId="1D7E7F97" w14:textId="77777777">
        <w:trPr>
          <w:trHeight w:val="315"/>
        </w:trPr>
        <w:tc>
          <w:tcPr>
            <w:tcW w:w="2117" w:type="dxa"/>
            <w:tcBorders>
              <w:top w:val="nil"/>
              <w:left w:val="single" w:sz="8" w:space="0" w:color="A6A6A6"/>
              <w:bottom w:val="single" w:sz="8" w:space="0" w:color="A6A6A6"/>
              <w:right w:val="single" w:sz="8" w:space="0" w:color="A6A6A6"/>
            </w:tcBorders>
            <w:vAlign w:val="center"/>
            <w:hideMark/>
          </w:tcPr>
          <w:p w14:paraId="71AACC4C" w14:textId="77777777" w:rsidR="002E0EA3" w:rsidRPr="00D20E79" w:rsidRDefault="002E0EA3">
            <w:pPr>
              <w:spacing w:after="0" w:line="240" w:lineRule="auto"/>
              <w:rPr>
                <w:rFonts w:eastAsia="Times New Roman" w:cs="Calibri"/>
                <w:b/>
                <w:color w:val="000000"/>
              </w:rPr>
            </w:pPr>
            <w:r w:rsidRPr="00D20E79">
              <w:rPr>
                <w:rFonts w:eastAsia="Times New Roman" w:cs="Calibri"/>
                <w:b/>
                <w:color w:val="000000"/>
              </w:rPr>
              <w:t>Soggetto Affidatario:</w:t>
            </w:r>
          </w:p>
        </w:tc>
        <w:tc>
          <w:tcPr>
            <w:tcW w:w="7087" w:type="dxa"/>
            <w:tcBorders>
              <w:top w:val="nil"/>
              <w:left w:val="nil"/>
              <w:bottom w:val="single" w:sz="8" w:space="0" w:color="A6A6A6"/>
              <w:right w:val="single" w:sz="8" w:space="0" w:color="A6A6A6"/>
            </w:tcBorders>
            <w:vAlign w:val="center"/>
            <w:hideMark/>
          </w:tcPr>
          <w:p w14:paraId="406C8030" w14:textId="77777777" w:rsidR="002E0EA3" w:rsidRPr="00D20E79" w:rsidRDefault="002E0EA3">
            <w:pPr>
              <w:spacing w:after="0" w:line="240" w:lineRule="auto"/>
              <w:rPr>
                <w:rFonts w:eastAsia="Times New Roman" w:cs="Calibri"/>
                <w:color w:val="000000"/>
              </w:rPr>
            </w:pPr>
            <w:r w:rsidRPr="00D20E79">
              <w:rPr>
                <w:rFonts w:eastAsia="Times New Roman" w:cs="Calibri"/>
                <w:color w:val="000000"/>
              </w:rPr>
              <w:t>EXTRA.TO S.C. A R.L. (C.F./P.IVA 10384410014), Corso Filippo Turati 19/6 – 10128 Torino</w:t>
            </w:r>
          </w:p>
        </w:tc>
      </w:tr>
      <w:tr w:rsidR="002E0EA3" w:rsidRPr="00D20E79" w14:paraId="0513CBAE" w14:textId="77777777">
        <w:trPr>
          <w:trHeight w:val="315"/>
        </w:trPr>
        <w:tc>
          <w:tcPr>
            <w:tcW w:w="9204" w:type="dxa"/>
            <w:gridSpan w:val="2"/>
            <w:tcBorders>
              <w:top w:val="single" w:sz="8" w:space="0" w:color="A6A6A6"/>
              <w:left w:val="single" w:sz="8" w:space="0" w:color="A6A6A6"/>
              <w:bottom w:val="single" w:sz="8" w:space="0" w:color="A6A6A6"/>
              <w:right w:val="single" w:sz="8" w:space="0" w:color="A6A6A6"/>
            </w:tcBorders>
            <w:vAlign w:val="center"/>
            <w:hideMark/>
          </w:tcPr>
          <w:p w14:paraId="18F188A4" w14:textId="77777777" w:rsidR="002E0EA3" w:rsidRPr="00D20E79" w:rsidRDefault="002E0EA3">
            <w:pPr>
              <w:spacing w:after="0" w:line="240" w:lineRule="auto"/>
              <w:rPr>
                <w:rFonts w:eastAsia="Times New Roman" w:cs="Calibri"/>
                <w:b/>
                <w:color w:val="000000"/>
              </w:rPr>
            </w:pPr>
            <w:r w:rsidRPr="00D20E79">
              <w:rPr>
                <w:rFonts w:eastAsia="Times New Roman" w:cs="Calibri"/>
                <w:b/>
                <w:color w:val="000000"/>
              </w:rPr>
              <w:t>Ambito Città Metropolitana di Torino Extraurbano</w:t>
            </w:r>
          </w:p>
        </w:tc>
      </w:tr>
      <w:tr w:rsidR="002E0EA3" w:rsidRPr="00D20E79" w14:paraId="2CBC4455" w14:textId="77777777">
        <w:trPr>
          <w:trHeight w:val="315"/>
        </w:trPr>
        <w:tc>
          <w:tcPr>
            <w:tcW w:w="2117" w:type="dxa"/>
            <w:tcBorders>
              <w:top w:val="nil"/>
              <w:left w:val="single" w:sz="8" w:space="0" w:color="A6A6A6"/>
              <w:bottom w:val="single" w:sz="8" w:space="0" w:color="A6A6A6"/>
              <w:right w:val="single" w:sz="8" w:space="0" w:color="A6A6A6"/>
            </w:tcBorders>
            <w:vAlign w:val="center"/>
            <w:hideMark/>
          </w:tcPr>
          <w:p w14:paraId="63798C5A" w14:textId="77777777" w:rsidR="002E0EA3" w:rsidRPr="00D20E79" w:rsidRDefault="002E0EA3">
            <w:pPr>
              <w:spacing w:after="0" w:line="240" w:lineRule="auto"/>
              <w:rPr>
                <w:rFonts w:eastAsia="Times New Roman" w:cs="Calibri"/>
                <w:b/>
                <w:color w:val="000000"/>
              </w:rPr>
            </w:pPr>
            <w:r w:rsidRPr="00D20E79">
              <w:rPr>
                <w:rFonts w:eastAsia="Times New Roman" w:cs="Calibri"/>
                <w:b/>
                <w:color w:val="000000"/>
              </w:rPr>
              <w:t>Modalità affidamento:</w:t>
            </w:r>
          </w:p>
        </w:tc>
        <w:tc>
          <w:tcPr>
            <w:tcW w:w="7087" w:type="dxa"/>
            <w:tcBorders>
              <w:top w:val="nil"/>
              <w:left w:val="nil"/>
              <w:bottom w:val="single" w:sz="8" w:space="0" w:color="A6A6A6"/>
              <w:right w:val="single" w:sz="8" w:space="0" w:color="A6A6A6"/>
            </w:tcBorders>
            <w:vAlign w:val="center"/>
            <w:hideMark/>
          </w:tcPr>
          <w:p w14:paraId="490A5719" w14:textId="77777777" w:rsidR="002E0EA3" w:rsidRPr="00D20E79" w:rsidRDefault="002E0EA3">
            <w:pPr>
              <w:spacing w:after="0" w:line="240" w:lineRule="auto"/>
              <w:rPr>
                <w:rFonts w:eastAsia="Times New Roman" w:cs="Calibri"/>
                <w:color w:val="000000"/>
              </w:rPr>
            </w:pPr>
            <w:r w:rsidRPr="00D20E79">
              <w:rPr>
                <w:rFonts w:eastAsia="Times New Roman" w:cs="Calibri"/>
                <w:color w:val="000000"/>
              </w:rPr>
              <w:t>mediante gara con contratto rep n. 13689 del 22/12/2010 con durata dal 01/01/2011 - 31/12/2016</w:t>
            </w:r>
          </w:p>
        </w:tc>
      </w:tr>
      <w:tr w:rsidR="002E0EA3" w:rsidRPr="00D20E79" w14:paraId="6C373B9D" w14:textId="77777777">
        <w:trPr>
          <w:trHeight w:val="300"/>
        </w:trPr>
        <w:tc>
          <w:tcPr>
            <w:tcW w:w="2117" w:type="dxa"/>
            <w:vMerge w:val="restart"/>
            <w:tcBorders>
              <w:top w:val="nil"/>
              <w:left w:val="single" w:sz="8" w:space="0" w:color="A6A6A6"/>
              <w:bottom w:val="single" w:sz="8" w:space="0" w:color="A6A6A6"/>
              <w:right w:val="single" w:sz="8" w:space="0" w:color="A6A6A6"/>
            </w:tcBorders>
            <w:vAlign w:val="center"/>
            <w:hideMark/>
          </w:tcPr>
          <w:p w14:paraId="4D963A15" w14:textId="77777777" w:rsidR="002E0EA3" w:rsidRPr="00D20E79" w:rsidRDefault="002E0EA3">
            <w:pPr>
              <w:spacing w:after="0" w:line="240" w:lineRule="auto"/>
              <w:rPr>
                <w:rFonts w:eastAsia="Times New Roman" w:cs="Calibri"/>
                <w:b/>
                <w:color w:val="000000"/>
              </w:rPr>
            </w:pPr>
            <w:r w:rsidRPr="00D20E79">
              <w:rPr>
                <w:rFonts w:eastAsia="Times New Roman" w:cs="Calibri"/>
                <w:b/>
                <w:color w:val="000000"/>
              </w:rPr>
              <w:t>Atti di proroga e imposizione di OdS:</w:t>
            </w:r>
          </w:p>
        </w:tc>
        <w:tc>
          <w:tcPr>
            <w:tcW w:w="7087" w:type="dxa"/>
            <w:tcBorders>
              <w:top w:val="nil"/>
              <w:left w:val="nil"/>
              <w:bottom w:val="nil"/>
              <w:right w:val="single" w:sz="8" w:space="0" w:color="A6A6A6"/>
            </w:tcBorders>
            <w:vAlign w:val="center"/>
            <w:hideMark/>
          </w:tcPr>
          <w:p w14:paraId="173F233B" w14:textId="77777777" w:rsidR="002E0EA3" w:rsidRPr="00D20E79" w:rsidRDefault="002E0EA3">
            <w:pPr>
              <w:spacing w:after="0" w:line="240" w:lineRule="auto"/>
              <w:rPr>
                <w:rFonts w:eastAsia="Times New Roman" w:cs="Calibri"/>
                <w:color w:val="000000"/>
              </w:rPr>
            </w:pPr>
            <w:r w:rsidRPr="00D20E79">
              <w:rPr>
                <w:rFonts w:eastAsia="Times New Roman" w:cs="Calibri"/>
                <w:color w:val="000000"/>
              </w:rPr>
              <w:t>Atto di proroga del 23/12/2016 – Data fine proroga 31/12/2019</w:t>
            </w:r>
          </w:p>
        </w:tc>
      </w:tr>
      <w:tr w:rsidR="002E0EA3" w:rsidRPr="00D20E79" w14:paraId="48C5FBDC" w14:textId="77777777">
        <w:trPr>
          <w:trHeight w:val="300"/>
        </w:trPr>
        <w:tc>
          <w:tcPr>
            <w:tcW w:w="2117" w:type="dxa"/>
            <w:vMerge/>
            <w:tcBorders>
              <w:top w:val="nil"/>
              <w:left w:val="single" w:sz="8" w:space="0" w:color="A6A6A6"/>
              <w:bottom w:val="single" w:sz="8" w:space="0" w:color="A6A6A6"/>
              <w:right w:val="single" w:sz="8" w:space="0" w:color="A6A6A6"/>
            </w:tcBorders>
            <w:vAlign w:val="center"/>
            <w:hideMark/>
          </w:tcPr>
          <w:p w14:paraId="1DF6E42F" w14:textId="77777777" w:rsidR="002E0EA3" w:rsidRPr="00D20E79" w:rsidRDefault="002E0EA3">
            <w:pPr>
              <w:spacing w:after="0" w:line="240" w:lineRule="auto"/>
              <w:rPr>
                <w:rFonts w:eastAsia="Times New Roman" w:cs="Calibri"/>
                <w:b/>
                <w:color w:val="000000"/>
              </w:rPr>
            </w:pPr>
          </w:p>
        </w:tc>
        <w:tc>
          <w:tcPr>
            <w:tcW w:w="7087" w:type="dxa"/>
            <w:tcBorders>
              <w:top w:val="nil"/>
              <w:left w:val="nil"/>
              <w:bottom w:val="nil"/>
              <w:right w:val="single" w:sz="8" w:space="0" w:color="A6A6A6"/>
            </w:tcBorders>
            <w:vAlign w:val="center"/>
            <w:hideMark/>
          </w:tcPr>
          <w:p w14:paraId="239C9327" w14:textId="77777777" w:rsidR="002E0EA3" w:rsidRPr="00D20E79" w:rsidRDefault="002E0EA3">
            <w:pPr>
              <w:spacing w:after="0" w:line="240" w:lineRule="auto"/>
              <w:rPr>
                <w:rFonts w:eastAsia="Times New Roman" w:cs="Calibri"/>
                <w:color w:val="000000"/>
              </w:rPr>
            </w:pPr>
            <w:r w:rsidRPr="00D20E79">
              <w:rPr>
                <w:rFonts w:eastAsia="Times New Roman" w:cs="Calibri"/>
                <w:color w:val="000000"/>
              </w:rPr>
              <w:t>NOTA 12939/2019 imposizione OdS anno 2020</w:t>
            </w:r>
          </w:p>
        </w:tc>
      </w:tr>
      <w:tr w:rsidR="002E0EA3" w:rsidRPr="00D20E79" w14:paraId="374569C4" w14:textId="77777777">
        <w:trPr>
          <w:trHeight w:val="300"/>
        </w:trPr>
        <w:tc>
          <w:tcPr>
            <w:tcW w:w="2117" w:type="dxa"/>
            <w:vMerge/>
            <w:tcBorders>
              <w:top w:val="nil"/>
              <w:left w:val="single" w:sz="8" w:space="0" w:color="A6A6A6"/>
              <w:bottom w:val="single" w:sz="8" w:space="0" w:color="A6A6A6"/>
              <w:right w:val="single" w:sz="8" w:space="0" w:color="A6A6A6"/>
            </w:tcBorders>
            <w:vAlign w:val="center"/>
            <w:hideMark/>
          </w:tcPr>
          <w:p w14:paraId="6E5C05B4" w14:textId="77777777" w:rsidR="002E0EA3" w:rsidRPr="00D20E79" w:rsidRDefault="002E0EA3">
            <w:pPr>
              <w:spacing w:after="0" w:line="240" w:lineRule="auto"/>
              <w:rPr>
                <w:rFonts w:eastAsia="Times New Roman" w:cs="Calibri"/>
                <w:b/>
                <w:color w:val="000000"/>
              </w:rPr>
            </w:pPr>
          </w:p>
        </w:tc>
        <w:tc>
          <w:tcPr>
            <w:tcW w:w="7087" w:type="dxa"/>
            <w:tcBorders>
              <w:top w:val="nil"/>
              <w:left w:val="nil"/>
              <w:bottom w:val="nil"/>
              <w:right w:val="single" w:sz="8" w:space="0" w:color="A6A6A6"/>
            </w:tcBorders>
            <w:vAlign w:val="center"/>
            <w:hideMark/>
          </w:tcPr>
          <w:p w14:paraId="5B53C1FA" w14:textId="77777777" w:rsidR="002E0EA3" w:rsidRPr="00D20E79" w:rsidRDefault="002E0EA3">
            <w:pPr>
              <w:spacing w:after="0" w:line="240" w:lineRule="auto"/>
              <w:rPr>
                <w:rFonts w:eastAsia="Times New Roman" w:cs="Calibri"/>
                <w:color w:val="000000"/>
              </w:rPr>
            </w:pPr>
            <w:r w:rsidRPr="00D20E79">
              <w:rPr>
                <w:rFonts w:eastAsia="Times New Roman" w:cs="Calibri"/>
                <w:color w:val="000000"/>
              </w:rPr>
              <w:t>DD 669 DEL 03/12/2020 proroga ex art. 5, par. 5 Reg. CE 1370/2007 fino al 31/01/2022</w:t>
            </w:r>
          </w:p>
        </w:tc>
      </w:tr>
      <w:tr w:rsidR="002E0EA3" w:rsidRPr="00D20E79" w14:paraId="4AFF1D6F" w14:textId="77777777">
        <w:trPr>
          <w:trHeight w:val="300"/>
        </w:trPr>
        <w:tc>
          <w:tcPr>
            <w:tcW w:w="2117" w:type="dxa"/>
            <w:vMerge/>
            <w:tcBorders>
              <w:top w:val="nil"/>
              <w:left w:val="single" w:sz="8" w:space="0" w:color="A6A6A6"/>
              <w:bottom w:val="single" w:sz="8" w:space="0" w:color="A6A6A6"/>
              <w:right w:val="single" w:sz="8" w:space="0" w:color="A6A6A6"/>
            </w:tcBorders>
            <w:vAlign w:val="center"/>
            <w:hideMark/>
          </w:tcPr>
          <w:p w14:paraId="7CF744CA" w14:textId="77777777" w:rsidR="002E0EA3" w:rsidRPr="00D20E79" w:rsidRDefault="002E0EA3">
            <w:pPr>
              <w:spacing w:after="0" w:line="240" w:lineRule="auto"/>
              <w:rPr>
                <w:rFonts w:eastAsia="Times New Roman" w:cs="Calibri"/>
                <w:b/>
                <w:color w:val="000000"/>
              </w:rPr>
            </w:pPr>
          </w:p>
        </w:tc>
        <w:tc>
          <w:tcPr>
            <w:tcW w:w="7087" w:type="dxa"/>
            <w:tcBorders>
              <w:top w:val="nil"/>
              <w:left w:val="nil"/>
              <w:bottom w:val="nil"/>
              <w:right w:val="single" w:sz="8" w:space="0" w:color="A6A6A6"/>
            </w:tcBorders>
            <w:vAlign w:val="center"/>
            <w:hideMark/>
          </w:tcPr>
          <w:p w14:paraId="3516E940" w14:textId="77777777" w:rsidR="002E0EA3" w:rsidRPr="00D20E79" w:rsidRDefault="002E0EA3">
            <w:pPr>
              <w:spacing w:after="0" w:line="240" w:lineRule="auto"/>
              <w:rPr>
                <w:rFonts w:eastAsia="Times New Roman" w:cs="Calibri"/>
                <w:color w:val="000000"/>
              </w:rPr>
            </w:pPr>
            <w:r w:rsidRPr="00D20E79">
              <w:rPr>
                <w:rFonts w:eastAsia="Times New Roman" w:cs="Calibri"/>
                <w:color w:val="000000"/>
              </w:rPr>
              <w:t>DD 857 DEL 30/12/2021 proroga ex art. 5, par. 5 Reg. CE 1370/2007 fino al 31/03/2023</w:t>
            </w:r>
          </w:p>
        </w:tc>
      </w:tr>
      <w:tr w:rsidR="002E0EA3" w:rsidRPr="00D20E79" w14:paraId="229655EC" w14:textId="77777777">
        <w:trPr>
          <w:trHeight w:val="300"/>
        </w:trPr>
        <w:tc>
          <w:tcPr>
            <w:tcW w:w="2117" w:type="dxa"/>
            <w:vMerge/>
            <w:tcBorders>
              <w:top w:val="nil"/>
              <w:left w:val="single" w:sz="8" w:space="0" w:color="A6A6A6"/>
              <w:bottom w:val="single" w:sz="8" w:space="0" w:color="A6A6A6"/>
              <w:right w:val="single" w:sz="8" w:space="0" w:color="A6A6A6"/>
            </w:tcBorders>
            <w:vAlign w:val="center"/>
            <w:hideMark/>
          </w:tcPr>
          <w:p w14:paraId="3818F55B" w14:textId="77777777" w:rsidR="002E0EA3" w:rsidRPr="00D20E79" w:rsidRDefault="002E0EA3">
            <w:pPr>
              <w:spacing w:after="0" w:line="240" w:lineRule="auto"/>
              <w:rPr>
                <w:rFonts w:eastAsia="Times New Roman" w:cs="Calibri"/>
                <w:b/>
                <w:color w:val="000000"/>
              </w:rPr>
            </w:pPr>
          </w:p>
        </w:tc>
        <w:tc>
          <w:tcPr>
            <w:tcW w:w="7087" w:type="dxa"/>
            <w:tcBorders>
              <w:top w:val="nil"/>
              <w:left w:val="nil"/>
              <w:bottom w:val="nil"/>
              <w:right w:val="single" w:sz="8" w:space="0" w:color="A6A6A6"/>
            </w:tcBorders>
            <w:vAlign w:val="center"/>
            <w:hideMark/>
          </w:tcPr>
          <w:p w14:paraId="30896938" w14:textId="77777777" w:rsidR="002E0EA3" w:rsidRPr="00D20E79" w:rsidRDefault="002E0EA3">
            <w:pPr>
              <w:spacing w:after="0" w:line="240" w:lineRule="auto"/>
              <w:rPr>
                <w:rFonts w:eastAsia="Times New Roman" w:cs="Calibri"/>
                <w:color w:val="000000"/>
              </w:rPr>
            </w:pPr>
            <w:r w:rsidRPr="00D20E79">
              <w:rPr>
                <w:rFonts w:eastAsia="Times New Roman" w:cs="Calibri"/>
                <w:color w:val="000000"/>
              </w:rPr>
              <w:t>DD 239/2023 art. 5 par. 5 fino al 30/06/2023</w:t>
            </w:r>
          </w:p>
        </w:tc>
      </w:tr>
      <w:tr w:rsidR="002E0EA3" w:rsidRPr="00D20E79" w14:paraId="2C936FA1" w14:textId="77777777">
        <w:trPr>
          <w:trHeight w:val="300"/>
        </w:trPr>
        <w:tc>
          <w:tcPr>
            <w:tcW w:w="2117" w:type="dxa"/>
            <w:vMerge/>
            <w:tcBorders>
              <w:top w:val="nil"/>
              <w:left w:val="single" w:sz="8" w:space="0" w:color="A6A6A6"/>
              <w:bottom w:val="single" w:sz="8" w:space="0" w:color="A6A6A6"/>
              <w:right w:val="single" w:sz="8" w:space="0" w:color="A6A6A6"/>
            </w:tcBorders>
            <w:vAlign w:val="center"/>
            <w:hideMark/>
          </w:tcPr>
          <w:p w14:paraId="7C6B0AA2" w14:textId="77777777" w:rsidR="002E0EA3" w:rsidRPr="00D20E79" w:rsidRDefault="002E0EA3">
            <w:pPr>
              <w:spacing w:after="0" w:line="240" w:lineRule="auto"/>
              <w:rPr>
                <w:rFonts w:eastAsia="Times New Roman" w:cs="Calibri"/>
                <w:b/>
                <w:color w:val="000000"/>
              </w:rPr>
            </w:pPr>
          </w:p>
        </w:tc>
        <w:tc>
          <w:tcPr>
            <w:tcW w:w="7087" w:type="dxa"/>
            <w:tcBorders>
              <w:top w:val="nil"/>
              <w:left w:val="nil"/>
              <w:bottom w:val="nil"/>
              <w:right w:val="single" w:sz="8" w:space="0" w:color="A6A6A6"/>
            </w:tcBorders>
            <w:vAlign w:val="center"/>
            <w:hideMark/>
          </w:tcPr>
          <w:p w14:paraId="3183E921" w14:textId="77777777" w:rsidR="002E0EA3" w:rsidRPr="00D20E79" w:rsidRDefault="002E0EA3">
            <w:pPr>
              <w:spacing w:after="0" w:line="240" w:lineRule="auto"/>
              <w:rPr>
                <w:rFonts w:eastAsia="Times New Roman" w:cs="Calibri"/>
                <w:color w:val="000000"/>
              </w:rPr>
            </w:pPr>
            <w:r w:rsidRPr="00D20E79">
              <w:rPr>
                <w:rFonts w:eastAsia="Times New Roman" w:cs="Calibri"/>
                <w:color w:val="000000"/>
              </w:rPr>
              <w:t>DD 483/2023 art. 5 par. 5 fino al 30/09/2023</w:t>
            </w:r>
          </w:p>
        </w:tc>
      </w:tr>
      <w:tr w:rsidR="002E0EA3" w:rsidRPr="00D20E79" w14:paraId="1F2B0C80" w14:textId="77777777">
        <w:trPr>
          <w:trHeight w:val="315"/>
        </w:trPr>
        <w:tc>
          <w:tcPr>
            <w:tcW w:w="2117" w:type="dxa"/>
            <w:vMerge/>
            <w:tcBorders>
              <w:top w:val="nil"/>
              <w:left w:val="single" w:sz="8" w:space="0" w:color="A6A6A6"/>
              <w:bottom w:val="single" w:sz="8" w:space="0" w:color="A6A6A6"/>
              <w:right w:val="single" w:sz="8" w:space="0" w:color="A6A6A6"/>
            </w:tcBorders>
            <w:vAlign w:val="center"/>
            <w:hideMark/>
          </w:tcPr>
          <w:p w14:paraId="2F2E48C2" w14:textId="77777777" w:rsidR="002E0EA3" w:rsidRPr="00D20E79" w:rsidRDefault="002E0EA3">
            <w:pPr>
              <w:spacing w:after="0" w:line="240" w:lineRule="auto"/>
              <w:rPr>
                <w:rFonts w:eastAsia="Times New Roman" w:cs="Calibri"/>
                <w:b/>
                <w:color w:val="000000"/>
              </w:rPr>
            </w:pPr>
          </w:p>
        </w:tc>
        <w:tc>
          <w:tcPr>
            <w:tcW w:w="7087" w:type="dxa"/>
            <w:tcBorders>
              <w:top w:val="nil"/>
              <w:left w:val="nil"/>
              <w:bottom w:val="single" w:sz="8" w:space="0" w:color="A6A6A6"/>
              <w:right w:val="single" w:sz="8" w:space="0" w:color="A6A6A6"/>
            </w:tcBorders>
            <w:vAlign w:val="center"/>
            <w:hideMark/>
          </w:tcPr>
          <w:p w14:paraId="1DAA0914" w14:textId="77777777" w:rsidR="002E0EA3" w:rsidRPr="00D20E79" w:rsidRDefault="002E0EA3">
            <w:pPr>
              <w:spacing w:after="0" w:line="240" w:lineRule="auto"/>
              <w:rPr>
                <w:rFonts w:eastAsia="Times New Roman" w:cs="Calibri"/>
                <w:color w:val="000000"/>
              </w:rPr>
            </w:pPr>
            <w:r w:rsidRPr="00D20E79">
              <w:rPr>
                <w:rFonts w:eastAsia="Times New Roman" w:cs="Calibri"/>
                <w:color w:val="000000"/>
              </w:rPr>
              <w:t>DD 761/2023 Definizione del procedimento di proroga per investimenti (L.26/22) – sussistenza presupposti per proroga 01/01/2023-31/12/2026</w:t>
            </w:r>
          </w:p>
        </w:tc>
      </w:tr>
      <w:tr w:rsidR="002E0EA3" w:rsidRPr="00D20E79" w14:paraId="666AEAC4" w14:textId="77777777">
        <w:trPr>
          <w:trHeight w:val="315"/>
        </w:trPr>
        <w:tc>
          <w:tcPr>
            <w:tcW w:w="9204" w:type="dxa"/>
            <w:gridSpan w:val="2"/>
            <w:tcBorders>
              <w:top w:val="single" w:sz="8" w:space="0" w:color="A6A6A6"/>
              <w:left w:val="single" w:sz="8" w:space="0" w:color="A6A6A6"/>
              <w:bottom w:val="single" w:sz="8" w:space="0" w:color="A6A6A6"/>
              <w:right w:val="single" w:sz="8" w:space="0" w:color="A6A6A6"/>
            </w:tcBorders>
            <w:vAlign w:val="center"/>
            <w:hideMark/>
          </w:tcPr>
          <w:p w14:paraId="518B41DF" w14:textId="77777777" w:rsidR="002E0EA3" w:rsidRPr="00D20E79" w:rsidRDefault="002E0EA3">
            <w:pPr>
              <w:spacing w:after="0" w:line="240" w:lineRule="auto"/>
              <w:rPr>
                <w:rFonts w:eastAsia="Times New Roman" w:cs="Calibri"/>
                <w:b/>
                <w:color w:val="000000"/>
              </w:rPr>
            </w:pPr>
            <w:r w:rsidRPr="00D20E79">
              <w:rPr>
                <w:rFonts w:eastAsia="Times New Roman" w:cs="Calibri"/>
                <w:b/>
                <w:color w:val="000000"/>
              </w:rPr>
              <w:t>Ambito Metropolitano di Torino Extraurbano</w:t>
            </w:r>
          </w:p>
        </w:tc>
      </w:tr>
      <w:tr w:rsidR="002E0EA3" w:rsidRPr="00D20E79" w14:paraId="3DDD3CFD" w14:textId="77777777">
        <w:trPr>
          <w:trHeight w:val="315"/>
        </w:trPr>
        <w:tc>
          <w:tcPr>
            <w:tcW w:w="2117" w:type="dxa"/>
            <w:tcBorders>
              <w:top w:val="nil"/>
              <w:left w:val="single" w:sz="8" w:space="0" w:color="A6A6A6"/>
              <w:bottom w:val="single" w:sz="8" w:space="0" w:color="A6A6A6"/>
              <w:right w:val="single" w:sz="8" w:space="0" w:color="A6A6A6"/>
            </w:tcBorders>
            <w:vAlign w:val="center"/>
            <w:hideMark/>
          </w:tcPr>
          <w:p w14:paraId="2EBD4A7B" w14:textId="77777777" w:rsidR="002E0EA3" w:rsidRPr="00D20E79" w:rsidRDefault="002E0EA3">
            <w:pPr>
              <w:spacing w:after="0" w:line="240" w:lineRule="auto"/>
              <w:rPr>
                <w:rFonts w:eastAsia="Times New Roman" w:cs="Calibri"/>
                <w:b/>
                <w:color w:val="000000"/>
              </w:rPr>
            </w:pPr>
            <w:r w:rsidRPr="00D20E79">
              <w:rPr>
                <w:rFonts w:eastAsia="Times New Roman" w:cs="Calibri"/>
                <w:b/>
                <w:color w:val="000000"/>
              </w:rPr>
              <w:t>Modalità affidamento:</w:t>
            </w:r>
          </w:p>
        </w:tc>
        <w:tc>
          <w:tcPr>
            <w:tcW w:w="7087" w:type="dxa"/>
            <w:tcBorders>
              <w:top w:val="nil"/>
              <w:left w:val="nil"/>
              <w:bottom w:val="single" w:sz="8" w:space="0" w:color="A6A6A6"/>
              <w:right w:val="single" w:sz="8" w:space="0" w:color="A6A6A6"/>
            </w:tcBorders>
            <w:vAlign w:val="center"/>
            <w:hideMark/>
          </w:tcPr>
          <w:p w14:paraId="2EDF0C07" w14:textId="77777777" w:rsidR="002E0EA3" w:rsidRPr="00D20E79" w:rsidRDefault="002E0EA3">
            <w:pPr>
              <w:spacing w:after="0" w:line="240" w:lineRule="auto"/>
              <w:rPr>
                <w:rFonts w:eastAsia="Times New Roman" w:cs="Calibri"/>
                <w:color w:val="000000"/>
              </w:rPr>
            </w:pPr>
            <w:r w:rsidRPr="00D20E79">
              <w:rPr>
                <w:rFonts w:eastAsia="Times New Roman" w:cs="Calibri"/>
                <w:color w:val="000000"/>
              </w:rPr>
              <w:t>mediante gara con contratto rep n. 174 del 16/07/2012 con durata dal 01/08/2012 - 31/07/2018</w:t>
            </w:r>
          </w:p>
        </w:tc>
      </w:tr>
      <w:tr w:rsidR="002E0EA3" w:rsidRPr="00D20E79" w14:paraId="48AB88FD" w14:textId="77777777">
        <w:trPr>
          <w:trHeight w:val="300"/>
        </w:trPr>
        <w:tc>
          <w:tcPr>
            <w:tcW w:w="2117" w:type="dxa"/>
            <w:vMerge w:val="restart"/>
            <w:tcBorders>
              <w:top w:val="nil"/>
              <w:left w:val="single" w:sz="8" w:space="0" w:color="A6A6A6"/>
              <w:bottom w:val="single" w:sz="8" w:space="0" w:color="A6A6A6"/>
              <w:right w:val="single" w:sz="8" w:space="0" w:color="A6A6A6"/>
            </w:tcBorders>
            <w:vAlign w:val="center"/>
            <w:hideMark/>
          </w:tcPr>
          <w:p w14:paraId="6B798495" w14:textId="77777777" w:rsidR="002E0EA3" w:rsidRPr="00D20E79" w:rsidRDefault="002E0EA3">
            <w:pPr>
              <w:spacing w:after="0" w:line="240" w:lineRule="auto"/>
              <w:rPr>
                <w:rFonts w:eastAsia="Times New Roman" w:cs="Calibri"/>
                <w:b/>
                <w:color w:val="000000"/>
              </w:rPr>
            </w:pPr>
            <w:r w:rsidRPr="00D20E79">
              <w:rPr>
                <w:rFonts w:eastAsia="Times New Roman" w:cs="Calibri"/>
                <w:b/>
                <w:color w:val="000000"/>
              </w:rPr>
              <w:t>Atti di proroga e imposizione di OdS:</w:t>
            </w:r>
          </w:p>
        </w:tc>
        <w:tc>
          <w:tcPr>
            <w:tcW w:w="7087" w:type="dxa"/>
            <w:tcBorders>
              <w:top w:val="nil"/>
              <w:left w:val="nil"/>
              <w:bottom w:val="nil"/>
              <w:right w:val="single" w:sz="8" w:space="0" w:color="A6A6A6"/>
            </w:tcBorders>
            <w:vAlign w:val="center"/>
            <w:hideMark/>
          </w:tcPr>
          <w:p w14:paraId="2FE03DB1" w14:textId="77777777" w:rsidR="002E0EA3" w:rsidRPr="00D20E79" w:rsidRDefault="002E0EA3">
            <w:pPr>
              <w:spacing w:after="0" w:line="240" w:lineRule="auto"/>
              <w:rPr>
                <w:rFonts w:eastAsia="Times New Roman" w:cs="Calibri"/>
                <w:color w:val="000000"/>
              </w:rPr>
            </w:pPr>
            <w:r w:rsidRPr="00D20E79">
              <w:rPr>
                <w:rFonts w:eastAsia="Times New Roman" w:cs="Calibri"/>
                <w:color w:val="000000"/>
              </w:rPr>
              <w:t>DD 456 del 21/08/2018 - Data Fine Proroga: 31/07/2019</w:t>
            </w:r>
          </w:p>
        </w:tc>
      </w:tr>
      <w:tr w:rsidR="002E0EA3" w:rsidRPr="00D20E79" w14:paraId="76BE68F8" w14:textId="77777777">
        <w:trPr>
          <w:trHeight w:val="300"/>
        </w:trPr>
        <w:tc>
          <w:tcPr>
            <w:tcW w:w="2117" w:type="dxa"/>
            <w:vMerge/>
            <w:tcBorders>
              <w:top w:val="nil"/>
              <w:left w:val="single" w:sz="8" w:space="0" w:color="A6A6A6"/>
              <w:bottom w:val="single" w:sz="8" w:space="0" w:color="A6A6A6"/>
              <w:right w:val="single" w:sz="8" w:space="0" w:color="A6A6A6"/>
            </w:tcBorders>
            <w:vAlign w:val="center"/>
            <w:hideMark/>
          </w:tcPr>
          <w:p w14:paraId="77B33C01" w14:textId="77777777" w:rsidR="002E0EA3" w:rsidRPr="00D20E79" w:rsidRDefault="002E0EA3">
            <w:pPr>
              <w:spacing w:after="0" w:line="240" w:lineRule="auto"/>
              <w:rPr>
                <w:rFonts w:eastAsia="Times New Roman" w:cs="Calibri"/>
                <w:b/>
                <w:color w:val="000000"/>
              </w:rPr>
            </w:pPr>
          </w:p>
        </w:tc>
        <w:tc>
          <w:tcPr>
            <w:tcW w:w="7087" w:type="dxa"/>
            <w:tcBorders>
              <w:top w:val="nil"/>
              <w:left w:val="nil"/>
              <w:bottom w:val="nil"/>
              <w:right w:val="single" w:sz="8" w:space="0" w:color="A6A6A6"/>
            </w:tcBorders>
            <w:vAlign w:val="center"/>
            <w:hideMark/>
          </w:tcPr>
          <w:p w14:paraId="3211FA5C" w14:textId="77777777" w:rsidR="002E0EA3" w:rsidRPr="00D20E79" w:rsidRDefault="002E0EA3">
            <w:pPr>
              <w:spacing w:after="0" w:line="240" w:lineRule="auto"/>
              <w:rPr>
                <w:rFonts w:eastAsia="Times New Roman" w:cs="Calibri"/>
                <w:color w:val="000000"/>
              </w:rPr>
            </w:pPr>
            <w:r w:rsidRPr="00D20E79">
              <w:rPr>
                <w:rFonts w:eastAsia="Times New Roman" w:cs="Calibri"/>
                <w:color w:val="000000"/>
              </w:rPr>
              <w:t>DD 466 del 31/07/2019 - Data Fine Proroga: 31/12/2019</w:t>
            </w:r>
          </w:p>
        </w:tc>
      </w:tr>
      <w:tr w:rsidR="002E0EA3" w:rsidRPr="00D20E79" w14:paraId="20DD3C67" w14:textId="77777777">
        <w:trPr>
          <w:trHeight w:val="300"/>
        </w:trPr>
        <w:tc>
          <w:tcPr>
            <w:tcW w:w="2117" w:type="dxa"/>
            <w:vMerge/>
            <w:tcBorders>
              <w:top w:val="nil"/>
              <w:left w:val="single" w:sz="8" w:space="0" w:color="A6A6A6"/>
              <w:bottom w:val="single" w:sz="8" w:space="0" w:color="A6A6A6"/>
              <w:right w:val="single" w:sz="8" w:space="0" w:color="A6A6A6"/>
            </w:tcBorders>
            <w:vAlign w:val="center"/>
            <w:hideMark/>
          </w:tcPr>
          <w:p w14:paraId="01CDF23A" w14:textId="77777777" w:rsidR="002E0EA3" w:rsidRPr="00D20E79" w:rsidRDefault="002E0EA3">
            <w:pPr>
              <w:spacing w:after="0" w:line="240" w:lineRule="auto"/>
              <w:rPr>
                <w:rFonts w:eastAsia="Times New Roman" w:cs="Calibri"/>
                <w:b/>
                <w:color w:val="000000"/>
              </w:rPr>
            </w:pPr>
          </w:p>
        </w:tc>
        <w:tc>
          <w:tcPr>
            <w:tcW w:w="7087" w:type="dxa"/>
            <w:tcBorders>
              <w:top w:val="nil"/>
              <w:left w:val="nil"/>
              <w:bottom w:val="nil"/>
              <w:right w:val="single" w:sz="8" w:space="0" w:color="A6A6A6"/>
            </w:tcBorders>
            <w:vAlign w:val="center"/>
            <w:hideMark/>
          </w:tcPr>
          <w:p w14:paraId="54D23F8F" w14:textId="77777777" w:rsidR="002E0EA3" w:rsidRPr="00D20E79" w:rsidRDefault="002E0EA3">
            <w:pPr>
              <w:spacing w:after="0" w:line="240" w:lineRule="auto"/>
              <w:rPr>
                <w:rFonts w:eastAsia="Times New Roman" w:cs="Calibri"/>
                <w:color w:val="000000"/>
              </w:rPr>
            </w:pPr>
            <w:r w:rsidRPr="00D20E79">
              <w:rPr>
                <w:rFonts w:eastAsia="Times New Roman" w:cs="Calibri"/>
                <w:color w:val="000000"/>
              </w:rPr>
              <w:t>Nota prot. 12938/2019 imposizione OdS anno 2020</w:t>
            </w:r>
          </w:p>
        </w:tc>
      </w:tr>
      <w:tr w:rsidR="002E0EA3" w:rsidRPr="00D20E79" w14:paraId="45E97DA1" w14:textId="77777777">
        <w:trPr>
          <w:trHeight w:val="300"/>
        </w:trPr>
        <w:tc>
          <w:tcPr>
            <w:tcW w:w="2117" w:type="dxa"/>
            <w:vMerge/>
            <w:tcBorders>
              <w:top w:val="nil"/>
              <w:left w:val="single" w:sz="8" w:space="0" w:color="A6A6A6"/>
              <w:bottom w:val="single" w:sz="8" w:space="0" w:color="A6A6A6"/>
              <w:right w:val="single" w:sz="8" w:space="0" w:color="A6A6A6"/>
            </w:tcBorders>
            <w:vAlign w:val="center"/>
            <w:hideMark/>
          </w:tcPr>
          <w:p w14:paraId="6262F1AA" w14:textId="77777777" w:rsidR="002E0EA3" w:rsidRPr="00D20E79" w:rsidRDefault="002E0EA3">
            <w:pPr>
              <w:spacing w:after="0" w:line="240" w:lineRule="auto"/>
              <w:rPr>
                <w:rFonts w:eastAsia="Times New Roman" w:cs="Calibri"/>
                <w:b/>
                <w:color w:val="000000"/>
              </w:rPr>
            </w:pPr>
          </w:p>
        </w:tc>
        <w:tc>
          <w:tcPr>
            <w:tcW w:w="7087" w:type="dxa"/>
            <w:tcBorders>
              <w:top w:val="nil"/>
              <w:left w:val="nil"/>
              <w:bottom w:val="nil"/>
              <w:right w:val="single" w:sz="8" w:space="0" w:color="A6A6A6"/>
            </w:tcBorders>
            <w:vAlign w:val="center"/>
            <w:hideMark/>
          </w:tcPr>
          <w:p w14:paraId="08DDF415" w14:textId="77777777" w:rsidR="002E0EA3" w:rsidRPr="00D20E79" w:rsidRDefault="002E0EA3">
            <w:pPr>
              <w:spacing w:after="0" w:line="240" w:lineRule="auto"/>
              <w:rPr>
                <w:rFonts w:eastAsia="Times New Roman" w:cs="Calibri"/>
                <w:color w:val="000000"/>
              </w:rPr>
            </w:pPr>
            <w:r w:rsidRPr="00D20E79">
              <w:rPr>
                <w:rFonts w:eastAsia="Times New Roman" w:cs="Calibri"/>
                <w:color w:val="000000"/>
              </w:rPr>
              <w:t>DD 668 DEL 03/12/2020 proroga ex art. 5, par. 5 Reg. CE 1370/2007 fino al 31/01/2022</w:t>
            </w:r>
          </w:p>
        </w:tc>
      </w:tr>
      <w:tr w:rsidR="002E0EA3" w:rsidRPr="00D20E79" w14:paraId="15D0F68D" w14:textId="77777777">
        <w:trPr>
          <w:trHeight w:val="300"/>
        </w:trPr>
        <w:tc>
          <w:tcPr>
            <w:tcW w:w="2117" w:type="dxa"/>
            <w:vMerge/>
            <w:tcBorders>
              <w:top w:val="nil"/>
              <w:left w:val="single" w:sz="8" w:space="0" w:color="A6A6A6"/>
              <w:bottom w:val="single" w:sz="8" w:space="0" w:color="A6A6A6"/>
              <w:right w:val="single" w:sz="8" w:space="0" w:color="A6A6A6"/>
            </w:tcBorders>
            <w:vAlign w:val="center"/>
            <w:hideMark/>
          </w:tcPr>
          <w:p w14:paraId="29856594" w14:textId="77777777" w:rsidR="002E0EA3" w:rsidRPr="00D20E79" w:rsidRDefault="002E0EA3">
            <w:pPr>
              <w:spacing w:after="0" w:line="240" w:lineRule="auto"/>
              <w:rPr>
                <w:rFonts w:eastAsia="Times New Roman" w:cs="Calibri"/>
                <w:b/>
                <w:color w:val="000000"/>
              </w:rPr>
            </w:pPr>
          </w:p>
        </w:tc>
        <w:tc>
          <w:tcPr>
            <w:tcW w:w="7087" w:type="dxa"/>
            <w:tcBorders>
              <w:top w:val="nil"/>
              <w:left w:val="nil"/>
              <w:bottom w:val="nil"/>
              <w:right w:val="single" w:sz="8" w:space="0" w:color="A6A6A6"/>
            </w:tcBorders>
            <w:vAlign w:val="center"/>
            <w:hideMark/>
          </w:tcPr>
          <w:p w14:paraId="7D969B4E" w14:textId="77777777" w:rsidR="002E0EA3" w:rsidRPr="00D20E79" w:rsidRDefault="002E0EA3">
            <w:pPr>
              <w:spacing w:after="0" w:line="240" w:lineRule="auto"/>
              <w:rPr>
                <w:rFonts w:eastAsia="Times New Roman" w:cs="Calibri"/>
                <w:color w:val="000000"/>
              </w:rPr>
            </w:pPr>
            <w:r w:rsidRPr="00D20E79">
              <w:rPr>
                <w:rFonts w:eastAsia="Times New Roman" w:cs="Calibri"/>
                <w:color w:val="000000"/>
              </w:rPr>
              <w:t>DD 863 del 30/12/2021 proroga ex art. 5, par. 5 Reg. CE 1370/2007 fino al 31/03/2023</w:t>
            </w:r>
          </w:p>
        </w:tc>
      </w:tr>
      <w:tr w:rsidR="002E0EA3" w:rsidRPr="00D20E79" w14:paraId="0424DADC" w14:textId="77777777">
        <w:trPr>
          <w:trHeight w:val="300"/>
        </w:trPr>
        <w:tc>
          <w:tcPr>
            <w:tcW w:w="2117" w:type="dxa"/>
            <w:vMerge/>
            <w:tcBorders>
              <w:top w:val="nil"/>
              <w:left w:val="single" w:sz="8" w:space="0" w:color="A6A6A6"/>
              <w:bottom w:val="single" w:sz="8" w:space="0" w:color="A6A6A6"/>
              <w:right w:val="single" w:sz="8" w:space="0" w:color="A6A6A6"/>
            </w:tcBorders>
            <w:vAlign w:val="center"/>
            <w:hideMark/>
          </w:tcPr>
          <w:p w14:paraId="0C8F3267" w14:textId="77777777" w:rsidR="002E0EA3" w:rsidRPr="00D20E79" w:rsidRDefault="002E0EA3">
            <w:pPr>
              <w:spacing w:after="0" w:line="240" w:lineRule="auto"/>
              <w:rPr>
                <w:rFonts w:eastAsia="Times New Roman" w:cs="Calibri"/>
                <w:b/>
                <w:color w:val="000000"/>
              </w:rPr>
            </w:pPr>
          </w:p>
        </w:tc>
        <w:tc>
          <w:tcPr>
            <w:tcW w:w="7087" w:type="dxa"/>
            <w:tcBorders>
              <w:top w:val="nil"/>
              <w:left w:val="nil"/>
              <w:bottom w:val="nil"/>
              <w:right w:val="single" w:sz="8" w:space="0" w:color="A6A6A6"/>
            </w:tcBorders>
            <w:vAlign w:val="center"/>
            <w:hideMark/>
          </w:tcPr>
          <w:p w14:paraId="6C8D4F37" w14:textId="77777777" w:rsidR="002E0EA3" w:rsidRPr="00D20E79" w:rsidRDefault="002E0EA3">
            <w:pPr>
              <w:spacing w:after="0" w:line="240" w:lineRule="auto"/>
              <w:rPr>
                <w:rFonts w:eastAsia="Times New Roman" w:cs="Calibri"/>
                <w:color w:val="000000"/>
              </w:rPr>
            </w:pPr>
            <w:r w:rsidRPr="00D20E79">
              <w:rPr>
                <w:rFonts w:eastAsia="Times New Roman" w:cs="Calibri"/>
                <w:color w:val="000000"/>
              </w:rPr>
              <w:t xml:space="preserve">DD 238/2023 art. 5 par. 5 fino al 30/06/2023 </w:t>
            </w:r>
          </w:p>
        </w:tc>
      </w:tr>
      <w:tr w:rsidR="002E0EA3" w:rsidRPr="00D20E79" w14:paraId="5C80B6FC" w14:textId="77777777">
        <w:trPr>
          <w:trHeight w:val="300"/>
        </w:trPr>
        <w:tc>
          <w:tcPr>
            <w:tcW w:w="2117" w:type="dxa"/>
            <w:vMerge/>
            <w:tcBorders>
              <w:top w:val="nil"/>
              <w:left w:val="single" w:sz="8" w:space="0" w:color="A6A6A6"/>
              <w:bottom w:val="single" w:sz="8" w:space="0" w:color="A6A6A6"/>
              <w:right w:val="single" w:sz="8" w:space="0" w:color="A6A6A6"/>
            </w:tcBorders>
            <w:vAlign w:val="center"/>
            <w:hideMark/>
          </w:tcPr>
          <w:p w14:paraId="14ECD05D" w14:textId="77777777" w:rsidR="002E0EA3" w:rsidRPr="00D20E79" w:rsidRDefault="002E0EA3">
            <w:pPr>
              <w:spacing w:after="0" w:line="240" w:lineRule="auto"/>
              <w:rPr>
                <w:rFonts w:eastAsia="Times New Roman" w:cs="Calibri"/>
                <w:b/>
                <w:color w:val="000000"/>
              </w:rPr>
            </w:pPr>
          </w:p>
        </w:tc>
        <w:tc>
          <w:tcPr>
            <w:tcW w:w="7087" w:type="dxa"/>
            <w:tcBorders>
              <w:top w:val="nil"/>
              <w:left w:val="nil"/>
              <w:bottom w:val="nil"/>
              <w:right w:val="single" w:sz="8" w:space="0" w:color="A6A6A6"/>
            </w:tcBorders>
            <w:vAlign w:val="center"/>
            <w:hideMark/>
          </w:tcPr>
          <w:p w14:paraId="5C023A3A" w14:textId="77777777" w:rsidR="002E0EA3" w:rsidRPr="00D20E79" w:rsidRDefault="002E0EA3">
            <w:pPr>
              <w:spacing w:after="0" w:line="240" w:lineRule="auto"/>
              <w:rPr>
                <w:rFonts w:eastAsia="Times New Roman" w:cs="Calibri"/>
                <w:color w:val="000000"/>
              </w:rPr>
            </w:pPr>
            <w:r w:rsidRPr="00D20E79">
              <w:rPr>
                <w:rFonts w:eastAsia="Times New Roman" w:cs="Calibri"/>
                <w:color w:val="000000"/>
              </w:rPr>
              <w:t>DD 483/2023 art. 5 par. 5 fino al 30/09/2023</w:t>
            </w:r>
          </w:p>
        </w:tc>
      </w:tr>
      <w:tr w:rsidR="002E0EA3" w:rsidRPr="00D20E79" w14:paraId="5B0E5AB6" w14:textId="77777777">
        <w:trPr>
          <w:trHeight w:val="315"/>
        </w:trPr>
        <w:tc>
          <w:tcPr>
            <w:tcW w:w="2117" w:type="dxa"/>
            <w:vMerge/>
            <w:tcBorders>
              <w:top w:val="nil"/>
              <w:left w:val="single" w:sz="8" w:space="0" w:color="A6A6A6"/>
              <w:bottom w:val="single" w:sz="8" w:space="0" w:color="A6A6A6"/>
              <w:right w:val="single" w:sz="8" w:space="0" w:color="A6A6A6"/>
            </w:tcBorders>
            <w:vAlign w:val="center"/>
            <w:hideMark/>
          </w:tcPr>
          <w:p w14:paraId="50F8BB4F" w14:textId="77777777" w:rsidR="002E0EA3" w:rsidRPr="00D20E79" w:rsidRDefault="002E0EA3">
            <w:pPr>
              <w:spacing w:after="0" w:line="240" w:lineRule="auto"/>
              <w:rPr>
                <w:rFonts w:eastAsia="Times New Roman" w:cs="Calibri"/>
                <w:b/>
                <w:color w:val="000000"/>
              </w:rPr>
            </w:pPr>
          </w:p>
        </w:tc>
        <w:tc>
          <w:tcPr>
            <w:tcW w:w="7087" w:type="dxa"/>
            <w:tcBorders>
              <w:top w:val="nil"/>
              <w:left w:val="nil"/>
              <w:bottom w:val="single" w:sz="8" w:space="0" w:color="A6A6A6"/>
              <w:right w:val="single" w:sz="8" w:space="0" w:color="A6A6A6"/>
            </w:tcBorders>
            <w:vAlign w:val="center"/>
            <w:hideMark/>
          </w:tcPr>
          <w:p w14:paraId="7136B6C3" w14:textId="77777777" w:rsidR="002E0EA3" w:rsidRPr="00D20E79" w:rsidRDefault="002E0EA3">
            <w:pPr>
              <w:spacing w:after="0" w:line="240" w:lineRule="auto"/>
              <w:rPr>
                <w:rFonts w:eastAsia="Times New Roman" w:cs="Calibri"/>
                <w:color w:val="000000"/>
              </w:rPr>
            </w:pPr>
            <w:r w:rsidRPr="00D20E79">
              <w:rPr>
                <w:rFonts w:eastAsia="Times New Roman" w:cs="Calibri"/>
                <w:color w:val="000000"/>
              </w:rPr>
              <w:t>DD 761/2023 Definizione del procedimento di proroga per investimenti (L.26/22) – sussistenza presupposti per proroga 01/01/2023-31/12/2026</w:t>
            </w:r>
          </w:p>
        </w:tc>
      </w:tr>
      <w:tr w:rsidR="002E0EA3" w:rsidRPr="00D20E79" w14:paraId="2E094828" w14:textId="77777777">
        <w:trPr>
          <w:trHeight w:val="315"/>
        </w:trPr>
        <w:tc>
          <w:tcPr>
            <w:tcW w:w="9204" w:type="dxa"/>
            <w:gridSpan w:val="2"/>
            <w:tcBorders>
              <w:top w:val="single" w:sz="8" w:space="0" w:color="A6A6A6"/>
              <w:left w:val="single" w:sz="8" w:space="0" w:color="A6A6A6"/>
              <w:bottom w:val="single" w:sz="8" w:space="0" w:color="A6A6A6"/>
              <w:right w:val="single" w:sz="8" w:space="0" w:color="A6A6A6"/>
            </w:tcBorders>
            <w:vAlign w:val="center"/>
            <w:hideMark/>
          </w:tcPr>
          <w:p w14:paraId="50BAEC55" w14:textId="77777777" w:rsidR="002E0EA3" w:rsidRPr="00D20E79" w:rsidRDefault="002E0EA3">
            <w:pPr>
              <w:spacing w:after="0" w:line="240" w:lineRule="auto"/>
              <w:rPr>
                <w:rFonts w:eastAsia="Times New Roman" w:cs="Calibri"/>
                <w:b/>
                <w:color w:val="000000"/>
              </w:rPr>
            </w:pPr>
            <w:r w:rsidRPr="00D20E79">
              <w:rPr>
                <w:rFonts w:eastAsia="Times New Roman" w:cs="Calibri"/>
                <w:b/>
                <w:color w:val="000000"/>
              </w:rPr>
              <w:t>Ambito Urbano di Ivrea</w:t>
            </w:r>
          </w:p>
        </w:tc>
      </w:tr>
      <w:tr w:rsidR="002E0EA3" w:rsidRPr="00D20E79" w14:paraId="019B6C9C" w14:textId="77777777">
        <w:trPr>
          <w:trHeight w:val="315"/>
        </w:trPr>
        <w:tc>
          <w:tcPr>
            <w:tcW w:w="2117" w:type="dxa"/>
            <w:tcBorders>
              <w:top w:val="nil"/>
              <w:left w:val="single" w:sz="8" w:space="0" w:color="A6A6A6"/>
              <w:bottom w:val="single" w:sz="8" w:space="0" w:color="A6A6A6"/>
              <w:right w:val="single" w:sz="8" w:space="0" w:color="A6A6A6"/>
            </w:tcBorders>
            <w:vAlign w:val="center"/>
            <w:hideMark/>
          </w:tcPr>
          <w:p w14:paraId="3521E0C0" w14:textId="77777777" w:rsidR="002E0EA3" w:rsidRPr="00D20E79" w:rsidRDefault="002E0EA3">
            <w:pPr>
              <w:spacing w:after="0" w:line="240" w:lineRule="auto"/>
              <w:rPr>
                <w:rFonts w:eastAsia="Times New Roman" w:cs="Calibri"/>
                <w:b/>
                <w:color w:val="000000"/>
              </w:rPr>
            </w:pPr>
            <w:r w:rsidRPr="00D20E79">
              <w:rPr>
                <w:rFonts w:eastAsia="Times New Roman" w:cs="Calibri"/>
                <w:b/>
                <w:color w:val="000000"/>
              </w:rPr>
              <w:t>Modalità affidamento:</w:t>
            </w:r>
          </w:p>
        </w:tc>
        <w:tc>
          <w:tcPr>
            <w:tcW w:w="7087" w:type="dxa"/>
            <w:tcBorders>
              <w:top w:val="nil"/>
              <w:left w:val="nil"/>
              <w:bottom w:val="single" w:sz="8" w:space="0" w:color="A6A6A6"/>
              <w:right w:val="single" w:sz="8" w:space="0" w:color="A6A6A6"/>
            </w:tcBorders>
            <w:vAlign w:val="center"/>
            <w:hideMark/>
          </w:tcPr>
          <w:p w14:paraId="6FB804C2" w14:textId="77777777" w:rsidR="002E0EA3" w:rsidRPr="00D20E79" w:rsidRDefault="002E0EA3">
            <w:pPr>
              <w:spacing w:after="0" w:line="240" w:lineRule="auto"/>
              <w:rPr>
                <w:rFonts w:eastAsia="Times New Roman" w:cs="Calibri"/>
                <w:color w:val="000000"/>
              </w:rPr>
            </w:pPr>
            <w:r w:rsidRPr="00D20E79">
              <w:rPr>
                <w:rFonts w:eastAsia="Times New Roman" w:cs="Calibri"/>
                <w:color w:val="000000"/>
              </w:rPr>
              <w:t>mediante gara con contratto rep n. 8875 del 28/12/2010 con durata dal 01/01/2011 - 31/12/2016</w:t>
            </w:r>
          </w:p>
        </w:tc>
      </w:tr>
      <w:tr w:rsidR="002E0EA3" w:rsidRPr="00D20E79" w14:paraId="7B623BCA" w14:textId="77777777">
        <w:trPr>
          <w:trHeight w:val="300"/>
        </w:trPr>
        <w:tc>
          <w:tcPr>
            <w:tcW w:w="2117" w:type="dxa"/>
            <w:vMerge w:val="restart"/>
            <w:tcBorders>
              <w:top w:val="nil"/>
              <w:left w:val="single" w:sz="8" w:space="0" w:color="A6A6A6"/>
              <w:bottom w:val="single" w:sz="8" w:space="0" w:color="A6A6A6"/>
              <w:right w:val="single" w:sz="8" w:space="0" w:color="A6A6A6"/>
            </w:tcBorders>
            <w:vAlign w:val="center"/>
            <w:hideMark/>
          </w:tcPr>
          <w:p w14:paraId="42A23FF7" w14:textId="77777777" w:rsidR="002E0EA3" w:rsidRPr="00D20E79" w:rsidRDefault="002E0EA3">
            <w:pPr>
              <w:spacing w:after="0" w:line="240" w:lineRule="auto"/>
              <w:rPr>
                <w:rFonts w:eastAsia="Times New Roman" w:cs="Calibri"/>
                <w:b/>
                <w:color w:val="000000"/>
              </w:rPr>
            </w:pPr>
            <w:r w:rsidRPr="00D20E79">
              <w:rPr>
                <w:rFonts w:eastAsia="Times New Roman" w:cs="Calibri"/>
                <w:b/>
                <w:color w:val="000000"/>
              </w:rPr>
              <w:t>Atti di proroga e imposizione di OdS:</w:t>
            </w:r>
          </w:p>
        </w:tc>
        <w:tc>
          <w:tcPr>
            <w:tcW w:w="7087" w:type="dxa"/>
            <w:tcBorders>
              <w:top w:val="nil"/>
              <w:left w:val="nil"/>
              <w:bottom w:val="nil"/>
              <w:right w:val="single" w:sz="8" w:space="0" w:color="A6A6A6"/>
            </w:tcBorders>
            <w:vAlign w:val="center"/>
            <w:hideMark/>
          </w:tcPr>
          <w:p w14:paraId="657CAF69" w14:textId="77777777" w:rsidR="002E0EA3" w:rsidRPr="00D20E79" w:rsidRDefault="002E0EA3">
            <w:pPr>
              <w:spacing w:after="0" w:line="240" w:lineRule="auto"/>
              <w:rPr>
                <w:rFonts w:eastAsia="Times New Roman" w:cs="Calibri"/>
                <w:color w:val="000000"/>
              </w:rPr>
            </w:pPr>
            <w:r w:rsidRPr="00D20E79">
              <w:rPr>
                <w:rFonts w:eastAsia="Times New Roman" w:cs="Calibri"/>
                <w:color w:val="000000"/>
              </w:rPr>
              <w:t>Atto di proroga del 23/12/2016 – Data fine proroga 31/12/2019</w:t>
            </w:r>
          </w:p>
        </w:tc>
      </w:tr>
      <w:tr w:rsidR="002E0EA3" w:rsidRPr="00D20E79" w14:paraId="42A66B4A" w14:textId="77777777">
        <w:trPr>
          <w:trHeight w:val="300"/>
        </w:trPr>
        <w:tc>
          <w:tcPr>
            <w:tcW w:w="2117" w:type="dxa"/>
            <w:vMerge/>
            <w:tcBorders>
              <w:top w:val="nil"/>
              <w:left w:val="single" w:sz="8" w:space="0" w:color="A6A6A6"/>
              <w:bottom w:val="single" w:sz="8" w:space="0" w:color="A6A6A6"/>
              <w:right w:val="single" w:sz="8" w:space="0" w:color="A6A6A6"/>
            </w:tcBorders>
            <w:vAlign w:val="center"/>
            <w:hideMark/>
          </w:tcPr>
          <w:p w14:paraId="029C9CC3" w14:textId="77777777" w:rsidR="002E0EA3" w:rsidRPr="00D20E79" w:rsidRDefault="002E0EA3">
            <w:pPr>
              <w:spacing w:after="0" w:line="240" w:lineRule="auto"/>
              <w:rPr>
                <w:rFonts w:eastAsia="Times New Roman" w:cs="Calibri"/>
                <w:b/>
                <w:color w:val="000000"/>
              </w:rPr>
            </w:pPr>
          </w:p>
        </w:tc>
        <w:tc>
          <w:tcPr>
            <w:tcW w:w="7087" w:type="dxa"/>
            <w:tcBorders>
              <w:top w:val="nil"/>
              <w:left w:val="nil"/>
              <w:bottom w:val="nil"/>
              <w:right w:val="single" w:sz="8" w:space="0" w:color="A6A6A6"/>
            </w:tcBorders>
            <w:vAlign w:val="center"/>
            <w:hideMark/>
          </w:tcPr>
          <w:p w14:paraId="4D36995D" w14:textId="77777777" w:rsidR="002E0EA3" w:rsidRPr="00D20E79" w:rsidRDefault="002E0EA3">
            <w:pPr>
              <w:spacing w:after="0" w:line="240" w:lineRule="auto"/>
              <w:rPr>
                <w:rFonts w:eastAsia="Times New Roman" w:cs="Calibri"/>
                <w:color w:val="000000"/>
              </w:rPr>
            </w:pPr>
            <w:r w:rsidRPr="00D20E79">
              <w:rPr>
                <w:rFonts w:eastAsia="Times New Roman" w:cs="Calibri"/>
                <w:color w:val="000000"/>
              </w:rPr>
              <w:t>Nota 12940/2019 imposizione OdS anno 2020</w:t>
            </w:r>
          </w:p>
        </w:tc>
      </w:tr>
      <w:tr w:rsidR="002E0EA3" w:rsidRPr="00D20E79" w14:paraId="070C036E" w14:textId="77777777">
        <w:trPr>
          <w:trHeight w:val="300"/>
        </w:trPr>
        <w:tc>
          <w:tcPr>
            <w:tcW w:w="2117" w:type="dxa"/>
            <w:vMerge/>
            <w:tcBorders>
              <w:top w:val="nil"/>
              <w:left w:val="single" w:sz="8" w:space="0" w:color="A6A6A6"/>
              <w:bottom w:val="single" w:sz="8" w:space="0" w:color="A6A6A6"/>
              <w:right w:val="single" w:sz="8" w:space="0" w:color="A6A6A6"/>
            </w:tcBorders>
            <w:vAlign w:val="center"/>
            <w:hideMark/>
          </w:tcPr>
          <w:p w14:paraId="056ED2F3" w14:textId="77777777" w:rsidR="002E0EA3" w:rsidRPr="00D20E79" w:rsidRDefault="002E0EA3">
            <w:pPr>
              <w:spacing w:after="0" w:line="240" w:lineRule="auto"/>
              <w:rPr>
                <w:rFonts w:eastAsia="Times New Roman" w:cs="Calibri"/>
                <w:b/>
                <w:color w:val="000000"/>
              </w:rPr>
            </w:pPr>
          </w:p>
        </w:tc>
        <w:tc>
          <w:tcPr>
            <w:tcW w:w="7087" w:type="dxa"/>
            <w:tcBorders>
              <w:top w:val="nil"/>
              <w:left w:val="nil"/>
              <w:bottom w:val="nil"/>
              <w:right w:val="single" w:sz="8" w:space="0" w:color="A6A6A6"/>
            </w:tcBorders>
            <w:vAlign w:val="center"/>
            <w:hideMark/>
          </w:tcPr>
          <w:p w14:paraId="079F5852" w14:textId="77777777" w:rsidR="002E0EA3" w:rsidRPr="00D20E79" w:rsidRDefault="002E0EA3">
            <w:pPr>
              <w:spacing w:after="0" w:line="240" w:lineRule="auto"/>
              <w:rPr>
                <w:rFonts w:eastAsia="Times New Roman" w:cs="Calibri"/>
                <w:color w:val="000000"/>
              </w:rPr>
            </w:pPr>
            <w:r w:rsidRPr="00D20E79">
              <w:rPr>
                <w:rFonts w:eastAsia="Times New Roman" w:cs="Calibri"/>
                <w:color w:val="000000"/>
              </w:rPr>
              <w:t>DD 670 DEL 03/12/2020 proroga ex art. 5, par. 5 Reg. CE 1370/2007 fino al 31/01/2022</w:t>
            </w:r>
          </w:p>
        </w:tc>
      </w:tr>
      <w:tr w:rsidR="002E0EA3" w:rsidRPr="00D20E79" w14:paraId="17695C67" w14:textId="77777777">
        <w:trPr>
          <w:trHeight w:val="300"/>
        </w:trPr>
        <w:tc>
          <w:tcPr>
            <w:tcW w:w="2117" w:type="dxa"/>
            <w:vMerge/>
            <w:tcBorders>
              <w:top w:val="nil"/>
              <w:left w:val="single" w:sz="8" w:space="0" w:color="A6A6A6"/>
              <w:bottom w:val="single" w:sz="8" w:space="0" w:color="A6A6A6"/>
              <w:right w:val="single" w:sz="8" w:space="0" w:color="A6A6A6"/>
            </w:tcBorders>
            <w:vAlign w:val="center"/>
            <w:hideMark/>
          </w:tcPr>
          <w:p w14:paraId="72EC4AEE" w14:textId="77777777" w:rsidR="002E0EA3" w:rsidRPr="00D20E79" w:rsidRDefault="002E0EA3">
            <w:pPr>
              <w:spacing w:after="0" w:line="240" w:lineRule="auto"/>
              <w:rPr>
                <w:rFonts w:eastAsia="Times New Roman" w:cs="Calibri"/>
                <w:b/>
                <w:color w:val="000000"/>
              </w:rPr>
            </w:pPr>
          </w:p>
        </w:tc>
        <w:tc>
          <w:tcPr>
            <w:tcW w:w="7087" w:type="dxa"/>
            <w:tcBorders>
              <w:top w:val="nil"/>
              <w:left w:val="nil"/>
              <w:bottom w:val="nil"/>
              <w:right w:val="single" w:sz="8" w:space="0" w:color="A6A6A6"/>
            </w:tcBorders>
            <w:vAlign w:val="center"/>
            <w:hideMark/>
          </w:tcPr>
          <w:p w14:paraId="6E038099" w14:textId="77777777" w:rsidR="002E0EA3" w:rsidRPr="00D20E79" w:rsidRDefault="002E0EA3">
            <w:pPr>
              <w:spacing w:after="0" w:line="240" w:lineRule="auto"/>
              <w:rPr>
                <w:rFonts w:eastAsia="Times New Roman" w:cs="Calibri"/>
                <w:color w:val="000000"/>
              </w:rPr>
            </w:pPr>
            <w:r w:rsidRPr="00D20E79">
              <w:rPr>
                <w:rFonts w:eastAsia="Times New Roman" w:cs="Calibri"/>
                <w:color w:val="000000"/>
              </w:rPr>
              <w:t>DD 858 DEL 30/12/2021 proroga ex art. 5, par. 5 Reg. CE 1370/2007 fino al 31/03/2023</w:t>
            </w:r>
          </w:p>
        </w:tc>
      </w:tr>
      <w:tr w:rsidR="002E0EA3" w:rsidRPr="00D20E79" w14:paraId="02CA2361" w14:textId="77777777">
        <w:trPr>
          <w:trHeight w:val="300"/>
        </w:trPr>
        <w:tc>
          <w:tcPr>
            <w:tcW w:w="2117" w:type="dxa"/>
            <w:vMerge/>
            <w:tcBorders>
              <w:top w:val="nil"/>
              <w:left w:val="single" w:sz="8" w:space="0" w:color="A6A6A6"/>
              <w:bottom w:val="single" w:sz="8" w:space="0" w:color="A6A6A6"/>
              <w:right w:val="single" w:sz="8" w:space="0" w:color="A6A6A6"/>
            </w:tcBorders>
            <w:vAlign w:val="center"/>
            <w:hideMark/>
          </w:tcPr>
          <w:p w14:paraId="400AA7C5" w14:textId="77777777" w:rsidR="002E0EA3" w:rsidRPr="00D20E79" w:rsidRDefault="002E0EA3">
            <w:pPr>
              <w:spacing w:after="0" w:line="240" w:lineRule="auto"/>
              <w:rPr>
                <w:rFonts w:eastAsia="Times New Roman" w:cs="Calibri"/>
                <w:b/>
                <w:color w:val="000000"/>
              </w:rPr>
            </w:pPr>
          </w:p>
        </w:tc>
        <w:tc>
          <w:tcPr>
            <w:tcW w:w="7087" w:type="dxa"/>
            <w:tcBorders>
              <w:top w:val="nil"/>
              <w:left w:val="nil"/>
              <w:bottom w:val="nil"/>
              <w:right w:val="single" w:sz="8" w:space="0" w:color="A6A6A6"/>
            </w:tcBorders>
            <w:vAlign w:val="center"/>
            <w:hideMark/>
          </w:tcPr>
          <w:p w14:paraId="73D30DED" w14:textId="77777777" w:rsidR="002E0EA3" w:rsidRPr="00D20E79" w:rsidRDefault="002E0EA3">
            <w:pPr>
              <w:spacing w:after="0" w:line="240" w:lineRule="auto"/>
              <w:rPr>
                <w:rFonts w:eastAsia="Times New Roman" w:cs="Calibri"/>
                <w:color w:val="000000"/>
              </w:rPr>
            </w:pPr>
            <w:r w:rsidRPr="00D20E79">
              <w:rPr>
                <w:rFonts w:eastAsia="Times New Roman" w:cs="Calibri"/>
                <w:color w:val="000000"/>
              </w:rPr>
              <w:t>DD 240/2023 art. 5 par. 5 fino al 30/06/2023</w:t>
            </w:r>
          </w:p>
        </w:tc>
      </w:tr>
      <w:tr w:rsidR="002E0EA3" w:rsidRPr="00D20E79" w14:paraId="7F9DB0D6" w14:textId="77777777">
        <w:trPr>
          <w:trHeight w:val="300"/>
        </w:trPr>
        <w:tc>
          <w:tcPr>
            <w:tcW w:w="2117" w:type="dxa"/>
            <w:vMerge/>
            <w:tcBorders>
              <w:top w:val="nil"/>
              <w:left w:val="single" w:sz="8" w:space="0" w:color="A6A6A6"/>
              <w:bottom w:val="single" w:sz="8" w:space="0" w:color="A6A6A6"/>
              <w:right w:val="single" w:sz="8" w:space="0" w:color="A6A6A6"/>
            </w:tcBorders>
            <w:vAlign w:val="center"/>
            <w:hideMark/>
          </w:tcPr>
          <w:p w14:paraId="1FBBF178" w14:textId="77777777" w:rsidR="002E0EA3" w:rsidRPr="00D20E79" w:rsidRDefault="002E0EA3">
            <w:pPr>
              <w:spacing w:after="0" w:line="240" w:lineRule="auto"/>
              <w:rPr>
                <w:rFonts w:eastAsia="Times New Roman" w:cs="Calibri"/>
                <w:b/>
                <w:color w:val="000000"/>
              </w:rPr>
            </w:pPr>
          </w:p>
        </w:tc>
        <w:tc>
          <w:tcPr>
            <w:tcW w:w="7087" w:type="dxa"/>
            <w:tcBorders>
              <w:top w:val="nil"/>
              <w:left w:val="nil"/>
              <w:bottom w:val="nil"/>
              <w:right w:val="single" w:sz="8" w:space="0" w:color="A6A6A6"/>
            </w:tcBorders>
            <w:vAlign w:val="center"/>
            <w:hideMark/>
          </w:tcPr>
          <w:p w14:paraId="082B490A" w14:textId="77777777" w:rsidR="002E0EA3" w:rsidRPr="00D20E79" w:rsidRDefault="002E0EA3">
            <w:pPr>
              <w:spacing w:after="0" w:line="240" w:lineRule="auto"/>
              <w:rPr>
                <w:rFonts w:eastAsia="Times New Roman" w:cs="Calibri"/>
                <w:color w:val="000000"/>
              </w:rPr>
            </w:pPr>
            <w:r w:rsidRPr="00D20E79">
              <w:rPr>
                <w:rFonts w:eastAsia="Times New Roman" w:cs="Calibri"/>
                <w:color w:val="000000"/>
              </w:rPr>
              <w:t>DD 483/2023 art. 5 par. 5 fino al 30/09/2023</w:t>
            </w:r>
          </w:p>
        </w:tc>
      </w:tr>
      <w:tr w:rsidR="002E0EA3" w:rsidRPr="00D20E79" w14:paraId="5B443059" w14:textId="77777777">
        <w:trPr>
          <w:trHeight w:val="315"/>
        </w:trPr>
        <w:tc>
          <w:tcPr>
            <w:tcW w:w="2117" w:type="dxa"/>
            <w:vMerge/>
            <w:tcBorders>
              <w:top w:val="nil"/>
              <w:left w:val="single" w:sz="8" w:space="0" w:color="A6A6A6"/>
              <w:bottom w:val="single" w:sz="8" w:space="0" w:color="A6A6A6"/>
              <w:right w:val="single" w:sz="8" w:space="0" w:color="A6A6A6"/>
            </w:tcBorders>
            <w:vAlign w:val="center"/>
            <w:hideMark/>
          </w:tcPr>
          <w:p w14:paraId="5F960863" w14:textId="77777777" w:rsidR="002E0EA3" w:rsidRPr="00D20E79" w:rsidRDefault="002E0EA3">
            <w:pPr>
              <w:spacing w:after="0" w:line="240" w:lineRule="auto"/>
              <w:rPr>
                <w:rFonts w:eastAsia="Times New Roman" w:cs="Calibri"/>
                <w:b/>
                <w:color w:val="000000"/>
              </w:rPr>
            </w:pPr>
          </w:p>
        </w:tc>
        <w:tc>
          <w:tcPr>
            <w:tcW w:w="7087" w:type="dxa"/>
            <w:tcBorders>
              <w:top w:val="nil"/>
              <w:left w:val="nil"/>
              <w:bottom w:val="single" w:sz="8" w:space="0" w:color="A6A6A6"/>
              <w:right w:val="single" w:sz="8" w:space="0" w:color="A6A6A6"/>
            </w:tcBorders>
            <w:vAlign w:val="center"/>
            <w:hideMark/>
          </w:tcPr>
          <w:p w14:paraId="19CCA78B" w14:textId="77777777" w:rsidR="002E0EA3" w:rsidRPr="00D20E79" w:rsidRDefault="002E0EA3">
            <w:pPr>
              <w:spacing w:after="0" w:line="240" w:lineRule="auto"/>
              <w:rPr>
                <w:rFonts w:eastAsia="Times New Roman" w:cs="Calibri"/>
                <w:color w:val="000000"/>
              </w:rPr>
            </w:pPr>
            <w:r w:rsidRPr="00D20E79">
              <w:rPr>
                <w:rFonts w:eastAsia="Times New Roman" w:cs="Calibri"/>
                <w:color w:val="000000"/>
              </w:rPr>
              <w:t>DD 761/2023 Definizione del procedimento di proroga per investimenti (L.26/22) – sussistenza presupposti per proroga 01/01/2023-31/12/2026</w:t>
            </w:r>
          </w:p>
        </w:tc>
      </w:tr>
      <w:tr w:rsidR="002E0EA3" w:rsidRPr="00D20E79" w14:paraId="2928ED35" w14:textId="77777777">
        <w:trPr>
          <w:trHeight w:val="315"/>
        </w:trPr>
        <w:tc>
          <w:tcPr>
            <w:tcW w:w="9204" w:type="dxa"/>
            <w:gridSpan w:val="2"/>
            <w:tcBorders>
              <w:top w:val="single" w:sz="8" w:space="0" w:color="A6A6A6"/>
              <w:left w:val="single" w:sz="8" w:space="0" w:color="A6A6A6"/>
              <w:bottom w:val="single" w:sz="8" w:space="0" w:color="A6A6A6"/>
              <w:right w:val="single" w:sz="8" w:space="0" w:color="A6A6A6"/>
            </w:tcBorders>
            <w:vAlign w:val="center"/>
            <w:hideMark/>
          </w:tcPr>
          <w:p w14:paraId="61FFB0A7" w14:textId="77777777" w:rsidR="002E0EA3" w:rsidRPr="00D20E79" w:rsidRDefault="002E0EA3">
            <w:pPr>
              <w:spacing w:after="0" w:line="240" w:lineRule="auto"/>
              <w:rPr>
                <w:rFonts w:eastAsia="Times New Roman" w:cs="Calibri"/>
                <w:b/>
                <w:color w:val="000000"/>
              </w:rPr>
            </w:pPr>
            <w:r w:rsidRPr="00D20E79">
              <w:rPr>
                <w:rFonts w:eastAsia="Times New Roman" w:cs="Calibri"/>
                <w:b/>
                <w:color w:val="000000"/>
              </w:rPr>
              <w:t>Ambito Urbano di Pinerolo</w:t>
            </w:r>
          </w:p>
        </w:tc>
      </w:tr>
      <w:tr w:rsidR="002E0EA3" w:rsidRPr="00D20E79" w14:paraId="6930DBCC" w14:textId="77777777">
        <w:trPr>
          <w:trHeight w:val="315"/>
        </w:trPr>
        <w:tc>
          <w:tcPr>
            <w:tcW w:w="2117" w:type="dxa"/>
            <w:tcBorders>
              <w:top w:val="nil"/>
              <w:left w:val="single" w:sz="8" w:space="0" w:color="A6A6A6"/>
              <w:bottom w:val="single" w:sz="8" w:space="0" w:color="A6A6A6"/>
              <w:right w:val="single" w:sz="8" w:space="0" w:color="A6A6A6"/>
            </w:tcBorders>
            <w:vAlign w:val="center"/>
            <w:hideMark/>
          </w:tcPr>
          <w:p w14:paraId="2220CB5E" w14:textId="77777777" w:rsidR="002E0EA3" w:rsidRPr="00D20E79" w:rsidRDefault="002E0EA3">
            <w:pPr>
              <w:spacing w:after="0" w:line="240" w:lineRule="auto"/>
              <w:rPr>
                <w:rFonts w:eastAsia="Times New Roman" w:cs="Calibri"/>
                <w:b/>
                <w:color w:val="000000"/>
              </w:rPr>
            </w:pPr>
            <w:r w:rsidRPr="00D20E79">
              <w:rPr>
                <w:rFonts w:eastAsia="Times New Roman" w:cs="Calibri"/>
                <w:b/>
                <w:color w:val="000000"/>
              </w:rPr>
              <w:t>Modalità affidamento:</w:t>
            </w:r>
          </w:p>
        </w:tc>
        <w:tc>
          <w:tcPr>
            <w:tcW w:w="7087" w:type="dxa"/>
            <w:tcBorders>
              <w:top w:val="nil"/>
              <w:left w:val="nil"/>
              <w:bottom w:val="single" w:sz="8" w:space="0" w:color="A6A6A6"/>
              <w:right w:val="single" w:sz="8" w:space="0" w:color="A6A6A6"/>
            </w:tcBorders>
            <w:vAlign w:val="center"/>
            <w:hideMark/>
          </w:tcPr>
          <w:p w14:paraId="5F26A911" w14:textId="77777777" w:rsidR="002E0EA3" w:rsidRPr="00D20E79" w:rsidRDefault="002E0EA3">
            <w:pPr>
              <w:spacing w:after="0" w:line="240" w:lineRule="auto"/>
              <w:rPr>
                <w:rFonts w:eastAsia="Times New Roman" w:cs="Calibri"/>
                <w:color w:val="000000"/>
              </w:rPr>
            </w:pPr>
            <w:r w:rsidRPr="00D20E79">
              <w:rPr>
                <w:rFonts w:eastAsia="Times New Roman" w:cs="Calibri"/>
                <w:color w:val="000000"/>
              </w:rPr>
              <w:t>mediante gara con contratto rep n. 902 del 28/12/2010 con durata dal 01/01/2011 - 31/12/2016</w:t>
            </w:r>
          </w:p>
        </w:tc>
      </w:tr>
      <w:tr w:rsidR="002E0EA3" w:rsidRPr="00D20E79" w14:paraId="69CE8019" w14:textId="77777777">
        <w:trPr>
          <w:trHeight w:val="300"/>
        </w:trPr>
        <w:tc>
          <w:tcPr>
            <w:tcW w:w="2117" w:type="dxa"/>
            <w:vMerge w:val="restart"/>
            <w:tcBorders>
              <w:top w:val="nil"/>
              <w:left w:val="single" w:sz="8" w:space="0" w:color="A6A6A6"/>
              <w:bottom w:val="single" w:sz="8" w:space="0" w:color="A6A6A6"/>
              <w:right w:val="single" w:sz="8" w:space="0" w:color="A6A6A6"/>
            </w:tcBorders>
            <w:vAlign w:val="center"/>
            <w:hideMark/>
          </w:tcPr>
          <w:p w14:paraId="126D0D29" w14:textId="77777777" w:rsidR="002E0EA3" w:rsidRPr="00D20E79" w:rsidRDefault="002E0EA3">
            <w:pPr>
              <w:spacing w:after="0" w:line="240" w:lineRule="auto"/>
              <w:rPr>
                <w:rFonts w:eastAsia="Times New Roman" w:cs="Calibri"/>
                <w:b/>
                <w:color w:val="000000"/>
              </w:rPr>
            </w:pPr>
            <w:r w:rsidRPr="00D20E79">
              <w:rPr>
                <w:rFonts w:eastAsia="Times New Roman" w:cs="Calibri"/>
                <w:b/>
                <w:color w:val="000000"/>
              </w:rPr>
              <w:t>Atti di proroga e imposizione di OdS:</w:t>
            </w:r>
          </w:p>
        </w:tc>
        <w:tc>
          <w:tcPr>
            <w:tcW w:w="7087" w:type="dxa"/>
            <w:tcBorders>
              <w:top w:val="nil"/>
              <w:left w:val="nil"/>
              <w:bottom w:val="nil"/>
              <w:right w:val="single" w:sz="8" w:space="0" w:color="A6A6A6"/>
            </w:tcBorders>
            <w:vAlign w:val="center"/>
            <w:hideMark/>
          </w:tcPr>
          <w:p w14:paraId="7C9E8E85" w14:textId="77777777" w:rsidR="002E0EA3" w:rsidRPr="00D20E79" w:rsidRDefault="002E0EA3">
            <w:pPr>
              <w:spacing w:after="0" w:line="240" w:lineRule="auto"/>
              <w:rPr>
                <w:rFonts w:eastAsia="Times New Roman" w:cs="Calibri"/>
                <w:color w:val="000000"/>
              </w:rPr>
            </w:pPr>
            <w:r w:rsidRPr="00D20E79">
              <w:rPr>
                <w:rFonts w:eastAsia="Times New Roman" w:cs="Calibri"/>
                <w:color w:val="000000"/>
              </w:rPr>
              <w:t>Atto di proroga del 23/12/2016 – Data fine proroga 31/12/2019</w:t>
            </w:r>
          </w:p>
        </w:tc>
      </w:tr>
      <w:tr w:rsidR="002E0EA3" w:rsidRPr="00D20E79" w14:paraId="71C63E3B" w14:textId="77777777">
        <w:trPr>
          <w:trHeight w:val="300"/>
        </w:trPr>
        <w:tc>
          <w:tcPr>
            <w:tcW w:w="2117" w:type="dxa"/>
            <w:vMerge/>
            <w:tcBorders>
              <w:top w:val="nil"/>
              <w:left w:val="single" w:sz="8" w:space="0" w:color="A6A6A6"/>
              <w:bottom w:val="single" w:sz="8" w:space="0" w:color="A6A6A6"/>
              <w:right w:val="single" w:sz="8" w:space="0" w:color="A6A6A6"/>
            </w:tcBorders>
            <w:vAlign w:val="center"/>
            <w:hideMark/>
          </w:tcPr>
          <w:p w14:paraId="32151B9F" w14:textId="77777777" w:rsidR="002E0EA3" w:rsidRPr="00D20E79" w:rsidRDefault="002E0EA3">
            <w:pPr>
              <w:spacing w:after="0" w:line="240" w:lineRule="auto"/>
              <w:rPr>
                <w:rFonts w:eastAsia="Times New Roman" w:cs="Calibri"/>
                <w:b/>
                <w:color w:val="000000"/>
              </w:rPr>
            </w:pPr>
          </w:p>
        </w:tc>
        <w:tc>
          <w:tcPr>
            <w:tcW w:w="7087" w:type="dxa"/>
            <w:tcBorders>
              <w:top w:val="nil"/>
              <w:left w:val="nil"/>
              <w:bottom w:val="nil"/>
              <w:right w:val="single" w:sz="8" w:space="0" w:color="A6A6A6"/>
            </w:tcBorders>
            <w:vAlign w:val="center"/>
            <w:hideMark/>
          </w:tcPr>
          <w:p w14:paraId="6ED162BF" w14:textId="77777777" w:rsidR="002E0EA3" w:rsidRPr="00D20E79" w:rsidRDefault="002E0EA3">
            <w:pPr>
              <w:spacing w:after="0" w:line="240" w:lineRule="auto"/>
              <w:rPr>
                <w:rFonts w:eastAsia="Times New Roman" w:cs="Calibri"/>
                <w:color w:val="000000"/>
              </w:rPr>
            </w:pPr>
            <w:r w:rsidRPr="00D20E79">
              <w:rPr>
                <w:rFonts w:eastAsia="Times New Roman" w:cs="Calibri"/>
                <w:color w:val="000000"/>
              </w:rPr>
              <w:t>Nota 12941/2019 imposizione OdS anno 2020</w:t>
            </w:r>
          </w:p>
        </w:tc>
      </w:tr>
      <w:tr w:rsidR="002E0EA3" w:rsidRPr="00D20E79" w14:paraId="324409E2" w14:textId="77777777">
        <w:trPr>
          <w:trHeight w:val="300"/>
        </w:trPr>
        <w:tc>
          <w:tcPr>
            <w:tcW w:w="2117" w:type="dxa"/>
            <w:vMerge/>
            <w:tcBorders>
              <w:top w:val="nil"/>
              <w:left w:val="single" w:sz="8" w:space="0" w:color="A6A6A6"/>
              <w:bottom w:val="single" w:sz="8" w:space="0" w:color="A6A6A6"/>
              <w:right w:val="single" w:sz="8" w:space="0" w:color="A6A6A6"/>
            </w:tcBorders>
            <w:vAlign w:val="center"/>
            <w:hideMark/>
          </w:tcPr>
          <w:p w14:paraId="5D4E5F95" w14:textId="77777777" w:rsidR="002E0EA3" w:rsidRPr="00D20E79" w:rsidRDefault="002E0EA3">
            <w:pPr>
              <w:spacing w:after="0" w:line="240" w:lineRule="auto"/>
              <w:rPr>
                <w:rFonts w:eastAsia="Times New Roman" w:cs="Calibri"/>
                <w:b/>
                <w:color w:val="000000"/>
              </w:rPr>
            </w:pPr>
          </w:p>
        </w:tc>
        <w:tc>
          <w:tcPr>
            <w:tcW w:w="7087" w:type="dxa"/>
            <w:tcBorders>
              <w:top w:val="nil"/>
              <w:left w:val="nil"/>
              <w:bottom w:val="nil"/>
              <w:right w:val="single" w:sz="8" w:space="0" w:color="A6A6A6"/>
            </w:tcBorders>
            <w:vAlign w:val="center"/>
            <w:hideMark/>
          </w:tcPr>
          <w:p w14:paraId="22B5C49A" w14:textId="77777777" w:rsidR="002E0EA3" w:rsidRPr="00D20E79" w:rsidRDefault="002E0EA3">
            <w:pPr>
              <w:spacing w:after="0" w:line="240" w:lineRule="auto"/>
              <w:rPr>
                <w:rFonts w:eastAsia="Times New Roman" w:cs="Calibri"/>
                <w:color w:val="000000"/>
              </w:rPr>
            </w:pPr>
            <w:r w:rsidRPr="00D20E79">
              <w:rPr>
                <w:rFonts w:eastAsia="Times New Roman" w:cs="Calibri"/>
                <w:color w:val="000000"/>
              </w:rPr>
              <w:t>DD 671 DEL 03/12/2020 proroga ex art. 5, par. 5 Reg. CE 1370/2007 fino al 31/01/2022</w:t>
            </w:r>
          </w:p>
        </w:tc>
      </w:tr>
      <w:tr w:rsidR="002E0EA3" w:rsidRPr="00D20E79" w14:paraId="3479FBFF" w14:textId="77777777">
        <w:trPr>
          <w:trHeight w:val="300"/>
        </w:trPr>
        <w:tc>
          <w:tcPr>
            <w:tcW w:w="2117" w:type="dxa"/>
            <w:vMerge/>
            <w:tcBorders>
              <w:top w:val="nil"/>
              <w:left w:val="single" w:sz="8" w:space="0" w:color="A6A6A6"/>
              <w:bottom w:val="single" w:sz="8" w:space="0" w:color="A6A6A6"/>
              <w:right w:val="single" w:sz="8" w:space="0" w:color="A6A6A6"/>
            </w:tcBorders>
            <w:vAlign w:val="center"/>
            <w:hideMark/>
          </w:tcPr>
          <w:p w14:paraId="773BF6F1" w14:textId="77777777" w:rsidR="002E0EA3" w:rsidRPr="00D20E79" w:rsidRDefault="002E0EA3">
            <w:pPr>
              <w:spacing w:after="0" w:line="240" w:lineRule="auto"/>
              <w:rPr>
                <w:rFonts w:eastAsia="Times New Roman" w:cs="Calibri"/>
                <w:b/>
                <w:color w:val="000000"/>
              </w:rPr>
            </w:pPr>
          </w:p>
        </w:tc>
        <w:tc>
          <w:tcPr>
            <w:tcW w:w="7087" w:type="dxa"/>
            <w:tcBorders>
              <w:top w:val="nil"/>
              <w:left w:val="nil"/>
              <w:bottom w:val="nil"/>
              <w:right w:val="single" w:sz="8" w:space="0" w:color="A6A6A6"/>
            </w:tcBorders>
            <w:vAlign w:val="center"/>
            <w:hideMark/>
          </w:tcPr>
          <w:p w14:paraId="527D8591" w14:textId="77777777" w:rsidR="002E0EA3" w:rsidRPr="00D20E79" w:rsidRDefault="002E0EA3">
            <w:pPr>
              <w:spacing w:after="0" w:line="240" w:lineRule="auto"/>
              <w:rPr>
                <w:rFonts w:eastAsia="Times New Roman" w:cs="Calibri"/>
                <w:color w:val="000000"/>
              </w:rPr>
            </w:pPr>
            <w:r w:rsidRPr="00D20E79">
              <w:rPr>
                <w:rFonts w:eastAsia="Times New Roman" w:cs="Calibri"/>
                <w:color w:val="000000"/>
              </w:rPr>
              <w:t xml:space="preserve"> DD 859 DEL 30/12/2021 proroga ex art. 5, par. 5 Reg. CE 1370/2007 fino al 31/03/2023 </w:t>
            </w:r>
          </w:p>
        </w:tc>
      </w:tr>
      <w:tr w:rsidR="002E0EA3" w:rsidRPr="00D20E79" w14:paraId="5117D402" w14:textId="77777777">
        <w:trPr>
          <w:trHeight w:val="300"/>
        </w:trPr>
        <w:tc>
          <w:tcPr>
            <w:tcW w:w="2117" w:type="dxa"/>
            <w:vMerge/>
            <w:tcBorders>
              <w:top w:val="nil"/>
              <w:left w:val="single" w:sz="8" w:space="0" w:color="A6A6A6"/>
              <w:bottom w:val="single" w:sz="8" w:space="0" w:color="A6A6A6"/>
              <w:right w:val="single" w:sz="8" w:space="0" w:color="A6A6A6"/>
            </w:tcBorders>
            <w:vAlign w:val="center"/>
            <w:hideMark/>
          </w:tcPr>
          <w:p w14:paraId="46C523D4" w14:textId="77777777" w:rsidR="002E0EA3" w:rsidRPr="00D20E79" w:rsidRDefault="002E0EA3">
            <w:pPr>
              <w:spacing w:after="0" w:line="240" w:lineRule="auto"/>
              <w:rPr>
                <w:rFonts w:eastAsia="Times New Roman" w:cs="Calibri"/>
                <w:b/>
                <w:color w:val="000000"/>
              </w:rPr>
            </w:pPr>
          </w:p>
        </w:tc>
        <w:tc>
          <w:tcPr>
            <w:tcW w:w="7087" w:type="dxa"/>
            <w:tcBorders>
              <w:top w:val="nil"/>
              <w:left w:val="nil"/>
              <w:bottom w:val="nil"/>
              <w:right w:val="single" w:sz="8" w:space="0" w:color="A6A6A6"/>
            </w:tcBorders>
            <w:vAlign w:val="center"/>
            <w:hideMark/>
          </w:tcPr>
          <w:p w14:paraId="13FC4CB7" w14:textId="77777777" w:rsidR="002E0EA3" w:rsidRPr="00D20E79" w:rsidRDefault="002E0EA3">
            <w:pPr>
              <w:spacing w:after="0" w:line="240" w:lineRule="auto"/>
              <w:rPr>
                <w:rFonts w:eastAsia="Times New Roman" w:cs="Calibri"/>
                <w:color w:val="000000"/>
              </w:rPr>
            </w:pPr>
            <w:r w:rsidRPr="00D20E79">
              <w:rPr>
                <w:rFonts w:eastAsia="Times New Roman" w:cs="Calibri"/>
                <w:color w:val="000000"/>
              </w:rPr>
              <w:t>DD 241/2023 art. 5 par. 5 fino al 30/06/2023</w:t>
            </w:r>
          </w:p>
        </w:tc>
      </w:tr>
      <w:tr w:rsidR="002E0EA3" w:rsidRPr="00D20E79" w14:paraId="001AE07A" w14:textId="77777777">
        <w:trPr>
          <w:trHeight w:val="300"/>
        </w:trPr>
        <w:tc>
          <w:tcPr>
            <w:tcW w:w="2117" w:type="dxa"/>
            <w:vMerge/>
            <w:tcBorders>
              <w:top w:val="nil"/>
              <w:left w:val="single" w:sz="8" w:space="0" w:color="A6A6A6"/>
              <w:bottom w:val="single" w:sz="8" w:space="0" w:color="A6A6A6"/>
              <w:right w:val="single" w:sz="8" w:space="0" w:color="A6A6A6"/>
            </w:tcBorders>
            <w:vAlign w:val="center"/>
            <w:hideMark/>
          </w:tcPr>
          <w:p w14:paraId="1A2D2E2A" w14:textId="77777777" w:rsidR="002E0EA3" w:rsidRPr="00D20E79" w:rsidRDefault="002E0EA3">
            <w:pPr>
              <w:spacing w:after="0" w:line="240" w:lineRule="auto"/>
              <w:rPr>
                <w:rFonts w:eastAsia="Times New Roman" w:cs="Calibri"/>
                <w:b/>
                <w:color w:val="000000"/>
              </w:rPr>
            </w:pPr>
          </w:p>
        </w:tc>
        <w:tc>
          <w:tcPr>
            <w:tcW w:w="7087" w:type="dxa"/>
            <w:tcBorders>
              <w:top w:val="nil"/>
              <w:left w:val="nil"/>
              <w:bottom w:val="nil"/>
              <w:right w:val="single" w:sz="8" w:space="0" w:color="A6A6A6"/>
            </w:tcBorders>
            <w:vAlign w:val="center"/>
            <w:hideMark/>
          </w:tcPr>
          <w:p w14:paraId="5250C824" w14:textId="77777777" w:rsidR="002E0EA3" w:rsidRPr="00D20E79" w:rsidRDefault="002E0EA3">
            <w:pPr>
              <w:spacing w:after="0" w:line="240" w:lineRule="auto"/>
              <w:rPr>
                <w:rFonts w:eastAsia="Times New Roman" w:cs="Calibri"/>
                <w:color w:val="000000"/>
              </w:rPr>
            </w:pPr>
            <w:r w:rsidRPr="00D20E79">
              <w:rPr>
                <w:rFonts w:eastAsia="Times New Roman" w:cs="Calibri"/>
                <w:color w:val="000000"/>
              </w:rPr>
              <w:t>DD 483/2023 art. 5 par. 5 fino al 30/09/2023</w:t>
            </w:r>
          </w:p>
        </w:tc>
      </w:tr>
      <w:tr w:rsidR="002E0EA3" w:rsidRPr="00D20E79" w14:paraId="17297324" w14:textId="77777777">
        <w:trPr>
          <w:trHeight w:val="315"/>
        </w:trPr>
        <w:tc>
          <w:tcPr>
            <w:tcW w:w="2117" w:type="dxa"/>
            <w:vMerge/>
            <w:tcBorders>
              <w:top w:val="nil"/>
              <w:left w:val="single" w:sz="8" w:space="0" w:color="A6A6A6"/>
              <w:bottom w:val="single" w:sz="8" w:space="0" w:color="A6A6A6"/>
              <w:right w:val="single" w:sz="8" w:space="0" w:color="A6A6A6"/>
            </w:tcBorders>
            <w:vAlign w:val="center"/>
            <w:hideMark/>
          </w:tcPr>
          <w:p w14:paraId="2222622B" w14:textId="77777777" w:rsidR="002E0EA3" w:rsidRPr="00D20E79" w:rsidRDefault="002E0EA3">
            <w:pPr>
              <w:spacing w:after="0" w:line="240" w:lineRule="auto"/>
              <w:rPr>
                <w:rFonts w:eastAsia="Times New Roman" w:cs="Calibri"/>
                <w:b/>
                <w:color w:val="000000"/>
              </w:rPr>
            </w:pPr>
          </w:p>
        </w:tc>
        <w:tc>
          <w:tcPr>
            <w:tcW w:w="7087" w:type="dxa"/>
            <w:tcBorders>
              <w:top w:val="nil"/>
              <w:left w:val="nil"/>
              <w:bottom w:val="single" w:sz="8" w:space="0" w:color="A6A6A6"/>
              <w:right w:val="single" w:sz="8" w:space="0" w:color="A6A6A6"/>
            </w:tcBorders>
            <w:vAlign w:val="center"/>
            <w:hideMark/>
          </w:tcPr>
          <w:p w14:paraId="1C1CC7CB" w14:textId="77777777" w:rsidR="002E0EA3" w:rsidRPr="00D20E79" w:rsidRDefault="002E0EA3">
            <w:pPr>
              <w:spacing w:after="0" w:line="240" w:lineRule="auto"/>
              <w:rPr>
                <w:rFonts w:eastAsia="Times New Roman" w:cs="Calibri"/>
                <w:color w:val="000000"/>
              </w:rPr>
            </w:pPr>
            <w:r w:rsidRPr="00D20E79">
              <w:rPr>
                <w:rFonts w:eastAsia="Times New Roman" w:cs="Calibri"/>
                <w:color w:val="000000"/>
              </w:rPr>
              <w:t>DD 761/2023 Definizione del procedimento di proroga per investimenti (L.26/22) – sussistenza presupposti per proroga 01/01/2023-31/12/2026</w:t>
            </w:r>
          </w:p>
        </w:tc>
      </w:tr>
      <w:tr w:rsidR="002E0EA3" w:rsidRPr="00D20E79" w14:paraId="3907419E" w14:textId="77777777">
        <w:trPr>
          <w:trHeight w:val="315"/>
        </w:trPr>
        <w:tc>
          <w:tcPr>
            <w:tcW w:w="9204" w:type="dxa"/>
            <w:gridSpan w:val="2"/>
            <w:tcBorders>
              <w:top w:val="single" w:sz="8" w:space="0" w:color="A6A6A6"/>
              <w:left w:val="single" w:sz="8" w:space="0" w:color="A6A6A6"/>
              <w:bottom w:val="single" w:sz="8" w:space="0" w:color="A6A6A6"/>
              <w:right w:val="single" w:sz="8" w:space="0" w:color="A6A6A6"/>
            </w:tcBorders>
            <w:vAlign w:val="center"/>
            <w:hideMark/>
          </w:tcPr>
          <w:p w14:paraId="2C32EEFE" w14:textId="77777777" w:rsidR="002E0EA3" w:rsidRPr="00D20E79" w:rsidRDefault="002E0EA3">
            <w:pPr>
              <w:spacing w:after="0" w:line="240" w:lineRule="auto"/>
              <w:rPr>
                <w:rFonts w:eastAsia="Times New Roman" w:cs="Calibri"/>
                <w:b/>
                <w:color w:val="000000"/>
              </w:rPr>
            </w:pPr>
            <w:r w:rsidRPr="00D20E79">
              <w:rPr>
                <w:rFonts w:eastAsia="Times New Roman" w:cs="Calibri"/>
                <w:b/>
                <w:color w:val="000000"/>
              </w:rPr>
              <w:t>Servizio Urbano di Carmagnola</w:t>
            </w:r>
          </w:p>
        </w:tc>
      </w:tr>
      <w:tr w:rsidR="002E0EA3" w:rsidRPr="00D20E79" w14:paraId="0BFC41A5" w14:textId="77777777">
        <w:trPr>
          <w:trHeight w:val="315"/>
        </w:trPr>
        <w:tc>
          <w:tcPr>
            <w:tcW w:w="2117" w:type="dxa"/>
            <w:tcBorders>
              <w:top w:val="nil"/>
              <w:left w:val="single" w:sz="8" w:space="0" w:color="A6A6A6"/>
              <w:bottom w:val="single" w:sz="8" w:space="0" w:color="A6A6A6"/>
              <w:right w:val="single" w:sz="8" w:space="0" w:color="A6A6A6"/>
            </w:tcBorders>
            <w:vAlign w:val="center"/>
            <w:hideMark/>
          </w:tcPr>
          <w:p w14:paraId="666D1ED7" w14:textId="77777777" w:rsidR="002E0EA3" w:rsidRPr="00D20E79" w:rsidRDefault="002E0EA3">
            <w:pPr>
              <w:spacing w:after="0" w:line="240" w:lineRule="auto"/>
              <w:rPr>
                <w:rFonts w:eastAsia="Times New Roman" w:cs="Calibri"/>
                <w:b/>
                <w:color w:val="000000"/>
              </w:rPr>
            </w:pPr>
            <w:r w:rsidRPr="00D20E79">
              <w:rPr>
                <w:rFonts w:eastAsia="Times New Roman" w:cs="Calibri"/>
                <w:b/>
                <w:color w:val="000000"/>
              </w:rPr>
              <w:lastRenderedPageBreak/>
              <w:t>Modalità affidamento:</w:t>
            </w:r>
          </w:p>
        </w:tc>
        <w:tc>
          <w:tcPr>
            <w:tcW w:w="7087" w:type="dxa"/>
            <w:tcBorders>
              <w:top w:val="nil"/>
              <w:left w:val="nil"/>
              <w:bottom w:val="single" w:sz="8" w:space="0" w:color="A6A6A6"/>
              <w:right w:val="single" w:sz="8" w:space="0" w:color="A6A6A6"/>
            </w:tcBorders>
            <w:vAlign w:val="center"/>
            <w:hideMark/>
          </w:tcPr>
          <w:p w14:paraId="03451326" w14:textId="77777777" w:rsidR="002E0EA3" w:rsidRPr="00D20E79" w:rsidRDefault="002E0EA3">
            <w:pPr>
              <w:spacing w:after="0" w:line="240" w:lineRule="auto"/>
              <w:rPr>
                <w:rFonts w:eastAsia="Times New Roman" w:cs="Calibri"/>
                <w:color w:val="000000"/>
              </w:rPr>
            </w:pPr>
            <w:r w:rsidRPr="00D20E79">
              <w:rPr>
                <w:rFonts w:eastAsia="Times New Roman" w:cs="Calibri"/>
                <w:color w:val="000000"/>
              </w:rPr>
              <w:t>mediante gara con contratto rep n. 7447 del 28/12/2010 con durata dal 01/01/2011 - 31/12/2016</w:t>
            </w:r>
          </w:p>
        </w:tc>
      </w:tr>
      <w:tr w:rsidR="002E0EA3" w:rsidRPr="00D20E79" w14:paraId="1C289880" w14:textId="77777777">
        <w:trPr>
          <w:trHeight w:val="300"/>
        </w:trPr>
        <w:tc>
          <w:tcPr>
            <w:tcW w:w="2117" w:type="dxa"/>
            <w:vMerge w:val="restart"/>
            <w:tcBorders>
              <w:top w:val="nil"/>
              <w:left w:val="single" w:sz="8" w:space="0" w:color="A6A6A6"/>
              <w:bottom w:val="single" w:sz="8" w:space="0" w:color="A6A6A6"/>
              <w:right w:val="single" w:sz="8" w:space="0" w:color="A6A6A6"/>
            </w:tcBorders>
            <w:vAlign w:val="center"/>
            <w:hideMark/>
          </w:tcPr>
          <w:p w14:paraId="676F0A31" w14:textId="77777777" w:rsidR="002E0EA3" w:rsidRPr="00D20E79" w:rsidRDefault="002E0EA3">
            <w:pPr>
              <w:spacing w:after="0" w:line="240" w:lineRule="auto"/>
              <w:rPr>
                <w:rFonts w:eastAsia="Times New Roman" w:cs="Calibri"/>
                <w:b/>
                <w:color w:val="000000"/>
              </w:rPr>
            </w:pPr>
            <w:r w:rsidRPr="00D20E79">
              <w:rPr>
                <w:rFonts w:eastAsia="Times New Roman" w:cs="Calibri"/>
                <w:b/>
                <w:color w:val="000000"/>
              </w:rPr>
              <w:t>Atti di proroga e imposizione di OdS:</w:t>
            </w:r>
          </w:p>
        </w:tc>
        <w:tc>
          <w:tcPr>
            <w:tcW w:w="7087" w:type="dxa"/>
            <w:tcBorders>
              <w:top w:val="nil"/>
              <w:left w:val="nil"/>
              <w:bottom w:val="nil"/>
              <w:right w:val="single" w:sz="8" w:space="0" w:color="A6A6A6"/>
            </w:tcBorders>
            <w:vAlign w:val="center"/>
            <w:hideMark/>
          </w:tcPr>
          <w:p w14:paraId="29E6F3ED" w14:textId="77777777" w:rsidR="002E0EA3" w:rsidRPr="00D20E79" w:rsidRDefault="002E0EA3">
            <w:pPr>
              <w:spacing w:after="0" w:line="240" w:lineRule="auto"/>
              <w:rPr>
                <w:rFonts w:eastAsia="Times New Roman" w:cs="Calibri"/>
                <w:color w:val="000000"/>
              </w:rPr>
            </w:pPr>
            <w:r w:rsidRPr="00D20E79">
              <w:rPr>
                <w:rFonts w:eastAsia="Times New Roman" w:cs="Calibri"/>
                <w:color w:val="000000"/>
              </w:rPr>
              <w:t>Convenzione per il trasferimento del contatto ad AMP dal 01/01/2018</w:t>
            </w:r>
          </w:p>
        </w:tc>
      </w:tr>
      <w:tr w:rsidR="002E0EA3" w:rsidRPr="00D20E79" w14:paraId="3227F2A1" w14:textId="77777777">
        <w:trPr>
          <w:trHeight w:val="300"/>
        </w:trPr>
        <w:tc>
          <w:tcPr>
            <w:tcW w:w="2117" w:type="dxa"/>
            <w:vMerge/>
            <w:tcBorders>
              <w:top w:val="nil"/>
              <w:left w:val="single" w:sz="8" w:space="0" w:color="A6A6A6"/>
              <w:bottom w:val="single" w:sz="8" w:space="0" w:color="A6A6A6"/>
              <w:right w:val="single" w:sz="8" w:space="0" w:color="A6A6A6"/>
            </w:tcBorders>
            <w:vAlign w:val="center"/>
            <w:hideMark/>
          </w:tcPr>
          <w:p w14:paraId="5C6F3253" w14:textId="77777777" w:rsidR="002E0EA3" w:rsidRPr="00D20E79" w:rsidRDefault="002E0EA3">
            <w:pPr>
              <w:spacing w:after="0" w:line="240" w:lineRule="auto"/>
              <w:rPr>
                <w:rFonts w:eastAsia="Times New Roman" w:cs="Calibri"/>
                <w:b/>
                <w:color w:val="000000"/>
              </w:rPr>
            </w:pPr>
          </w:p>
        </w:tc>
        <w:tc>
          <w:tcPr>
            <w:tcW w:w="7087" w:type="dxa"/>
            <w:tcBorders>
              <w:top w:val="nil"/>
              <w:left w:val="nil"/>
              <w:bottom w:val="nil"/>
              <w:right w:val="single" w:sz="8" w:space="0" w:color="A6A6A6"/>
            </w:tcBorders>
            <w:vAlign w:val="center"/>
            <w:hideMark/>
          </w:tcPr>
          <w:p w14:paraId="30EA9376" w14:textId="77777777" w:rsidR="002E0EA3" w:rsidRPr="00D20E79" w:rsidRDefault="002E0EA3">
            <w:pPr>
              <w:spacing w:after="0" w:line="240" w:lineRule="auto"/>
              <w:rPr>
                <w:rFonts w:eastAsia="Times New Roman" w:cs="Calibri"/>
                <w:color w:val="000000"/>
              </w:rPr>
            </w:pPr>
            <w:r w:rsidRPr="00D20E79">
              <w:rPr>
                <w:rFonts w:eastAsia="Times New Roman" w:cs="Calibri"/>
                <w:color w:val="000000"/>
              </w:rPr>
              <w:t>Nota 12942/2019 imposizione OdS anno 2020</w:t>
            </w:r>
          </w:p>
        </w:tc>
      </w:tr>
      <w:tr w:rsidR="002E0EA3" w:rsidRPr="00D20E79" w14:paraId="13098A0C" w14:textId="77777777">
        <w:trPr>
          <w:trHeight w:val="300"/>
        </w:trPr>
        <w:tc>
          <w:tcPr>
            <w:tcW w:w="2117" w:type="dxa"/>
            <w:vMerge/>
            <w:tcBorders>
              <w:top w:val="nil"/>
              <w:left w:val="single" w:sz="8" w:space="0" w:color="A6A6A6"/>
              <w:bottom w:val="single" w:sz="8" w:space="0" w:color="A6A6A6"/>
              <w:right w:val="single" w:sz="8" w:space="0" w:color="A6A6A6"/>
            </w:tcBorders>
            <w:vAlign w:val="center"/>
            <w:hideMark/>
          </w:tcPr>
          <w:p w14:paraId="4193DF62" w14:textId="77777777" w:rsidR="002E0EA3" w:rsidRPr="00D20E79" w:rsidRDefault="002E0EA3">
            <w:pPr>
              <w:spacing w:after="0" w:line="240" w:lineRule="auto"/>
              <w:rPr>
                <w:rFonts w:eastAsia="Times New Roman" w:cs="Calibri"/>
                <w:b/>
                <w:color w:val="000000"/>
              </w:rPr>
            </w:pPr>
          </w:p>
        </w:tc>
        <w:tc>
          <w:tcPr>
            <w:tcW w:w="7087" w:type="dxa"/>
            <w:tcBorders>
              <w:top w:val="nil"/>
              <w:left w:val="nil"/>
              <w:bottom w:val="nil"/>
              <w:right w:val="single" w:sz="8" w:space="0" w:color="A6A6A6"/>
            </w:tcBorders>
            <w:vAlign w:val="center"/>
            <w:hideMark/>
          </w:tcPr>
          <w:p w14:paraId="60ED84B9" w14:textId="77777777" w:rsidR="002E0EA3" w:rsidRPr="00D20E79" w:rsidRDefault="002E0EA3">
            <w:pPr>
              <w:spacing w:after="0" w:line="240" w:lineRule="auto"/>
              <w:rPr>
                <w:rFonts w:eastAsia="Times New Roman" w:cs="Calibri"/>
                <w:color w:val="000000"/>
              </w:rPr>
            </w:pPr>
            <w:r w:rsidRPr="00D20E79">
              <w:rPr>
                <w:rFonts w:eastAsia="Times New Roman" w:cs="Calibri"/>
                <w:color w:val="000000"/>
              </w:rPr>
              <w:t>DD 679 DEL 03/12/2020 proroga ex art. 5, par. 5 Reg. CE 1370/2007 fino al 31/01/2022</w:t>
            </w:r>
          </w:p>
        </w:tc>
      </w:tr>
      <w:tr w:rsidR="002E0EA3" w:rsidRPr="00D20E79" w14:paraId="09AEC706" w14:textId="77777777">
        <w:trPr>
          <w:trHeight w:val="300"/>
        </w:trPr>
        <w:tc>
          <w:tcPr>
            <w:tcW w:w="2117" w:type="dxa"/>
            <w:vMerge/>
            <w:tcBorders>
              <w:top w:val="nil"/>
              <w:left w:val="single" w:sz="8" w:space="0" w:color="A6A6A6"/>
              <w:bottom w:val="single" w:sz="8" w:space="0" w:color="A6A6A6"/>
              <w:right w:val="single" w:sz="8" w:space="0" w:color="A6A6A6"/>
            </w:tcBorders>
            <w:vAlign w:val="center"/>
            <w:hideMark/>
          </w:tcPr>
          <w:p w14:paraId="7001A3DB" w14:textId="77777777" w:rsidR="002E0EA3" w:rsidRPr="00D20E79" w:rsidRDefault="002E0EA3">
            <w:pPr>
              <w:spacing w:after="0" w:line="240" w:lineRule="auto"/>
              <w:rPr>
                <w:rFonts w:eastAsia="Times New Roman" w:cs="Calibri"/>
                <w:b/>
                <w:color w:val="000000"/>
              </w:rPr>
            </w:pPr>
          </w:p>
        </w:tc>
        <w:tc>
          <w:tcPr>
            <w:tcW w:w="7087" w:type="dxa"/>
            <w:tcBorders>
              <w:top w:val="nil"/>
              <w:left w:val="nil"/>
              <w:bottom w:val="nil"/>
              <w:right w:val="single" w:sz="8" w:space="0" w:color="A6A6A6"/>
            </w:tcBorders>
            <w:vAlign w:val="center"/>
            <w:hideMark/>
          </w:tcPr>
          <w:p w14:paraId="09F7FCED" w14:textId="77777777" w:rsidR="002E0EA3" w:rsidRPr="00D20E79" w:rsidRDefault="002E0EA3">
            <w:pPr>
              <w:spacing w:after="0" w:line="240" w:lineRule="auto"/>
              <w:rPr>
                <w:rFonts w:eastAsia="Times New Roman" w:cs="Calibri"/>
                <w:color w:val="000000"/>
              </w:rPr>
            </w:pPr>
            <w:r w:rsidRPr="00D20E79">
              <w:rPr>
                <w:rFonts w:eastAsia="Times New Roman" w:cs="Calibri"/>
                <w:color w:val="000000"/>
              </w:rPr>
              <w:t xml:space="preserve"> DD 856 DEL 30/12/2021 proroga ex art. 5, par. 5 Reg. CE 1370/2007 fino al 31/03/2023 </w:t>
            </w:r>
          </w:p>
        </w:tc>
      </w:tr>
      <w:tr w:rsidR="002E0EA3" w:rsidRPr="00D20E79" w14:paraId="3D414ECD" w14:textId="77777777">
        <w:trPr>
          <w:trHeight w:val="300"/>
        </w:trPr>
        <w:tc>
          <w:tcPr>
            <w:tcW w:w="2117" w:type="dxa"/>
            <w:vMerge/>
            <w:tcBorders>
              <w:top w:val="nil"/>
              <w:left w:val="single" w:sz="8" w:space="0" w:color="A6A6A6"/>
              <w:bottom w:val="single" w:sz="8" w:space="0" w:color="A6A6A6"/>
              <w:right w:val="single" w:sz="8" w:space="0" w:color="A6A6A6"/>
            </w:tcBorders>
            <w:vAlign w:val="center"/>
            <w:hideMark/>
          </w:tcPr>
          <w:p w14:paraId="1115EA21" w14:textId="77777777" w:rsidR="002E0EA3" w:rsidRPr="00D20E79" w:rsidRDefault="002E0EA3">
            <w:pPr>
              <w:spacing w:after="0" w:line="240" w:lineRule="auto"/>
              <w:rPr>
                <w:rFonts w:eastAsia="Times New Roman" w:cs="Calibri"/>
                <w:b/>
                <w:color w:val="000000"/>
              </w:rPr>
            </w:pPr>
          </w:p>
        </w:tc>
        <w:tc>
          <w:tcPr>
            <w:tcW w:w="7087" w:type="dxa"/>
            <w:tcBorders>
              <w:top w:val="nil"/>
              <w:left w:val="nil"/>
              <w:bottom w:val="nil"/>
              <w:right w:val="single" w:sz="8" w:space="0" w:color="A6A6A6"/>
            </w:tcBorders>
            <w:vAlign w:val="center"/>
            <w:hideMark/>
          </w:tcPr>
          <w:p w14:paraId="10C3A944" w14:textId="77777777" w:rsidR="002E0EA3" w:rsidRPr="00D20E79" w:rsidRDefault="002E0EA3">
            <w:pPr>
              <w:spacing w:after="0" w:line="240" w:lineRule="auto"/>
              <w:rPr>
                <w:rFonts w:eastAsia="Times New Roman" w:cs="Calibri"/>
                <w:color w:val="000000"/>
              </w:rPr>
            </w:pPr>
            <w:r w:rsidRPr="00D20E79">
              <w:rPr>
                <w:rFonts w:eastAsia="Times New Roman" w:cs="Calibri"/>
                <w:color w:val="000000"/>
              </w:rPr>
              <w:t>DD 242/2023 art. 5 par. 5 fino al 30/06/2023</w:t>
            </w:r>
          </w:p>
        </w:tc>
      </w:tr>
      <w:tr w:rsidR="002E0EA3" w:rsidRPr="00D20E79" w14:paraId="79E518B4" w14:textId="77777777">
        <w:trPr>
          <w:trHeight w:val="300"/>
        </w:trPr>
        <w:tc>
          <w:tcPr>
            <w:tcW w:w="2117" w:type="dxa"/>
            <w:vMerge/>
            <w:tcBorders>
              <w:top w:val="nil"/>
              <w:left w:val="single" w:sz="8" w:space="0" w:color="A6A6A6"/>
              <w:bottom w:val="single" w:sz="8" w:space="0" w:color="A6A6A6"/>
              <w:right w:val="single" w:sz="8" w:space="0" w:color="A6A6A6"/>
            </w:tcBorders>
            <w:vAlign w:val="center"/>
            <w:hideMark/>
          </w:tcPr>
          <w:p w14:paraId="0D78D1B0" w14:textId="77777777" w:rsidR="002E0EA3" w:rsidRPr="00D20E79" w:rsidRDefault="002E0EA3">
            <w:pPr>
              <w:spacing w:after="0" w:line="240" w:lineRule="auto"/>
              <w:rPr>
                <w:rFonts w:eastAsia="Times New Roman" w:cs="Calibri"/>
                <w:b/>
                <w:color w:val="000000"/>
              </w:rPr>
            </w:pPr>
          </w:p>
        </w:tc>
        <w:tc>
          <w:tcPr>
            <w:tcW w:w="7087" w:type="dxa"/>
            <w:tcBorders>
              <w:top w:val="nil"/>
              <w:left w:val="nil"/>
              <w:bottom w:val="nil"/>
              <w:right w:val="single" w:sz="8" w:space="0" w:color="A6A6A6"/>
            </w:tcBorders>
            <w:vAlign w:val="center"/>
            <w:hideMark/>
          </w:tcPr>
          <w:p w14:paraId="6F10FDCA" w14:textId="77777777" w:rsidR="002E0EA3" w:rsidRPr="00D20E79" w:rsidRDefault="002E0EA3">
            <w:pPr>
              <w:spacing w:after="0" w:line="240" w:lineRule="auto"/>
              <w:rPr>
                <w:rFonts w:eastAsia="Times New Roman" w:cs="Calibri"/>
                <w:color w:val="000000"/>
              </w:rPr>
            </w:pPr>
            <w:r w:rsidRPr="00D20E79">
              <w:rPr>
                <w:rFonts w:eastAsia="Times New Roman" w:cs="Calibri"/>
                <w:color w:val="000000"/>
              </w:rPr>
              <w:t>DD 483/2023 art. 5 par. 5 fino al 30/09/2023</w:t>
            </w:r>
          </w:p>
        </w:tc>
      </w:tr>
      <w:tr w:rsidR="002E0EA3" w:rsidRPr="00D20E79" w14:paraId="5CEC2315" w14:textId="77777777">
        <w:trPr>
          <w:trHeight w:val="315"/>
        </w:trPr>
        <w:tc>
          <w:tcPr>
            <w:tcW w:w="2117" w:type="dxa"/>
            <w:vMerge/>
            <w:tcBorders>
              <w:top w:val="nil"/>
              <w:left w:val="single" w:sz="8" w:space="0" w:color="A6A6A6"/>
              <w:bottom w:val="single" w:sz="8" w:space="0" w:color="A6A6A6"/>
              <w:right w:val="single" w:sz="8" w:space="0" w:color="A6A6A6"/>
            </w:tcBorders>
            <w:vAlign w:val="center"/>
            <w:hideMark/>
          </w:tcPr>
          <w:p w14:paraId="64F1A800" w14:textId="77777777" w:rsidR="002E0EA3" w:rsidRPr="00D20E79" w:rsidRDefault="002E0EA3">
            <w:pPr>
              <w:spacing w:after="0" w:line="240" w:lineRule="auto"/>
              <w:rPr>
                <w:rFonts w:eastAsia="Times New Roman" w:cs="Calibri"/>
                <w:b/>
                <w:color w:val="000000"/>
              </w:rPr>
            </w:pPr>
          </w:p>
        </w:tc>
        <w:tc>
          <w:tcPr>
            <w:tcW w:w="7087" w:type="dxa"/>
            <w:tcBorders>
              <w:top w:val="nil"/>
              <w:left w:val="nil"/>
              <w:bottom w:val="single" w:sz="8" w:space="0" w:color="A6A6A6"/>
              <w:right w:val="single" w:sz="8" w:space="0" w:color="A6A6A6"/>
            </w:tcBorders>
            <w:vAlign w:val="center"/>
            <w:hideMark/>
          </w:tcPr>
          <w:p w14:paraId="25C6F685" w14:textId="77777777" w:rsidR="002E0EA3" w:rsidRPr="00D20E79" w:rsidRDefault="002E0EA3">
            <w:pPr>
              <w:spacing w:after="0" w:line="240" w:lineRule="auto"/>
              <w:rPr>
                <w:rFonts w:eastAsia="Times New Roman" w:cs="Calibri"/>
                <w:color w:val="000000"/>
              </w:rPr>
            </w:pPr>
            <w:r w:rsidRPr="00D20E79">
              <w:rPr>
                <w:rFonts w:eastAsia="Times New Roman" w:cs="Calibri"/>
                <w:color w:val="000000"/>
              </w:rPr>
              <w:t>DD 761/2023 Definizione del procedimento di proroga per investimenti (L.26/22) – sussistenza presupposti per proroga 01/01/2023-31/12/2026</w:t>
            </w:r>
          </w:p>
        </w:tc>
      </w:tr>
      <w:tr w:rsidR="002E0EA3" w:rsidRPr="00D20E79" w14:paraId="39FB14C3" w14:textId="77777777">
        <w:trPr>
          <w:trHeight w:val="315"/>
        </w:trPr>
        <w:tc>
          <w:tcPr>
            <w:tcW w:w="9204" w:type="dxa"/>
            <w:gridSpan w:val="2"/>
            <w:tcBorders>
              <w:top w:val="single" w:sz="8" w:space="0" w:color="A6A6A6"/>
              <w:left w:val="single" w:sz="8" w:space="0" w:color="A6A6A6"/>
              <w:bottom w:val="single" w:sz="8" w:space="0" w:color="A6A6A6"/>
              <w:right w:val="single" w:sz="8" w:space="0" w:color="A6A6A6"/>
            </w:tcBorders>
            <w:vAlign w:val="center"/>
            <w:hideMark/>
          </w:tcPr>
          <w:p w14:paraId="6A0AC381" w14:textId="6E73BF24" w:rsidR="002E0EA3" w:rsidRPr="00D20E79" w:rsidRDefault="002E0EA3">
            <w:pPr>
              <w:spacing w:after="0" w:line="240" w:lineRule="auto"/>
              <w:jc w:val="left"/>
              <w:rPr>
                <w:rFonts w:eastAsia="Times New Roman" w:cs="Calibri"/>
                <w:b/>
                <w:color w:val="000000"/>
              </w:rPr>
            </w:pPr>
            <w:r w:rsidRPr="00D20E79">
              <w:rPr>
                <w:rFonts w:eastAsia="Times New Roman" w:cs="Calibri"/>
                <w:b/>
                <w:color w:val="000000"/>
              </w:rPr>
              <w:t>Servizio Urbano di Giaveno</w:t>
            </w:r>
          </w:p>
        </w:tc>
      </w:tr>
      <w:tr w:rsidR="002E0EA3" w:rsidRPr="00D20E79" w14:paraId="4ECFF105" w14:textId="77777777">
        <w:trPr>
          <w:trHeight w:val="315"/>
        </w:trPr>
        <w:tc>
          <w:tcPr>
            <w:tcW w:w="2117" w:type="dxa"/>
            <w:tcBorders>
              <w:top w:val="nil"/>
              <w:left w:val="single" w:sz="8" w:space="0" w:color="A6A6A6"/>
              <w:bottom w:val="single" w:sz="8" w:space="0" w:color="A6A6A6"/>
              <w:right w:val="single" w:sz="8" w:space="0" w:color="A6A6A6"/>
            </w:tcBorders>
            <w:vAlign w:val="center"/>
            <w:hideMark/>
          </w:tcPr>
          <w:p w14:paraId="70586211" w14:textId="77777777" w:rsidR="002E0EA3" w:rsidRPr="00D20E79" w:rsidRDefault="002E0EA3">
            <w:pPr>
              <w:spacing w:after="0" w:line="240" w:lineRule="auto"/>
              <w:rPr>
                <w:rFonts w:eastAsia="Times New Roman" w:cs="Calibri"/>
                <w:b/>
                <w:color w:val="000000"/>
              </w:rPr>
            </w:pPr>
            <w:r w:rsidRPr="00D20E79">
              <w:rPr>
                <w:rFonts w:eastAsia="Times New Roman" w:cs="Calibri"/>
                <w:b/>
                <w:color w:val="000000"/>
              </w:rPr>
              <w:t>Modalità affidamento:</w:t>
            </w:r>
          </w:p>
        </w:tc>
        <w:tc>
          <w:tcPr>
            <w:tcW w:w="7087" w:type="dxa"/>
            <w:tcBorders>
              <w:top w:val="nil"/>
              <w:left w:val="nil"/>
              <w:bottom w:val="single" w:sz="8" w:space="0" w:color="A6A6A6"/>
              <w:right w:val="single" w:sz="8" w:space="0" w:color="A6A6A6"/>
            </w:tcBorders>
            <w:vAlign w:val="center"/>
            <w:hideMark/>
          </w:tcPr>
          <w:p w14:paraId="09B70F3B" w14:textId="77777777" w:rsidR="002E0EA3" w:rsidRPr="00D20E79" w:rsidRDefault="002E0EA3">
            <w:pPr>
              <w:spacing w:after="0" w:line="240" w:lineRule="auto"/>
              <w:rPr>
                <w:rFonts w:eastAsia="Times New Roman" w:cs="Calibri"/>
                <w:color w:val="000000"/>
              </w:rPr>
            </w:pPr>
            <w:r w:rsidRPr="00D20E79">
              <w:rPr>
                <w:rFonts w:eastAsia="Times New Roman" w:cs="Calibri"/>
                <w:color w:val="000000"/>
              </w:rPr>
              <w:t>mediante gara con contratto rep n. 1010 del 28/12/2010 con durata dal 01/01/2011 - 31/12/2016</w:t>
            </w:r>
          </w:p>
        </w:tc>
      </w:tr>
      <w:tr w:rsidR="002E0EA3" w:rsidRPr="00D20E79" w14:paraId="5A605646" w14:textId="77777777">
        <w:trPr>
          <w:trHeight w:val="300"/>
        </w:trPr>
        <w:tc>
          <w:tcPr>
            <w:tcW w:w="2117" w:type="dxa"/>
            <w:vMerge w:val="restart"/>
            <w:tcBorders>
              <w:top w:val="nil"/>
              <w:left w:val="single" w:sz="8" w:space="0" w:color="A6A6A6"/>
              <w:bottom w:val="single" w:sz="8" w:space="0" w:color="A6A6A6"/>
              <w:right w:val="single" w:sz="8" w:space="0" w:color="A6A6A6"/>
            </w:tcBorders>
            <w:vAlign w:val="center"/>
            <w:hideMark/>
          </w:tcPr>
          <w:p w14:paraId="1A5E3B90" w14:textId="77777777" w:rsidR="002E0EA3" w:rsidRPr="00D20E79" w:rsidRDefault="002E0EA3">
            <w:pPr>
              <w:spacing w:after="0" w:line="240" w:lineRule="auto"/>
              <w:rPr>
                <w:rFonts w:eastAsia="Times New Roman" w:cs="Calibri"/>
                <w:b/>
                <w:color w:val="000000"/>
              </w:rPr>
            </w:pPr>
            <w:r w:rsidRPr="00D20E79">
              <w:rPr>
                <w:rFonts w:eastAsia="Times New Roman" w:cs="Calibri"/>
                <w:b/>
                <w:color w:val="000000"/>
              </w:rPr>
              <w:t>Atti di proroga e imposizione di OdS:</w:t>
            </w:r>
          </w:p>
        </w:tc>
        <w:tc>
          <w:tcPr>
            <w:tcW w:w="7087" w:type="dxa"/>
            <w:tcBorders>
              <w:top w:val="nil"/>
              <w:left w:val="nil"/>
              <w:bottom w:val="nil"/>
              <w:right w:val="single" w:sz="8" w:space="0" w:color="A6A6A6"/>
            </w:tcBorders>
            <w:vAlign w:val="center"/>
            <w:hideMark/>
          </w:tcPr>
          <w:p w14:paraId="2C1FC89F" w14:textId="77777777" w:rsidR="002E0EA3" w:rsidRPr="00D20E79" w:rsidRDefault="002E0EA3">
            <w:pPr>
              <w:spacing w:after="0" w:line="240" w:lineRule="auto"/>
              <w:rPr>
                <w:rFonts w:eastAsia="Times New Roman" w:cs="Calibri"/>
                <w:color w:val="000000"/>
              </w:rPr>
            </w:pPr>
            <w:r w:rsidRPr="00D20E79">
              <w:rPr>
                <w:rFonts w:eastAsia="Times New Roman" w:cs="Calibri"/>
                <w:color w:val="000000"/>
              </w:rPr>
              <w:t>Delibera GC/144/2023 del 29/12/2023 Comune di Giaveno – Approvazione della cessione del contratto ad AMP a far data dal 01/10/2023</w:t>
            </w:r>
          </w:p>
        </w:tc>
      </w:tr>
      <w:tr w:rsidR="002E0EA3" w:rsidRPr="00D20E79" w14:paraId="408C096F" w14:textId="77777777">
        <w:trPr>
          <w:trHeight w:val="315"/>
        </w:trPr>
        <w:tc>
          <w:tcPr>
            <w:tcW w:w="2117" w:type="dxa"/>
            <w:vMerge/>
            <w:tcBorders>
              <w:top w:val="nil"/>
              <w:left w:val="single" w:sz="8" w:space="0" w:color="A6A6A6"/>
              <w:bottom w:val="single" w:sz="8" w:space="0" w:color="A6A6A6"/>
              <w:right w:val="single" w:sz="8" w:space="0" w:color="A6A6A6"/>
            </w:tcBorders>
            <w:vAlign w:val="center"/>
            <w:hideMark/>
          </w:tcPr>
          <w:p w14:paraId="3CDAA574" w14:textId="77777777" w:rsidR="002E0EA3" w:rsidRPr="00D20E79" w:rsidRDefault="002E0EA3">
            <w:pPr>
              <w:spacing w:after="0" w:line="240" w:lineRule="auto"/>
              <w:rPr>
                <w:rFonts w:eastAsia="Times New Roman" w:cs="Calibri"/>
                <w:b/>
                <w:color w:val="000000"/>
              </w:rPr>
            </w:pPr>
          </w:p>
        </w:tc>
        <w:tc>
          <w:tcPr>
            <w:tcW w:w="7087" w:type="dxa"/>
            <w:tcBorders>
              <w:top w:val="nil"/>
              <w:left w:val="nil"/>
              <w:bottom w:val="single" w:sz="8" w:space="0" w:color="A6A6A6"/>
              <w:right w:val="single" w:sz="8" w:space="0" w:color="A6A6A6"/>
            </w:tcBorders>
            <w:vAlign w:val="center"/>
            <w:hideMark/>
          </w:tcPr>
          <w:p w14:paraId="2B0A2DCE" w14:textId="77777777" w:rsidR="002E0EA3" w:rsidRPr="00D20E79" w:rsidRDefault="002E0EA3">
            <w:pPr>
              <w:spacing w:after="0" w:line="240" w:lineRule="auto"/>
              <w:rPr>
                <w:rFonts w:eastAsia="Times New Roman" w:cs="Calibri"/>
                <w:color w:val="000000"/>
              </w:rPr>
            </w:pPr>
            <w:r w:rsidRPr="00D20E79">
              <w:rPr>
                <w:rFonts w:eastAsia="Times New Roman" w:cs="Calibri"/>
                <w:color w:val="000000"/>
              </w:rPr>
              <w:t>DD 761/2023 Definizione del procedimento di proroga per investimenti (L.26/22) – sussistenza presupposti per proroga 01/01/2023-31/12/2026</w:t>
            </w:r>
          </w:p>
        </w:tc>
      </w:tr>
      <w:tr w:rsidR="002E0EA3" w:rsidRPr="00D20E79" w14:paraId="1BACA6BC" w14:textId="77777777">
        <w:trPr>
          <w:trHeight w:val="315"/>
        </w:trPr>
        <w:tc>
          <w:tcPr>
            <w:tcW w:w="9204" w:type="dxa"/>
            <w:gridSpan w:val="2"/>
            <w:tcBorders>
              <w:top w:val="single" w:sz="8" w:space="0" w:color="A6A6A6"/>
              <w:left w:val="single" w:sz="8" w:space="0" w:color="A6A6A6"/>
              <w:bottom w:val="single" w:sz="8" w:space="0" w:color="A6A6A6"/>
              <w:right w:val="single" w:sz="8" w:space="0" w:color="A6A6A6"/>
            </w:tcBorders>
            <w:vAlign w:val="center"/>
            <w:hideMark/>
          </w:tcPr>
          <w:p w14:paraId="5752B9BF" w14:textId="77777777" w:rsidR="002E0EA3" w:rsidRPr="00D20E79" w:rsidRDefault="002E0EA3">
            <w:pPr>
              <w:spacing w:after="0" w:line="240" w:lineRule="auto"/>
              <w:rPr>
                <w:rFonts w:eastAsia="Times New Roman" w:cs="Calibri"/>
                <w:b/>
                <w:color w:val="000000"/>
              </w:rPr>
            </w:pPr>
            <w:r w:rsidRPr="00D20E79">
              <w:rPr>
                <w:rFonts w:eastAsia="Times New Roman" w:cs="Calibri"/>
                <w:b/>
                <w:color w:val="000000"/>
              </w:rPr>
              <w:t xml:space="preserve">Servizio Urbano di </w:t>
            </w:r>
            <w:r>
              <w:rPr>
                <w:rFonts w:eastAsia="Times New Roman" w:cs="Calibri"/>
                <w:b/>
                <w:color w:val="000000"/>
              </w:rPr>
              <w:t>Bardonecchia</w:t>
            </w:r>
          </w:p>
        </w:tc>
      </w:tr>
      <w:tr w:rsidR="002E0EA3" w:rsidRPr="00D20E79" w14:paraId="50A89E75" w14:textId="77777777">
        <w:trPr>
          <w:trHeight w:val="315"/>
        </w:trPr>
        <w:tc>
          <w:tcPr>
            <w:tcW w:w="2117" w:type="dxa"/>
            <w:tcBorders>
              <w:top w:val="nil"/>
              <w:left w:val="single" w:sz="8" w:space="0" w:color="A6A6A6"/>
              <w:bottom w:val="single" w:sz="8" w:space="0" w:color="A6A6A6"/>
              <w:right w:val="single" w:sz="8" w:space="0" w:color="A6A6A6"/>
            </w:tcBorders>
            <w:vAlign w:val="center"/>
            <w:hideMark/>
          </w:tcPr>
          <w:p w14:paraId="498545AD" w14:textId="77777777" w:rsidR="002E0EA3" w:rsidRPr="00D20E79" w:rsidRDefault="002E0EA3">
            <w:pPr>
              <w:spacing w:after="0" w:line="240" w:lineRule="auto"/>
              <w:rPr>
                <w:rFonts w:eastAsia="Times New Roman" w:cs="Calibri"/>
                <w:b/>
                <w:color w:val="000000"/>
              </w:rPr>
            </w:pPr>
            <w:r w:rsidRPr="00D20E79">
              <w:rPr>
                <w:rFonts w:eastAsia="Times New Roman" w:cs="Calibri"/>
                <w:b/>
                <w:color w:val="000000"/>
              </w:rPr>
              <w:t>Modalità affidamento:</w:t>
            </w:r>
          </w:p>
        </w:tc>
        <w:tc>
          <w:tcPr>
            <w:tcW w:w="7087" w:type="dxa"/>
            <w:tcBorders>
              <w:top w:val="nil"/>
              <w:left w:val="nil"/>
              <w:bottom w:val="single" w:sz="8" w:space="0" w:color="A6A6A6"/>
              <w:right w:val="single" w:sz="8" w:space="0" w:color="A6A6A6"/>
            </w:tcBorders>
            <w:vAlign w:val="center"/>
            <w:hideMark/>
          </w:tcPr>
          <w:p w14:paraId="18CECD59" w14:textId="77777777" w:rsidR="002E0EA3" w:rsidRPr="00D20E79" w:rsidRDefault="002E0EA3">
            <w:pPr>
              <w:spacing w:after="0" w:line="240" w:lineRule="auto"/>
              <w:rPr>
                <w:rFonts w:eastAsia="Times New Roman" w:cs="Calibri"/>
                <w:color w:val="000000"/>
              </w:rPr>
            </w:pPr>
            <w:r w:rsidRPr="00D20E79">
              <w:rPr>
                <w:rFonts w:eastAsia="Times New Roman" w:cs="Calibri"/>
                <w:color w:val="000000"/>
              </w:rPr>
              <w:t>mediante gara con contratto rep n. 679 del 28/12/2010 con durata dal 01/01/2011 - 31/12/2016</w:t>
            </w:r>
          </w:p>
        </w:tc>
      </w:tr>
      <w:tr w:rsidR="002E0EA3" w:rsidRPr="00D20E79" w14:paraId="55461C9D" w14:textId="77777777">
        <w:trPr>
          <w:trHeight w:val="600"/>
        </w:trPr>
        <w:tc>
          <w:tcPr>
            <w:tcW w:w="2117" w:type="dxa"/>
            <w:vMerge w:val="restart"/>
            <w:tcBorders>
              <w:top w:val="nil"/>
              <w:left w:val="single" w:sz="8" w:space="0" w:color="A6A6A6"/>
              <w:bottom w:val="single" w:sz="8" w:space="0" w:color="A6A6A6"/>
              <w:right w:val="single" w:sz="8" w:space="0" w:color="A6A6A6"/>
            </w:tcBorders>
            <w:vAlign w:val="center"/>
            <w:hideMark/>
          </w:tcPr>
          <w:p w14:paraId="6FD3C126" w14:textId="77777777" w:rsidR="002E0EA3" w:rsidRPr="00D20E79" w:rsidRDefault="002E0EA3">
            <w:pPr>
              <w:spacing w:after="0" w:line="240" w:lineRule="auto"/>
              <w:rPr>
                <w:rFonts w:eastAsia="Times New Roman" w:cs="Calibri"/>
                <w:b/>
                <w:color w:val="000000"/>
              </w:rPr>
            </w:pPr>
            <w:r w:rsidRPr="00D20E79">
              <w:rPr>
                <w:rFonts w:eastAsia="Times New Roman" w:cs="Calibri"/>
                <w:b/>
                <w:color w:val="000000"/>
              </w:rPr>
              <w:t>Atti di proroga e imposizione di OdS:</w:t>
            </w:r>
          </w:p>
        </w:tc>
        <w:tc>
          <w:tcPr>
            <w:tcW w:w="7087" w:type="dxa"/>
            <w:tcBorders>
              <w:top w:val="nil"/>
              <w:left w:val="nil"/>
              <w:bottom w:val="nil"/>
              <w:right w:val="single" w:sz="8" w:space="0" w:color="A6A6A6"/>
            </w:tcBorders>
            <w:vAlign w:val="center"/>
            <w:hideMark/>
          </w:tcPr>
          <w:p w14:paraId="29A5B60F" w14:textId="77777777" w:rsidR="002E0EA3" w:rsidRPr="00D20E79" w:rsidRDefault="002E0EA3">
            <w:pPr>
              <w:spacing w:after="0" w:line="240" w:lineRule="auto"/>
              <w:rPr>
                <w:rFonts w:eastAsia="Times New Roman" w:cs="Calibri"/>
                <w:color w:val="000000"/>
              </w:rPr>
            </w:pPr>
            <w:r w:rsidRPr="00D20E79">
              <w:rPr>
                <w:rFonts w:eastAsia="Times New Roman" w:cs="Calibri"/>
                <w:color w:val="000000"/>
              </w:rPr>
              <w:t>DETERMINAZIONE AREA CULTURA -SPORT - TURISMO COMMERCIO TRASPORTI N. 240 DEL 29/12/2023 Comune di Bardonecchia – Trasferimento titolarità del contratto ad AMP a far data dal 1° ottobre 2023</w:t>
            </w:r>
          </w:p>
        </w:tc>
      </w:tr>
      <w:tr w:rsidR="002E0EA3" w:rsidRPr="00D20E79" w14:paraId="4F9C97EF" w14:textId="77777777">
        <w:trPr>
          <w:trHeight w:val="315"/>
        </w:trPr>
        <w:tc>
          <w:tcPr>
            <w:tcW w:w="2117" w:type="dxa"/>
            <w:vMerge/>
            <w:tcBorders>
              <w:top w:val="nil"/>
              <w:left w:val="single" w:sz="8" w:space="0" w:color="A6A6A6"/>
              <w:bottom w:val="single" w:sz="8" w:space="0" w:color="A6A6A6"/>
              <w:right w:val="single" w:sz="8" w:space="0" w:color="A6A6A6"/>
            </w:tcBorders>
            <w:vAlign w:val="center"/>
            <w:hideMark/>
          </w:tcPr>
          <w:p w14:paraId="7DC49197" w14:textId="77777777" w:rsidR="002E0EA3" w:rsidRPr="00D20E79" w:rsidRDefault="002E0EA3">
            <w:pPr>
              <w:spacing w:after="0" w:line="240" w:lineRule="auto"/>
              <w:rPr>
                <w:rFonts w:eastAsia="Times New Roman" w:cs="Calibri"/>
                <w:b/>
                <w:color w:val="000000"/>
              </w:rPr>
            </w:pPr>
          </w:p>
        </w:tc>
        <w:tc>
          <w:tcPr>
            <w:tcW w:w="7087" w:type="dxa"/>
            <w:tcBorders>
              <w:top w:val="nil"/>
              <w:left w:val="nil"/>
              <w:bottom w:val="single" w:sz="8" w:space="0" w:color="A6A6A6"/>
              <w:right w:val="single" w:sz="8" w:space="0" w:color="A6A6A6"/>
            </w:tcBorders>
            <w:vAlign w:val="center"/>
            <w:hideMark/>
          </w:tcPr>
          <w:p w14:paraId="791256E5" w14:textId="77777777" w:rsidR="002E0EA3" w:rsidRPr="00D20E79" w:rsidRDefault="002E0EA3">
            <w:pPr>
              <w:spacing w:after="0" w:line="240" w:lineRule="auto"/>
              <w:rPr>
                <w:rFonts w:eastAsia="Times New Roman" w:cs="Calibri"/>
                <w:color w:val="000000"/>
              </w:rPr>
            </w:pPr>
            <w:r w:rsidRPr="00D20E79">
              <w:rPr>
                <w:rFonts w:eastAsia="Times New Roman" w:cs="Calibri"/>
                <w:color w:val="000000"/>
              </w:rPr>
              <w:t>DD 761/2023 Definizione del procedimento di proroga per investimenti (L.26/22) – sussistenza presupposti per proroga 01/01/2023-31/12/2026</w:t>
            </w:r>
          </w:p>
        </w:tc>
      </w:tr>
      <w:tr w:rsidR="002E0EA3" w:rsidRPr="00D20E79" w14:paraId="06C41195" w14:textId="77777777">
        <w:trPr>
          <w:trHeight w:val="315"/>
        </w:trPr>
        <w:tc>
          <w:tcPr>
            <w:tcW w:w="2117" w:type="dxa"/>
            <w:tcBorders>
              <w:top w:val="nil"/>
              <w:left w:val="single" w:sz="8" w:space="0" w:color="A6A6A6"/>
              <w:bottom w:val="single" w:sz="8" w:space="0" w:color="A6A6A6"/>
              <w:right w:val="single" w:sz="8" w:space="0" w:color="A6A6A6"/>
            </w:tcBorders>
            <w:vAlign w:val="center"/>
            <w:hideMark/>
          </w:tcPr>
          <w:p w14:paraId="457D98B2" w14:textId="77777777" w:rsidR="002E0EA3" w:rsidRPr="00D20E79" w:rsidRDefault="002E0EA3">
            <w:pPr>
              <w:spacing w:after="0" w:line="240" w:lineRule="auto"/>
              <w:rPr>
                <w:rFonts w:eastAsia="Times New Roman" w:cs="Calibri"/>
                <w:b/>
                <w:color w:val="000000"/>
              </w:rPr>
            </w:pPr>
            <w:r w:rsidRPr="00D20E79">
              <w:rPr>
                <w:rFonts w:eastAsia="Times New Roman" w:cs="Calibri"/>
                <w:b/>
                <w:color w:val="000000"/>
              </w:rPr>
              <w:t>Durata Affidamento:</w:t>
            </w:r>
          </w:p>
        </w:tc>
        <w:tc>
          <w:tcPr>
            <w:tcW w:w="7087" w:type="dxa"/>
            <w:tcBorders>
              <w:top w:val="nil"/>
              <w:left w:val="nil"/>
              <w:bottom w:val="single" w:sz="8" w:space="0" w:color="A6A6A6"/>
              <w:right w:val="single" w:sz="8" w:space="0" w:color="A6A6A6"/>
            </w:tcBorders>
            <w:vAlign w:val="center"/>
            <w:hideMark/>
          </w:tcPr>
          <w:p w14:paraId="7E57BB94" w14:textId="77777777" w:rsidR="002E0EA3" w:rsidRPr="00D20E79" w:rsidRDefault="002E0EA3">
            <w:pPr>
              <w:spacing w:after="0" w:line="240" w:lineRule="auto"/>
              <w:ind w:firstLineChars="100" w:firstLine="220"/>
              <w:rPr>
                <w:rFonts w:eastAsia="Times New Roman" w:cs="Calibri"/>
                <w:color w:val="000000"/>
              </w:rPr>
            </w:pPr>
            <w:r w:rsidRPr="00D20E79">
              <w:rPr>
                <w:rFonts w:eastAsia="Times New Roman" w:cs="Calibri"/>
                <w:color w:val="000000"/>
              </w:rPr>
              <w:t>Ultima Proroga dal 01/01/2023 al 31/12/2026</w:t>
            </w:r>
          </w:p>
        </w:tc>
      </w:tr>
      <w:tr w:rsidR="002E0EA3" w:rsidRPr="00D20E79" w14:paraId="28025784" w14:textId="77777777">
        <w:trPr>
          <w:trHeight w:val="300"/>
        </w:trPr>
        <w:tc>
          <w:tcPr>
            <w:tcW w:w="2117" w:type="dxa"/>
            <w:vMerge w:val="restart"/>
            <w:tcBorders>
              <w:top w:val="nil"/>
              <w:left w:val="single" w:sz="8" w:space="0" w:color="A6A6A6"/>
              <w:bottom w:val="single" w:sz="8" w:space="0" w:color="A6A6A6"/>
              <w:right w:val="single" w:sz="8" w:space="0" w:color="A6A6A6"/>
            </w:tcBorders>
            <w:vAlign w:val="center"/>
            <w:hideMark/>
          </w:tcPr>
          <w:p w14:paraId="2AE33B80" w14:textId="77777777" w:rsidR="002E0EA3" w:rsidRPr="00D20E79" w:rsidRDefault="002E0EA3">
            <w:pPr>
              <w:spacing w:after="0" w:line="240" w:lineRule="auto"/>
              <w:rPr>
                <w:rFonts w:eastAsia="Times New Roman" w:cs="Calibri"/>
                <w:b/>
                <w:color w:val="000000"/>
              </w:rPr>
            </w:pPr>
            <w:r w:rsidRPr="00D20E79">
              <w:rPr>
                <w:rFonts w:eastAsia="Times New Roman" w:cs="Calibri"/>
                <w:b/>
                <w:color w:val="000000"/>
              </w:rPr>
              <w:t>Descrizione dei servizi affidati:</w:t>
            </w:r>
          </w:p>
        </w:tc>
        <w:tc>
          <w:tcPr>
            <w:tcW w:w="7087" w:type="dxa"/>
            <w:tcBorders>
              <w:top w:val="nil"/>
              <w:left w:val="nil"/>
              <w:bottom w:val="nil"/>
              <w:right w:val="single" w:sz="8" w:space="0" w:color="A6A6A6"/>
            </w:tcBorders>
            <w:vAlign w:val="center"/>
            <w:hideMark/>
          </w:tcPr>
          <w:p w14:paraId="6A6E6415" w14:textId="77777777" w:rsidR="002E0EA3" w:rsidRPr="00D20E79" w:rsidRDefault="002E0EA3">
            <w:pPr>
              <w:spacing w:after="0" w:line="240" w:lineRule="auto"/>
              <w:rPr>
                <w:rFonts w:eastAsia="Times New Roman" w:cs="Calibri"/>
                <w:color w:val="000000"/>
              </w:rPr>
            </w:pPr>
            <w:r w:rsidRPr="00D20E79">
              <w:rPr>
                <w:rFonts w:eastAsia="Times New Roman" w:cs="Calibri"/>
                <w:color w:val="000000"/>
              </w:rPr>
              <w:t>Servizio extraurbano nell’area metropolitana di Torino</w:t>
            </w:r>
          </w:p>
        </w:tc>
      </w:tr>
      <w:tr w:rsidR="002E0EA3" w:rsidRPr="00D20E79" w14:paraId="0D6F87F9" w14:textId="77777777">
        <w:trPr>
          <w:trHeight w:val="300"/>
        </w:trPr>
        <w:tc>
          <w:tcPr>
            <w:tcW w:w="2117" w:type="dxa"/>
            <w:vMerge/>
            <w:tcBorders>
              <w:top w:val="nil"/>
              <w:left w:val="single" w:sz="8" w:space="0" w:color="A6A6A6"/>
              <w:bottom w:val="single" w:sz="8" w:space="0" w:color="A6A6A6"/>
              <w:right w:val="single" w:sz="8" w:space="0" w:color="A6A6A6"/>
            </w:tcBorders>
            <w:vAlign w:val="center"/>
            <w:hideMark/>
          </w:tcPr>
          <w:p w14:paraId="7CE42D47" w14:textId="77777777" w:rsidR="002E0EA3" w:rsidRPr="00D20E79" w:rsidRDefault="002E0EA3">
            <w:pPr>
              <w:spacing w:after="0" w:line="240" w:lineRule="auto"/>
              <w:rPr>
                <w:rFonts w:eastAsia="Times New Roman" w:cs="Calibri"/>
                <w:b/>
                <w:color w:val="000000"/>
              </w:rPr>
            </w:pPr>
          </w:p>
        </w:tc>
        <w:tc>
          <w:tcPr>
            <w:tcW w:w="7087" w:type="dxa"/>
            <w:tcBorders>
              <w:top w:val="nil"/>
              <w:left w:val="nil"/>
              <w:bottom w:val="nil"/>
              <w:right w:val="single" w:sz="8" w:space="0" w:color="A6A6A6"/>
            </w:tcBorders>
            <w:vAlign w:val="center"/>
            <w:hideMark/>
          </w:tcPr>
          <w:p w14:paraId="58AA0430" w14:textId="77777777" w:rsidR="002E0EA3" w:rsidRPr="00D20E79" w:rsidRDefault="002E0EA3">
            <w:pPr>
              <w:spacing w:after="0" w:line="240" w:lineRule="auto"/>
              <w:rPr>
                <w:rFonts w:eastAsia="Times New Roman" w:cs="Calibri"/>
                <w:color w:val="000000"/>
              </w:rPr>
            </w:pPr>
            <w:r w:rsidRPr="00D20E79">
              <w:rPr>
                <w:rFonts w:eastAsia="Times New Roman" w:cs="Calibri"/>
                <w:color w:val="000000"/>
              </w:rPr>
              <w:t>Servizio ambito città metropolitana di Torino</w:t>
            </w:r>
          </w:p>
        </w:tc>
      </w:tr>
      <w:tr w:rsidR="002E0EA3" w:rsidRPr="00D20E79" w14:paraId="6EE38781" w14:textId="77777777">
        <w:trPr>
          <w:trHeight w:val="300"/>
        </w:trPr>
        <w:tc>
          <w:tcPr>
            <w:tcW w:w="2117" w:type="dxa"/>
            <w:vMerge/>
            <w:tcBorders>
              <w:top w:val="nil"/>
              <w:left w:val="single" w:sz="8" w:space="0" w:color="A6A6A6"/>
              <w:bottom w:val="single" w:sz="8" w:space="0" w:color="A6A6A6"/>
              <w:right w:val="single" w:sz="8" w:space="0" w:color="A6A6A6"/>
            </w:tcBorders>
            <w:vAlign w:val="center"/>
            <w:hideMark/>
          </w:tcPr>
          <w:p w14:paraId="0AC00977" w14:textId="77777777" w:rsidR="002E0EA3" w:rsidRPr="00D20E79" w:rsidRDefault="002E0EA3">
            <w:pPr>
              <w:spacing w:after="0" w:line="240" w:lineRule="auto"/>
              <w:rPr>
                <w:rFonts w:eastAsia="Times New Roman" w:cs="Calibri"/>
                <w:b/>
                <w:color w:val="000000"/>
              </w:rPr>
            </w:pPr>
          </w:p>
        </w:tc>
        <w:tc>
          <w:tcPr>
            <w:tcW w:w="7087" w:type="dxa"/>
            <w:tcBorders>
              <w:top w:val="nil"/>
              <w:left w:val="nil"/>
              <w:bottom w:val="nil"/>
              <w:right w:val="single" w:sz="8" w:space="0" w:color="A6A6A6"/>
            </w:tcBorders>
            <w:vAlign w:val="center"/>
            <w:hideMark/>
          </w:tcPr>
          <w:p w14:paraId="0437E1F1" w14:textId="77777777" w:rsidR="002E0EA3" w:rsidRPr="00D20E79" w:rsidRDefault="002E0EA3">
            <w:pPr>
              <w:spacing w:after="0" w:line="240" w:lineRule="auto"/>
              <w:rPr>
                <w:rFonts w:eastAsia="Times New Roman" w:cs="Calibri"/>
                <w:color w:val="000000"/>
              </w:rPr>
            </w:pPr>
            <w:r w:rsidRPr="00D20E79">
              <w:rPr>
                <w:rFonts w:eastAsia="Times New Roman" w:cs="Calibri"/>
                <w:color w:val="000000"/>
              </w:rPr>
              <w:t>Servizio ambito urbano di Ivrea</w:t>
            </w:r>
          </w:p>
        </w:tc>
      </w:tr>
      <w:tr w:rsidR="002E0EA3" w:rsidRPr="00D20E79" w14:paraId="0C6D17F8" w14:textId="77777777">
        <w:trPr>
          <w:trHeight w:val="300"/>
        </w:trPr>
        <w:tc>
          <w:tcPr>
            <w:tcW w:w="2117" w:type="dxa"/>
            <w:vMerge/>
            <w:tcBorders>
              <w:top w:val="nil"/>
              <w:left w:val="single" w:sz="8" w:space="0" w:color="A6A6A6"/>
              <w:bottom w:val="single" w:sz="8" w:space="0" w:color="A6A6A6"/>
              <w:right w:val="single" w:sz="8" w:space="0" w:color="A6A6A6"/>
            </w:tcBorders>
            <w:vAlign w:val="center"/>
            <w:hideMark/>
          </w:tcPr>
          <w:p w14:paraId="29D25F78" w14:textId="77777777" w:rsidR="002E0EA3" w:rsidRPr="00D20E79" w:rsidRDefault="002E0EA3">
            <w:pPr>
              <w:spacing w:after="0" w:line="240" w:lineRule="auto"/>
              <w:rPr>
                <w:rFonts w:eastAsia="Times New Roman" w:cs="Calibri"/>
                <w:b/>
                <w:color w:val="000000"/>
              </w:rPr>
            </w:pPr>
          </w:p>
        </w:tc>
        <w:tc>
          <w:tcPr>
            <w:tcW w:w="7087" w:type="dxa"/>
            <w:tcBorders>
              <w:top w:val="nil"/>
              <w:left w:val="nil"/>
              <w:bottom w:val="nil"/>
              <w:right w:val="single" w:sz="8" w:space="0" w:color="A6A6A6"/>
            </w:tcBorders>
            <w:vAlign w:val="center"/>
            <w:hideMark/>
          </w:tcPr>
          <w:p w14:paraId="06A53EF6" w14:textId="77777777" w:rsidR="002E0EA3" w:rsidRPr="00D20E79" w:rsidRDefault="002E0EA3">
            <w:pPr>
              <w:spacing w:after="0" w:line="240" w:lineRule="auto"/>
              <w:rPr>
                <w:rFonts w:eastAsia="Times New Roman" w:cs="Calibri"/>
                <w:color w:val="000000"/>
              </w:rPr>
            </w:pPr>
            <w:r w:rsidRPr="00D20E79">
              <w:rPr>
                <w:rFonts w:eastAsia="Times New Roman" w:cs="Calibri"/>
                <w:color w:val="000000"/>
              </w:rPr>
              <w:t>Servizio ambito urbano di Pinerolo</w:t>
            </w:r>
          </w:p>
        </w:tc>
      </w:tr>
      <w:tr w:rsidR="002E0EA3" w:rsidRPr="00D20E79" w14:paraId="73A820DC" w14:textId="77777777">
        <w:trPr>
          <w:trHeight w:val="300"/>
        </w:trPr>
        <w:tc>
          <w:tcPr>
            <w:tcW w:w="2117" w:type="dxa"/>
            <w:vMerge/>
            <w:tcBorders>
              <w:top w:val="nil"/>
              <w:left w:val="single" w:sz="8" w:space="0" w:color="A6A6A6"/>
              <w:bottom w:val="single" w:sz="8" w:space="0" w:color="A6A6A6"/>
              <w:right w:val="single" w:sz="8" w:space="0" w:color="A6A6A6"/>
            </w:tcBorders>
            <w:vAlign w:val="center"/>
            <w:hideMark/>
          </w:tcPr>
          <w:p w14:paraId="503D4C33" w14:textId="77777777" w:rsidR="002E0EA3" w:rsidRPr="00D20E79" w:rsidRDefault="002E0EA3">
            <w:pPr>
              <w:spacing w:after="0" w:line="240" w:lineRule="auto"/>
              <w:rPr>
                <w:rFonts w:eastAsia="Times New Roman" w:cs="Calibri"/>
                <w:b/>
                <w:color w:val="000000"/>
              </w:rPr>
            </w:pPr>
          </w:p>
        </w:tc>
        <w:tc>
          <w:tcPr>
            <w:tcW w:w="7087" w:type="dxa"/>
            <w:tcBorders>
              <w:top w:val="nil"/>
              <w:left w:val="nil"/>
              <w:bottom w:val="nil"/>
              <w:right w:val="single" w:sz="8" w:space="0" w:color="A6A6A6"/>
            </w:tcBorders>
            <w:vAlign w:val="center"/>
            <w:hideMark/>
          </w:tcPr>
          <w:p w14:paraId="5AA128D4" w14:textId="77777777" w:rsidR="002E0EA3" w:rsidRPr="00D20E79" w:rsidRDefault="002E0EA3">
            <w:pPr>
              <w:spacing w:after="0" w:line="240" w:lineRule="auto"/>
              <w:rPr>
                <w:rFonts w:eastAsia="Times New Roman" w:cs="Calibri"/>
                <w:color w:val="000000"/>
              </w:rPr>
            </w:pPr>
            <w:r w:rsidRPr="00D20E79">
              <w:rPr>
                <w:rFonts w:eastAsia="Times New Roman" w:cs="Calibri"/>
                <w:color w:val="000000"/>
              </w:rPr>
              <w:t>Servizio urbano comune di Carmagnola</w:t>
            </w:r>
          </w:p>
        </w:tc>
      </w:tr>
      <w:tr w:rsidR="002E0EA3" w:rsidRPr="00D20E79" w14:paraId="397EC566" w14:textId="77777777">
        <w:trPr>
          <w:trHeight w:val="300"/>
        </w:trPr>
        <w:tc>
          <w:tcPr>
            <w:tcW w:w="2117" w:type="dxa"/>
            <w:vMerge/>
            <w:tcBorders>
              <w:top w:val="nil"/>
              <w:left w:val="single" w:sz="8" w:space="0" w:color="A6A6A6"/>
              <w:bottom w:val="single" w:sz="8" w:space="0" w:color="A6A6A6"/>
              <w:right w:val="single" w:sz="8" w:space="0" w:color="A6A6A6"/>
            </w:tcBorders>
            <w:vAlign w:val="center"/>
            <w:hideMark/>
          </w:tcPr>
          <w:p w14:paraId="14017B94" w14:textId="77777777" w:rsidR="002E0EA3" w:rsidRPr="00D20E79" w:rsidRDefault="002E0EA3">
            <w:pPr>
              <w:spacing w:after="0" w:line="240" w:lineRule="auto"/>
              <w:rPr>
                <w:rFonts w:eastAsia="Times New Roman" w:cs="Calibri"/>
                <w:b/>
                <w:color w:val="000000"/>
              </w:rPr>
            </w:pPr>
          </w:p>
        </w:tc>
        <w:tc>
          <w:tcPr>
            <w:tcW w:w="7087" w:type="dxa"/>
            <w:tcBorders>
              <w:top w:val="nil"/>
              <w:left w:val="nil"/>
              <w:bottom w:val="nil"/>
              <w:right w:val="single" w:sz="8" w:space="0" w:color="A6A6A6"/>
            </w:tcBorders>
            <w:vAlign w:val="center"/>
            <w:hideMark/>
          </w:tcPr>
          <w:p w14:paraId="17EEA6B9" w14:textId="77777777" w:rsidR="002E0EA3" w:rsidRPr="00D20E79" w:rsidRDefault="002E0EA3">
            <w:pPr>
              <w:spacing w:after="0" w:line="240" w:lineRule="auto"/>
              <w:rPr>
                <w:rFonts w:eastAsia="Times New Roman" w:cs="Calibri"/>
                <w:color w:val="000000"/>
              </w:rPr>
            </w:pPr>
            <w:r w:rsidRPr="00D20E79">
              <w:rPr>
                <w:rFonts w:eastAsia="Times New Roman" w:cs="Calibri"/>
                <w:color w:val="000000"/>
              </w:rPr>
              <w:t>Servizio urbano di Bardonecchia</w:t>
            </w:r>
          </w:p>
        </w:tc>
      </w:tr>
      <w:tr w:rsidR="002E0EA3" w:rsidRPr="00D20E79" w14:paraId="615D6603" w14:textId="77777777">
        <w:trPr>
          <w:trHeight w:val="315"/>
        </w:trPr>
        <w:tc>
          <w:tcPr>
            <w:tcW w:w="2117" w:type="dxa"/>
            <w:vMerge/>
            <w:tcBorders>
              <w:top w:val="nil"/>
              <w:left w:val="single" w:sz="8" w:space="0" w:color="A6A6A6"/>
              <w:bottom w:val="single" w:sz="8" w:space="0" w:color="A6A6A6"/>
              <w:right w:val="single" w:sz="8" w:space="0" w:color="A6A6A6"/>
            </w:tcBorders>
            <w:vAlign w:val="center"/>
            <w:hideMark/>
          </w:tcPr>
          <w:p w14:paraId="4F67AAC0" w14:textId="77777777" w:rsidR="002E0EA3" w:rsidRPr="00D20E79" w:rsidRDefault="002E0EA3">
            <w:pPr>
              <w:spacing w:after="0" w:line="240" w:lineRule="auto"/>
              <w:rPr>
                <w:rFonts w:eastAsia="Times New Roman" w:cs="Calibri"/>
                <w:b/>
                <w:color w:val="000000"/>
              </w:rPr>
            </w:pPr>
          </w:p>
        </w:tc>
        <w:tc>
          <w:tcPr>
            <w:tcW w:w="7087" w:type="dxa"/>
            <w:tcBorders>
              <w:top w:val="nil"/>
              <w:left w:val="nil"/>
              <w:bottom w:val="single" w:sz="8" w:space="0" w:color="A6A6A6"/>
              <w:right w:val="single" w:sz="8" w:space="0" w:color="A6A6A6"/>
            </w:tcBorders>
            <w:vAlign w:val="center"/>
            <w:hideMark/>
          </w:tcPr>
          <w:p w14:paraId="570E79A4" w14:textId="77777777" w:rsidR="002E0EA3" w:rsidRPr="00D20E79" w:rsidRDefault="002E0EA3">
            <w:pPr>
              <w:spacing w:after="0" w:line="240" w:lineRule="auto"/>
              <w:rPr>
                <w:rFonts w:eastAsia="Times New Roman" w:cs="Calibri"/>
                <w:color w:val="000000"/>
              </w:rPr>
            </w:pPr>
            <w:r w:rsidRPr="00D20E79">
              <w:rPr>
                <w:rFonts w:eastAsia="Times New Roman" w:cs="Calibri"/>
                <w:color w:val="000000"/>
              </w:rPr>
              <w:t>Servizio urbano di Giaveno</w:t>
            </w:r>
          </w:p>
        </w:tc>
      </w:tr>
    </w:tbl>
    <w:p w14:paraId="571F6E56" w14:textId="4C9345EC" w:rsidR="002E0EA3" w:rsidRPr="000C6009" w:rsidRDefault="002E0EA3" w:rsidP="002E0EA3">
      <w:pPr>
        <w:pStyle w:val="Didascalia"/>
        <w:ind w:left="1" w:firstLine="1"/>
        <w:jc w:val="center"/>
        <w:rPr>
          <w:rFonts w:cstheme="minorHAnsi"/>
          <w:i w:val="0"/>
          <w:color w:val="003366"/>
        </w:rPr>
      </w:pPr>
      <w:r w:rsidRPr="000C6009">
        <w:rPr>
          <w:rFonts w:cstheme="minorHAnsi"/>
          <w:color w:val="003366"/>
        </w:rPr>
        <w:t xml:space="preserve">Tabella </w:t>
      </w:r>
      <w:r w:rsidR="00230B1F" w:rsidRPr="000C6009">
        <w:rPr>
          <w:rFonts w:cstheme="minorHAnsi"/>
          <w:color w:val="003366"/>
        </w:rPr>
        <w:fldChar w:fldCharType="begin"/>
      </w:r>
      <w:r w:rsidR="00230B1F" w:rsidRPr="000C6009">
        <w:rPr>
          <w:rFonts w:cstheme="minorHAnsi"/>
          <w:color w:val="003366"/>
        </w:rPr>
        <w:instrText xml:space="preserve"> SEQ Tabella \* ARABIC </w:instrText>
      </w:r>
      <w:r w:rsidR="00230B1F" w:rsidRPr="000C6009">
        <w:rPr>
          <w:rFonts w:cstheme="minorHAnsi"/>
          <w:color w:val="003366"/>
        </w:rPr>
        <w:fldChar w:fldCharType="separate"/>
      </w:r>
      <w:r w:rsidR="00073B6D">
        <w:rPr>
          <w:rFonts w:cstheme="minorHAnsi"/>
          <w:noProof/>
          <w:color w:val="003366"/>
        </w:rPr>
        <w:t>1</w:t>
      </w:r>
      <w:r w:rsidR="00230B1F" w:rsidRPr="000C6009">
        <w:rPr>
          <w:rFonts w:cstheme="minorHAnsi"/>
          <w:noProof/>
          <w:color w:val="003366"/>
        </w:rPr>
        <w:fldChar w:fldCharType="end"/>
      </w:r>
      <w:r w:rsidRPr="000C6009">
        <w:rPr>
          <w:rFonts w:cstheme="minorHAnsi"/>
          <w:i w:val="0"/>
          <w:color w:val="003366"/>
        </w:rPr>
        <w:t xml:space="preserve"> – </w:t>
      </w:r>
      <w:r w:rsidRPr="000C6009">
        <w:rPr>
          <w:rFonts w:cstheme="minorHAnsi"/>
          <w:iCs w:val="0"/>
          <w:color w:val="003366"/>
        </w:rPr>
        <w:t xml:space="preserve">Quadro affidamento dei servizi </w:t>
      </w:r>
      <w:r>
        <w:rPr>
          <w:rFonts w:cstheme="minorHAnsi"/>
          <w:iCs w:val="0"/>
          <w:color w:val="003366"/>
        </w:rPr>
        <w:t>extraurbani di TPL del Bacino Metropolitano</w:t>
      </w:r>
    </w:p>
    <w:p w14:paraId="6BD8ACA3" w14:textId="77777777" w:rsidR="002E0EA3" w:rsidRPr="000C6009" w:rsidRDefault="002E0EA3" w:rsidP="002E0EA3">
      <w:pPr>
        <w:pStyle w:val="Titolo2"/>
        <w:ind w:left="567"/>
        <w:rPr>
          <w:rFonts w:asciiTheme="minorHAnsi" w:hAnsiTheme="minorHAnsi" w:cstheme="minorHAnsi"/>
        </w:rPr>
      </w:pPr>
      <w:bookmarkStart w:id="88" w:name="_Toc1738839139"/>
      <w:bookmarkStart w:id="89" w:name="_Ref193814903"/>
      <w:bookmarkStart w:id="90" w:name="_Ref204164723"/>
      <w:bookmarkStart w:id="91" w:name="_Toc204616478"/>
      <w:bookmarkStart w:id="92" w:name="_Toc213078347"/>
      <w:r w:rsidRPr="000C6009">
        <w:rPr>
          <w:rFonts w:asciiTheme="minorHAnsi" w:hAnsiTheme="minorHAnsi" w:cstheme="minorHAnsi"/>
        </w:rPr>
        <w:t xml:space="preserve">Accordi di programma del Bacino </w:t>
      </w:r>
      <w:bookmarkEnd w:id="87"/>
      <w:bookmarkEnd w:id="88"/>
      <w:bookmarkEnd w:id="89"/>
      <w:r>
        <w:rPr>
          <w:rFonts w:asciiTheme="minorHAnsi" w:hAnsiTheme="minorHAnsi" w:cstheme="minorHAnsi"/>
        </w:rPr>
        <w:t>Metropolitano</w:t>
      </w:r>
      <w:bookmarkEnd w:id="90"/>
      <w:bookmarkEnd w:id="91"/>
      <w:bookmarkEnd w:id="92"/>
    </w:p>
    <w:p w14:paraId="7263C96C" w14:textId="77777777" w:rsidR="002E0EA3" w:rsidRPr="000C6009" w:rsidRDefault="002E0EA3" w:rsidP="002E0EA3">
      <w:pPr>
        <w:spacing w:before="120" w:after="0" w:line="240" w:lineRule="auto"/>
        <w:rPr>
          <w:rFonts w:cstheme="minorHAnsi"/>
          <w:color w:val="000000" w:themeColor="text1"/>
        </w:rPr>
      </w:pPr>
      <w:r w:rsidRPr="000C6009">
        <w:rPr>
          <w:rFonts w:cstheme="minorHAnsi"/>
          <w:color w:val="000000" w:themeColor="text1"/>
        </w:rPr>
        <w:t xml:space="preserve">Nel Bacino </w:t>
      </w:r>
      <w:r>
        <w:rPr>
          <w:rFonts w:cstheme="minorHAnsi"/>
          <w:color w:val="000000" w:themeColor="text1"/>
        </w:rPr>
        <w:t>Metropolitano</w:t>
      </w:r>
      <w:r w:rsidRPr="000C6009">
        <w:rPr>
          <w:rFonts w:cstheme="minorHAnsi"/>
          <w:color w:val="000000" w:themeColor="text1"/>
        </w:rPr>
        <w:t>, n. 9</w:t>
      </w:r>
      <w:r>
        <w:rPr>
          <w:rFonts w:cstheme="minorHAnsi"/>
          <w:color w:val="000000" w:themeColor="text1"/>
        </w:rPr>
        <w:t>8</w:t>
      </w:r>
      <w:r w:rsidRPr="000C6009">
        <w:rPr>
          <w:rFonts w:cstheme="minorHAnsi"/>
          <w:color w:val="000000" w:themeColor="text1"/>
        </w:rPr>
        <w:t xml:space="preserve"> comuni su 3</w:t>
      </w:r>
      <w:r>
        <w:rPr>
          <w:rFonts w:cstheme="minorHAnsi"/>
          <w:color w:val="000000" w:themeColor="text1"/>
        </w:rPr>
        <w:t>12</w:t>
      </w:r>
      <w:r w:rsidRPr="000C6009">
        <w:rPr>
          <w:rFonts w:cstheme="minorHAnsi"/>
          <w:color w:val="000000" w:themeColor="text1"/>
        </w:rPr>
        <w:t xml:space="preserve"> sono classificati come aree interne intermedie o periferiche e di questi </w:t>
      </w:r>
      <w:r>
        <w:rPr>
          <w:rFonts w:cstheme="minorHAnsi"/>
          <w:color w:val="000000" w:themeColor="text1"/>
        </w:rPr>
        <w:t>92</w:t>
      </w:r>
      <w:r w:rsidRPr="000C6009">
        <w:rPr>
          <w:rFonts w:cstheme="minorHAnsi"/>
          <w:color w:val="000000" w:themeColor="text1"/>
        </w:rPr>
        <w:t xml:space="preserve"> sono classificabili, secondo i criteri definiti dall’art. 4 del DM 157/2018, come comuni in area a domanda debole.</w:t>
      </w:r>
    </w:p>
    <w:p w14:paraId="793316C3" w14:textId="77777777" w:rsidR="002E0EA3" w:rsidRPr="000C6009" w:rsidRDefault="002E0EA3" w:rsidP="002E0EA3">
      <w:pPr>
        <w:spacing w:before="120" w:after="0" w:line="240" w:lineRule="auto"/>
        <w:rPr>
          <w:rFonts w:cstheme="minorHAnsi"/>
          <w:color w:val="000000" w:themeColor="text1"/>
        </w:rPr>
      </w:pPr>
      <w:r w:rsidRPr="000C6009">
        <w:rPr>
          <w:rFonts w:cstheme="minorHAnsi"/>
          <w:color w:val="000000" w:themeColor="text1"/>
        </w:rPr>
        <w:t xml:space="preserve">In queste aree interne non sempre il trasporto pubblico “tradizionale” può rispondere adeguatamente ai bisogni di mobilità dei residenti; pertanto, in accordo con le realtà territoriali locali sono definiti specifici servizi che vengono amministrati, o direttamente gestiti, da Comuni e Unioni Montane. </w:t>
      </w:r>
    </w:p>
    <w:p w14:paraId="37FD31A6" w14:textId="77777777" w:rsidR="002E0EA3" w:rsidRPr="000C6009" w:rsidRDefault="002E0EA3" w:rsidP="002E0EA3">
      <w:pPr>
        <w:spacing w:before="120" w:after="0" w:line="240" w:lineRule="auto"/>
        <w:rPr>
          <w:rFonts w:cstheme="minorHAnsi"/>
          <w:color w:val="000000" w:themeColor="text1"/>
        </w:rPr>
      </w:pPr>
      <w:r w:rsidRPr="000C6009">
        <w:rPr>
          <w:rFonts w:cstheme="minorHAnsi"/>
          <w:color w:val="000000" w:themeColor="text1"/>
        </w:rPr>
        <w:t xml:space="preserve">Nel Bacino </w:t>
      </w:r>
      <w:r>
        <w:rPr>
          <w:rFonts w:cstheme="minorHAnsi"/>
          <w:color w:val="000000" w:themeColor="text1"/>
        </w:rPr>
        <w:t>Metropolitano</w:t>
      </w:r>
      <w:r w:rsidRPr="000C6009">
        <w:rPr>
          <w:rFonts w:cstheme="minorHAnsi"/>
          <w:color w:val="000000" w:themeColor="text1"/>
        </w:rPr>
        <w:t xml:space="preserve"> sono oggi attivi accordi con n. </w:t>
      </w:r>
      <w:r>
        <w:rPr>
          <w:rFonts w:cstheme="minorHAnsi"/>
          <w:color w:val="000000" w:themeColor="text1"/>
        </w:rPr>
        <w:t>2</w:t>
      </w:r>
      <w:r w:rsidRPr="000C6009">
        <w:rPr>
          <w:rFonts w:cstheme="minorHAnsi"/>
          <w:color w:val="000000" w:themeColor="text1"/>
        </w:rPr>
        <w:t xml:space="preserve"> Comuni e n. </w:t>
      </w:r>
      <w:r>
        <w:rPr>
          <w:rFonts w:cstheme="minorHAnsi"/>
          <w:color w:val="000000" w:themeColor="text1"/>
        </w:rPr>
        <w:t>4</w:t>
      </w:r>
      <w:r w:rsidRPr="000C6009">
        <w:rPr>
          <w:rFonts w:cstheme="minorHAnsi"/>
          <w:color w:val="000000" w:themeColor="text1"/>
        </w:rPr>
        <w:t xml:space="preserve"> Union</w:t>
      </w:r>
      <w:r>
        <w:rPr>
          <w:rFonts w:cstheme="minorHAnsi"/>
          <w:color w:val="000000" w:themeColor="text1"/>
        </w:rPr>
        <w:t>i</w:t>
      </w:r>
      <w:r w:rsidRPr="000C6009">
        <w:rPr>
          <w:rFonts w:cstheme="minorHAnsi"/>
          <w:color w:val="000000" w:themeColor="text1"/>
        </w:rPr>
        <w:t xml:space="preserve"> Montan</w:t>
      </w:r>
      <w:r>
        <w:rPr>
          <w:rFonts w:cstheme="minorHAnsi"/>
          <w:color w:val="000000" w:themeColor="text1"/>
        </w:rPr>
        <w:t>e</w:t>
      </w:r>
      <w:r w:rsidRPr="000C6009">
        <w:rPr>
          <w:rFonts w:cstheme="minorHAnsi"/>
          <w:color w:val="000000" w:themeColor="text1"/>
        </w:rPr>
        <w:t>.</w:t>
      </w:r>
    </w:p>
    <w:p w14:paraId="07667C0F" w14:textId="77777777" w:rsidR="002E0EA3" w:rsidRPr="000C6009" w:rsidRDefault="002E0EA3" w:rsidP="002E0EA3">
      <w:pPr>
        <w:spacing w:before="120" w:after="0" w:line="240" w:lineRule="auto"/>
        <w:rPr>
          <w:rFonts w:cstheme="minorHAnsi"/>
          <w:color w:val="000000" w:themeColor="text1"/>
        </w:rPr>
      </w:pPr>
      <w:r w:rsidRPr="000C6009">
        <w:rPr>
          <w:rFonts w:cstheme="minorHAnsi"/>
          <w:color w:val="000000" w:themeColor="text1"/>
        </w:rPr>
        <w:lastRenderedPageBreak/>
        <w:t>In forza di tali accordi gli Enti ricevono risorse finanziarie mediante trasferimenti di risorse regionali erogate in forza di Accordi di Programma sottoscritti bilateralmente tra ciascuno di tali Enti e l’Agenzia, finalizzati alla attivazione e gestione di servizi per la mobilità collettiva integrativi e/o aggiuntivi e coordinati rispetto al servizio di trasporto pubblico gestito dai Contratti di servizio prima descritti.</w:t>
      </w:r>
    </w:p>
    <w:p w14:paraId="01B1FB42" w14:textId="77777777" w:rsidR="002E0EA3" w:rsidRPr="000C6009" w:rsidRDefault="002E0EA3" w:rsidP="002E0EA3">
      <w:pPr>
        <w:spacing w:before="120" w:after="0" w:line="240" w:lineRule="auto"/>
        <w:rPr>
          <w:rFonts w:cstheme="minorHAnsi"/>
          <w:color w:val="000000" w:themeColor="text1"/>
        </w:rPr>
      </w:pPr>
      <w:r w:rsidRPr="000C6009">
        <w:rPr>
          <w:rFonts w:cstheme="minorHAnsi"/>
          <w:color w:val="000000" w:themeColor="text1"/>
        </w:rPr>
        <w:t>Nella tabella seguente sono riportati i riferimenti degli accordi e dei provvedimenti disposti per la gestione dei servizi.</w:t>
      </w:r>
    </w:p>
    <w:p w14:paraId="2400C21C" w14:textId="77777777" w:rsidR="002E0EA3" w:rsidRDefault="002E0EA3" w:rsidP="002E0EA3">
      <w:pPr>
        <w:spacing w:before="120" w:after="0" w:line="240" w:lineRule="auto"/>
        <w:rPr>
          <w:rFonts w:cstheme="minorHAnsi"/>
          <w:color w:val="000000" w:themeColor="text1"/>
        </w:rPr>
      </w:pPr>
    </w:p>
    <w:tbl>
      <w:tblPr>
        <w:tblStyle w:val="Grigliatabellachiara"/>
        <w:tblW w:w="9112" w:type="dxa"/>
        <w:tblInd w:w="-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033"/>
        <w:gridCol w:w="1999"/>
        <w:gridCol w:w="1765"/>
        <w:gridCol w:w="2088"/>
        <w:gridCol w:w="1227"/>
      </w:tblGrid>
      <w:tr w:rsidR="002E0EA3" w:rsidRPr="000C6009" w14:paraId="6B9766F8" w14:textId="77777777" w:rsidTr="006A5BAF">
        <w:tc>
          <w:tcPr>
            <w:tcW w:w="2033" w:type="dxa"/>
            <w:shd w:val="clear" w:color="auto" w:fill="EE3438"/>
          </w:tcPr>
          <w:p w14:paraId="4C236951" w14:textId="77777777" w:rsidR="002E0EA3" w:rsidRPr="000C6009" w:rsidRDefault="002E0EA3">
            <w:pPr>
              <w:spacing w:before="120"/>
              <w:rPr>
                <w:rFonts w:asciiTheme="minorHAnsi" w:hAnsiTheme="minorHAnsi" w:cstheme="minorHAnsi"/>
                <w:b/>
                <w:color w:val="000000" w:themeColor="text1"/>
              </w:rPr>
            </w:pPr>
            <w:r w:rsidRPr="000C6009">
              <w:rPr>
                <w:rFonts w:asciiTheme="minorHAnsi" w:hAnsiTheme="minorHAnsi" w:cstheme="minorHAnsi"/>
                <w:b/>
                <w:color w:val="000000" w:themeColor="text1"/>
              </w:rPr>
              <w:t>Accordo di programma</w:t>
            </w:r>
          </w:p>
        </w:tc>
        <w:tc>
          <w:tcPr>
            <w:tcW w:w="1999" w:type="dxa"/>
            <w:shd w:val="clear" w:color="auto" w:fill="EE3438"/>
          </w:tcPr>
          <w:p w14:paraId="058C1B4D" w14:textId="77777777" w:rsidR="002E0EA3" w:rsidRPr="000C6009" w:rsidRDefault="002E0EA3">
            <w:pPr>
              <w:spacing w:before="120"/>
              <w:jc w:val="left"/>
              <w:rPr>
                <w:rFonts w:asciiTheme="minorHAnsi" w:hAnsiTheme="minorHAnsi" w:cstheme="minorHAnsi"/>
                <w:b/>
                <w:color w:val="000000" w:themeColor="text1"/>
              </w:rPr>
            </w:pPr>
            <w:r w:rsidRPr="000C6009">
              <w:rPr>
                <w:rFonts w:asciiTheme="minorHAnsi" w:hAnsiTheme="minorHAnsi" w:cstheme="minorHAnsi"/>
                <w:b/>
                <w:color w:val="000000" w:themeColor="text1"/>
              </w:rPr>
              <w:t>Atto di approvazione</w:t>
            </w:r>
          </w:p>
        </w:tc>
        <w:tc>
          <w:tcPr>
            <w:tcW w:w="1765" w:type="dxa"/>
            <w:shd w:val="clear" w:color="auto" w:fill="EE3438"/>
          </w:tcPr>
          <w:p w14:paraId="6B000866" w14:textId="77777777" w:rsidR="002E0EA3" w:rsidRPr="000C6009" w:rsidRDefault="002E0EA3">
            <w:pPr>
              <w:spacing w:before="120"/>
              <w:jc w:val="left"/>
              <w:rPr>
                <w:rFonts w:asciiTheme="minorHAnsi" w:hAnsiTheme="minorHAnsi" w:cstheme="minorHAnsi"/>
                <w:b/>
                <w:color w:val="000000" w:themeColor="text1"/>
              </w:rPr>
            </w:pPr>
            <w:r w:rsidRPr="000C6009">
              <w:rPr>
                <w:rFonts w:asciiTheme="minorHAnsi" w:hAnsiTheme="minorHAnsi" w:cstheme="minorHAnsi"/>
                <w:b/>
                <w:color w:val="000000" w:themeColor="text1"/>
              </w:rPr>
              <w:t>Modalità di affidamento gestione</w:t>
            </w:r>
          </w:p>
        </w:tc>
        <w:tc>
          <w:tcPr>
            <w:tcW w:w="2088" w:type="dxa"/>
            <w:shd w:val="clear" w:color="auto" w:fill="EE3438"/>
          </w:tcPr>
          <w:p w14:paraId="7B4F306E" w14:textId="77777777" w:rsidR="002E0EA3" w:rsidRPr="000C6009" w:rsidRDefault="002E0EA3">
            <w:pPr>
              <w:spacing w:before="120"/>
              <w:rPr>
                <w:rFonts w:asciiTheme="minorHAnsi" w:hAnsiTheme="minorHAnsi" w:cstheme="minorHAnsi"/>
                <w:b/>
                <w:color w:val="000000" w:themeColor="text1"/>
              </w:rPr>
            </w:pPr>
            <w:r w:rsidRPr="000C6009">
              <w:rPr>
                <w:rFonts w:asciiTheme="minorHAnsi" w:hAnsiTheme="minorHAnsi" w:cstheme="minorHAnsi"/>
                <w:b/>
                <w:color w:val="000000" w:themeColor="text1"/>
              </w:rPr>
              <w:t>Operatore</w:t>
            </w:r>
          </w:p>
        </w:tc>
        <w:tc>
          <w:tcPr>
            <w:tcW w:w="1227" w:type="dxa"/>
            <w:shd w:val="clear" w:color="auto" w:fill="EE3438"/>
          </w:tcPr>
          <w:p w14:paraId="2801E413" w14:textId="77777777" w:rsidR="002E0EA3" w:rsidRPr="000C6009" w:rsidRDefault="002E0EA3">
            <w:pPr>
              <w:spacing w:before="120"/>
              <w:rPr>
                <w:rFonts w:asciiTheme="minorHAnsi" w:hAnsiTheme="minorHAnsi" w:cstheme="minorHAnsi"/>
                <w:b/>
              </w:rPr>
            </w:pPr>
            <w:r w:rsidRPr="000C6009">
              <w:rPr>
                <w:rFonts w:asciiTheme="minorHAnsi" w:hAnsiTheme="minorHAnsi" w:cstheme="minorHAnsi"/>
                <w:b/>
              </w:rPr>
              <w:t>Durata contratto</w:t>
            </w:r>
          </w:p>
        </w:tc>
      </w:tr>
      <w:tr w:rsidR="002E0EA3" w:rsidRPr="000C6009" w14:paraId="66B2FE0C" w14:textId="77777777" w:rsidTr="006A5BAF">
        <w:trPr>
          <w:trHeight w:val="288"/>
        </w:trPr>
        <w:tc>
          <w:tcPr>
            <w:tcW w:w="2033" w:type="dxa"/>
            <w:vAlign w:val="center"/>
          </w:tcPr>
          <w:p w14:paraId="2A562F88" w14:textId="77777777" w:rsidR="002E0EA3" w:rsidRPr="000C6009" w:rsidRDefault="002E0EA3">
            <w:pPr>
              <w:jc w:val="left"/>
              <w:rPr>
                <w:rFonts w:asciiTheme="minorHAnsi" w:eastAsiaTheme="minorHAnsi" w:hAnsiTheme="minorHAnsi" w:cstheme="minorHAnsi"/>
                <w:color w:val="000000" w:themeColor="text1"/>
              </w:rPr>
            </w:pPr>
            <w:r>
              <w:rPr>
                <w:rFonts w:asciiTheme="minorHAnsi" w:eastAsiaTheme="minorHAnsi" w:hAnsiTheme="minorHAnsi" w:cstheme="minorHAnsi"/>
                <w:color w:val="000000" w:themeColor="text1"/>
              </w:rPr>
              <w:t>Comune di Chivasso</w:t>
            </w:r>
          </w:p>
        </w:tc>
        <w:tc>
          <w:tcPr>
            <w:tcW w:w="1999" w:type="dxa"/>
            <w:vAlign w:val="center"/>
          </w:tcPr>
          <w:p w14:paraId="476A3C90" w14:textId="77777777" w:rsidR="002E0EA3" w:rsidRPr="000C6009" w:rsidRDefault="002E0EA3">
            <w:pPr>
              <w:jc w:val="left"/>
              <w:rPr>
                <w:rFonts w:asciiTheme="minorHAnsi" w:eastAsiaTheme="minorHAnsi" w:hAnsiTheme="minorHAnsi" w:cstheme="minorHAnsi"/>
                <w:color w:val="000000" w:themeColor="text1"/>
              </w:rPr>
            </w:pPr>
            <w:r>
              <w:rPr>
                <w:rFonts w:asciiTheme="minorHAnsi" w:eastAsiaTheme="minorHAnsi" w:hAnsiTheme="minorHAnsi" w:cstheme="minorHAnsi"/>
                <w:color w:val="000000" w:themeColor="text1"/>
              </w:rPr>
              <w:t>Delibera CdA n. 22 del 06/10/2020</w:t>
            </w:r>
          </w:p>
        </w:tc>
        <w:tc>
          <w:tcPr>
            <w:tcW w:w="1765" w:type="dxa"/>
            <w:noWrap/>
            <w:vAlign w:val="center"/>
          </w:tcPr>
          <w:p w14:paraId="51A23714" w14:textId="77777777" w:rsidR="002E0EA3" w:rsidRPr="000C6009" w:rsidRDefault="002E0EA3">
            <w:pPr>
              <w:jc w:val="left"/>
              <w:rPr>
                <w:rFonts w:asciiTheme="minorHAnsi" w:eastAsiaTheme="minorHAnsi" w:hAnsiTheme="minorHAnsi" w:cstheme="minorHAnsi"/>
                <w:color w:val="000000" w:themeColor="text1"/>
              </w:rPr>
            </w:pPr>
            <w:r>
              <w:rPr>
                <w:rFonts w:asciiTheme="minorHAnsi" w:eastAsiaTheme="minorHAnsi" w:hAnsiTheme="minorHAnsi" w:cstheme="minorHAnsi"/>
                <w:color w:val="000000" w:themeColor="text1"/>
              </w:rPr>
              <w:t>In economia</w:t>
            </w:r>
          </w:p>
        </w:tc>
        <w:tc>
          <w:tcPr>
            <w:tcW w:w="2088" w:type="dxa"/>
            <w:noWrap/>
            <w:vAlign w:val="center"/>
          </w:tcPr>
          <w:p w14:paraId="5727E124" w14:textId="77777777" w:rsidR="002E0EA3" w:rsidRPr="000C6009" w:rsidRDefault="002E0EA3">
            <w:pPr>
              <w:jc w:val="left"/>
              <w:rPr>
                <w:rFonts w:asciiTheme="minorHAnsi" w:eastAsiaTheme="minorHAnsi" w:hAnsiTheme="minorHAnsi" w:cstheme="minorHAnsi"/>
                <w:color w:val="000000" w:themeColor="text1"/>
              </w:rPr>
            </w:pPr>
          </w:p>
        </w:tc>
        <w:tc>
          <w:tcPr>
            <w:tcW w:w="1227" w:type="dxa"/>
            <w:noWrap/>
            <w:vAlign w:val="center"/>
          </w:tcPr>
          <w:p w14:paraId="2FF50AFB" w14:textId="77777777" w:rsidR="002E0EA3" w:rsidRPr="000C6009" w:rsidRDefault="002E0EA3">
            <w:pPr>
              <w:jc w:val="center"/>
              <w:rPr>
                <w:rFonts w:asciiTheme="minorHAnsi" w:eastAsiaTheme="minorHAnsi" w:hAnsiTheme="minorHAnsi" w:cstheme="minorHAnsi"/>
                <w:color w:val="000000" w:themeColor="text1"/>
              </w:rPr>
            </w:pPr>
          </w:p>
        </w:tc>
      </w:tr>
      <w:tr w:rsidR="002E0EA3" w:rsidRPr="000C6009" w14:paraId="6DE1726D" w14:textId="77777777" w:rsidTr="006A5BAF">
        <w:trPr>
          <w:trHeight w:val="288"/>
        </w:trPr>
        <w:tc>
          <w:tcPr>
            <w:tcW w:w="2033" w:type="dxa"/>
            <w:noWrap/>
            <w:vAlign w:val="center"/>
          </w:tcPr>
          <w:p w14:paraId="7BC8FB68" w14:textId="77777777" w:rsidR="002E0EA3" w:rsidRPr="000C6009" w:rsidRDefault="002E0EA3">
            <w:pPr>
              <w:jc w:val="left"/>
              <w:rPr>
                <w:rFonts w:asciiTheme="minorHAnsi" w:eastAsiaTheme="minorHAnsi" w:hAnsiTheme="minorHAnsi" w:cstheme="minorHAnsi"/>
                <w:color w:val="000000" w:themeColor="text1"/>
              </w:rPr>
            </w:pPr>
            <w:r>
              <w:rPr>
                <w:rFonts w:asciiTheme="minorHAnsi" w:eastAsiaTheme="minorHAnsi" w:hAnsiTheme="minorHAnsi" w:cstheme="minorHAnsi"/>
                <w:color w:val="000000" w:themeColor="text1"/>
              </w:rPr>
              <w:t>Comune di Sestriere</w:t>
            </w:r>
          </w:p>
        </w:tc>
        <w:tc>
          <w:tcPr>
            <w:tcW w:w="1999" w:type="dxa"/>
            <w:noWrap/>
            <w:vAlign w:val="center"/>
          </w:tcPr>
          <w:p w14:paraId="6861B7F2" w14:textId="77777777" w:rsidR="002E0EA3" w:rsidRPr="000C6009" w:rsidRDefault="002E0EA3">
            <w:pPr>
              <w:jc w:val="left"/>
              <w:rPr>
                <w:rFonts w:asciiTheme="minorHAnsi" w:eastAsiaTheme="minorHAnsi" w:hAnsiTheme="minorHAnsi" w:cstheme="minorHAnsi"/>
                <w:color w:val="000000" w:themeColor="text1"/>
              </w:rPr>
            </w:pPr>
            <w:r>
              <w:rPr>
                <w:rFonts w:asciiTheme="minorHAnsi" w:eastAsiaTheme="minorHAnsi" w:hAnsiTheme="minorHAnsi" w:cstheme="minorHAnsi"/>
                <w:color w:val="000000" w:themeColor="text1"/>
              </w:rPr>
              <w:t>Delibera CdA n. 22 del 06/10/2020</w:t>
            </w:r>
          </w:p>
        </w:tc>
        <w:tc>
          <w:tcPr>
            <w:tcW w:w="1765" w:type="dxa"/>
            <w:noWrap/>
            <w:vAlign w:val="center"/>
          </w:tcPr>
          <w:p w14:paraId="07DA9FCD" w14:textId="77777777" w:rsidR="002E0EA3" w:rsidRPr="000C6009" w:rsidRDefault="002E0EA3">
            <w:pPr>
              <w:jc w:val="left"/>
              <w:rPr>
                <w:rFonts w:asciiTheme="minorHAnsi" w:eastAsiaTheme="minorHAnsi" w:hAnsiTheme="minorHAnsi" w:cstheme="minorHAnsi"/>
                <w:color w:val="000000" w:themeColor="text1"/>
              </w:rPr>
            </w:pPr>
            <w:r>
              <w:rPr>
                <w:rFonts w:asciiTheme="minorHAnsi" w:eastAsiaTheme="minorHAnsi" w:hAnsiTheme="minorHAnsi" w:cstheme="minorHAnsi"/>
                <w:color w:val="000000" w:themeColor="text1"/>
              </w:rPr>
              <w:t>Diretto</w:t>
            </w:r>
          </w:p>
        </w:tc>
        <w:tc>
          <w:tcPr>
            <w:tcW w:w="2088" w:type="dxa"/>
            <w:noWrap/>
            <w:vAlign w:val="center"/>
          </w:tcPr>
          <w:p w14:paraId="693129A0" w14:textId="77777777" w:rsidR="002E0EA3" w:rsidRPr="000C6009" w:rsidRDefault="002E0EA3">
            <w:pPr>
              <w:jc w:val="left"/>
              <w:rPr>
                <w:rFonts w:asciiTheme="minorHAnsi" w:eastAsiaTheme="minorHAnsi" w:hAnsiTheme="minorHAnsi" w:cstheme="minorHAnsi"/>
                <w:color w:val="000000" w:themeColor="text1"/>
              </w:rPr>
            </w:pPr>
            <w:r>
              <w:rPr>
                <w:rFonts w:asciiTheme="minorHAnsi" w:eastAsiaTheme="minorHAnsi" w:hAnsiTheme="minorHAnsi" w:cstheme="minorHAnsi"/>
                <w:color w:val="000000" w:themeColor="text1"/>
              </w:rPr>
              <w:t>Autoservizi Garofalo S. e C. s.n.c.</w:t>
            </w:r>
          </w:p>
        </w:tc>
        <w:tc>
          <w:tcPr>
            <w:tcW w:w="1227" w:type="dxa"/>
            <w:noWrap/>
            <w:vAlign w:val="center"/>
          </w:tcPr>
          <w:p w14:paraId="1E16DB22" w14:textId="77777777" w:rsidR="002E0EA3" w:rsidRPr="000C6009" w:rsidRDefault="002E0EA3">
            <w:pPr>
              <w:jc w:val="center"/>
              <w:rPr>
                <w:rFonts w:asciiTheme="minorHAnsi" w:eastAsiaTheme="minorHAnsi" w:hAnsiTheme="minorHAnsi" w:cstheme="minorHAnsi"/>
                <w:color w:val="000000" w:themeColor="text1"/>
              </w:rPr>
            </w:pPr>
            <w:r>
              <w:rPr>
                <w:rFonts w:asciiTheme="minorHAnsi" w:eastAsiaTheme="minorHAnsi" w:hAnsiTheme="minorHAnsi" w:cstheme="minorHAnsi"/>
                <w:color w:val="000000" w:themeColor="text1"/>
              </w:rPr>
              <w:t>20/09/2027</w:t>
            </w:r>
          </w:p>
        </w:tc>
      </w:tr>
      <w:tr w:rsidR="002E0EA3" w:rsidRPr="000C6009" w14:paraId="1D3ABF2D" w14:textId="77777777" w:rsidTr="006A5BAF">
        <w:trPr>
          <w:trHeight w:val="288"/>
        </w:trPr>
        <w:tc>
          <w:tcPr>
            <w:tcW w:w="2033" w:type="dxa"/>
            <w:vMerge w:val="restart"/>
            <w:noWrap/>
            <w:vAlign w:val="center"/>
          </w:tcPr>
          <w:p w14:paraId="7CEFBFF2" w14:textId="77777777" w:rsidR="002E0EA3" w:rsidRPr="000C6009" w:rsidRDefault="002E0EA3">
            <w:pPr>
              <w:jc w:val="left"/>
              <w:rPr>
                <w:rFonts w:asciiTheme="minorHAnsi" w:eastAsiaTheme="minorHAnsi" w:hAnsiTheme="minorHAnsi" w:cstheme="minorHAnsi"/>
                <w:color w:val="000000" w:themeColor="text1"/>
              </w:rPr>
            </w:pPr>
            <w:r>
              <w:rPr>
                <w:rFonts w:asciiTheme="minorHAnsi" w:eastAsiaTheme="minorHAnsi" w:hAnsiTheme="minorHAnsi" w:cstheme="minorHAnsi"/>
                <w:color w:val="000000" w:themeColor="text1"/>
              </w:rPr>
              <w:t>Unione montana di comuni delle valli di Lanzo, Ceronda e Casternone</w:t>
            </w:r>
          </w:p>
        </w:tc>
        <w:tc>
          <w:tcPr>
            <w:tcW w:w="1999" w:type="dxa"/>
            <w:vMerge w:val="restart"/>
            <w:noWrap/>
            <w:vAlign w:val="center"/>
          </w:tcPr>
          <w:p w14:paraId="14A3ACF7" w14:textId="77777777" w:rsidR="002E0EA3" w:rsidRPr="000C6009" w:rsidRDefault="002E0EA3">
            <w:pPr>
              <w:jc w:val="left"/>
              <w:rPr>
                <w:rFonts w:asciiTheme="minorHAnsi" w:eastAsiaTheme="minorHAnsi" w:hAnsiTheme="minorHAnsi" w:cstheme="minorHAnsi"/>
                <w:color w:val="000000" w:themeColor="text1"/>
              </w:rPr>
            </w:pPr>
            <w:r>
              <w:rPr>
                <w:rFonts w:asciiTheme="minorHAnsi" w:eastAsiaTheme="minorHAnsi" w:hAnsiTheme="minorHAnsi" w:cstheme="minorHAnsi"/>
                <w:color w:val="000000" w:themeColor="text1"/>
              </w:rPr>
              <w:t>Delibera CdA n. 22 del 06/10/2020</w:t>
            </w:r>
          </w:p>
        </w:tc>
        <w:tc>
          <w:tcPr>
            <w:tcW w:w="1765" w:type="dxa"/>
            <w:noWrap/>
            <w:vAlign w:val="center"/>
          </w:tcPr>
          <w:p w14:paraId="662F318E" w14:textId="77777777" w:rsidR="002E0EA3" w:rsidRPr="000C6009" w:rsidRDefault="002E0EA3">
            <w:pPr>
              <w:jc w:val="left"/>
              <w:rPr>
                <w:rFonts w:asciiTheme="minorHAnsi" w:eastAsiaTheme="minorHAnsi" w:hAnsiTheme="minorHAnsi" w:cstheme="minorHAnsi"/>
                <w:color w:val="000000" w:themeColor="text1"/>
              </w:rPr>
            </w:pPr>
            <w:r>
              <w:rPr>
                <w:rFonts w:asciiTheme="minorHAnsi" w:eastAsiaTheme="minorHAnsi" w:hAnsiTheme="minorHAnsi" w:cstheme="minorHAnsi"/>
                <w:color w:val="000000" w:themeColor="text1"/>
              </w:rPr>
              <w:t>Diretto</w:t>
            </w:r>
          </w:p>
        </w:tc>
        <w:tc>
          <w:tcPr>
            <w:tcW w:w="2088" w:type="dxa"/>
            <w:noWrap/>
            <w:vAlign w:val="center"/>
          </w:tcPr>
          <w:p w14:paraId="3B8D0CC6" w14:textId="77777777" w:rsidR="002E0EA3" w:rsidRPr="000C6009" w:rsidRDefault="002E0EA3">
            <w:pPr>
              <w:jc w:val="left"/>
              <w:rPr>
                <w:rFonts w:asciiTheme="minorHAnsi" w:eastAsiaTheme="minorHAnsi" w:hAnsiTheme="minorHAnsi" w:cstheme="minorHAnsi"/>
                <w:color w:val="000000" w:themeColor="text1"/>
              </w:rPr>
            </w:pPr>
            <w:r>
              <w:rPr>
                <w:rFonts w:asciiTheme="minorHAnsi" w:eastAsiaTheme="minorHAnsi" w:hAnsiTheme="minorHAnsi" w:cstheme="minorHAnsi"/>
                <w:color w:val="000000" w:themeColor="text1"/>
              </w:rPr>
              <w:t>Marietta Aldo</w:t>
            </w:r>
          </w:p>
        </w:tc>
        <w:tc>
          <w:tcPr>
            <w:tcW w:w="1227" w:type="dxa"/>
            <w:noWrap/>
            <w:vAlign w:val="center"/>
          </w:tcPr>
          <w:p w14:paraId="2D2FC8E5" w14:textId="77777777" w:rsidR="002E0EA3" w:rsidRPr="000C6009" w:rsidRDefault="002E0EA3">
            <w:pPr>
              <w:jc w:val="center"/>
              <w:rPr>
                <w:rFonts w:asciiTheme="minorHAnsi" w:eastAsiaTheme="minorHAnsi" w:hAnsiTheme="minorHAnsi" w:cstheme="minorHAnsi"/>
                <w:color w:val="000000" w:themeColor="text1"/>
              </w:rPr>
            </w:pPr>
          </w:p>
        </w:tc>
      </w:tr>
      <w:tr w:rsidR="002E0EA3" w:rsidRPr="000C6009" w14:paraId="6CB53B2B" w14:textId="77777777" w:rsidTr="006A5BAF">
        <w:trPr>
          <w:trHeight w:val="288"/>
        </w:trPr>
        <w:tc>
          <w:tcPr>
            <w:tcW w:w="2033" w:type="dxa"/>
            <w:vMerge/>
            <w:noWrap/>
            <w:vAlign w:val="center"/>
          </w:tcPr>
          <w:p w14:paraId="71C4EDD9" w14:textId="77777777" w:rsidR="002E0EA3" w:rsidRDefault="002E0EA3">
            <w:pPr>
              <w:jc w:val="left"/>
              <w:rPr>
                <w:rFonts w:cstheme="minorHAnsi"/>
                <w:color w:val="000000" w:themeColor="text1"/>
              </w:rPr>
            </w:pPr>
          </w:p>
        </w:tc>
        <w:tc>
          <w:tcPr>
            <w:tcW w:w="1999" w:type="dxa"/>
            <w:vMerge/>
            <w:noWrap/>
            <w:vAlign w:val="center"/>
          </w:tcPr>
          <w:p w14:paraId="2AE58922" w14:textId="77777777" w:rsidR="002E0EA3" w:rsidRDefault="002E0EA3">
            <w:pPr>
              <w:jc w:val="left"/>
              <w:rPr>
                <w:rFonts w:cstheme="minorHAnsi"/>
                <w:color w:val="000000" w:themeColor="text1"/>
              </w:rPr>
            </w:pPr>
          </w:p>
        </w:tc>
        <w:tc>
          <w:tcPr>
            <w:tcW w:w="1765" w:type="dxa"/>
            <w:noWrap/>
            <w:vAlign w:val="center"/>
          </w:tcPr>
          <w:p w14:paraId="42CA9506" w14:textId="77777777" w:rsidR="002E0EA3" w:rsidRPr="000A78B7" w:rsidRDefault="002E0EA3">
            <w:pPr>
              <w:jc w:val="left"/>
              <w:rPr>
                <w:rFonts w:asciiTheme="minorHAnsi" w:eastAsiaTheme="minorHAnsi" w:hAnsiTheme="minorHAnsi" w:cstheme="minorHAnsi"/>
                <w:color w:val="000000" w:themeColor="text1"/>
              </w:rPr>
            </w:pPr>
            <w:r w:rsidRPr="000A78B7">
              <w:rPr>
                <w:rFonts w:asciiTheme="minorHAnsi" w:eastAsiaTheme="minorHAnsi" w:hAnsiTheme="minorHAnsi" w:cstheme="minorHAnsi"/>
                <w:color w:val="000000" w:themeColor="text1"/>
              </w:rPr>
              <w:t>In economia</w:t>
            </w:r>
          </w:p>
        </w:tc>
        <w:tc>
          <w:tcPr>
            <w:tcW w:w="2088" w:type="dxa"/>
            <w:noWrap/>
            <w:vAlign w:val="center"/>
          </w:tcPr>
          <w:p w14:paraId="70C3DF71" w14:textId="77777777" w:rsidR="002E0EA3" w:rsidRPr="000A78B7" w:rsidRDefault="002E0EA3">
            <w:pPr>
              <w:jc w:val="left"/>
              <w:rPr>
                <w:rFonts w:asciiTheme="minorHAnsi" w:eastAsiaTheme="minorHAnsi" w:hAnsiTheme="minorHAnsi" w:cstheme="minorHAnsi"/>
                <w:color w:val="000000" w:themeColor="text1"/>
              </w:rPr>
            </w:pPr>
          </w:p>
        </w:tc>
        <w:tc>
          <w:tcPr>
            <w:tcW w:w="1227" w:type="dxa"/>
            <w:noWrap/>
            <w:vAlign w:val="center"/>
          </w:tcPr>
          <w:p w14:paraId="255FF135" w14:textId="77777777" w:rsidR="002E0EA3" w:rsidRPr="000A78B7" w:rsidRDefault="002E0EA3">
            <w:pPr>
              <w:jc w:val="center"/>
              <w:rPr>
                <w:rFonts w:asciiTheme="minorHAnsi" w:eastAsiaTheme="minorHAnsi" w:hAnsiTheme="minorHAnsi" w:cstheme="minorHAnsi"/>
                <w:color w:val="000000" w:themeColor="text1"/>
              </w:rPr>
            </w:pPr>
          </w:p>
        </w:tc>
      </w:tr>
      <w:tr w:rsidR="002E0EA3" w:rsidRPr="000C6009" w14:paraId="61DD2110" w14:textId="77777777" w:rsidTr="006A5BAF">
        <w:trPr>
          <w:trHeight w:val="288"/>
        </w:trPr>
        <w:tc>
          <w:tcPr>
            <w:tcW w:w="2033" w:type="dxa"/>
            <w:noWrap/>
            <w:vAlign w:val="center"/>
          </w:tcPr>
          <w:p w14:paraId="7FABD44F" w14:textId="77777777" w:rsidR="002E0EA3" w:rsidRPr="000C6009" w:rsidRDefault="002E0EA3">
            <w:pPr>
              <w:jc w:val="left"/>
              <w:rPr>
                <w:rFonts w:asciiTheme="minorHAnsi" w:eastAsiaTheme="minorHAnsi" w:hAnsiTheme="minorHAnsi" w:cstheme="minorHAnsi"/>
                <w:color w:val="000000" w:themeColor="text1"/>
              </w:rPr>
            </w:pPr>
            <w:r>
              <w:rPr>
                <w:rFonts w:asciiTheme="minorHAnsi" w:eastAsiaTheme="minorHAnsi" w:hAnsiTheme="minorHAnsi" w:cstheme="minorHAnsi"/>
                <w:color w:val="000000" w:themeColor="text1"/>
              </w:rPr>
              <w:t>Unione montana valle Susa</w:t>
            </w:r>
          </w:p>
        </w:tc>
        <w:tc>
          <w:tcPr>
            <w:tcW w:w="1999" w:type="dxa"/>
            <w:noWrap/>
            <w:vAlign w:val="center"/>
          </w:tcPr>
          <w:p w14:paraId="7DFCC5EB" w14:textId="77777777" w:rsidR="002E0EA3" w:rsidRPr="000C6009" w:rsidRDefault="002E0EA3">
            <w:pPr>
              <w:jc w:val="left"/>
              <w:rPr>
                <w:rFonts w:asciiTheme="minorHAnsi" w:eastAsiaTheme="minorHAnsi" w:hAnsiTheme="minorHAnsi" w:cstheme="minorHAnsi"/>
                <w:color w:val="000000" w:themeColor="text1"/>
              </w:rPr>
            </w:pPr>
            <w:r>
              <w:rPr>
                <w:rFonts w:asciiTheme="minorHAnsi" w:eastAsiaTheme="minorHAnsi" w:hAnsiTheme="minorHAnsi" w:cstheme="minorHAnsi"/>
                <w:color w:val="000000" w:themeColor="text1"/>
              </w:rPr>
              <w:t>Delibera CdA n. 22 del 06/10/2020</w:t>
            </w:r>
          </w:p>
        </w:tc>
        <w:tc>
          <w:tcPr>
            <w:tcW w:w="1765" w:type="dxa"/>
            <w:noWrap/>
            <w:vAlign w:val="center"/>
          </w:tcPr>
          <w:p w14:paraId="6541C5E0" w14:textId="77777777" w:rsidR="002E0EA3" w:rsidRPr="000C6009" w:rsidRDefault="002E0EA3">
            <w:pPr>
              <w:jc w:val="left"/>
              <w:rPr>
                <w:rFonts w:asciiTheme="minorHAnsi" w:eastAsiaTheme="minorHAnsi" w:hAnsiTheme="minorHAnsi" w:cstheme="minorHAnsi"/>
                <w:color w:val="000000" w:themeColor="text1"/>
              </w:rPr>
            </w:pPr>
            <w:r>
              <w:rPr>
                <w:rFonts w:asciiTheme="minorHAnsi" w:eastAsiaTheme="minorHAnsi" w:hAnsiTheme="minorHAnsi" w:cstheme="minorHAnsi"/>
                <w:color w:val="000000" w:themeColor="text1"/>
              </w:rPr>
              <w:t>In economia</w:t>
            </w:r>
          </w:p>
        </w:tc>
        <w:tc>
          <w:tcPr>
            <w:tcW w:w="2088" w:type="dxa"/>
            <w:noWrap/>
            <w:vAlign w:val="center"/>
          </w:tcPr>
          <w:p w14:paraId="275105CF" w14:textId="77777777" w:rsidR="002E0EA3" w:rsidRPr="000C6009" w:rsidRDefault="002E0EA3">
            <w:pPr>
              <w:jc w:val="left"/>
              <w:rPr>
                <w:rFonts w:asciiTheme="minorHAnsi" w:eastAsiaTheme="minorHAnsi" w:hAnsiTheme="minorHAnsi" w:cstheme="minorHAnsi"/>
                <w:color w:val="000000" w:themeColor="text1"/>
              </w:rPr>
            </w:pPr>
          </w:p>
        </w:tc>
        <w:tc>
          <w:tcPr>
            <w:tcW w:w="1227" w:type="dxa"/>
            <w:noWrap/>
            <w:vAlign w:val="center"/>
          </w:tcPr>
          <w:p w14:paraId="6A588B19" w14:textId="77777777" w:rsidR="002E0EA3" w:rsidRPr="000C6009" w:rsidRDefault="002E0EA3">
            <w:pPr>
              <w:jc w:val="center"/>
              <w:rPr>
                <w:rFonts w:asciiTheme="minorHAnsi" w:eastAsiaTheme="minorHAnsi" w:hAnsiTheme="minorHAnsi" w:cstheme="minorHAnsi"/>
                <w:color w:val="000000" w:themeColor="text1"/>
              </w:rPr>
            </w:pPr>
          </w:p>
        </w:tc>
      </w:tr>
      <w:tr w:rsidR="002E0EA3" w:rsidRPr="000C6009" w14:paraId="06A60158" w14:textId="77777777" w:rsidTr="006A5BAF">
        <w:trPr>
          <w:trHeight w:val="288"/>
        </w:trPr>
        <w:tc>
          <w:tcPr>
            <w:tcW w:w="2033" w:type="dxa"/>
            <w:vMerge w:val="restart"/>
            <w:noWrap/>
            <w:vAlign w:val="center"/>
          </w:tcPr>
          <w:p w14:paraId="7B4A3AA0" w14:textId="77777777" w:rsidR="002E0EA3" w:rsidRDefault="002E0EA3">
            <w:pPr>
              <w:jc w:val="left"/>
              <w:rPr>
                <w:rFonts w:cstheme="minorHAnsi"/>
                <w:color w:val="000000" w:themeColor="text1"/>
              </w:rPr>
            </w:pPr>
            <w:r>
              <w:rPr>
                <w:rFonts w:asciiTheme="minorHAnsi" w:eastAsiaTheme="minorHAnsi" w:hAnsiTheme="minorHAnsi" w:cstheme="minorHAnsi"/>
                <w:color w:val="000000" w:themeColor="text1"/>
              </w:rPr>
              <w:t>Unione montana dei comuni delle valli Chisone e Germanasca</w:t>
            </w:r>
          </w:p>
        </w:tc>
        <w:tc>
          <w:tcPr>
            <w:tcW w:w="1999" w:type="dxa"/>
            <w:vMerge w:val="restart"/>
            <w:noWrap/>
            <w:vAlign w:val="center"/>
          </w:tcPr>
          <w:p w14:paraId="69B807D4" w14:textId="77777777" w:rsidR="002E0EA3" w:rsidRDefault="002E0EA3">
            <w:pPr>
              <w:jc w:val="left"/>
              <w:rPr>
                <w:rFonts w:cstheme="minorHAnsi"/>
                <w:color w:val="000000" w:themeColor="text1"/>
              </w:rPr>
            </w:pPr>
            <w:r>
              <w:rPr>
                <w:rFonts w:asciiTheme="minorHAnsi" w:eastAsiaTheme="minorHAnsi" w:hAnsiTheme="minorHAnsi" w:cstheme="minorHAnsi"/>
                <w:color w:val="000000" w:themeColor="text1"/>
              </w:rPr>
              <w:t>Delibera CdA n. 42 del 11/10/2019</w:t>
            </w:r>
          </w:p>
        </w:tc>
        <w:tc>
          <w:tcPr>
            <w:tcW w:w="1765" w:type="dxa"/>
            <w:noWrap/>
            <w:vAlign w:val="center"/>
          </w:tcPr>
          <w:p w14:paraId="54114C05" w14:textId="77777777" w:rsidR="002E0EA3" w:rsidRPr="009C548C" w:rsidRDefault="002E0EA3" w:rsidP="00F9748E">
            <w:pPr>
              <w:jc w:val="center"/>
              <w:rPr>
                <w:rFonts w:asciiTheme="minorHAnsi" w:hAnsiTheme="minorHAnsi" w:cstheme="minorHAnsi"/>
                <w:color w:val="000000" w:themeColor="text1"/>
              </w:rPr>
            </w:pPr>
            <w:r w:rsidRPr="009C548C">
              <w:rPr>
                <w:rFonts w:asciiTheme="minorHAnsi" w:hAnsiTheme="minorHAnsi" w:cstheme="minorHAnsi"/>
                <w:color w:val="000000" w:themeColor="text1"/>
              </w:rPr>
              <w:t>I</w:t>
            </w:r>
            <w:r w:rsidRPr="009C548C">
              <w:rPr>
                <w:rFonts w:asciiTheme="minorHAnsi" w:eastAsiaTheme="minorHAnsi" w:hAnsiTheme="minorHAnsi" w:cstheme="minorHAnsi"/>
                <w:color w:val="000000" w:themeColor="text1"/>
              </w:rPr>
              <w:t>n economia</w:t>
            </w:r>
          </w:p>
        </w:tc>
        <w:tc>
          <w:tcPr>
            <w:tcW w:w="2088" w:type="dxa"/>
            <w:noWrap/>
            <w:vAlign w:val="center"/>
          </w:tcPr>
          <w:p w14:paraId="369E4D42" w14:textId="77777777" w:rsidR="002E0EA3" w:rsidRPr="000C6009" w:rsidRDefault="002E0EA3">
            <w:pPr>
              <w:jc w:val="left"/>
              <w:rPr>
                <w:rFonts w:cstheme="minorHAnsi"/>
                <w:color w:val="000000" w:themeColor="text1"/>
              </w:rPr>
            </w:pPr>
          </w:p>
        </w:tc>
        <w:tc>
          <w:tcPr>
            <w:tcW w:w="1227" w:type="dxa"/>
            <w:noWrap/>
            <w:vAlign w:val="center"/>
          </w:tcPr>
          <w:p w14:paraId="7206B6F6" w14:textId="77777777" w:rsidR="002E0EA3" w:rsidRPr="000C6009" w:rsidRDefault="002E0EA3">
            <w:pPr>
              <w:jc w:val="center"/>
              <w:rPr>
                <w:rFonts w:cstheme="minorHAnsi"/>
                <w:color w:val="000000" w:themeColor="text1"/>
              </w:rPr>
            </w:pPr>
          </w:p>
        </w:tc>
      </w:tr>
      <w:tr w:rsidR="002E0EA3" w:rsidRPr="000C6009" w14:paraId="3E870566" w14:textId="77777777" w:rsidTr="006A5BAF">
        <w:trPr>
          <w:trHeight w:val="288"/>
        </w:trPr>
        <w:tc>
          <w:tcPr>
            <w:tcW w:w="2033" w:type="dxa"/>
            <w:vMerge/>
            <w:noWrap/>
            <w:vAlign w:val="center"/>
          </w:tcPr>
          <w:p w14:paraId="298E37C1" w14:textId="77777777" w:rsidR="002E0EA3" w:rsidRPr="000C6009" w:rsidRDefault="002E0EA3">
            <w:pPr>
              <w:jc w:val="left"/>
              <w:rPr>
                <w:rFonts w:asciiTheme="minorHAnsi" w:eastAsiaTheme="minorHAnsi" w:hAnsiTheme="minorHAnsi" w:cstheme="minorHAnsi"/>
                <w:color w:val="000000" w:themeColor="text1"/>
              </w:rPr>
            </w:pPr>
          </w:p>
        </w:tc>
        <w:tc>
          <w:tcPr>
            <w:tcW w:w="1999" w:type="dxa"/>
            <w:vMerge/>
            <w:noWrap/>
            <w:vAlign w:val="center"/>
          </w:tcPr>
          <w:p w14:paraId="4FFDB616" w14:textId="77777777" w:rsidR="002E0EA3" w:rsidRPr="000C6009" w:rsidRDefault="002E0EA3">
            <w:pPr>
              <w:jc w:val="left"/>
              <w:rPr>
                <w:rFonts w:asciiTheme="minorHAnsi" w:eastAsiaTheme="minorHAnsi" w:hAnsiTheme="minorHAnsi" w:cstheme="minorHAnsi"/>
                <w:color w:val="000000" w:themeColor="text1"/>
              </w:rPr>
            </w:pPr>
          </w:p>
        </w:tc>
        <w:tc>
          <w:tcPr>
            <w:tcW w:w="1765" w:type="dxa"/>
            <w:noWrap/>
            <w:vAlign w:val="center"/>
          </w:tcPr>
          <w:p w14:paraId="533F5510" w14:textId="77777777" w:rsidR="002E0EA3" w:rsidRPr="000C6009" w:rsidRDefault="002E0EA3">
            <w:pPr>
              <w:jc w:val="left"/>
              <w:rPr>
                <w:rFonts w:asciiTheme="minorHAnsi" w:eastAsiaTheme="minorHAnsi" w:hAnsiTheme="minorHAnsi" w:cstheme="minorHAnsi"/>
                <w:color w:val="000000" w:themeColor="text1"/>
              </w:rPr>
            </w:pPr>
            <w:r>
              <w:rPr>
                <w:rFonts w:asciiTheme="minorHAnsi" w:eastAsiaTheme="minorHAnsi" w:hAnsiTheme="minorHAnsi" w:cstheme="minorHAnsi"/>
                <w:color w:val="000000" w:themeColor="text1"/>
              </w:rPr>
              <w:t>Diretto</w:t>
            </w:r>
          </w:p>
        </w:tc>
        <w:tc>
          <w:tcPr>
            <w:tcW w:w="2088" w:type="dxa"/>
            <w:noWrap/>
            <w:vAlign w:val="center"/>
          </w:tcPr>
          <w:p w14:paraId="3FAF364E" w14:textId="77777777" w:rsidR="002E0EA3" w:rsidRPr="000C6009" w:rsidRDefault="002E0EA3">
            <w:pPr>
              <w:jc w:val="left"/>
              <w:rPr>
                <w:rFonts w:asciiTheme="minorHAnsi" w:eastAsiaTheme="minorHAnsi" w:hAnsiTheme="minorHAnsi" w:cstheme="minorHAnsi"/>
                <w:color w:val="000000" w:themeColor="text1"/>
              </w:rPr>
            </w:pPr>
            <w:r>
              <w:rPr>
                <w:rFonts w:asciiTheme="minorHAnsi" w:eastAsiaTheme="minorHAnsi" w:hAnsiTheme="minorHAnsi" w:cstheme="minorHAnsi"/>
                <w:color w:val="000000" w:themeColor="text1"/>
              </w:rPr>
              <w:t>Autoservizi Sestriere SaS</w:t>
            </w:r>
          </w:p>
        </w:tc>
        <w:tc>
          <w:tcPr>
            <w:tcW w:w="1227" w:type="dxa"/>
            <w:noWrap/>
            <w:vAlign w:val="center"/>
          </w:tcPr>
          <w:p w14:paraId="3FC332F7" w14:textId="77777777" w:rsidR="002E0EA3" w:rsidRPr="000C6009" w:rsidRDefault="002E0EA3">
            <w:pPr>
              <w:jc w:val="center"/>
              <w:rPr>
                <w:rFonts w:asciiTheme="minorHAnsi" w:eastAsiaTheme="minorHAnsi" w:hAnsiTheme="minorHAnsi" w:cstheme="minorHAnsi"/>
                <w:color w:val="000000" w:themeColor="text1"/>
              </w:rPr>
            </w:pPr>
            <w:r>
              <w:rPr>
                <w:rFonts w:asciiTheme="minorHAnsi" w:eastAsiaTheme="minorHAnsi" w:hAnsiTheme="minorHAnsi" w:cstheme="minorHAnsi"/>
                <w:color w:val="000000" w:themeColor="text1"/>
              </w:rPr>
              <w:t>13/06/2025</w:t>
            </w:r>
          </w:p>
        </w:tc>
      </w:tr>
      <w:tr w:rsidR="002E0EA3" w:rsidRPr="000C6009" w14:paraId="52A9A106" w14:textId="77777777" w:rsidTr="006A5BAF">
        <w:trPr>
          <w:trHeight w:val="288"/>
        </w:trPr>
        <w:tc>
          <w:tcPr>
            <w:tcW w:w="2033" w:type="dxa"/>
            <w:vMerge/>
            <w:noWrap/>
            <w:vAlign w:val="center"/>
          </w:tcPr>
          <w:p w14:paraId="5CE6E176" w14:textId="77777777" w:rsidR="002E0EA3" w:rsidRDefault="002E0EA3">
            <w:pPr>
              <w:jc w:val="left"/>
              <w:rPr>
                <w:rFonts w:cstheme="minorHAnsi"/>
                <w:color w:val="000000" w:themeColor="text1"/>
              </w:rPr>
            </w:pPr>
          </w:p>
        </w:tc>
        <w:tc>
          <w:tcPr>
            <w:tcW w:w="1999" w:type="dxa"/>
            <w:vMerge/>
            <w:noWrap/>
            <w:vAlign w:val="center"/>
          </w:tcPr>
          <w:p w14:paraId="206449AE" w14:textId="77777777" w:rsidR="002E0EA3" w:rsidRDefault="002E0EA3">
            <w:pPr>
              <w:jc w:val="left"/>
              <w:rPr>
                <w:rFonts w:cstheme="minorHAnsi"/>
                <w:color w:val="000000" w:themeColor="text1"/>
              </w:rPr>
            </w:pPr>
          </w:p>
        </w:tc>
        <w:tc>
          <w:tcPr>
            <w:tcW w:w="1765" w:type="dxa"/>
            <w:noWrap/>
            <w:vAlign w:val="center"/>
          </w:tcPr>
          <w:p w14:paraId="426B5B92" w14:textId="77777777" w:rsidR="002E0EA3" w:rsidRPr="00CC19EF" w:rsidRDefault="002E0EA3">
            <w:pPr>
              <w:jc w:val="left"/>
              <w:rPr>
                <w:rFonts w:asciiTheme="minorHAnsi" w:eastAsiaTheme="minorHAnsi" w:hAnsiTheme="minorHAnsi" w:cstheme="minorHAnsi"/>
                <w:color w:val="000000" w:themeColor="text1"/>
              </w:rPr>
            </w:pPr>
            <w:r w:rsidRPr="00CC19EF">
              <w:rPr>
                <w:rFonts w:asciiTheme="minorHAnsi" w:eastAsiaTheme="minorHAnsi" w:hAnsiTheme="minorHAnsi" w:cstheme="minorHAnsi"/>
                <w:color w:val="000000" w:themeColor="text1"/>
              </w:rPr>
              <w:t>Diretto</w:t>
            </w:r>
          </w:p>
        </w:tc>
        <w:tc>
          <w:tcPr>
            <w:tcW w:w="2088" w:type="dxa"/>
            <w:noWrap/>
            <w:vAlign w:val="center"/>
          </w:tcPr>
          <w:p w14:paraId="2BA4D532" w14:textId="77777777" w:rsidR="002E0EA3" w:rsidRPr="0054423C" w:rsidRDefault="002E0EA3">
            <w:pPr>
              <w:jc w:val="left"/>
              <w:rPr>
                <w:rFonts w:asciiTheme="minorHAnsi" w:eastAsiaTheme="minorHAnsi" w:hAnsiTheme="minorHAnsi" w:cstheme="minorHAnsi"/>
                <w:color w:val="000000" w:themeColor="text1"/>
              </w:rPr>
            </w:pPr>
            <w:r w:rsidRPr="0054423C">
              <w:rPr>
                <w:rFonts w:asciiTheme="minorHAnsi" w:eastAsiaTheme="minorHAnsi" w:hAnsiTheme="minorHAnsi" w:cstheme="minorHAnsi"/>
                <w:color w:val="000000" w:themeColor="text1"/>
              </w:rPr>
              <w:t>ARRIVA Italia s.r.l.</w:t>
            </w:r>
          </w:p>
        </w:tc>
        <w:tc>
          <w:tcPr>
            <w:tcW w:w="1227" w:type="dxa"/>
            <w:noWrap/>
            <w:vAlign w:val="center"/>
          </w:tcPr>
          <w:p w14:paraId="6D939AE1" w14:textId="77777777" w:rsidR="002E0EA3" w:rsidRPr="00CC19EF" w:rsidRDefault="002E0EA3">
            <w:pPr>
              <w:jc w:val="center"/>
              <w:rPr>
                <w:rFonts w:asciiTheme="minorHAnsi" w:eastAsiaTheme="minorHAnsi" w:hAnsiTheme="minorHAnsi" w:cstheme="minorHAnsi"/>
                <w:color w:val="000000" w:themeColor="text1"/>
              </w:rPr>
            </w:pPr>
            <w:r w:rsidRPr="00FB07A6">
              <w:rPr>
                <w:rFonts w:asciiTheme="minorHAnsi" w:eastAsiaTheme="minorHAnsi" w:hAnsiTheme="minorHAnsi" w:cstheme="minorHAnsi"/>
                <w:color w:val="000000" w:themeColor="text1"/>
              </w:rPr>
              <w:t>13/06/2025</w:t>
            </w:r>
          </w:p>
        </w:tc>
      </w:tr>
      <w:tr w:rsidR="002E0EA3" w:rsidRPr="000C6009" w14:paraId="38081E67" w14:textId="77777777" w:rsidTr="006A5BAF">
        <w:trPr>
          <w:trHeight w:val="288"/>
        </w:trPr>
        <w:tc>
          <w:tcPr>
            <w:tcW w:w="2033" w:type="dxa"/>
            <w:vMerge/>
            <w:noWrap/>
            <w:vAlign w:val="center"/>
          </w:tcPr>
          <w:p w14:paraId="5093439D" w14:textId="77777777" w:rsidR="002E0EA3" w:rsidRDefault="002E0EA3">
            <w:pPr>
              <w:jc w:val="left"/>
              <w:rPr>
                <w:rFonts w:cstheme="minorHAnsi"/>
                <w:color w:val="000000" w:themeColor="text1"/>
              </w:rPr>
            </w:pPr>
          </w:p>
        </w:tc>
        <w:tc>
          <w:tcPr>
            <w:tcW w:w="1999" w:type="dxa"/>
            <w:vMerge/>
            <w:noWrap/>
            <w:vAlign w:val="center"/>
          </w:tcPr>
          <w:p w14:paraId="3C95AF1C" w14:textId="77777777" w:rsidR="002E0EA3" w:rsidRDefault="002E0EA3">
            <w:pPr>
              <w:jc w:val="left"/>
              <w:rPr>
                <w:rFonts w:cstheme="minorHAnsi"/>
                <w:color w:val="000000" w:themeColor="text1"/>
              </w:rPr>
            </w:pPr>
          </w:p>
        </w:tc>
        <w:tc>
          <w:tcPr>
            <w:tcW w:w="1765" w:type="dxa"/>
            <w:noWrap/>
            <w:vAlign w:val="center"/>
          </w:tcPr>
          <w:p w14:paraId="556B8D2D" w14:textId="77777777" w:rsidR="002E0EA3" w:rsidRPr="00CC19EF" w:rsidRDefault="002E0EA3">
            <w:pPr>
              <w:jc w:val="left"/>
              <w:rPr>
                <w:rFonts w:asciiTheme="minorHAnsi" w:eastAsiaTheme="minorHAnsi" w:hAnsiTheme="minorHAnsi" w:cstheme="minorHAnsi"/>
                <w:color w:val="000000" w:themeColor="text1"/>
              </w:rPr>
            </w:pPr>
            <w:r w:rsidRPr="00CC19EF">
              <w:rPr>
                <w:rFonts w:asciiTheme="minorHAnsi" w:eastAsiaTheme="minorHAnsi" w:hAnsiTheme="minorHAnsi" w:cstheme="minorHAnsi"/>
                <w:color w:val="000000" w:themeColor="text1"/>
              </w:rPr>
              <w:t>Diretto</w:t>
            </w:r>
          </w:p>
        </w:tc>
        <w:tc>
          <w:tcPr>
            <w:tcW w:w="2088" w:type="dxa"/>
            <w:noWrap/>
            <w:vAlign w:val="center"/>
          </w:tcPr>
          <w:p w14:paraId="1A13E68B" w14:textId="77777777" w:rsidR="002E0EA3" w:rsidRPr="0054423C" w:rsidRDefault="002E0EA3">
            <w:pPr>
              <w:jc w:val="left"/>
              <w:rPr>
                <w:rFonts w:asciiTheme="minorHAnsi" w:eastAsiaTheme="minorHAnsi" w:hAnsiTheme="minorHAnsi" w:cstheme="minorHAnsi"/>
                <w:color w:val="000000" w:themeColor="text1"/>
              </w:rPr>
            </w:pPr>
            <w:r w:rsidRPr="0054423C">
              <w:rPr>
                <w:rFonts w:asciiTheme="minorHAnsi" w:eastAsiaTheme="minorHAnsi" w:hAnsiTheme="minorHAnsi" w:cstheme="minorHAnsi"/>
                <w:color w:val="000000" w:themeColor="text1"/>
              </w:rPr>
              <w:t>Bobba Roberto</w:t>
            </w:r>
          </w:p>
        </w:tc>
        <w:tc>
          <w:tcPr>
            <w:tcW w:w="1227" w:type="dxa"/>
            <w:noWrap/>
            <w:vAlign w:val="center"/>
          </w:tcPr>
          <w:p w14:paraId="08802B41" w14:textId="77777777" w:rsidR="002E0EA3" w:rsidRPr="00CC19EF" w:rsidRDefault="002E0EA3">
            <w:pPr>
              <w:jc w:val="center"/>
              <w:rPr>
                <w:rFonts w:asciiTheme="minorHAnsi" w:eastAsiaTheme="minorHAnsi" w:hAnsiTheme="minorHAnsi" w:cstheme="minorHAnsi"/>
                <w:color w:val="000000" w:themeColor="text1"/>
              </w:rPr>
            </w:pPr>
            <w:r w:rsidRPr="00FB07A6">
              <w:rPr>
                <w:rFonts w:asciiTheme="minorHAnsi" w:eastAsiaTheme="minorHAnsi" w:hAnsiTheme="minorHAnsi" w:cstheme="minorHAnsi"/>
                <w:color w:val="000000" w:themeColor="text1"/>
              </w:rPr>
              <w:t>13/06/2025</w:t>
            </w:r>
          </w:p>
        </w:tc>
      </w:tr>
      <w:tr w:rsidR="002E0EA3" w:rsidRPr="000C6009" w14:paraId="398FC447" w14:textId="77777777" w:rsidTr="006A5BAF">
        <w:trPr>
          <w:trHeight w:val="288"/>
        </w:trPr>
        <w:tc>
          <w:tcPr>
            <w:tcW w:w="2033" w:type="dxa"/>
            <w:vMerge/>
            <w:noWrap/>
            <w:vAlign w:val="center"/>
          </w:tcPr>
          <w:p w14:paraId="2A831B54" w14:textId="77777777" w:rsidR="002E0EA3" w:rsidRDefault="002E0EA3">
            <w:pPr>
              <w:jc w:val="left"/>
              <w:rPr>
                <w:rFonts w:cstheme="minorHAnsi"/>
                <w:color w:val="000000" w:themeColor="text1"/>
              </w:rPr>
            </w:pPr>
          </w:p>
        </w:tc>
        <w:tc>
          <w:tcPr>
            <w:tcW w:w="1999" w:type="dxa"/>
            <w:vMerge/>
            <w:noWrap/>
            <w:vAlign w:val="center"/>
          </w:tcPr>
          <w:p w14:paraId="02BC2B0E" w14:textId="77777777" w:rsidR="002E0EA3" w:rsidRDefault="002E0EA3">
            <w:pPr>
              <w:jc w:val="left"/>
              <w:rPr>
                <w:rFonts w:cstheme="minorHAnsi"/>
                <w:color w:val="000000" w:themeColor="text1"/>
              </w:rPr>
            </w:pPr>
          </w:p>
        </w:tc>
        <w:tc>
          <w:tcPr>
            <w:tcW w:w="1765" w:type="dxa"/>
            <w:noWrap/>
            <w:vAlign w:val="center"/>
          </w:tcPr>
          <w:p w14:paraId="07CC5AC8" w14:textId="77777777" w:rsidR="002E0EA3" w:rsidRPr="00CC19EF" w:rsidRDefault="002E0EA3">
            <w:pPr>
              <w:jc w:val="left"/>
              <w:rPr>
                <w:rFonts w:asciiTheme="minorHAnsi" w:eastAsiaTheme="minorHAnsi" w:hAnsiTheme="minorHAnsi" w:cstheme="minorHAnsi"/>
                <w:color w:val="000000" w:themeColor="text1"/>
              </w:rPr>
            </w:pPr>
            <w:r w:rsidRPr="00CC19EF">
              <w:rPr>
                <w:rFonts w:asciiTheme="minorHAnsi" w:eastAsiaTheme="minorHAnsi" w:hAnsiTheme="minorHAnsi" w:cstheme="minorHAnsi"/>
                <w:color w:val="000000" w:themeColor="text1"/>
              </w:rPr>
              <w:t>Diretto</w:t>
            </w:r>
          </w:p>
        </w:tc>
        <w:tc>
          <w:tcPr>
            <w:tcW w:w="2088" w:type="dxa"/>
            <w:noWrap/>
            <w:vAlign w:val="center"/>
          </w:tcPr>
          <w:p w14:paraId="45C361F5" w14:textId="77777777" w:rsidR="002E0EA3" w:rsidRPr="0054423C" w:rsidRDefault="002E0EA3">
            <w:pPr>
              <w:jc w:val="left"/>
              <w:rPr>
                <w:rFonts w:asciiTheme="minorHAnsi" w:eastAsiaTheme="minorHAnsi" w:hAnsiTheme="minorHAnsi" w:cstheme="minorHAnsi"/>
                <w:color w:val="000000" w:themeColor="text1"/>
              </w:rPr>
            </w:pPr>
            <w:r w:rsidRPr="0054423C">
              <w:rPr>
                <w:rFonts w:asciiTheme="minorHAnsi" w:eastAsiaTheme="minorHAnsi" w:hAnsiTheme="minorHAnsi" w:cstheme="minorHAnsi"/>
                <w:color w:val="000000" w:themeColor="text1"/>
              </w:rPr>
              <w:t>APL Autoservizi Pubblici del ponente ligure srl</w:t>
            </w:r>
          </w:p>
        </w:tc>
        <w:tc>
          <w:tcPr>
            <w:tcW w:w="1227" w:type="dxa"/>
            <w:noWrap/>
            <w:vAlign w:val="center"/>
          </w:tcPr>
          <w:p w14:paraId="7391C06B" w14:textId="77777777" w:rsidR="002E0EA3" w:rsidRPr="00CC19EF" w:rsidRDefault="002E0EA3">
            <w:pPr>
              <w:jc w:val="center"/>
              <w:rPr>
                <w:rFonts w:asciiTheme="minorHAnsi" w:eastAsiaTheme="minorHAnsi" w:hAnsiTheme="minorHAnsi" w:cstheme="minorHAnsi"/>
                <w:color w:val="000000" w:themeColor="text1"/>
              </w:rPr>
            </w:pPr>
            <w:r w:rsidRPr="00FB07A6">
              <w:rPr>
                <w:rFonts w:asciiTheme="minorHAnsi" w:eastAsiaTheme="minorHAnsi" w:hAnsiTheme="minorHAnsi" w:cstheme="minorHAnsi"/>
                <w:color w:val="000000" w:themeColor="text1"/>
              </w:rPr>
              <w:t>13/06/2025</w:t>
            </w:r>
          </w:p>
        </w:tc>
      </w:tr>
      <w:tr w:rsidR="002E0EA3" w:rsidRPr="000C6009" w14:paraId="3FC47068" w14:textId="77777777" w:rsidTr="006A5BAF">
        <w:trPr>
          <w:trHeight w:val="288"/>
        </w:trPr>
        <w:tc>
          <w:tcPr>
            <w:tcW w:w="2033" w:type="dxa"/>
            <w:noWrap/>
            <w:vAlign w:val="center"/>
          </w:tcPr>
          <w:p w14:paraId="5B69B7ED" w14:textId="77777777" w:rsidR="002E0EA3" w:rsidRDefault="002E0EA3">
            <w:pPr>
              <w:jc w:val="left"/>
              <w:rPr>
                <w:rFonts w:cstheme="minorHAnsi"/>
                <w:color w:val="000000" w:themeColor="text1"/>
              </w:rPr>
            </w:pPr>
            <w:r>
              <w:rPr>
                <w:rFonts w:asciiTheme="minorHAnsi" w:eastAsiaTheme="minorHAnsi" w:hAnsiTheme="minorHAnsi" w:cstheme="minorHAnsi"/>
                <w:color w:val="000000" w:themeColor="text1"/>
              </w:rPr>
              <w:t>Unione montana del Pinerolese</w:t>
            </w:r>
          </w:p>
        </w:tc>
        <w:tc>
          <w:tcPr>
            <w:tcW w:w="1999" w:type="dxa"/>
            <w:noWrap/>
            <w:vAlign w:val="center"/>
          </w:tcPr>
          <w:p w14:paraId="01C1DAAA" w14:textId="77777777" w:rsidR="002E0EA3" w:rsidRDefault="002E0EA3">
            <w:pPr>
              <w:jc w:val="left"/>
              <w:rPr>
                <w:rFonts w:cstheme="minorHAnsi"/>
                <w:color w:val="000000" w:themeColor="text1"/>
              </w:rPr>
            </w:pPr>
            <w:r>
              <w:rPr>
                <w:rFonts w:asciiTheme="minorHAnsi" w:eastAsiaTheme="minorHAnsi" w:hAnsiTheme="minorHAnsi" w:cstheme="minorHAnsi"/>
                <w:color w:val="000000" w:themeColor="text1"/>
              </w:rPr>
              <w:t>Delibera CdA n. 22 del 06/10/2020</w:t>
            </w:r>
          </w:p>
        </w:tc>
        <w:tc>
          <w:tcPr>
            <w:tcW w:w="1765" w:type="dxa"/>
            <w:noWrap/>
            <w:vAlign w:val="center"/>
          </w:tcPr>
          <w:p w14:paraId="04EE5DE4" w14:textId="77777777" w:rsidR="002E0EA3" w:rsidRPr="00CC19EF" w:rsidRDefault="002E0EA3">
            <w:pPr>
              <w:jc w:val="left"/>
              <w:rPr>
                <w:rFonts w:asciiTheme="minorHAnsi" w:eastAsiaTheme="minorHAnsi" w:hAnsiTheme="minorHAnsi" w:cstheme="minorHAnsi"/>
                <w:color w:val="000000" w:themeColor="text1"/>
              </w:rPr>
            </w:pPr>
            <w:r>
              <w:rPr>
                <w:rFonts w:asciiTheme="minorHAnsi" w:eastAsiaTheme="minorHAnsi" w:hAnsiTheme="minorHAnsi" w:cstheme="minorHAnsi"/>
                <w:color w:val="000000" w:themeColor="text1"/>
              </w:rPr>
              <w:t>D</w:t>
            </w:r>
            <w:r w:rsidRPr="00CC19EF">
              <w:rPr>
                <w:rFonts w:asciiTheme="minorHAnsi" w:eastAsiaTheme="minorHAnsi" w:hAnsiTheme="minorHAnsi" w:cstheme="minorHAnsi"/>
                <w:color w:val="000000" w:themeColor="text1"/>
              </w:rPr>
              <w:t>iretto</w:t>
            </w:r>
          </w:p>
        </w:tc>
        <w:tc>
          <w:tcPr>
            <w:tcW w:w="2088" w:type="dxa"/>
            <w:noWrap/>
            <w:vAlign w:val="center"/>
          </w:tcPr>
          <w:p w14:paraId="479494CC" w14:textId="77777777" w:rsidR="002E0EA3" w:rsidRPr="00CC19EF" w:rsidRDefault="002E0EA3">
            <w:pPr>
              <w:jc w:val="left"/>
              <w:rPr>
                <w:rFonts w:asciiTheme="minorHAnsi" w:eastAsiaTheme="minorHAnsi" w:hAnsiTheme="minorHAnsi" w:cstheme="minorHAnsi"/>
                <w:color w:val="000000" w:themeColor="text1"/>
              </w:rPr>
            </w:pPr>
            <w:r w:rsidRPr="00CC19EF">
              <w:rPr>
                <w:rFonts w:asciiTheme="minorHAnsi" w:eastAsiaTheme="minorHAnsi" w:hAnsiTheme="minorHAnsi" w:cstheme="minorHAnsi"/>
                <w:color w:val="000000" w:themeColor="text1"/>
              </w:rPr>
              <w:t>Dossetto Bus srl</w:t>
            </w:r>
          </w:p>
        </w:tc>
        <w:tc>
          <w:tcPr>
            <w:tcW w:w="1227" w:type="dxa"/>
            <w:noWrap/>
            <w:vAlign w:val="center"/>
          </w:tcPr>
          <w:p w14:paraId="2A1D43F2" w14:textId="77777777" w:rsidR="002E0EA3" w:rsidRPr="00CC19EF" w:rsidRDefault="002E0EA3">
            <w:pPr>
              <w:jc w:val="center"/>
              <w:rPr>
                <w:rFonts w:asciiTheme="minorHAnsi" w:eastAsiaTheme="minorHAnsi" w:hAnsiTheme="minorHAnsi" w:cstheme="minorHAnsi"/>
                <w:color w:val="000000" w:themeColor="text1"/>
              </w:rPr>
            </w:pPr>
            <w:r w:rsidRPr="00CC19EF">
              <w:rPr>
                <w:rFonts w:asciiTheme="minorHAnsi" w:eastAsiaTheme="minorHAnsi" w:hAnsiTheme="minorHAnsi" w:cstheme="minorHAnsi"/>
                <w:color w:val="000000" w:themeColor="text1"/>
              </w:rPr>
              <w:t>06/06/2025</w:t>
            </w:r>
          </w:p>
        </w:tc>
      </w:tr>
    </w:tbl>
    <w:p w14:paraId="6E192949" w14:textId="4F5C2D06" w:rsidR="002E0EA3" w:rsidRDefault="002E0EA3" w:rsidP="002E0EA3">
      <w:pPr>
        <w:pStyle w:val="Didascalia"/>
        <w:jc w:val="center"/>
        <w:rPr>
          <w:rFonts w:cstheme="minorHAnsi"/>
          <w:iCs w:val="0"/>
          <w:color w:val="003366"/>
        </w:rPr>
      </w:pPr>
      <w:bookmarkStart w:id="93" w:name="_Ref93329079"/>
      <w:bookmarkStart w:id="94" w:name="_Toc137740114"/>
      <w:bookmarkStart w:id="95" w:name="_Ref189221129"/>
      <w:r w:rsidRPr="000C6009">
        <w:rPr>
          <w:rFonts w:cstheme="minorHAnsi"/>
          <w:color w:val="003366"/>
        </w:rPr>
        <w:t xml:space="preserve">Tabella </w:t>
      </w:r>
      <w:r w:rsidRPr="000C6009">
        <w:rPr>
          <w:rFonts w:cstheme="minorHAnsi"/>
          <w:color w:val="003366"/>
        </w:rPr>
        <w:fldChar w:fldCharType="begin"/>
      </w:r>
      <w:r w:rsidRPr="000C6009">
        <w:rPr>
          <w:rFonts w:cstheme="minorHAnsi"/>
          <w:color w:val="003366"/>
        </w:rPr>
        <w:instrText xml:space="preserve"> SEQ Tabella \* ARABIC </w:instrText>
      </w:r>
      <w:r w:rsidRPr="000C6009">
        <w:rPr>
          <w:rFonts w:cstheme="minorHAnsi"/>
          <w:color w:val="003366"/>
        </w:rPr>
        <w:fldChar w:fldCharType="separate"/>
      </w:r>
      <w:r w:rsidR="00073B6D">
        <w:rPr>
          <w:rFonts w:cstheme="minorHAnsi"/>
          <w:noProof/>
          <w:color w:val="003366"/>
        </w:rPr>
        <w:t>2</w:t>
      </w:r>
      <w:r w:rsidRPr="000C6009">
        <w:rPr>
          <w:rFonts w:cstheme="minorHAnsi"/>
          <w:noProof/>
          <w:color w:val="003366"/>
        </w:rPr>
        <w:fldChar w:fldCharType="end"/>
      </w:r>
      <w:bookmarkEnd w:id="93"/>
      <w:r w:rsidRPr="000C6009">
        <w:rPr>
          <w:rFonts w:cstheme="minorHAnsi"/>
          <w:i w:val="0"/>
          <w:color w:val="003366"/>
        </w:rPr>
        <w:t xml:space="preserve"> –</w:t>
      </w:r>
      <w:bookmarkEnd w:id="94"/>
      <w:r w:rsidRPr="000C6009">
        <w:rPr>
          <w:rFonts w:cstheme="minorHAnsi"/>
          <w:i w:val="0"/>
          <w:color w:val="003366"/>
        </w:rPr>
        <w:t xml:space="preserve"> </w:t>
      </w:r>
      <w:r w:rsidRPr="000C6009">
        <w:rPr>
          <w:rFonts w:cstheme="minorHAnsi"/>
          <w:iCs w:val="0"/>
          <w:color w:val="003366"/>
        </w:rPr>
        <w:t xml:space="preserve">Quadro degli Accordi di Programma nel Bacino </w:t>
      </w:r>
      <w:bookmarkEnd w:id="95"/>
      <w:r>
        <w:rPr>
          <w:rFonts w:cstheme="minorHAnsi"/>
          <w:iCs w:val="0"/>
          <w:color w:val="003366"/>
        </w:rPr>
        <w:t>Metropolitano</w:t>
      </w:r>
    </w:p>
    <w:p w14:paraId="479EFCAE" w14:textId="77777777" w:rsidR="002E0EA3" w:rsidRDefault="002E0EA3" w:rsidP="002E0EA3">
      <w:pPr>
        <w:sectPr w:rsidR="002E0EA3" w:rsidSect="00F41C4B">
          <w:footerReference w:type="default" r:id="rId24"/>
          <w:pgSz w:w="11906" w:h="16838"/>
          <w:pgMar w:top="1418" w:right="1418" w:bottom="1418" w:left="1418" w:header="709" w:footer="709" w:gutter="0"/>
          <w:pgBorders w:offsetFrom="page">
            <w:right w:val="single" w:sz="48" w:space="24" w:color="EE3438"/>
          </w:pgBorders>
          <w:cols w:space="708"/>
          <w:docGrid w:linePitch="360"/>
        </w:sectPr>
      </w:pPr>
    </w:p>
    <w:p w14:paraId="6E5B92C8" w14:textId="77777777" w:rsidR="003E245D" w:rsidRPr="003E245D" w:rsidRDefault="003E245D" w:rsidP="006C3ACF">
      <w:pPr>
        <w:pStyle w:val="Titolo1"/>
        <w:spacing w:after="360"/>
        <w:ind w:left="431" w:hanging="431"/>
        <w:rPr>
          <w:b w:val="0"/>
          <w:i w:val="0"/>
        </w:rPr>
      </w:pPr>
      <w:bookmarkStart w:id="96" w:name="_Ref191387875"/>
      <w:bookmarkStart w:id="97" w:name="_Ref191387880"/>
      <w:bookmarkStart w:id="98" w:name="_Toc193195289"/>
      <w:bookmarkStart w:id="99" w:name="_Toc589222504"/>
      <w:bookmarkStart w:id="100" w:name="_Toc197695663"/>
      <w:bookmarkStart w:id="101" w:name="_Toc204616479"/>
      <w:bookmarkStart w:id="102" w:name="_Ref205196067"/>
      <w:bookmarkStart w:id="103" w:name="_Ref212805128"/>
      <w:bookmarkStart w:id="104" w:name="_Toc213078348"/>
      <w:r w:rsidRPr="006C3ACF">
        <w:rPr>
          <w:rFonts w:asciiTheme="minorHAnsi" w:hAnsiTheme="minorHAnsi" w:cstheme="minorHAnsi"/>
        </w:rPr>
        <w:lastRenderedPageBreak/>
        <w:t xml:space="preserve">Analisi della domanda effettiva, potenziale e debole del Bacino </w:t>
      </w:r>
      <w:bookmarkEnd w:id="96"/>
      <w:bookmarkEnd w:id="97"/>
      <w:bookmarkEnd w:id="98"/>
      <w:bookmarkEnd w:id="99"/>
      <w:bookmarkEnd w:id="100"/>
      <w:r w:rsidRPr="006C3ACF">
        <w:rPr>
          <w:rFonts w:asciiTheme="minorHAnsi" w:hAnsiTheme="minorHAnsi" w:cstheme="minorHAnsi"/>
        </w:rPr>
        <w:t>Metropolitano</w:t>
      </w:r>
      <w:bookmarkEnd w:id="101"/>
      <w:bookmarkEnd w:id="102"/>
      <w:bookmarkEnd w:id="103"/>
      <w:bookmarkEnd w:id="104"/>
    </w:p>
    <w:p w14:paraId="4A1AF8D1" w14:textId="77777777" w:rsidR="003E245D" w:rsidRPr="003E245D" w:rsidRDefault="003E245D" w:rsidP="003E245D">
      <w:pPr>
        <w:spacing w:before="120" w:after="0" w:line="240" w:lineRule="auto"/>
        <w:rPr>
          <w:rFonts w:cstheme="minorHAnsi"/>
        </w:rPr>
      </w:pPr>
      <w:r w:rsidRPr="003E245D">
        <w:rPr>
          <w:rFonts w:cstheme="minorHAnsi"/>
        </w:rPr>
        <w:t>Attraverso le indagini IMQ</w:t>
      </w:r>
      <w:r w:rsidRPr="003E245D">
        <w:rPr>
          <w:rFonts w:cstheme="minorHAnsi"/>
          <w:vertAlign w:val="superscript"/>
        </w:rPr>
        <w:footnoteReference w:id="8"/>
      </w:r>
      <w:r w:rsidRPr="003E245D">
        <w:rPr>
          <w:rFonts w:cstheme="minorHAnsi"/>
        </w:rPr>
        <w:t>, AMP monitora periodicamente la mobilità dei residenti in Piemonte e la qualità percepita dai cittadini con riferimento ai mezzi di trasporto (trasporto pubblico, auto, bicicletta) mediante interviste telefoniche ad un campione rappresentativo della popolazione residente in Piemonte. Le interviste vengono somministrate con tecnica CATI (Computer Aided Telephone Interview) a recapiti di telefonica fissa e mobile presenti nei pubblici elenchi. Le serie storiche comprendono i dati raccolti nelle tre indagini condotte a livello regionale nel 2004, nel 2013 e nel 2022. I campioni rappresentativi della popolazione hanno età maggiore di 10 anni e, nel caso dell’indagine 2022, minore di 85 anni, e sono stratificati per classi di sesso e per età.</w:t>
      </w:r>
    </w:p>
    <w:p w14:paraId="07C85501" w14:textId="77777777" w:rsidR="003E245D" w:rsidRPr="003E245D" w:rsidRDefault="003E245D" w:rsidP="003E245D">
      <w:pPr>
        <w:spacing w:before="120" w:after="0" w:line="240" w:lineRule="auto"/>
        <w:rPr>
          <w:rFonts w:cstheme="minorHAnsi"/>
        </w:rPr>
      </w:pPr>
      <w:r w:rsidRPr="003E245D">
        <w:rPr>
          <w:rFonts w:cstheme="minorHAnsi"/>
        </w:rPr>
        <w:t>Per le future indagini AMP valuterà una costruzione del campione dell’indagine con fasce di età compatibili con le “generazioni” riconosciute in letteratura (Baby Boomers, generazione X, Millennials, Generazione Z etc.) per poter indagare con maggior precisione le rispettive differenze nei comportamenti di mobilità. Rispetto alle classi di età IMQ attuali in cui l’ampiezza è variabile, si può valutare di passare a classi di ampiezza intorno ai 15 anni. Al momento le classi IMQ non presentano un’omogeneità con la individuazione delle “generazioni” individuate dalla recente letteratura.</w:t>
      </w:r>
    </w:p>
    <w:p w14:paraId="2B71AA22" w14:textId="77777777" w:rsidR="003E245D" w:rsidRPr="003E245D" w:rsidRDefault="003E245D" w:rsidP="003E245D">
      <w:pPr>
        <w:spacing w:before="120" w:after="0" w:line="240" w:lineRule="auto"/>
        <w:rPr>
          <w:rFonts w:cstheme="minorHAnsi"/>
        </w:rPr>
      </w:pPr>
      <w:r w:rsidRPr="003E245D">
        <w:rPr>
          <w:rFonts w:cstheme="minorHAnsi"/>
        </w:rPr>
        <w:t>Per tenere costantemente aggiornate le indagini sulla mobilità è stato attivato un Accordo di intesa e collaborazione con l’Istituto Superiore di Formazione e Ricerca per i Trasporti S.p.A. (ISFORT) per il "Focus Audimob in Piemonte" con il quale si realizzerà, fin dal 2025, una indagine annuale con l’individuazione di un campione statisticamente rilevante per il territorio Piemontese</w:t>
      </w:r>
      <w:r w:rsidRPr="003E245D">
        <w:rPr>
          <w:rFonts w:cstheme="minorHAnsi"/>
          <w:vertAlign w:val="superscript"/>
        </w:rPr>
        <w:footnoteReference w:id="9"/>
      </w:r>
      <w:r w:rsidRPr="003E245D">
        <w:rPr>
          <w:rFonts w:cstheme="minorHAnsi"/>
        </w:rPr>
        <w:t>.</w:t>
      </w:r>
    </w:p>
    <w:p w14:paraId="4298989E" w14:textId="77777777" w:rsidR="003E245D" w:rsidRPr="003E245D" w:rsidRDefault="003E245D" w:rsidP="006C3ACF">
      <w:pPr>
        <w:pStyle w:val="Titolo2"/>
        <w:ind w:left="567"/>
        <w:rPr>
          <w:rFonts w:cstheme="minorHAnsi"/>
          <w:b w:val="0"/>
        </w:rPr>
      </w:pPr>
      <w:bookmarkStart w:id="105" w:name="_Ref191387849"/>
      <w:bookmarkStart w:id="106" w:name="_Ref191387915"/>
      <w:bookmarkStart w:id="107" w:name="_Ref191387924"/>
      <w:bookmarkStart w:id="108" w:name="_Ref191387954"/>
      <w:bookmarkStart w:id="109" w:name="_Ref191387959"/>
      <w:bookmarkStart w:id="110" w:name="_Ref191387964"/>
      <w:bookmarkStart w:id="111" w:name="_Toc193195290"/>
      <w:bookmarkStart w:id="112" w:name="_Toc847091363"/>
      <w:bookmarkStart w:id="113" w:name="_Toc197695664"/>
      <w:bookmarkStart w:id="114" w:name="_Toc204616480"/>
      <w:bookmarkStart w:id="115" w:name="_Toc213078349"/>
      <w:r w:rsidRPr="006C3ACF">
        <w:rPr>
          <w:rFonts w:asciiTheme="minorHAnsi" w:hAnsiTheme="minorHAnsi" w:cstheme="minorHAnsi"/>
        </w:rPr>
        <w:t>Indagini statistiche sulla mobilità delle persone</w:t>
      </w:r>
      <w:bookmarkEnd w:id="105"/>
      <w:bookmarkEnd w:id="106"/>
      <w:bookmarkEnd w:id="107"/>
      <w:bookmarkEnd w:id="108"/>
      <w:bookmarkEnd w:id="109"/>
      <w:bookmarkEnd w:id="110"/>
      <w:bookmarkEnd w:id="111"/>
      <w:bookmarkEnd w:id="112"/>
      <w:bookmarkEnd w:id="113"/>
      <w:bookmarkEnd w:id="114"/>
      <w:bookmarkEnd w:id="115"/>
    </w:p>
    <w:p w14:paraId="7323BD10" w14:textId="77777777" w:rsidR="003E245D" w:rsidRPr="003E245D" w:rsidRDefault="003E245D" w:rsidP="003E245D">
      <w:pPr>
        <w:spacing w:before="120" w:after="0" w:line="240" w:lineRule="auto"/>
        <w:rPr>
          <w:rFonts w:cstheme="minorHAnsi"/>
        </w:rPr>
      </w:pPr>
      <w:r w:rsidRPr="003E245D">
        <w:rPr>
          <w:rFonts w:cstheme="minorHAnsi"/>
        </w:rPr>
        <w:t>Le analisi sulla domanda di mobilità qui presentate sono state eseguite in gran parte sui dati desunti dall’Indagine sulla Mobilità delle Persone e sulla Qualità dei trasporti 2022 nella Regione Piemonte (IMQ 2022). Tale indagine costituisce l’ennesima tappa di un monitoraggio che viene condotto sul nostro territorio da più di 20 anni, ciò permette quindi anche di fare un raffronto con il passato per avere contezza dell’andamento nel tempo della mobilità dei cittadini piemontesi.</w:t>
      </w:r>
    </w:p>
    <w:p w14:paraId="3D18FC95" w14:textId="77777777" w:rsidR="003E245D" w:rsidRPr="003E245D" w:rsidRDefault="003E245D" w:rsidP="003E245D">
      <w:pPr>
        <w:spacing w:before="120" w:after="0" w:line="240" w:lineRule="auto"/>
        <w:rPr>
          <w:rFonts w:cstheme="minorHAnsi"/>
        </w:rPr>
      </w:pPr>
      <w:r w:rsidRPr="003E245D">
        <w:rPr>
          <w:rFonts w:cstheme="minorHAnsi"/>
        </w:rPr>
        <w:t>Le interviste dell'IMQ 2022 si sono svolte nel periodo Autunno-Inverno 2021 e Primavera 2022. Questo periodo è stato ancora influenzato dall'emergenza Covid, che ha visto una diminuzione progressiva dei suoi effetti sulla mobilità durante le interviste. Le interviste relative al Bacino Metropolitano risentono pertanto degli effetti del Covid.</w:t>
      </w:r>
    </w:p>
    <w:p w14:paraId="029EBE05" w14:textId="77777777" w:rsidR="003E245D" w:rsidRPr="003E245D" w:rsidRDefault="003E245D" w:rsidP="003E245D">
      <w:pPr>
        <w:spacing w:before="120" w:after="0" w:line="240" w:lineRule="auto"/>
        <w:rPr>
          <w:rFonts w:cstheme="minorHAnsi"/>
        </w:rPr>
      </w:pPr>
      <w:r w:rsidRPr="003E245D">
        <w:rPr>
          <w:rFonts w:cstheme="minorHAnsi"/>
        </w:rPr>
        <w:lastRenderedPageBreak/>
        <w:t>L'universo di riferimento dell’indagine 2022 è la popolazione residente in Piemonte, di età compresa tra i 10 e gli 85 anni. Nelle indagini precedenti si consideravano nell’universo anche gli ultra-ottantacinquenni. Come mostrato nel grafico sottostante, negli ultimi 10 anni la popolazione totale è diminuita del 6,2% per effetto di tale ridefinizione dell’universo. Tuttavia, la popolazione mobile non ha subito la stessa decrescita (-0,9%). Questo conferma quanto ci si attende, ovvero che la quota di popolazione maggiore di 85 anni ha una bassa propensione alla mobilità.</w:t>
      </w:r>
    </w:p>
    <w:p w14:paraId="1EEC69C9" w14:textId="77777777" w:rsidR="003E245D" w:rsidRPr="003E245D" w:rsidRDefault="003E245D" w:rsidP="003E245D">
      <w:pPr>
        <w:spacing w:before="120" w:after="0" w:line="240" w:lineRule="auto"/>
        <w:rPr>
          <w:rFonts w:cstheme="minorHAnsi"/>
        </w:rPr>
      </w:pPr>
    </w:p>
    <w:p w14:paraId="6EA2FEB0" w14:textId="77777777" w:rsidR="003E245D" w:rsidRPr="003E245D" w:rsidRDefault="003E245D" w:rsidP="003E245D">
      <w:pPr>
        <w:spacing w:before="120" w:after="0" w:line="240" w:lineRule="auto"/>
        <w:rPr>
          <w:rFonts w:cstheme="minorHAnsi"/>
        </w:rPr>
      </w:pPr>
      <w:r w:rsidRPr="003E245D">
        <w:rPr>
          <w:rFonts w:cstheme="minorHAnsi"/>
          <w:noProof/>
        </w:rPr>
        <w:drawing>
          <wp:inline distT="0" distB="0" distL="0" distR="0" wp14:anchorId="35B1F39B" wp14:editId="06DB4DF7">
            <wp:extent cx="5773420" cy="3609340"/>
            <wp:effectExtent l="0" t="0" r="0" b="0"/>
            <wp:docPr id="2" name="Immagine 2" descr="Immagine che contiene testo, schermata, Carattere, numer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 schermata, Carattere, numero&#10;&#10;Descrizione generata automaticament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73420" cy="3609340"/>
                    </a:xfrm>
                    <a:prstGeom prst="rect">
                      <a:avLst/>
                    </a:prstGeom>
                    <a:noFill/>
                  </pic:spPr>
                </pic:pic>
              </a:graphicData>
            </a:graphic>
          </wp:inline>
        </w:drawing>
      </w:r>
    </w:p>
    <w:p w14:paraId="7E119F65" w14:textId="0D18F130" w:rsidR="003E245D" w:rsidRPr="003E245D" w:rsidRDefault="003E245D" w:rsidP="003E245D">
      <w:pPr>
        <w:spacing w:after="200" w:line="240" w:lineRule="auto"/>
        <w:jc w:val="center"/>
        <w:rPr>
          <w:rFonts w:cstheme="minorHAnsi"/>
          <w:i/>
          <w:iCs/>
          <w:color w:val="003366"/>
          <w:sz w:val="18"/>
          <w:szCs w:val="18"/>
        </w:rPr>
      </w:pPr>
      <w:r w:rsidRPr="003E245D">
        <w:rPr>
          <w:rFonts w:cstheme="minorHAnsi"/>
          <w:i/>
          <w:iCs/>
          <w:color w:val="003366"/>
          <w:sz w:val="18"/>
          <w:szCs w:val="18"/>
        </w:rPr>
        <w:t xml:space="preserve">Figura </w:t>
      </w:r>
      <w:r w:rsidRPr="003E245D">
        <w:rPr>
          <w:rFonts w:cstheme="minorHAnsi"/>
          <w:i/>
          <w:iCs/>
          <w:color w:val="003366"/>
          <w:sz w:val="18"/>
          <w:szCs w:val="18"/>
        </w:rPr>
        <w:fldChar w:fldCharType="begin"/>
      </w:r>
      <w:r w:rsidRPr="003E245D">
        <w:rPr>
          <w:rFonts w:cstheme="minorHAnsi"/>
          <w:i/>
          <w:iCs/>
          <w:color w:val="003366"/>
          <w:sz w:val="18"/>
          <w:szCs w:val="18"/>
        </w:rPr>
        <w:instrText xml:space="preserve"> SEQ Figura \* ARABIC </w:instrText>
      </w:r>
      <w:r w:rsidRPr="003E245D">
        <w:rPr>
          <w:rFonts w:cstheme="minorHAnsi"/>
          <w:i/>
          <w:iCs/>
          <w:color w:val="003366"/>
          <w:sz w:val="18"/>
          <w:szCs w:val="18"/>
        </w:rPr>
        <w:fldChar w:fldCharType="separate"/>
      </w:r>
      <w:r w:rsidR="00073B6D">
        <w:rPr>
          <w:rFonts w:cstheme="minorHAnsi"/>
          <w:i/>
          <w:iCs/>
          <w:noProof/>
          <w:color w:val="003366"/>
          <w:sz w:val="18"/>
          <w:szCs w:val="18"/>
        </w:rPr>
        <w:t>3</w:t>
      </w:r>
      <w:r w:rsidRPr="003E245D">
        <w:rPr>
          <w:rFonts w:cstheme="minorHAnsi"/>
          <w:i/>
          <w:iCs/>
          <w:noProof/>
          <w:color w:val="003366"/>
          <w:sz w:val="18"/>
          <w:szCs w:val="18"/>
        </w:rPr>
        <w:fldChar w:fldCharType="end"/>
      </w:r>
      <w:r w:rsidRPr="003E245D">
        <w:rPr>
          <w:rFonts w:cstheme="minorHAnsi"/>
          <w:i/>
          <w:iCs/>
          <w:color w:val="003366"/>
          <w:sz w:val="18"/>
          <w:szCs w:val="18"/>
        </w:rPr>
        <w:t xml:space="preserve"> – Popolazione oggetto d’indagine nel Bacino Metropolitano</w:t>
      </w:r>
    </w:p>
    <w:p w14:paraId="051CD078" w14:textId="47629AA1" w:rsidR="003E245D" w:rsidRPr="003E245D" w:rsidRDefault="003E245D" w:rsidP="003E245D">
      <w:pPr>
        <w:spacing w:before="120" w:after="0" w:line="240" w:lineRule="auto"/>
        <w:rPr>
          <w:rFonts w:cstheme="minorHAnsi"/>
        </w:rPr>
      </w:pPr>
      <w:r w:rsidRPr="003E245D">
        <w:rPr>
          <w:rFonts w:cstheme="minorHAnsi"/>
        </w:rPr>
        <w:t>In particolare, nel Bacino Metropolitano la popolazione mobile (ovvero coloro che hanno effettuato almeno uno spostamento nel giorno oggetto di intervista) rappresenta l’81,2 % della popolazione nella fascia 11-84 anni pari a 1.577.439 persone, e rispetto al passato la percentuale di persone che si spostano è in crescita (</w:t>
      </w:r>
      <w:r w:rsidRPr="003E245D">
        <w:rPr>
          <w:rFonts w:cstheme="minorHAnsi"/>
        </w:rPr>
        <w:fldChar w:fldCharType="begin"/>
      </w:r>
      <w:r w:rsidRPr="003E245D">
        <w:rPr>
          <w:rFonts w:cstheme="minorHAnsi"/>
        </w:rPr>
        <w:instrText xml:space="preserve"> REF _Ref189661972 \h </w:instrText>
      </w:r>
      <w:r w:rsidR="006C2718">
        <w:rPr>
          <w:rFonts w:cstheme="minorHAnsi"/>
        </w:rPr>
        <w:instrText xml:space="preserve"> \* MERGEFORMAT </w:instrText>
      </w:r>
      <w:r w:rsidRPr="003E245D">
        <w:rPr>
          <w:rFonts w:cstheme="minorHAnsi"/>
        </w:rPr>
      </w:r>
      <w:r w:rsidRPr="003E245D">
        <w:rPr>
          <w:rFonts w:cstheme="minorHAnsi"/>
        </w:rPr>
        <w:fldChar w:fldCharType="separate"/>
      </w:r>
      <w:r w:rsidR="00073B6D" w:rsidRPr="00073B6D">
        <w:rPr>
          <w:rFonts w:cstheme="minorHAnsi"/>
          <w:i/>
          <w:iCs/>
        </w:rPr>
        <w:t xml:space="preserve">Figura </w:t>
      </w:r>
      <w:r w:rsidR="00073B6D" w:rsidRPr="00073B6D">
        <w:rPr>
          <w:rFonts w:cstheme="minorHAnsi"/>
          <w:i/>
          <w:iCs/>
          <w:noProof/>
        </w:rPr>
        <w:t>4</w:t>
      </w:r>
      <w:r w:rsidRPr="003E245D">
        <w:rPr>
          <w:rFonts w:cstheme="minorHAnsi"/>
        </w:rPr>
        <w:fldChar w:fldCharType="end"/>
      </w:r>
      <w:r w:rsidRPr="003E245D">
        <w:rPr>
          <w:rFonts w:cstheme="minorHAnsi"/>
        </w:rPr>
        <w:t>), e mediamente compiono un numero maggiore di spostamenti pro-capite.</w:t>
      </w:r>
    </w:p>
    <w:p w14:paraId="3D7638ED" w14:textId="77777777" w:rsidR="003E245D" w:rsidRPr="003E245D" w:rsidRDefault="003E245D" w:rsidP="003E245D">
      <w:pPr>
        <w:spacing w:before="120" w:after="0" w:line="240" w:lineRule="auto"/>
        <w:rPr>
          <w:rFonts w:cstheme="minorHAnsi"/>
        </w:rPr>
      </w:pPr>
    </w:p>
    <w:p w14:paraId="7B72B1D0" w14:textId="77777777" w:rsidR="003E245D" w:rsidRPr="003E245D" w:rsidRDefault="003E245D" w:rsidP="003E245D">
      <w:pPr>
        <w:spacing w:before="120" w:after="0" w:line="240" w:lineRule="auto"/>
        <w:rPr>
          <w:rFonts w:cstheme="minorHAnsi"/>
        </w:rPr>
      </w:pPr>
      <w:r w:rsidRPr="003E245D">
        <w:rPr>
          <w:rFonts w:cstheme="minorHAnsi"/>
          <w:noProof/>
        </w:rPr>
        <w:lastRenderedPageBreak/>
        <w:drawing>
          <wp:inline distT="0" distB="0" distL="0" distR="0" wp14:anchorId="264AA93D" wp14:editId="194B5EF5">
            <wp:extent cx="5773420" cy="3609340"/>
            <wp:effectExtent l="0" t="0" r="0" b="0"/>
            <wp:docPr id="3" name="Immagine 3" descr="Immagine che contiene testo, schermata, numero, Caratter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descr="Immagine che contiene testo, schermata, numero, Carattere&#10;&#10;Descrizione generata automaticament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73420" cy="3609340"/>
                    </a:xfrm>
                    <a:prstGeom prst="rect">
                      <a:avLst/>
                    </a:prstGeom>
                    <a:noFill/>
                  </pic:spPr>
                </pic:pic>
              </a:graphicData>
            </a:graphic>
          </wp:inline>
        </w:drawing>
      </w:r>
    </w:p>
    <w:p w14:paraId="7A1C70F8" w14:textId="2A048879" w:rsidR="003E245D" w:rsidRPr="003E245D" w:rsidRDefault="003E245D" w:rsidP="003E245D">
      <w:pPr>
        <w:spacing w:after="200" w:line="240" w:lineRule="auto"/>
        <w:jc w:val="center"/>
        <w:rPr>
          <w:rFonts w:cstheme="minorHAnsi"/>
          <w:i/>
          <w:iCs/>
          <w:color w:val="003366"/>
          <w:sz w:val="18"/>
          <w:szCs w:val="18"/>
        </w:rPr>
      </w:pPr>
      <w:bookmarkStart w:id="116" w:name="_Ref189661972"/>
      <w:r w:rsidRPr="003E245D">
        <w:rPr>
          <w:rFonts w:cstheme="minorHAnsi"/>
          <w:i/>
          <w:iCs/>
          <w:color w:val="003366"/>
          <w:sz w:val="18"/>
          <w:szCs w:val="18"/>
        </w:rPr>
        <w:t xml:space="preserve">Figura </w:t>
      </w:r>
      <w:r w:rsidRPr="003E245D">
        <w:rPr>
          <w:rFonts w:cstheme="minorHAnsi"/>
          <w:i/>
          <w:iCs/>
          <w:color w:val="003366"/>
          <w:sz w:val="18"/>
          <w:szCs w:val="18"/>
        </w:rPr>
        <w:fldChar w:fldCharType="begin"/>
      </w:r>
      <w:r w:rsidRPr="003E245D">
        <w:rPr>
          <w:rFonts w:cstheme="minorHAnsi"/>
          <w:i/>
          <w:iCs/>
          <w:color w:val="003366"/>
          <w:sz w:val="18"/>
          <w:szCs w:val="18"/>
        </w:rPr>
        <w:instrText xml:space="preserve"> SEQ Figura \* ARABIC </w:instrText>
      </w:r>
      <w:r w:rsidRPr="003E245D">
        <w:rPr>
          <w:rFonts w:cstheme="minorHAnsi"/>
          <w:i/>
          <w:iCs/>
          <w:color w:val="003366"/>
          <w:sz w:val="18"/>
          <w:szCs w:val="18"/>
        </w:rPr>
        <w:fldChar w:fldCharType="separate"/>
      </w:r>
      <w:r w:rsidR="00073B6D">
        <w:rPr>
          <w:rFonts w:cstheme="minorHAnsi"/>
          <w:i/>
          <w:iCs/>
          <w:noProof/>
          <w:color w:val="003366"/>
          <w:sz w:val="18"/>
          <w:szCs w:val="18"/>
        </w:rPr>
        <w:t>4</w:t>
      </w:r>
      <w:r w:rsidRPr="003E245D">
        <w:rPr>
          <w:rFonts w:cstheme="minorHAnsi"/>
          <w:i/>
          <w:iCs/>
          <w:noProof/>
          <w:color w:val="003366"/>
          <w:sz w:val="18"/>
          <w:szCs w:val="18"/>
        </w:rPr>
        <w:fldChar w:fldCharType="end"/>
      </w:r>
      <w:bookmarkEnd w:id="116"/>
      <w:r w:rsidRPr="003E245D">
        <w:rPr>
          <w:rFonts w:cstheme="minorHAnsi"/>
          <w:i/>
          <w:iCs/>
          <w:color w:val="003366"/>
          <w:sz w:val="18"/>
          <w:szCs w:val="18"/>
        </w:rPr>
        <w:t xml:space="preserve"> – Quota di persone che si spostano nel Bacino Metropolitano – serie storica</w:t>
      </w:r>
    </w:p>
    <w:p w14:paraId="3026D667" w14:textId="77777777" w:rsidR="003E245D" w:rsidRPr="003E245D" w:rsidRDefault="003E245D" w:rsidP="003E245D">
      <w:pPr>
        <w:spacing w:before="120" w:after="0" w:line="240" w:lineRule="auto"/>
        <w:rPr>
          <w:rFonts w:cstheme="minorHAnsi"/>
        </w:rPr>
      </w:pPr>
      <w:r w:rsidRPr="003E245D">
        <w:rPr>
          <w:rFonts w:cstheme="minorHAnsi"/>
        </w:rPr>
        <w:t>Il secondo indicatore qui esposto è la mobilità individuale, ovvero il numero medio di spostamenti effettuato da un individuo nella giornata di intervista. Nel Bacino Metropolitano al tempo dell’indagine sono stati effettuati mediamente 2,19 spostamenti/giorno per persona. Questo indicatore è in lieve ripresa dal 2013 ma nel 2004 era pari a 2,59.</w:t>
      </w:r>
    </w:p>
    <w:p w14:paraId="5CFBEE14" w14:textId="77777777" w:rsidR="003E245D" w:rsidRPr="003E245D" w:rsidRDefault="003E245D" w:rsidP="003E245D">
      <w:pPr>
        <w:spacing w:before="120" w:after="0" w:line="240" w:lineRule="auto"/>
        <w:jc w:val="center"/>
        <w:rPr>
          <w:rFonts w:cstheme="minorHAnsi"/>
        </w:rPr>
      </w:pPr>
      <w:r w:rsidRPr="003E245D">
        <w:rPr>
          <w:rFonts w:cstheme="minorHAnsi"/>
          <w:noProof/>
        </w:rPr>
        <w:drawing>
          <wp:inline distT="0" distB="0" distL="0" distR="0" wp14:anchorId="7B868FA7" wp14:editId="7441F1C6">
            <wp:extent cx="5767070" cy="3602990"/>
            <wp:effectExtent l="0" t="0" r="5080" b="0"/>
            <wp:docPr id="1" name="Immagine 1" descr="Immagine che contiene testo, schermata, numero, Caratter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Immagine che contiene testo, schermata, numero, Carattere&#10;&#10;Descrizione generata automaticament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67070" cy="3602990"/>
                    </a:xfrm>
                    <a:prstGeom prst="rect">
                      <a:avLst/>
                    </a:prstGeom>
                    <a:noFill/>
                  </pic:spPr>
                </pic:pic>
              </a:graphicData>
            </a:graphic>
          </wp:inline>
        </w:drawing>
      </w:r>
    </w:p>
    <w:p w14:paraId="47E96C1A" w14:textId="2B49063B" w:rsidR="003E245D" w:rsidRPr="003E245D" w:rsidRDefault="003E245D" w:rsidP="003E245D">
      <w:pPr>
        <w:spacing w:after="200" w:line="240" w:lineRule="auto"/>
        <w:jc w:val="center"/>
        <w:rPr>
          <w:rFonts w:cstheme="minorHAnsi"/>
          <w:i/>
          <w:iCs/>
          <w:color w:val="003366"/>
          <w:sz w:val="18"/>
          <w:szCs w:val="18"/>
        </w:rPr>
      </w:pPr>
      <w:r w:rsidRPr="003E245D">
        <w:rPr>
          <w:rFonts w:cstheme="minorHAnsi"/>
          <w:i/>
          <w:iCs/>
          <w:color w:val="003366"/>
          <w:sz w:val="18"/>
          <w:szCs w:val="18"/>
        </w:rPr>
        <w:t xml:space="preserve">Figura </w:t>
      </w:r>
      <w:r w:rsidRPr="003E245D">
        <w:rPr>
          <w:rFonts w:cstheme="minorHAnsi"/>
          <w:i/>
          <w:iCs/>
          <w:color w:val="003366"/>
          <w:sz w:val="18"/>
          <w:szCs w:val="18"/>
        </w:rPr>
        <w:fldChar w:fldCharType="begin"/>
      </w:r>
      <w:r w:rsidRPr="003E245D">
        <w:rPr>
          <w:rFonts w:cstheme="minorHAnsi"/>
          <w:i/>
          <w:iCs/>
          <w:color w:val="003366"/>
          <w:sz w:val="18"/>
          <w:szCs w:val="18"/>
        </w:rPr>
        <w:instrText xml:space="preserve"> SEQ Figura \* ARABIC </w:instrText>
      </w:r>
      <w:r w:rsidRPr="003E245D">
        <w:rPr>
          <w:rFonts w:cstheme="minorHAnsi"/>
          <w:i/>
          <w:iCs/>
          <w:color w:val="003366"/>
          <w:sz w:val="18"/>
          <w:szCs w:val="18"/>
        </w:rPr>
        <w:fldChar w:fldCharType="separate"/>
      </w:r>
      <w:r w:rsidR="00073B6D">
        <w:rPr>
          <w:rFonts w:cstheme="minorHAnsi"/>
          <w:i/>
          <w:iCs/>
          <w:noProof/>
          <w:color w:val="003366"/>
          <w:sz w:val="18"/>
          <w:szCs w:val="18"/>
        </w:rPr>
        <w:t>5</w:t>
      </w:r>
      <w:r w:rsidRPr="003E245D">
        <w:rPr>
          <w:rFonts w:cstheme="minorHAnsi"/>
          <w:i/>
          <w:iCs/>
          <w:noProof/>
          <w:color w:val="003366"/>
          <w:sz w:val="18"/>
          <w:szCs w:val="18"/>
        </w:rPr>
        <w:fldChar w:fldCharType="end"/>
      </w:r>
      <w:r w:rsidRPr="003E245D">
        <w:rPr>
          <w:rFonts w:cstheme="minorHAnsi"/>
          <w:i/>
          <w:iCs/>
          <w:color w:val="003366"/>
          <w:sz w:val="18"/>
          <w:szCs w:val="18"/>
        </w:rPr>
        <w:t xml:space="preserve"> – Mobilità individuale nel Bacino Metropolitano – serie storica</w:t>
      </w:r>
    </w:p>
    <w:p w14:paraId="60E4FE6E" w14:textId="77777777" w:rsidR="003E245D" w:rsidRPr="003E245D" w:rsidRDefault="003E245D" w:rsidP="003E245D">
      <w:r w:rsidRPr="003E245D">
        <w:lastRenderedPageBreak/>
        <w:t xml:space="preserve">Al fine di inquadrare l’area oggetto di definizione dei lotti, si espongono qui di seguito i dati di mobilità tratti dalle indagini IMQ relativi alle due macro-aree </w:t>
      </w:r>
      <w:r w:rsidRPr="003E245D">
        <w:rPr>
          <w:i/>
        </w:rPr>
        <w:t>cintura torinese</w:t>
      </w:r>
      <w:r w:rsidRPr="003E245D">
        <w:t xml:space="preserve"> (32 comuni) e </w:t>
      </w:r>
      <w:r w:rsidRPr="003E245D">
        <w:rPr>
          <w:i/>
        </w:rPr>
        <w:t>area esterna</w:t>
      </w:r>
      <w:r w:rsidRPr="003E245D">
        <w:t>, ovvero la porzione del territorio della Città Metropolitana torinese esterni al comune di Torino.</w:t>
      </w:r>
    </w:p>
    <w:p w14:paraId="4C01ABC2" w14:textId="77777777" w:rsidR="003E245D" w:rsidRPr="003E245D" w:rsidRDefault="003E245D" w:rsidP="003E245D">
      <w:pPr>
        <w:keepNext/>
        <w:spacing w:before="120" w:after="0" w:line="240" w:lineRule="auto"/>
        <w:jc w:val="center"/>
      </w:pPr>
      <w:r w:rsidRPr="003E245D">
        <w:rPr>
          <w:noProof/>
        </w:rPr>
        <w:drawing>
          <wp:inline distT="0" distB="0" distL="0" distR="0" wp14:anchorId="20E53FBA" wp14:editId="15CA93B8">
            <wp:extent cx="5773420" cy="3615055"/>
            <wp:effectExtent l="0" t="0" r="0" b="4445"/>
            <wp:docPr id="4" name="Immagine 4" descr="Immagine che contiene testo, schermata, Carattere, numer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descr="Immagine che contiene testo, schermata, Carattere, numero&#10;&#10;Descrizione generata automaticament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73420" cy="3615055"/>
                    </a:xfrm>
                    <a:prstGeom prst="rect">
                      <a:avLst/>
                    </a:prstGeom>
                    <a:noFill/>
                  </pic:spPr>
                </pic:pic>
              </a:graphicData>
            </a:graphic>
          </wp:inline>
        </w:drawing>
      </w:r>
    </w:p>
    <w:p w14:paraId="77271D98" w14:textId="57B25A9A" w:rsidR="003E245D" w:rsidRPr="003E245D" w:rsidRDefault="003E245D" w:rsidP="003E245D">
      <w:pPr>
        <w:spacing w:after="200" w:line="240" w:lineRule="auto"/>
        <w:jc w:val="center"/>
        <w:rPr>
          <w:rFonts w:cstheme="minorHAnsi"/>
          <w:i/>
          <w:iCs/>
          <w:color w:val="17406D" w:themeColor="text2"/>
          <w:sz w:val="18"/>
          <w:szCs w:val="18"/>
        </w:rPr>
      </w:pPr>
      <w:r w:rsidRPr="003E245D">
        <w:rPr>
          <w:i/>
          <w:iCs/>
          <w:color w:val="17406D" w:themeColor="text2"/>
          <w:sz w:val="18"/>
          <w:szCs w:val="18"/>
        </w:rPr>
        <w:t xml:space="preserve">Figura </w:t>
      </w:r>
      <w:r w:rsidRPr="003E245D">
        <w:rPr>
          <w:i/>
          <w:iCs/>
          <w:color w:val="17406D" w:themeColor="text2"/>
          <w:sz w:val="18"/>
          <w:szCs w:val="18"/>
        </w:rPr>
        <w:fldChar w:fldCharType="begin"/>
      </w:r>
      <w:r w:rsidRPr="003E245D">
        <w:rPr>
          <w:i/>
          <w:iCs/>
          <w:color w:val="17406D" w:themeColor="text2"/>
          <w:sz w:val="18"/>
          <w:szCs w:val="18"/>
        </w:rPr>
        <w:instrText xml:space="preserve"> SEQ Figura \* ARABIC </w:instrText>
      </w:r>
      <w:r w:rsidRPr="003E245D">
        <w:rPr>
          <w:i/>
          <w:iCs/>
          <w:color w:val="17406D" w:themeColor="text2"/>
          <w:sz w:val="18"/>
          <w:szCs w:val="18"/>
        </w:rPr>
        <w:fldChar w:fldCharType="separate"/>
      </w:r>
      <w:r w:rsidR="00073B6D">
        <w:rPr>
          <w:i/>
          <w:iCs/>
          <w:noProof/>
          <w:color w:val="17406D" w:themeColor="text2"/>
          <w:sz w:val="18"/>
          <w:szCs w:val="18"/>
        </w:rPr>
        <w:t>6</w:t>
      </w:r>
      <w:r w:rsidRPr="003E245D">
        <w:rPr>
          <w:i/>
          <w:iCs/>
          <w:noProof/>
          <w:color w:val="17406D" w:themeColor="text2"/>
          <w:sz w:val="18"/>
          <w:szCs w:val="18"/>
        </w:rPr>
        <w:fldChar w:fldCharType="end"/>
      </w:r>
      <w:r w:rsidRPr="003E245D">
        <w:rPr>
          <w:i/>
          <w:iCs/>
          <w:color w:val="17406D" w:themeColor="text2"/>
          <w:sz w:val="18"/>
          <w:szCs w:val="18"/>
        </w:rPr>
        <w:t xml:space="preserve"> – Popolazione oggetto indagine in cintura e area esterna</w:t>
      </w:r>
    </w:p>
    <w:p w14:paraId="32A7548B" w14:textId="5C2D37EA" w:rsidR="003E245D" w:rsidRPr="003E245D" w:rsidRDefault="004D2344" w:rsidP="003E245D">
      <w:pPr>
        <w:keepNext/>
        <w:spacing w:before="120" w:after="0" w:line="240" w:lineRule="auto"/>
      </w:pPr>
      <w:r>
        <w:rPr>
          <w:noProof/>
        </w:rPr>
        <w:drawing>
          <wp:inline distT="0" distB="0" distL="0" distR="0" wp14:anchorId="460CC7AA" wp14:editId="647AF59B">
            <wp:extent cx="5749290" cy="3609340"/>
            <wp:effectExtent l="0" t="0" r="3810" b="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49290" cy="3609340"/>
                    </a:xfrm>
                    <a:prstGeom prst="rect">
                      <a:avLst/>
                    </a:prstGeom>
                    <a:noFill/>
                  </pic:spPr>
                </pic:pic>
              </a:graphicData>
            </a:graphic>
          </wp:inline>
        </w:drawing>
      </w:r>
    </w:p>
    <w:p w14:paraId="586329F1" w14:textId="5937C018" w:rsidR="003E245D" w:rsidRPr="003E245D" w:rsidRDefault="003E245D" w:rsidP="003E245D">
      <w:pPr>
        <w:spacing w:after="200" w:line="240" w:lineRule="auto"/>
        <w:jc w:val="center"/>
        <w:rPr>
          <w:rFonts w:cstheme="minorHAnsi"/>
          <w:i/>
          <w:iCs/>
          <w:color w:val="003366"/>
          <w:sz w:val="18"/>
          <w:szCs w:val="18"/>
        </w:rPr>
      </w:pPr>
      <w:r w:rsidRPr="003E245D">
        <w:rPr>
          <w:i/>
          <w:iCs/>
          <w:color w:val="17406D" w:themeColor="text2"/>
          <w:sz w:val="18"/>
          <w:szCs w:val="18"/>
        </w:rPr>
        <w:t xml:space="preserve">Figura </w:t>
      </w:r>
      <w:r w:rsidRPr="003E245D">
        <w:rPr>
          <w:i/>
          <w:iCs/>
          <w:color w:val="17406D" w:themeColor="text2"/>
          <w:sz w:val="18"/>
          <w:szCs w:val="18"/>
        </w:rPr>
        <w:fldChar w:fldCharType="begin"/>
      </w:r>
      <w:r w:rsidRPr="003E245D">
        <w:rPr>
          <w:i/>
          <w:iCs/>
          <w:color w:val="17406D" w:themeColor="text2"/>
          <w:sz w:val="18"/>
          <w:szCs w:val="18"/>
        </w:rPr>
        <w:instrText xml:space="preserve"> SEQ Figura \* ARABIC </w:instrText>
      </w:r>
      <w:r w:rsidRPr="003E245D">
        <w:rPr>
          <w:i/>
          <w:iCs/>
          <w:color w:val="17406D" w:themeColor="text2"/>
          <w:sz w:val="18"/>
          <w:szCs w:val="18"/>
        </w:rPr>
        <w:fldChar w:fldCharType="separate"/>
      </w:r>
      <w:r w:rsidR="00073B6D">
        <w:rPr>
          <w:i/>
          <w:iCs/>
          <w:noProof/>
          <w:color w:val="17406D" w:themeColor="text2"/>
          <w:sz w:val="18"/>
          <w:szCs w:val="18"/>
        </w:rPr>
        <w:t>7</w:t>
      </w:r>
      <w:r w:rsidRPr="003E245D">
        <w:rPr>
          <w:i/>
          <w:iCs/>
          <w:noProof/>
          <w:color w:val="17406D" w:themeColor="text2"/>
          <w:sz w:val="18"/>
          <w:szCs w:val="18"/>
        </w:rPr>
        <w:fldChar w:fldCharType="end"/>
      </w:r>
      <w:r w:rsidRPr="003E245D">
        <w:rPr>
          <w:rFonts w:cstheme="minorHAnsi"/>
          <w:i/>
          <w:iCs/>
          <w:color w:val="003366"/>
          <w:sz w:val="18"/>
          <w:szCs w:val="18"/>
        </w:rPr>
        <w:t xml:space="preserve"> – Quota di persone che si spostano nella cintura e nell’area esterna del Bacino Metropolitano – serie storica</w:t>
      </w:r>
    </w:p>
    <w:p w14:paraId="6F4CED65" w14:textId="77777777" w:rsidR="003E245D" w:rsidRPr="003E245D" w:rsidRDefault="003E245D" w:rsidP="003E245D">
      <w:pPr>
        <w:spacing w:before="120" w:after="0" w:line="240" w:lineRule="auto"/>
        <w:rPr>
          <w:rFonts w:cstheme="minorHAnsi"/>
        </w:rPr>
      </w:pPr>
      <w:r w:rsidRPr="003E245D">
        <w:rPr>
          <w:rFonts w:cstheme="minorHAnsi"/>
        </w:rPr>
        <w:lastRenderedPageBreak/>
        <w:t>Analogamente a quanto visto per l’intera Città Metropolitana, la quota di popolazione che si sposta è l’83,3% in rapporto all’universo oggetto di indagine.</w:t>
      </w:r>
    </w:p>
    <w:p w14:paraId="753C3CA4" w14:textId="77777777" w:rsidR="003E245D" w:rsidRPr="003E245D" w:rsidRDefault="003E245D" w:rsidP="003E245D">
      <w:pPr>
        <w:spacing w:before="120" w:after="0" w:line="240" w:lineRule="auto"/>
        <w:rPr>
          <w:rFonts w:cstheme="minorHAnsi"/>
        </w:rPr>
      </w:pPr>
      <w:r w:rsidRPr="003E245D">
        <w:rPr>
          <w:rFonts w:cstheme="minorHAnsi"/>
        </w:rPr>
        <w:t>Il secondo indicatore qui esposto è la mobilità individuale, ovvero il numero medio di spostamenti effettuato da un individuo nella giornata di intervista. Nel 2022 esso è sensibilmente inferiore a quello dell’intera Città Metropolitana (2,10 contro 2,19).</w:t>
      </w:r>
    </w:p>
    <w:p w14:paraId="22EF50A6" w14:textId="77777777" w:rsidR="003E245D" w:rsidRPr="003E245D" w:rsidRDefault="003E245D" w:rsidP="003E245D">
      <w:pPr>
        <w:keepNext/>
        <w:spacing w:after="200" w:line="240" w:lineRule="auto"/>
        <w:rPr>
          <w:i/>
          <w:iCs/>
          <w:color w:val="17406D" w:themeColor="text2"/>
          <w:sz w:val="18"/>
          <w:szCs w:val="18"/>
        </w:rPr>
      </w:pPr>
    </w:p>
    <w:p w14:paraId="51F5A787" w14:textId="77777777" w:rsidR="003E245D" w:rsidRPr="003E245D" w:rsidRDefault="003E245D" w:rsidP="00B94AFC">
      <w:pPr>
        <w:keepNext/>
        <w:spacing w:after="0" w:line="240" w:lineRule="auto"/>
        <w:rPr>
          <w:i/>
          <w:iCs/>
          <w:color w:val="17406D" w:themeColor="text2"/>
          <w:sz w:val="18"/>
          <w:szCs w:val="18"/>
        </w:rPr>
      </w:pPr>
      <w:r w:rsidRPr="003E245D">
        <w:rPr>
          <w:i/>
          <w:iCs/>
          <w:noProof/>
          <w:color w:val="17406D" w:themeColor="text2"/>
          <w:sz w:val="18"/>
          <w:szCs w:val="18"/>
        </w:rPr>
        <w:drawing>
          <wp:inline distT="0" distB="0" distL="0" distR="0" wp14:anchorId="654AFA21" wp14:editId="086AA89F">
            <wp:extent cx="5767070" cy="3609340"/>
            <wp:effectExtent l="0" t="0" r="5080" b="0"/>
            <wp:docPr id="6" name="Immagine 6" descr="Immagine che contiene testo, schermata, numero, Caratter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e 6" descr="Immagine che contiene testo, schermata, numero, Carattere&#10;&#10;Descrizione generata automaticament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67070" cy="3609340"/>
                    </a:xfrm>
                    <a:prstGeom prst="rect">
                      <a:avLst/>
                    </a:prstGeom>
                    <a:noFill/>
                  </pic:spPr>
                </pic:pic>
              </a:graphicData>
            </a:graphic>
          </wp:inline>
        </w:drawing>
      </w:r>
    </w:p>
    <w:p w14:paraId="5828BADC" w14:textId="74AC65DD" w:rsidR="003E245D" w:rsidRPr="003E245D" w:rsidRDefault="003E245D" w:rsidP="00B94AFC">
      <w:pPr>
        <w:spacing w:after="0" w:line="240" w:lineRule="auto"/>
        <w:jc w:val="center"/>
        <w:rPr>
          <w:rFonts w:cstheme="minorHAnsi"/>
          <w:i/>
          <w:iCs/>
          <w:color w:val="003366"/>
          <w:sz w:val="18"/>
          <w:szCs w:val="18"/>
        </w:rPr>
      </w:pPr>
      <w:r w:rsidRPr="003E245D">
        <w:rPr>
          <w:i/>
          <w:iCs/>
          <w:color w:val="17406D" w:themeColor="text2"/>
          <w:sz w:val="18"/>
          <w:szCs w:val="18"/>
        </w:rPr>
        <w:t xml:space="preserve">Figura </w:t>
      </w:r>
      <w:r w:rsidRPr="003E245D">
        <w:rPr>
          <w:i/>
          <w:iCs/>
          <w:color w:val="17406D" w:themeColor="text2"/>
          <w:sz w:val="18"/>
          <w:szCs w:val="18"/>
        </w:rPr>
        <w:fldChar w:fldCharType="begin"/>
      </w:r>
      <w:r w:rsidRPr="003E245D">
        <w:rPr>
          <w:i/>
          <w:iCs/>
          <w:color w:val="17406D" w:themeColor="text2"/>
          <w:sz w:val="18"/>
          <w:szCs w:val="18"/>
        </w:rPr>
        <w:instrText xml:space="preserve"> SEQ Figura \* ARABIC </w:instrText>
      </w:r>
      <w:r w:rsidRPr="003E245D">
        <w:rPr>
          <w:i/>
          <w:iCs/>
          <w:color w:val="17406D" w:themeColor="text2"/>
          <w:sz w:val="18"/>
          <w:szCs w:val="18"/>
        </w:rPr>
        <w:fldChar w:fldCharType="separate"/>
      </w:r>
      <w:r w:rsidR="00073B6D">
        <w:rPr>
          <w:i/>
          <w:iCs/>
          <w:noProof/>
          <w:color w:val="17406D" w:themeColor="text2"/>
          <w:sz w:val="18"/>
          <w:szCs w:val="18"/>
        </w:rPr>
        <w:t>8</w:t>
      </w:r>
      <w:r w:rsidRPr="003E245D">
        <w:rPr>
          <w:i/>
          <w:iCs/>
          <w:noProof/>
          <w:color w:val="17406D" w:themeColor="text2"/>
          <w:sz w:val="18"/>
          <w:szCs w:val="18"/>
        </w:rPr>
        <w:fldChar w:fldCharType="end"/>
      </w:r>
      <w:r w:rsidRPr="003E245D">
        <w:rPr>
          <w:rFonts w:cstheme="minorHAnsi"/>
          <w:i/>
          <w:iCs/>
          <w:color w:val="003366"/>
          <w:sz w:val="18"/>
          <w:szCs w:val="18"/>
        </w:rPr>
        <w:t xml:space="preserve"> – Mobilità individuale nella cintura e nell’area esterna del Bacino Metropolitano – serie storica</w:t>
      </w:r>
    </w:p>
    <w:p w14:paraId="2D957B71" w14:textId="77777777" w:rsidR="003E245D" w:rsidRPr="003E245D" w:rsidRDefault="003E245D" w:rsidP="003E245D">
      <w:pPr>
        <w:spacing w:before="120" w:after="0" w:line="240" w:lineRule="auto"/>
        <w:rPr>
          <w:rFonts w:cstheme="minorHAnsi"/>
        </w:rPr>
      </w:pPr>
    </w:p>
    <w:p w14:paraId="5AAD58A5" w14:textId="77777777" w:rsidR="003E245D" w:rsidRPr="003E245D" w:rsidRDefault="003E245D" w:rsidP="003E245D">
      <w:pPr>
        <w:spacing w:before="120" w:after="0" w:line="240" w:lineRule="auto"/>
        <w:rPr>
          <w:rFonts w:cstheme="minorHAnsi"/>
        </w:rPr>
      </w:pPr>
      <w:r w:rsidRPr="003E245D">
        <w:rPr>
          <w:rFonts w:cstheme="minorHAnsi"/>
        </w:rPr>
        <w:t xml:space="preserve">La popolazione che si sposta nel Bacino Metropolitano ripartita per attività d’impiego è composta per il 50,0% da lavoratori, il 5,9% da studenti, il 27,9% da pensionati e il 16,2% da altri soggetti. </w:t>
      </w:r>
    </w:p>
    <w:p w14:paraId="472E8D6E" w14:textId="77777777" w:rsidR="003E245D" w:rsidRPr="003E245D" w:rsidRDefault="003E245D" w:rsidP="003E245D">
      <w:pPr>
        <w:spacing w:before="120" w:after="0" w:line="240" w:lineRule="auto"/>
        <w:rPr>
          <w:rFonts w:cstheme="minorHAnsi"/>
        </w:rPr>
      </w:pPr>
      <w:r w:rsidRPr="003E245D">
        <w:rPr>
          <w:rFonts w:cstheme="minorHAnsi"/>
        </w:rPr>
        <w:t>Analizzando il sottoinsieme Cintura + Area esterna, si ha il 44,8% di lavoratori, il 6,8% di studenti, il 30,1% di pensionati e il 18,3% di altri soggetti.</w:t>
      </w:r>
    </w:p>
    <w:p w14:paraId="5FF4867B" w14:textId="77777777" w:rsidR="003E245D" w:rsidRPr="003E245D" w:rsidRDefault="003E245D" w:rsidP="003E245D">
      <w:pPr>
        <w:spacing w:before="120" w:after="0" w:line="240" w:lineRule="auto"/>
        <w:rPr>
          <w:rFonts w:cstheme="minorHAnsi"/>
        </w:rPr>
      </w:pPr>
    </w:p>
    <w:tbl>
      <w:tblPr>
        <w:tblStyle w:val="Tabellagriglia1chiara"/>
        <w:tblW w:w="9070" w:type="dxa"/>
        <w:tblInd w:w="-1" w:type="dxa"/>
        <w:tblLayout w:type="fixed"/>
        <w:tblLook w:val="04A0" w:firstRow="1" w:lastRow="0" w:firstColumn="1" w:lastColumn="0" w:noHBand="0" w:noVBand="1"/>
      </w:tblPr>
      <w:tblGrid>
        <w:gridCol w:w="2972"/>
        <w:gridCol w:w="1158"/>
        <w:gridCol w:w="1235"/>
        <w:gridCol w:w="1235"/>
        <w:gridCol w:w="1235"/>
        <w:gridCol w:w="1235"/>
      </w:tblGrid>
      <w:tr w:rsidR="003E245D" w:rsidRPr="003E245D" w14:paraId="64117CF5" w14:textId="77777777" w:rsidTr="00B94AFC">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72" w:type="dxa"/>
            <w:shd w:val="clear" w:color="auto" w:fill="EE3438"/>
            <w:noWrap/>
            <w:hideMark/>
          </w:tcPr>
          <w:p w14:paraId="42D80E80" w14:textId="77777777" w:rsidR="003E245D" w:rsidRPr="00276F51" w:rsidRDefault="003E245D" w:rsidP="003E245D">
            <w:pPr>
              <w:spacing w:before="120"/>
              <w:rPr>
                <w:rFonts w:cstheme="minorHAnsi"/>
                <w:color w:val="FFFFFF" w:themeColor="background1"/>
              </w:rPr>
            </w:pPr>
            <w:r w:rsidRPr="00276F51">
              <w:rPr>
                <w:rFonts w:cstheme="minorHAnsi"/>
                <w:color w:val="FFFFFF" w:themeColor="background1"/>
              </w:rPr>
              <w:t>Popolazione che si sposta ripartita per attività</w:t>
            </w:r>
          </w:p>
        </w:tc>
        <w:tc>
          <w:tcPr>
            <w:tcW w:w="1158" w:type="dxa"/>
            <w:shd w:val="clear" w:color="auto" w:fill="EE3438"/>
            <w:noWrap/>
            <w:hideMark/>
          </w:tcPr>
          <w:p w14:paraId="75B11AF7" w14:textId="77777777" w:rsidR="003E245D" w:rsidRPr="00276F51" w:rsidRDefault="003E245D" w:rsidP="003E245D">
            <w:pPr>
              <w:spacing w:before="120"/>
              <w:jc w:val="center"/>
              <w:cnfStyle w:val="100000000000" w:firstRow="1" w:lastRow="0" w:firstColumn="0" w:lastColumn="0" w:oddVBand="0" w:evenVBand="0" w:oddHBand="0" w:evenHBand="0" w:firstRowFirstColumn="0" w:firstRowLastColumn="0" w:lastRowFirstColumn="0" w:lastRowLastColumn="0"/>
              <w:rPr>
                <w:rFonts w:cstheme="minorHAnsi"/>
                <w:color w:val="FFFFFF" w:themeColor="background1"/>
              </w:rPr>
            </w:pPr>
            <w:r w:rsidRPr="00276F51">
              <w:rPr>
                <w:rFonts w:cstheme="minorHAnsi"/>
                <w:color w:val="FFFFFF" w:themeColor="background1"/>
              </w:rPr>
              <w:t>Lavoratori</w:t>
            </w:r>
          </w:p>
        </w:tc>
        <w:tc>
          <w:tcPr>
            <w:tcW w:w="1235" w:type="dxa"/>
            <w:shd w:val="clear" w:color="auto" w:fill="EE3438"/>
            <w:noWrap/>
            <w:hideMark/>
          </w:tcPr>
          <w:p w14:paraId="26646719" w14:textId="77777777" w:rsidR="003E245D" w:rsidRPr="00276F51" w:rsidRDefault="003E245D" w:rsidP="003E245D">
            <w:pPr>
              <w:spacing w:before="120"/>
              <w:jc w:val="center"/>
              <w:cnfStyle w:val="100000000000" w:firstRow="1" w:lastRow="0" w:firstColumn="0" w:lastColumn="0" w:oddVBand="0" w:evenVBand="0" w:oddHBand="0" w:evenHBand="0" w:firstRowFirstColumn="0" w:firstRowLastColumn="0" w:lastRowFirstColumn="0" w:lastRowLastColumn="0"/>
              <w:rPr>
                <w:rFonts w:cstheme="minorHAnsi"/>
                <w:color w:val="FFFFFF" w:themeColor="background1"/>
              </w:rPr>
            </w:pPr>
            <w:r w:rsidRPr="00276F51">
              <w:rPr>
                <w:rFonts w:cstheme="minorHAnsi"/>
                <w:color w:val="FFFFFF" w:themeColor="background1"/>
              </w:rPr>
              <w:t>Studenti</w:t>
            </w:r>
          </w:p>
        </w:tc>
        <w:tc>
          <w:tcPr>
            <w:tcW w:w="1235" w:type="dxa"/>
            <w:shd w:val="clear" w:color="auto" w:fill="EE3438"/>
            <w:noWrap/>
            <w:hideMark/>
          </w:tcPr>
          <w:p w14:paraId="74D3FD2D" w14:textId="77777777" w:rsidR="003E245D" w:rsidRPr="00276F51" w:rsidRDefault="003E245D" w:rsidP="003E245D">
            <w:pPr>
              <w:spacing w:before="120"/>
              <w:jc w:val="center"/>
              <w:cnfStyle w:val="100000000000" w:firstRow="1" w:lastRow="0" w:firstColumn="0" w:lastColumn="0" w:oddVBand="0" w:evenVBand="0" w:oddHBand="0" w:evenHBand="0" w:firstRowFirstColumn="0" w:firstRowLastColumn="0" w:lastRowFirstColumn="0" w:lastRowLastColumn="0"/>
              <w:rPr>
                <w:rFonts w:cstheme="minorHAnsi"/>
                <w:color w:val="FFFFFF" w:themeColor="background1"/>
              </w:rPr>
            </w:pPr>
            <w:r w:rsidRPr="00276F51">
              <w:rPr>
                <w:rFonts w:cstheme="minorHAnsi"/>
                <w:color w:val="FFFFFF" w:themeColor="background1"/>
              </w:rPr>
              <w:t>Pensionati</w:t>
            </w:r>
          </w:p>
        </w:tc>
        <w:tc>
          <w:tcPr>
            <w:tcW w:w="1235" w:type="dxa"/>
            <w:shd w:val="clear" w:color="auto" w:fill="EE3438"/>
            <w:noWrap/>
            <w:hideMark/>
          </w:tcPr>
          <w:p w14:paraId="03A4920D" w14:textId="77777777" w:rsidR="003E245D" w:rsidRPr="00276F51" w:rsidRDefault="003E245D" w:rsidP="003E245D">
            <w:pPr>
              <w:spacing w:before="120"/>
              <w:jc w:val="center"/>
              <w:cnfStyle w:val="100000000000" w:firstRow="1" w:lastRow="0" w:firstColumn="0" w:lastColumn="0" w:oddVBand="0" w:evenVBand="0" w:oddHBand="0" w:evenHBand="0" w:firstRowFirstColumn="0" w:firstRowLastColumn="0" w:lastRowFirstColumn="0" w:lastRowLastColumn="0"/>
              <w:rPr>
                <w:rFonts w:cstheme="minorHAnsi"/>
                <w:color w:val="FFFFFF" w:themeColor="background1"/>
              </w:rPr>
            </w:pPr>
            <w:r w:rsidRPr="00276F51">
              <w:rPr>
                <w:rFonts w:cstheme="minorHAnsi"/>
                <w:color w:val="FFFFFF" w:themeColor="background1"/>
              </w:rPr>
              <w:t>Altro</w:t>
            </w:r>
          </w:p>
        </w:tc>
        <w:tc>
          <w:tcPr>
            <w:tcW w:w="1235" w:type="dxa"/>
            <w:shd w:val="clear" w:color="auto" w:fill="EE3438"/>
            <w:noWrap/>
            <w:hideMark/>
          </w:tcPr>
          <w:p w14:paraId="5B83A302" w14:textId="77777777" w:rsidR="003E245D" w:rsidRPr="00276F51" w:rsidRDefault="003E245D" w:rsidP="003E245D">
            <w:pPr>
              <w:spacing w:before="120"/>
              <w:jc w:val="center"/>
              <w:cnfStyle w:val="100000000000" w:firstRow="1" w:lastRow="0" w:firstColumn="0" w:lastColumn="0" w:oddVBand="0" w:evenVBand="0" w:oddHBand="0" w:evenHBand="0" w:firstRowFirstColumn="0" w:firstRowLastColumn="0" w:lastRowFirstColumn="0" w:lastRowLastColumn="0"/>
              <w:rPr>
                <w:rFonts w:cstheme="minorHAnsi"/>
                <w:color w:val="FFFFFF" w:themeColor="background1"/>
              </w:rPr>
            </w:pPr>
            <w:r w:rsidRPr="00276F51">
              <w:rPr>
                <w:rFonts w:cstheme="minorHAnsi"/>
                <w:color w:val="FFFFFF" w:themeColor="background1"/>
              </w:rPr>
              <w:t>Totale</w:t>
            </w:r>
          </w:p>
        </w:tc>
      </w:tr>
      <w:tr w:rsidR="003E245D" w:rsidRPr="003E245D" w14:paraId="4764A015" w14:textId="77777777" w:rsidTr="0047478C">
        <w:trPr>
          <w:trHeight w:val="300"/>
        </w:trPr>
        <w:tc>
          <w:tcPr>
            <w:cnfStyle w:val="001000000000" w:firstRow="0" w:lastRow="0" w:firstColumn="1" w:lastColumn="0" w:oddVBand="0" w:evenVBand="0" w:oddHBand="0" w:evenHBand="0" w:firstRowFirstColumn="0" w:firstRowLastColumn="0" w:lastRowFirstColumn="0" w:lastRowLastColumn="0"/>
            <w:tcW w:w="2972" w:type="dxa"/>
            <w:noWrap/>
            <w:vAlign w:val="center"/>
            <w:hideMark/>
          </w:tcPr>
          <w:p w14:paraId="0DF3BF2A" w14:textId="77777777" w:rsidR="003E245D" w:rsidRPr="003E245D" w:rsidRDefault="003E245D" w:rsidP="0047478C">
            <w:pPr>
              <w:spacing w:before="120"/>
              <w:jc w:val="left"/>
              <w:rPr>
                <w:rFonts w:cstheme="minorHAnsi"/>
              </w:rPr>
            </w:pPr>
            <w:r w:rsidRPr="003E245D">
              <w:rPr>
                <w:rFonts w:cstheme="minorHAnsi"/>
              </w:rPr>
              <w:t>Città metropolitana</w:t>
            </w:r>
          </w:p>
        </w:tc>
        <w:tc>
          <w:tcPr>
            <w:tcW w:w="1158" w:type="dxa"/>
            <w:noWrap/>
            <w:vAlign w:val="center"/>
            <w:hideMark/>
          </w:tcPr>
          <w:p w14:paraId="5AF960E8" w14:textId="77777777" w:rsidR="003E245D" w:rsidRPr="003E245D" w:rsidRDefault="003E245D" w:rsidP="003E245D">
            <w:pPr>
              <w:spacing w:before="120"/>
              <w:jc w:val="center"/>
              <w:cnfStyle w:val="000000000000" w:firstRow="0" w:lastRow="0" w:firstColumn="0" w:lastColumn="0" w:oddVBand="0" w:evenVBand="0" w:oddHBand="0" w:evenHBand="0" w:firstRowFirstColumn="0" w:firstRowLastColumn="0" w:lastRowFirstColumn="0" w:lastRowLastColumn="0"/>
              <w:rPr>
                <w:rFonts w:cstheme="minorHAnsi"/>
              </w:rPr>
            </w:pPr>
            <w:r w:rsidRPr="003E245D">
              <w:rPr>
                <w:rFonts w:cstheme="minorHAnsi"/>
              </w:rPr>
              <w:t>50,0%</w:t>
            </w:r>
          </w:p>
        </w:tc>
        <w:tc>
          <w:tcPr>
            <w:tcW w:w="1235" w:type="dxa"/>
            <w:noWrap/>
            <w:vAlign w:val="center"/>
            <w:hideMark/>
          </w:tcPr>
          <w:p w14:paraId="2C079C65" w14:textId="77777777" w:rsidR="003E245D" w:rsidRPr="003E245D" w:rsidRDefault="003E245D" w:rsidP="003E245D">
            <w:pPr>
              <w:spacing w:before="120"/>
              <w:jc w:val="center"/>
              <w:cnfStyle w:val="000000000000" w:firstRow="0" w:lastRow="0" w:firstColumn="0" w:lastColumn="0" w:oddVBand="0" w:evenVBand="0" w:oddHBand="0" w:evenHBand="0" w:firstRowFirstColumn="0" w:firstRowLastColumn="0" w:lastRowFirstColumn="0" w:lastRowLastColumn="0"/>
              <w:rPr>
                <w:rFonts w:cstheme="minorHAnsi"/>
              </w:rPr>
            </w:pPr>
            <w:r w:rsidRPr="003E245D">
              <w:rPr>
                <w:rFonts w:cstheme="minorHAnsi"/>
              </w:rPr>
              <w:t>5,9%</w:t>
            </w:r>
          </w:p>
        </w:tc>
        <w:tc>
          <w:tcPr>
            <w:tcW w:w="1235" w:type="dxa"/>
            <w:noWrap/>
            <w:vAlign w:val="center"/>
            <w:hideMark/>
          </w:tcPr>
          <w:p w14:paraId="3B0788B0" w14:textId="77777777" w:rsidR="003E245D" w:rsidRPr="003E245D" w:rsidRDefault="003E245D" w:rsidP="003E245D">
            <w:pPr>
              <w:spacing w:before="120"/>
              <w:jc w:val="center"/>
              <w:cnfStyle w:val="000000000000" w:firstRow="0" w:lastRow="0" w:firstColumn="0" w:lastColumn="0" w:oddVBand="0" w:evenVBand="0" w:oddHBand="0" w:evenHBand="0" w:firstRowFirstColumn="0" w:firstRowLastColumn="0" w:lastRowFirstColumn="0" w:lastRowLastColumn="0"/>
              <w:rPr>
                <w:rFonts w:cstheme="minorHAnsi"/>
              </w:rPr>
            </w:pPr>
            <w:r w:rsidRPr="003E245D">
              <w:rPr>
                <w:rFonts w:cstheme="minorHAnsi"/>
              </w:rPr>
              <w:t>27,9%</w:t>
            </w:r>
          </w:p>
        </w:tc>
        <w:tc>
          <w:tcPr>
            <w:tcW w:w="1235" w:type="dxa"/>
            <w:noWrap/>
            <w:vAlign w:val="center"/>
            <w:hideMark/>
          </w:tcPr>
          <w:p w14:paraId="2B13920B" w14:textId="77777777" w:rsidR="003E245D" w:rsidRPr="003E245D" w:rsidRDefault="003E245D" w:rsidP="003E245D">
            <w:pPr>
              <w:spacing w:before="120"/>
              <w:jc w:val="center"/>
              <w:cnfStyle w:val="000000000000" w:firstRow="0" w:lastRow="0" w:firstColumn="0" w:lastColumn="0" w:oddVBand="0" w:evenVBand="0" w:oddHBand="0" w:evenHBand="0" w:firstRowFirstColumn="0" w:firstRowLastColumn="0" w:lastRowFirstColumn="0" w:lastRowLastColumn="0"/>
              <w:rPr>
                <w:rFonts w:cstheme="minorHAnsi"/>
              </w:rPr>
            </w:pPr>
            <w:r w:rsidRPr="003E245D">
              <w:rPr>
                <w:rFonts w:cstheme="minorHAnsi"/>
              </w:rPr>
              <w:t>16,2%</w:t>
            </w:r>
          </w:p>
        </w:tc>
        <w:tc>
          <w:tcPr>
            <w:tcW w:w="1235" w:type="dxa"/>
            <w:noWrap/>
            <w:vAlign w:val="center"/>
            <w:hideMark/>
          </w:tcPr>
          <w:p w14:paraId="28D67C20" w14:textId="77777777" w:rsidR="003E245D" w:rsidRPr="003E245D" w:rsidRDefault="003E245D" w:rsidP="003E245D">
            <w:pPr>
              <w:spacing w:before="120"/>
              <w:jc w:val="center"/>
              <w:cnfStyle w:val="000000000000" w:firstRow="0" w:lastRow="0" w:firstColumn="0" w:lastColumn="0" w:oddVBand="0" w:evenVBand="0" w:oddHBand="0" w:evenHBand="0" w:firstRowFirstColumn="0" w:firstRowLastColumn="0" w:lastRowFirstColumn="0" w:lastRowLastColumn="0"/>
              <w:rPr>
                <w:rFonts w:cstheme="minorHAnsi"/>
              </w:rPr>
            </w:pPr>
            <w:r w:rsidRPr="003E245D">
              <w:rPr>
                <w:rFonts w:cstheme="minorHAnsi"/>
              </w:rPr>
              <w:t>100,0%</w:t>
            </w:r>
          </w:p>
        </w:tc>
      </w:tr>
      <w:tr w:rsidR="003E245D" w:rsidRPr="003E245D" w14:paraId="12E57640" w14:textId="77777777" w:rsidTr="0047478C">
        <w:trPr>
          <w:trHeight w:val="300"/>
        </w:trPr>
        <w:tc>
          <w:tcPr>
            <w:cnfStyle w:val="001000000000" w:firstRow="0" w:lastRow="0" w:firstColumn="1" w:lastColumn="0" w:oddVBand="0" w:evenVBand="0" w:oddHBand="0" w:evenHBand="0" w:firstRowFirstColumn="0" w:firstRowLastColumn="0" w:lastRowFirstColumn="0" w:lastRowLastColumn="0"/>
            <w:tcW w:w="2972" w:type="dxa"/>
            <w:noWrap/>
            <w:vAlign w:val="center"/>
            <w:hideMark/>
          </w:tcPr>
          <w:p w14:paraId="7A5E11E7" w14:textId="77777777" w:rsidR="003E245D" w:rsidRPr="003E245D" w:rsidRDefault="003E245D" w:rsidP="0047478C">
            <w:pPr>
              <w:spacing w:before="120"/>
              <w:jc w:val="left"/>
              <w:rPr>
                <w:rFonts w:cstheme="minorHAnsi"/>
              </w:rPr>
            </w:pPr>
            <w:r w:rsidRPr="003E245D">
              <w:rPr>
                <w:rFonts w:cstheme="minorHAnsi"/>
              </w:rPr>
              <w:t>Cintura e area esterna</w:t>
            </w:r>
          </w:p>
        </w:tc>
        <w:tc>
          <w:tcPr>
            <w:tcW w:w="1158" w:type="dxa"/>
            <w:noWrap/>
            <w:vAlign w:val="center"/>
            <w:hideMark/>
          </w:tcPr>
          <w:p w14:paraId="05E1C7AD" w14:textId="77777777" w:rsidR="003E245D" w:rsidRPr="003E245D" w:rsidRDefault="003E245D" w:rsidP="003E245D">
            <w:pPr>
              <w:spacing w:before="120"/>
              <w:jc w:val="center"/>
              <w:cnfStyle w:val="000000000000" w:firstRow="0" w:lastRow="0" w:firstColumn="0" w:lastColumn="0" w:oddVBand="0" w:evenVBand="0" w:oddHBand="0" w:evenHBand="0" w:firstRowFirstColumn="0" w:firstRowLastColumn="0" w:lastRowFirstColumn="0" w:lastRowLastColumn="0"/>
              <w:rPr>
                <w:rFonts w:cstheme="minorHAnsi"/>
              </w:rPr>
            </w:pPr>
            <w:r w:rsidRPr="003E245D">
              <w:rPr>
                <w:rFonts w:cstheme="minorHAnsi"/>
              </w:rPr>
              <w:t>44,8%</w:t>
            </w:r>
          </w:p>
        </w:tc>
        <w:tc>
          <w:tcPr>
            <w:tcW w:w="1235" w:type="dxa"/>
            <w:noWrap/>
            <w:vAlign w:val="center"/>
            <w:hideMark/>
          </w:tcPr>
          <w:p w14:paraId="41B5FBF5" w14:textId="77777777" w:rsidR="003E245D" w:rsidRPr="003E245D" w:rsidRDefault="003E245D" w:rsidP="003E245D">
            <w:pPr>
              <w:spacing w:before="120"/>
              <w:jc w:val="center"/>
              <w:cnfStyle w:val="000000000000" w:firstRow="0" w:lastRow="0" w:firstColumn="0" w:lastColumn="0" w:oddVBand="0" w:evenVBand="0" w:oddHBand="0" w:evenHBand="0" w:firstRowFirstColumn="0" w:firstRowLastColumn="0" w:lastRowFirstColumn="0" w:lastRowLastColumn="0"/>
              <w:rPr>
                <w:rFonts w:cstheme="minorHAnsi"/>
              </w:rPr>
            </w:pPr>
            <w:r w:rsidRPr="003E245D">
              <w:rPr>
                <w:rFonts w:cstheme="minorHAnsi"/>
              </w:rPr>
              <w:t>6,8%</w:t>
            </w:r>
          </w:p>
        </w:tc>
        <w:tc>
          <w:tcPr>
            <w:tcW w:w="1235" w:type="dxa"/>
            <w:noWrap/>
            <w:vAlign w:val="center"/>
            <w:hideMark/>
          </w:tcPr>
          <w:p w14:paraId="7D8FC41C" w14:textId="77777777" w:rsidR="003E245D" w:rsidRPr="003E245D" w:rsidRDefault="003E245D" w:rsidP="003E245D">
            <w:pPr>
              <w:spacing w:before="120"/>
              <w:jc w:val="center"/>
              <w:cnfStyle w:val="000000000000" w:firstRow="0" w:lastRow="0" w:firstColumn="0" w:lastColumn="0" w:oddVBand="0" w:evenVBand="0" w:oddHBand="0" w:evenHBand="0" w:firstRowFirstColumn="0" w:firstRowLastColumn="0" w:lastRowFirstColumn="0" w:lastRowLastColumn="0"/>
              <w:rPr>
                <w:rFonts w:cstheme="minorHAnsi"/>
              </w:rPr>
            </w:pPr>
            <w:r w:rsidRPr="003E245D">
              <w:rPr>
                <w:rFonts w:cstheme="minorHAnsi"/>
              </w:rPr>
              <w:t>30,1%</w:t>
            </w:r>
          </w:p>
        </w:tc>
        <w:tc>
          <w:tcPr>
            <w:tcW w:w="1235" w:type="dxa"/>
            <w:noWrap/>
            <w:vAlign w:val="center"/>
            <w:hideMark/>
          </w:tcPr>
          <w:p w14:paraId="0F636BC6" w14:textId="77777777" w:rsidR="003E245D" w:rsidRPr="003E245D" w:rsidRDefault="003E245D" w:rsidP="003E245D">
            <w:pPr>
              <w:spacing w:before="120"/>
              <w:jc w:val="center"/>
              <w:cnfStyle w:val="000000000000" w:firstRow="0" w:lastRow="0" w:firstColumn="0" w:lastColumn="0" w:oddVBand="0" w:evenVBand="0" w:oddHBand="0" w:evenHBand="0" w:firstRowFirstColumn="0" w:firstRowLastColumn="0" w:lastRowFirstColumn="0" w:lastRowLastColumn="0"/>
              <w:rPr>
                <w:rFonts w:cstheme="minorHAnsi"/>
              </w:rPr>
            </w:pPr>
            <w:r w:rsidRPr="003E245D">
              <w:rPr>
                <w:rFonts w:cstheme="minorHAnsi"/>
              </w:rPr>
              <w:t>18,3%</w:t>
            </w:r>
          </w:p>
        </w:tc>
        <w:tc>
          <w:tcPr>
            <w:tcW w:w="1235" w:type="dxa"/>
            <w:noWrap/>
            <w:vAlign w:val="center"/>
            <w:hideMark/>
          </w:tcPr>
          <w:p w14:paraId="742A394F" w14:textId="77777777" w:rsidR="003E245D" w:rsidRPr="003E245D" w:rsidRDefault="003E245D" w:rsidP="003E245D">
            <w:pPr>
              <w:spacing w:before="120"/>
              <w:jc w:val="center"/>
              <w:cnfStyle w:val="000000000000" w:firstRow="0" w:lastRow="0" w:firstColumn="0" w:lastColumn="0" w:oddVBand="0" w:evenVBand="0" w:oddHBand="0" w:evenHBand="0" w:firstRowFirstColumn="0" w:firstRowLastColumn="0" w:lastRowFirstColumn="0" w:lastRowLastColumn="0"/>
              <w:rPr>
                <w:rFonts w:cstheme="minorHAnsi"/>
              </w:rPr>
            </w:pPr>
            <w:r w:rsidRPr="003E245D">
              <w:rPr>
                <w:rFonts w:cstheme="minorHAnsi"/>
              </w:rPr>
              <w:t>100,0%</w:t>
            </w:r>
          </w:p>
        </w:tc>
      </w:tr>
    </w:tbl>
    <w:p w14:paraId="07F6341E" w14:textId="016784D8" w:rsidR="003E245D" w:rsidRPr="00B94AFC" w:rsidRDefault="00B94AFC" w:rsidP="00B94AFC">
      <w:pPr>
        <w:pStyle w:val="Didascalia"/>
        <w:jc w:val="center"/>
        <w:rPr>
          <w:rFonts w:cstheme="minorHAnsi"/>
          <w:color w:val="003366"/>
        </w:rPr>
      </w:pPr>
      <w:r w:rsidRPr="000C6009">
        <w:rPr>
          <w:rFonts w:cstheme="minorHAnsi"/>
          <w:color w:val="003366"/>
        </w:rPr>
        <w:t xml:space="preserve">Tabella </w:t>
      </w:r>
      <w:r w:rsidRPr="000C6009">
        <w:rPr>
          <w:rFonts w:cstheme="minorHAnsi"/>
          <w:color w:val="003366"/>
        </w:rPr>
        <w:fldChar w:fldCharType="begin"/>
      </w:r>
      <w:r w:rsidRPr="000C6009">
        <w:rPr>
          <w:rFonts w:cstheme="minorHAnsi"/>
          <w:color w:val="003366"/>
        </w:rPr>
        <w:instrText xml:space="preserve"> SEQ Tabella \* ARABIC </w:instrText>
      </w:r>
      <w:r w:rsidRPr="000C6009">
        <w:rPr>
          <w:rFonts w:cstheme="minorHAnsi"/>
          <w:color w:val="003366"/>
        </w:rPr>
        <w:fldChar w:fldCharType="separate"/>
      </w:r>
      <w:r w:rsidR="00073B6D">
        <w:rPr>
          <w:rFonts w:cstheme="minorHAnsi"/>
          <w:noProof/>
          <w:color w:val="003366"/>
        </w:rPr>
        <w:t>3</w:t>
      </w:r>
      <w:r w:rsidRPr="000C6009">
        <w:rPr>
          <w:rFonts w:cstheme="minorHAnsi"/>
          <w:noProof/>
          <w:color w:val="003366"/>
        </w:rPr>
        <w:fldChar w:fldCharType="end"/>
      </w:r>
      <w:r w:rsidRPr="000C6009">
        <w:rPr>
          <w:rFonts w:cstheme="minorHAnsi"/>
          <w:i w:val="0"/>
          <w:color w:val="003366"/>
        </w:rPr>
        <w:t xml:space="preserve"> – </w:t>
      </w:r>
      <w:r w:rsidR="00DD26FB">
        <w:rPr>
          <w:rFonts w:cstheme="minorHAnsi"/>
          <w:iCs w:val="0"/>
          <w:color w:val="003366"/>
        </w:rPr>
        <w:t xml:space="preserve">Mobilità individuale </w:t>
      </w:r>
      <w:r w:rsidR="00CF4339">
        <w:rPr>
          <w:rFonts w:cstheme="minorHAnsi"/>
          <w:iCs w:val="0"/>
          <w:color w:val="003366"/>
        </w:rPr>
        <w:t xml:space="preserve">nella città metropolitana e </w:t>
      </w:r>
      <w:r w:rsidR="00B916E5">
        <w:rPr>
          <w:rFonts w:cstheme="minorHAnsi"/>
          <w:iCs w:val="0"/>
          <w:color w:val="003366"/>
        </w:rPr>
        <w:t>nella cintura e area esterna</w:t>
      </w:r>
    </w:p>
    <w:p w14:paraId="0B3A2597" w14:textId="77777777" w:rsidR="003E245D" w:rsidRPr="003E245D" w:rsidRDefault="003E245D" w:rsidP="003E245D">
      <w:pPr>
        <w:spacing w:before="120" w:after="0" w:line="240" w:lineRule="auto"/>
        <w:rPr>
          <w:rFonts w:cstheme="minorHAnsi"/>
        </w:rPr>
      </w:pPr>
      <w:r w:rsidRPr="003E245D">
        <w:rPr>
          <w:rFonts w:cstheme="minorHAnsi"/>
        </w:rPr>
        <w:t>I valori assoluti sono riportati nei due grafici seguenti.</w:t>
      </w:r>
    </w:p>
    <w:p w14:paraId="50C0B84B" w14:textId="77777777" w:rsidR="003E245D" w:rsidRPr="003E245D" w:rsidRDefault="003E245D" w:rsidP="003E245D">
      <w:pPr>
        <w:spacing w:before="120" w:after="0" w:line="240" w:lineRule="auto"/>
        <w:rPr>
          <w:rFonts w:cstheme="minorHAnsi"/>
        </w:rPr>
      </w:pPr>
    </w:p>
    <w:p w14:paraId="0C6AF60F" w14:textId="77777777" w:rsidR="003E245D" w:rsidRPr="003E245D" w:rsidRDefault="003E245D" w:rsidP="003E245D">
      <w:pPr>
        <w:spacing w:before="120" w:after="0" w:line="240" w:lineRule="auto"/>
        <w:jc w:val="center"/>
        <w:rPr>
          <w:rFonts w:cstheme="minorHAnsi"/>
        </w:rPr>
      </w:pPr>
      <w:r w:rsidRPr="003E245D">
        <w:rPr>
          <w:rFonts w:cstheme="minorHAnsi"/>
          <w:noProof/>
        </w:rPr>
        <w:lastRenderedPageBreak/>
        <w:drawing>
          <wp:inline distT="0" distB="0" distL="0" distR="0" wp14:anchorId="7ED38D10" wp14:editId="14D78C96">
            <wp:extent cx="5773420" cy="3609340"/>
            <wp:effectExtent l="0" t="0" r="0" b="0"/>
            <wp:docPr id="9" name="Immagine 9" descr="Immagine che contiene testo, schermata, diagramma, Caratter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magine 9" descr="Immagine che contiene testo, schermata, diagramma, Carattere&#10;&#10;Descrizione generata automaticament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73420" cy="3609340"/>
                    </a:xfrm>
                    <a:prstGeom prst="rect">
                      <a:avLst/>
                    </a:prstGeom>
                    <a:noFill/>
                  </pic:spPr>
                </pic:pic>
              </a:graphicData>
            </a:graphic>
          </wp:inline>
        </w:drawing>
      </w:r>
    </w:p>
    <w:p w14:paraId="7E6E44A2" w14:textId="28022EDA" w:rsidR="003E245D" w:rsidRPr="003E245D" w:rsidRDefault="003E245D" w:rsidP="003E245D">
      <w:pPr>
        <w:spacing w:after="200" w:line="240" w:lineRule="auto"/>
        <w:jc w:val="center"/>
        <w:rPr>
          <w:rFonts w:cstheme="minorHAnsi"/>
          <w:i/>
          <w:iCs/>
          <w:color w:val="003366"/>
          <w:sz w:val="18"/>
          <w:szCs w:val="18"/>
        </w:rPr>
      </w:pPr>
      <w:r w:rsidRPr="003E245D">
        <w:rPr>
          <w:rFonts w:cstheme="minorHAnsi"/>
          <w:i/>
          <w:iCs/>
          <w:color w:val="003366"/>
          <w:sz w:val="18"/>
          <w:szCs w:val="18"/>
        </w:rPr>
        <w:t xml:space="preserve">Figura </w:t>
      </w:r>
      <w:r w:rsidRPr="003E245D">
        <w:rPr>
          <w:rFonts w:cstheme="minorHAnsi"/>
          <w:i/>
          <w:iCs/>
          <w:color w:val="003366"/>
          <w:sz w:val="18"/>
          <w:szCs w:val="18"/>
        </w:rPr>
        <w:fldChar w:fldCharType="begin"/>
      </w:r>
      <w:r w:rsidRPr="003E245D">
        <w:rPr>
          <w:rFonts w:cstheme="minorHAnsi"/>
          <w:i/>
          <w:iCs/>
          <w:color w:val="003366"/>
          <w:sz w:val="18"/>
          <w:szCs w:val="18"/>
        </w:rPr>
        <w:instrText xml:space="preserve"> SEQ Figura \* ARABIC </w:instrText>
      </w:r>
      <w:r w:rsidRPr="003E245D">
        <w:rPr>
          <w:rFonts w:cstheme="minorHAnsi"/>
          <w:i/>
          <w:iCs/>
          <w:color w:val="003366"/>
          <w:sz w:val="18"/>
          <w:szCs w:val="18"/>
        </w:rPr>
        <w:fldChar w:fldCharType="separate"/>
      </w:r>
      <w:r w:rsidR="00073B6D">
        <w:rPr>
          <w:rFonts w:cstheme="minorHAnsi"/>
          <w:i/>
          <w:iCs/>
          <w:noProof/>
          <w:color w:val="003366"/>
          <w:sz w:val="18"/>
          <w:szCs w:val="18"/>
        </w:rPr>
        <w:t>9</w:t>
      </w:r>
      <w:r w:rsidRPr="003E245D">
        <w:rPr>
          <w:rFonts w:cstheme="minorHAnsi"/>
          <w:i/>
          <w:iCs/>
          <w:noProof/>
          <w:color w:val="003366"/>
          <w:sz w:val="18"/>
          <w:szCs w:val="18"/>
        </w:rPr>
        <w:fldChar w:fldCharType="end"/>
      </w:r>
      <w:r w:rsidRPr="003E245D">
        <w:rPr>
          <w:rFonts w:cstheme="minorHAnsi"/>
          <w:i/>
          <w:iCs/>
          <w:color w:val="003366"/>
          <w:sz w:val="18"/>
          <w:szCs w:val="18"/>
        </w:rPr>
        <w:t xml:space="preserve"> – Ripartizione per attività d’impiego della popolazione mobile</w:t>
      </w:r>
    </w:p>
    <w:p w14:paraId="674BFAFA" w14:textId="77777777" w:rsidR="003E245D" w:rsidRPr="003E245D" w:rsidRDefault="003E245D" w:rsidP="003E245D">
      <w:pPr>
        <w:spacing w:before="120" w:after="0" w:line="240" w:lineRule="auto"/>
        <w:rPr>
          <w:rFonts w:cstheme="minorHAnsi"/>
        </w:rPr>
      </w:pPr>
    </w:p>
    <w:p w14:paraId="68E83A09" w14:textId="77777777" w:rsidR="003E245D" w:rsidRPr="003E245D" w:rsidRDefault="003E245D" w:rsidP="003E245D">
      <w:pPr>
        <w:keepNext/>
        <w:spacing w:before="120" w:after="0" w:line="240" w:lineRule="auto"/>
        <w:jc w:val="center"/>
      </w:pPr>
      <w:r w:rsidRPr="003E245D">
        <w:t>.</w:t>
      </w:r>
      <w:r w:rsidRPr="003E245D">
        <w:rPr>
          <w:noProof/>
        </w:rPr>
        <w:drawing>
          <wp:inline distT="0" distB="0" distL="0" distR="0" wp14:anchorId="2C390E04" wp14:editId="23DB79C9">
            <wp:extent cx="5773420" cy="3615055"/>
            <wp:effectExtent l="0" t="0" r="0" b="4445"/>
            <wp:docPr id="10" name="Immagine 10" descr="Immagine che contiene testo, schermata, diagramma, Caratter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magine 10" descr="Immagine che contiene testo, schermata, diagramma, Carattere&#10;&#10;Descrizione generata automaticament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73420" cy="3615055"/>
                    </a:xfrm>
                    <a:prstGeom prst="rect">
                      <a:avLst/>
                    </a:prstGeom>
                    <a:noFill/>
                  </pic:spPr>
                </pic:pic>
              </a:graphicData>
            </a:graphic>
          </wp:inline>
        </w:drawing>
      </w:r>
    </w:p>
    <w:p w14:paraId="300756B8" w14:textId="472413BC" w:rsidR="003E245D" w:rsidRPr="003E245D" w:rsidRDefault="003E245D" w:rsidP="003E245D">
      <w:pPr>
        <w:spacing w:after="200" w:line="240" w:lineRule="auto"/>
        <w:jc w:val="center"/>
        <w:rPr>
          <w:rFonts w:cstheme="minorHAnsi"/>
          <w:i/>
          <w:iCs/>
          <w:color w:val="17406D" w:themeColor="text2"/>
          <w:sz w:val="18"/>
          <w:szCs w:val="18"/>
        </w:rPr>
      </w:pPr>
      <w:r w:rsidRPr="003E245D">
        <w:rPr>
          <w:i/>
          <w:iCs/>
          <w:color w:val="17406D" w:themeColor="text2"/>
          <w:sz w:val="18"/>
          <w:szCs w:val="18"/>
        </w:rPr>
        <w:t xml:space="preserve">Figura </w:t>
      </w:r>
      <w:r w:rsidRPr="003E245D">
        <w:rPr>
          <w:i/>
          <w:iCs/>
          <w:color w:val="17406D" w:themeColor="text2"/>
          <w:sz w:val="18"/>
          <w:szCs w:val="18"/>
        </w:rPr>
        <w:fldChar w:fldCharType="begin"/>
      </w:r>
      <w:r w:rsidRPr="003E245D">
        <w:rPr>
          <w:i/>
          <w:iCs/>
          <w:color w:val="17406D" w:themeColor="text2"/>
          <w:sz w:val="18"/>
          <w:szCs w:val="18"/>
        </w:rPr>
        <w:instrText xml:space="preserve"> SEQ Figura \* ARABIC </w:instrText>
      </w:r>
      <w:r w:rsidRPr="003E245D">
        <w:rPr>
          <w:i/>
          <w:iCs/>
          <w:color w:val="17406D" w:themeColor="text2"/>
          <w:sz w:val="18"/>
          <w:szCs w:val="18"/>
        </w:rPr>
        <w:fldChar w:fldCharType="separate"/>
      </w:r>
      <w:r w:rsidR="00073B6D">
        <w:rPr>
          <w:i/>
          <w:iCs/>
          <w:noProof/>
          <w:color w:val="17406D" w:themeColor="text2"/>
          <w:sz w:val="18"/>
          <w:szCs w:val="18"/>
        </w:rPr>
        <w:t>10</w:t>
      </w:r>
      <w:r w:rsidRPr="003E245D">
        <w:rPr>
          <w:i/>
          <w:iCs/>
          <w:noProof/>
          <w:color w:val="17406D" w:themeColor="text2"/>
          <w:sz w:val="18"/>
          <w:szCs w:val="18"/>
        </w:rPr>
        <w:fldChar w:fldCharType="end"/>
      </w:r>
      <w:r w:rsidRPr="003E245D">
        <w:rPr>
          <w:i/>
          <w:iCs/>
          <w:color w:val="17406D" w:themeColor="text2"/>
          <w:sz w:val="18"/>
          <w:szCs w:val="18"/>
        </w:rPr>
        <w:t xml:space="preserve"> -</w:t>
      </w:r>
      <w:r w:rsidRPr="003E245D">
        <w:rPr>
          <w:rFonts w:cstheme="minorHAnsi"/>
          <w:i/>
          <w:iCs/>
          <w:color w:val="003366"/>
          <w:sz w:val="18"/>
          <w:szCs w:val="18"/>
        </w:rPr>
        <w:t xml:space="preserve"> Ripartizione per attività d’impiego della popolazione mobile (cintura e area esterna)</w:t>
      </w:r>
    </w:p>
    <w:p w14:paraId="24969674" w14:textId="77777777" w:rsidR="003E245D" w:rsidRPr="003E245D" w:rsidRDefault="003E245D" w:rsidP="003E245D">
      <w:pPr>
        <w:jc w:val="left"/>
        <w:rPr>
          <w:rFonts w:cstheme="minorHAnsi"/>
        </w:rPr>
      </w:pPr>
      <w:r w:rsidRPr="003E245D">
        <w:rPr>
          <w:rFonts w:cstheme="minorHAnsi"/>
        </w:rPr>
        <w:br w:type="page"/>
      </w:r>
    </w:p>
    <w:p w14:paraId="4016B02A" w14:textId="77777777" w:rsidR="003E245D" w:rsidRPr="003E245D" w:rsidRDefault="003E245D" w:rsidP="003E245D">
      <w:pPr>
        <w:spacing w:before="120" w:after="0" w:line="240" w:lineRule="auto"/>
        <w:rPr>
          <w:rFonts w:cstheme="minorHAnsi"/>
        </w:rPr>
      </w:pPr>
      <w:r w:rsidRPr="003E245D">
        <w:rPr>
          <w:rFonts w:cstheme="minorHAnsi"/>
        </w:rPr>
        <w:lastRenderedPageBreak/>
        <w:t>In merito ai motivi che spingono le persone allo spostamento a livello del Bacino Metropolitano, lo scopo principale nel 2022 è legato al lavoro, seguito da acquisti e altri scopi (cure mediche, sport, visite, ecc.). L’andamento storico vede una contrazione dello scopo studio mentre crescono gli spostamenti per lavoro, acquisti, sport/svago. Risulta basso nell’indagine 2022 il numero di spostamenti per studio, tale particolare andamento è da imputare con molta probabilità al periodo in cui sono state eseguite le interviste (novembre 2021 – aprile 2022) in cui erano ancora in vigore alcune limitazioni legate all’emergenza epidemiologica COVID19 con ricorso alla didattica a distanza (DAD).</w:t>
      </w:r>
    </w:p>
    <w:p w14:paraId="417114CC" w14:textId="77777777" w:rsidR="003E245D" w:rsidRPr="003E245D" w:rsidRDefault="003E245D" w:rsidP="003E245D">
      <w:pPr>
        <w:spacing w:before="120" w:after="0" w:line="240" w:lineRule="auto"/>
        <w:rPr>
          <w:rFonts w:cstheme="minorHAnsi"/>
        </w:rPr>
      </w:pPr>
    </w:p>
    <w:p w14:paraId="2A37B246" w14:textId="77777777" w:rsidR="003E245D" w:rsidRPr="003E245D" w:rsidRDefault="003E245D" w:rsidP="003E245D">
      <w:pPr>
        <w:spacing w:before="120" w:after="0" w:line="240" w:lineRule="auto"/>
        <w:jc w:val="center"/>
        <w:rPr>
          <w:rFonts w:cstheme="minorHAnsi"/>
          <w:i/>
          <w:iCs/>
          <w:color w:val="003366"/>
          <w:sz w:val="18"/>
          <w:szCs w:val="18"/>
        </w:rPr>
      </w:pPr>
      <w:r w:rsidRPr="003E245D">
        <w:rPr>
          <w:rFonts w:cstheme="minorHAnsi"/>
          <w:i/>
          <w:iCs/>
          <w:noProof/>
          <w:color w:val="003366"/>
          <w:sz w:val="18"/>
          <w:szCs w:val="18"/>
        </w:rPr>
        <w:drawing>
          <wp:inline distT="0" distB="0" distL="0" distR="0" wp14:anchorId="35DBCEB0" wp14:editId="4C951865">
            <wp:extent cx="5760000" cy="5655798"/>
            <wp:effectExtent l="0" t="0" r="0" b="2540"/>
            <wp:docPr id="840514567" name="Immagine 18" descr="Immagine che contiene testo, schermata, software, design&#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514567" name="Immagine 18" descr="Immagine che contiene testo, schermata, software, design&#10;&#10;Descrizione generata automaticament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60000" cy="5655798"/>
                    </a:xfrm>
                    <a:prstGeom prst="rect">
                      <a:avLst/>
                    </a:prstGeom>
                    <a:noFill/>
                  </pic:spPr>
                </pic:pic>
              </a:graphicData>
            </a:graphic>
          </wp:inline>
        </w:drawing>
      </w:r>
    </w:p>
    <w:p w14:paraId="35BEEAF1" w14:textId="270036DF" w:rsidR="003E245D" w:rsidRPr="003E245D" w:rsidRDefault="003E245D" w:rsidP="003E245D">
      <w:pPr>
        <w:spacing w:after="200" w:line="240" w:lineRule="auto"/>
        <w:jc w:val="center"/>
        <w:rPr>
          <w:rFonts w:cstheme="minorHAnsi"/>
          <w:i/>
          <w:iCs/>
          <w:color w:val="003366"/>
          <w:sz w:val="18"/>
          <w:szCs w:val="18"/>
        </w:rPr>
      </w:pPr>
      <w:r w:rsidRPr="003E245D">
        <w:rPr>
          <w:rFonts w:cstheme="minorHAnsi"/>
          <w:i/>
          <w:iCs/>
          <w:color w:val="003366"/>
          <w:sz w:val="18"/>
          <w:szCs w:val="18"/>
        </w:rPr>
        <w:t xml:space="preserve">Figura </w:t>
      </w:r>
      <w:r w:rsidRPr="003E245D">
        <w:rPr>
          <w:rFonts w:cstheme="minorHAnsi"/>
          <w:i/>
          <w:iCs/>
          <w:color w:val="003366"/>
          <w:sz w:val="18"/>
          <w:szCs w:val="18"/>
        </w:rPr>
        <w:fldChar w:fldCharType="begin"/>
      </w:r>
      <w:r w:rsidRPr="003E245D">
        <w:rPr>
          <w:rFonts w:cstheme="minorHAnsi"/>
          <w:i/>
          <w:iCs/>
          <w:color w:val="003366"/>
          <w:sz w:val="18"/>
          <w:szCs w:val="18"/>
        </w:rPr>
        <w:instrText xml:space="preserve"> SEQ Figura \* ARABIC </w:instrText>
      </w:r>
      <w:r w:rsidRPr="003E245D">
        <w:rPr>
          <w:rFonts w:cstheme="minorHAnsi"/>
          <w:i/>
          <w:iCs/>
          <w:color w:val="003366"/>
          <w:sz w:val="18"/>
          <w:szCs w:val="18"/>
        </w:rPr>
        <w:fldChar w:fldCharType="separate"/>
      </w:r>
      <w:r w:rsidR="00073B6D">
        <w:rPr>
          <w:rFonts w:cstheme="minorHAnsi"/>
          <w:i/>
          <w:iCs/>
          <w:noProof/>
          <w:color w:val="003366"/>
          <w:sz w:val="18"/>
          <w:szCs w:val="18"/>
        </w:rPr>
        <w:t>11</w:t>
      </w:r>
      <w:r w:rsidRPr="003E245D">
        <w:rPr>
          <w:rFonts w:cstheme="minorHAnsi"/>
          <w:i/>
          <w:iCs/>
          <w:noProof/>
          <w:color w:val="003366"/>
          <w:sz w:val="18"/>
          <w:szCs w:val="18"/>
        </w:rPr>
        <w:fldChar w:fldCharType="end"/>
      </w:r>
      <w:r w:rsidRPr="003E245D">
        <w:rPr>
          <w:rFonts w:cstheme="minorHAnsi"/>
          <w:i/>
          <w:iCs/>
          <w:color w:val="003366"/>
          <w:sz w:val="18"/>
          <w:szCs w:val="18"/>
        </w:rPr>
        <w:t xml:space="preserve"> – Scopi degli spostamenti nella Città metropolitana – serie storica 2004-2022</w:t>
      </w:r>
    </w:p>
    <w:p w14:paraId="7847EC46" w14:textId="77777777" w:rsidR="003E245D" w:rsidRPr="003E245D" w:rsidRDefault="003E245D" w:rsidP="003E245D">
      <w:pPr>
        <w:spacing w:before="120" w:after="0" w:line="240" w:lineRule="auto"/>
        <w:rPr>
          <w:rFonts w:cstheme="minorHAnsi"/>
        </w:rPr>
      </w:pPr>
      <w:r w:rsidRPr="003E245D">
        <w:rPr>
          <w:rFonts w:cstheme="minorHAnsi"/>
        </w:rPr>
        <w:t xml:space="preserve">Di seguito la medesima elaborazione per l’insieme di macro-aree </w:t>
      </w:r>
      <w:r w:rsidRPr="003E245D">
        <w:rPr>
          <w:rFonts w:cstheme="minorHAnsi"/>
          <w:i/>
        </w:rPr>
        <w:t>cintura e area esterna</w:t>
      </w:r>
      <w:r w:rsidRPr="003E245D">
        <w:rPr>
          <w:rFonts w:cstheme="minorHAnsi"/>
        </w:rPr>
        <w:t>. In quest’ambito è sensibilmente prevalente lo scopo acquisti sullo scopo lavoro e si osserva un’analoga contrazione dello scopo studio.</w:t>
      </w:r>
    </w:p>
    <w:p w14:paraId="7A4039A1" w14:textId="77777777" w:rsidR="003E245D" w:rsidRPr="003E245D" w:rsidRDefault="003E245D" w:rsidP="003E245D">
      <w:pPr>
        <w:keepNext/>
        <w:spacing w:before="120" w:after="0" w:line="240" w:lineRule="auto"/>
      </w:pPr>
      <w:r w:rsidRPr="003E245D">
        <w:rPr>
          <w:rFonts w:cstheme="minorHAnsi"/>
          <w:noProof/>
        </w:rPr>
        <w:lastRenderedPageBreak/>
        <w:drawing>
          <wp:inline distT="0" distB="0" distL="0" distR="0" wp14:anchorId="0ED5A818" wp14:editId="257563DD">
            <wp:extent cx="5676900" cy="5584286"/>
            <wp:effectExtent l="0" t="0" r="0" b="0"/>
            <wp:docPr id="161798008" name="Immagine 19" descr="Immagine che contiene testo, schermata, software, Pagina Web&#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98008" name="Immagine 19" descr="Immagine che contiene testo, schermata, software, Pagina Web&#10;&#10;Descrizione generata automaticament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681317" cy="5588631"/>
                    </a:xfrm>
                    <a:prstGeom prst="rect">
                      <a:avLst/>
                    </a:prstGeom>
                    <a:noFill/>
                  </pic:spPr>
                </pic:pic>
              </a:graphicData>
            </a:graphic>
          </wp:inline>
        </w:drawing>
      </w:r>
    </w:p>
    <w:p w14:paraId="0CEFCD9A" w14:textId="373B1BD0" w:rsidR="003E245D" w:rsidRPr="003E245D" w:rsidRDefault="003E245D" w:rsidP="003E245D">
      <w:pPr>
        <w:spacing w:after="200" w:line="240" w:lineRule="auto"/>
        <w:jc w:val="center"/>
        <w:rPr>
          <w:rFonts w:cstheme="minorHAnsi"/>
          <w:i/>
          <w:iCs/>
          <w:color w:val="17406D" w:themeColor="text2"/>
          <w:sz w:val="18"/>
          <w:szCs w:val="18"/>
        </w:rPr>
      </w:pPr>
      <w:r w:rsidRPr="003E245D">
        <w:rPr>
          <w:i/>
          <w:iCs/>
          <w:color w:val="17406D" w:themeColor="text2"/>
          <w:sz w:val="18"/>
          <w:szCs w:val="18"/>
        </w:rPr>
        <w:t xml:space="preserve">Figura </w:t>
      </w:r>
      <w:r w:rsidRPr="003E245D">
        <w:rPr>
          <w:i/>
          <w:iCs/>
          <w:color w:val="17406D" w:themeColor="text2"/>
          <w:sz w:val="18"/>
          <w:szCs w:val="18"/>
        </w:rPr>
        <w:fldChar w:fldCharType="begin"/>
      </w:r>
      <w:r w:rsidRPr="003E245D">
        <w:rPr>
          <w:i/>
          <w:iCs/>
          <w:color w:val="17406D" w:themeColor="text2"/>
          <w:sz w:val="18"/>
          <w:szCs w:val="18"/>
        </w:rPr>
        <w:instrText xml:space="preserve"> SEQ Figura \* ARABIC </w:instrText>
      </w:r>
      <w:r w:rsidRPr="003E245D">
        <w:rPr>
          <w:i/>
          <w:iCs/>
          <w:color w:val="17406D" w:themeColor="text2"/>
          <w:sz w:val="18"/>
          <w:szCs w:val="18"/>
        </w:rPr>
        <w:fldChar w:fldCharType="separate"/>
      </w:r>
      <w:r w:rsidR="00073B6D">
        <w:rPr>
          <w:i/>
          <w:iCs/>
          <w:noProof/>
          <w:color w:val="17406D" w:themeColor="text2"/>
          <w:sz w:val="18"/>
          <w:szCs w:val="18"/>
        </w:rPr>
        <w:t>12</w:t>
      </w:r>
      <w:r w:rsidRPr="003E245D">
        <w:rPr>
          <w:i/>
          <w:iCs/>
          <w:noProof/>
          <w:color w:val="17406D" w:themeColor="text2"/>
          <w:sz w:val="18"/>
          <w:szCs w:val="18"/>
        </w:rPr>
        <w:fldChar w:fldCharType="end"/>
      </w:r>
      <w:r w:rsidRPr="003E245D">
        <w:rPr>
          <w:i/>
          <w:iCs/>
          <w:color w:val="17406D" w:themeColor="text2"/>
          <w:sz w:val="18"/>
          <w:szCs w:val="18"/>
        </w:rPr>
        <w:t xml:space="preserve"> </w:t>
      </w:r>
      <w:r w:rsidRPr="003E245D">
        <w:rPr>
          <w:rFonts w:cstheme="minorHAnsi"/>
          <w:i/>
          <w:iCs/>
          <w:color w:val="003366"/>
          <w:sz w:val="18"/>
          <w:szCs w:val="18"/>
        </w:rPr>
        <w:t>– Scopi degli spostamenti in cintura e area esterna – serie storica 2004-2022</w:t>
      </w:r>
    </w:p>
    <w:p w14:paraId="66AF4703" w14:textId="77777777" w:rsidR="003E245D" w:rsidRPr="003E245D" w:rsidRDefault="003E245D" w:rsidP="00FD1C1C">
      <w:pPr>
        <w:spacing w:before="120" w:line="240" w:lineRule="auto"/>
        <w:rPr>
          <w:rFonts w:cstheme="minorHAnsi"/>
        </w:rPr>
      </w:pPr>
      <w:r w:rsidRPr="003E245D">
        <w:rPr>
          <w:rFonts w:cstheme="minorHAnsi"/>
        </w:rPr>
        <w:t>In merito ai modi di spostamento della popolazione nel Bacino Metropolitano il dato dell’indagine 2022 ci restituisce, rispetto al 2013, una flessione del trasporto pubblico pari a -8,3 punti percentuali a favore degli altri modi di trasporto (piedi, bicicletta, monopattini, moto, ecc.) che crescono di 6,9 punti percentuali mentre si osserva un lieve incremento della quota percentuale dell’auto privata (+1,4 punti percentuali). La contrazione del trasporto pubblico è da imputare con molta probabilità al periodo in cui sono state eseguite le interviste, ovvero novembre 2021-aprile 2022 in cui erano ancora in vigore limitazioni legate all’emergenza epidemiologica COVID19.</w:t>
      </w:r>
    </w:p>
    <w:tbl>
      <w:tblPr>
        <w:tblW w:w="5000" w:type="pct"/>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left w:w="70" w:type="dxa"/>
          <w:right w:w="70" w:type="dxa"/>
        </w:tblCellMar>
        <w:tblLook w:val="04A0" w:firstRow="1" w:lastRow="0" w:firstColumn="1" w:lastColumn="0" w:noHBand="0" w:noVBand="1"/>
      </w:tblPr>
      <w:tblGrid>
        <w:gridCol w:w="2747"/>
        <w:gridCol w:w="1051"/>
        <w:gridCol w:w="1052"/>
        <w:gridCol w:w="1052"/>
        <w:gridCol w:w="1054"/>
        <w:gridCol w:w="1052"/>
        <w:gridCol w:w="1052"/>
      </w:tblGrid>
      <w:tr w:rsidR="003E245D" w:rsidRPr="003E245D" w14:paraId="091F80D6" w14:textId="77777777" w:rsidTr="00276F51">
        <w:trPr>
          <w:trHeight w:val="600"/>
        </w:trPr>
        <w:tc>
          <w:tcPr>
            <w:tcW w:w="1327" w:type="pct"/>
            <w:shd w:val="clear" w:color="auto" w:fill="FF7C80"/>
            <w:vAlign w:val="center"/>
            <w:hideMark/>
          </w:tcPr>
          <w:p w14:paraId="6D443586" w14:textId="77777777" w:rsidR="003E245D" w:rsidRPr="00276F51" w:rsidRDefault="003E245D" w:rsidP="00532AE5">
            <w:pPr>
              <w:spacing w:after="0" w:line="240" w:lineRule="auto"/>
              <w:jc w:val="left"/>
              <w:rPr>
                <w:rFonts w:eastAsia="Times New Roman" w:cs="Calibri"/>
                <w:b/>
                <w:bCs/>
                <w:color w:val="FFFFFF" w:themeColor="background1"/>
              </w:rPr>
            </w:pPr>
            <w:r w:rsidRPr="00276F51">
              <w:rPr>
                <w:rFonts w:eastAsia="Times New Roman" w:cs="Calibri"/>
                <w:b/>
                <w:bCs/>
                <w:color w:val="FFFFFF" w:themeColor="background1"/>
              </w:rPr>
              <w:t>2004</w:t>
            </w:r>
          </w:p>
        </w:tc>
        <w:tc>
          <w:tcPr>
            <w:tcW w:w="612" w:type="pct"/>
            <w:shd w:val="clear" w:color="auto" w:fill="FF7C80"/>
            <w:vAlign w:val="center"/>
            <w:hideMark/>
          </w:tcPr>
          <w:p w14:paraId="6CC6440C" w14:textId="77777777" w:rsidR="003E245D" w:rsidRPr="00276F51" w:rsidRDefault="003E245D" w:rsidP="003E245D">
            <w:pPr>
              <w:spacing w:after="0" w:line="240" w:lineRule="auto"/>
              <w:jc w:val="center"/>
              <w:rPr>
                <w:rFonts w:eastAsia="Times New Roman" w:cs="Calibri"/>
                <w:b/>
                <w:bCs/>
                <w:color w:val="FFFFFF" w:themeColor="background1"/>
              </w:rPr>
            </w:pPr>
            <w:r w:rsidRPr="00276F51">
              <w:rPr>
                <w:rFonts w:eastAsia="Times New Roman" w:cs="Calibri"/>
                <w:b/>
                <w:bCs/>
                <w:color w:val="FFFFFF" w:themeColor="background1"/>
              </w:rPr>
              <w:t>Torino</w:t>
            </w:r>
          </w:p>
        </w:tc>
        <w:tc>
          <w:tcPr>
            <w:tcW w:w="612" w:type="pct"/>
            <w:shd w:val="clear" w:color="auto" w:fill="FF7C80"/>
            <w:vAlign w:val="center"/>
            <w:hideMark/>
          </w:tcPr>
          <w:p w14:paraId="0D2D6FA2" w14:textId="77777777" w:rsidR="003E245D" w:rsidRPr="00276F51" w:rsidRDefault="003E245D" w:rsidP="003E245D">
            <w:pPr>
              <w:spacing w:after="0" w:line="240" w:lineRule="auto"/>
              <w:jc w:val="center"/>
              <w:rPr>
                <w:rFonts w:eastAsia="Times New Roman" w:cs="Calibri"/>
                <w:b/>
                <w:bCs/>
                <w:color w:val="FFFFFF" w:themeColor="background1"/>
              </w:rPr>
            </w:pPr>
            <w:r w:rsidRPr="00276F51">
              <w:rPr>
                <w:rFonts w:eastAsia="Times New Roman" w:cs="Calibri"/>
                <w:b/>
                <w:bCs/>
                <w:color w:val="FFFFFF" w:themeColor="background1"/>
              </w:rPr>
              <w:t>Cintura</w:t>
            </w:r>
          </w:p>
        </w:tc>
        <w:tc>
          <w:tcPr>
            <w:tcW w:w="612" w:type="pct"/>
            <w:shd w:val="clear" w:color="auto" w:fill="FF7C80"/>
            <w:vAlign w:val="center"/>
            <w:hideMark/>
          </w:tcPr>
          <w:p w14:paraId="2320434A" w14:textId="77777777" w:rsidR="003E245D" w:rsidRPr="00276F51" w:rsidRDefault="003E245D" w:rsidP="003E245D">
            <w:pPr>
              <w:spacing w:after="0" w:line="240" w:lineRule="auto"/>
              <w:jc w:val="center"/>
              <w:rPr>
                <w:rFonts w:eastAsia="Times New Roman" w:cs="Calibri"/>
                <w:b/>
                <w:bCs/>
                <w:color w:val="FFFFFF" w:themeColor="background1"/>
              </w:rPr>
            </w:pPr>
            <w:r w:rsidRPr="00276F51">
              <w:rPr>
                <w:rFonts w:eastAsia="Times New Roman" w:cs="Calibri"/>
                <w:b/>
                <w:bCs/>
                <w:color w:val="FFFFFF" w:themeColor="background1"/>
              </w:rPr>
              <w:t>Area esterna TO</w:t>
            </w:r>
          </w:p>
        </w:tc>
        <w:tc>
          <w:tcPr>
            <w:tcW w:w="613" w:type="pct"/>
            <w:shd w:val="clear" w:color="auto" w:fill="FF7C80"/>
            <w:vAlign w:val="center"/>
            <w:hideMark/>
          </w:tcPr>
          <w:p w14:paraId="27C23285" w14:textId="77777777" w:rsidR="003E245D" w:rsidRPr="00276F51" w:rsidRDefault="003E245D" w:rsidP="003E245D">
            <w:pPr>
              <w:spacing w:after="0" w:line="240" w:lineRule="auto"/>
              <w:jc w:val="center"/>
              <w:rPr>
                <w:rFonts w:eastAsia="Times New Roman" w:cs="Calibri"/>
                <w:b/>
                <w:bCs/>
                <w:color w:val="FFFFFF" w:themeColor="background1"/>
              </w:rPr>
            </w:pPr>
            <w:r w:rsidRPr="00276F51">
              <w:rPr>
                <w:rFonts w:eastAsia="Times New Roman" w:cs="Calibri"/>
                <w:b/>
                <w:bCs/>
                <w:color w:val="FFFFFF" w:themeColor="background1"/>
              </w:rPr>
              <w:t>Cintura + area esterna TO</w:t>
            </w:r>
          </w:p>
        </w:tc>
        <w:tc>
          <w:tcPr>
            <w:tcW w:w="612" w:type="pct"/>
            <w:shd w:val="clear" w:color="auto" w:fill="FF7C80"/>
            <w:vAlign w:val="center"/>
            <w:hideMark/>
          </w:tcPr>
          <w:p w14:paraId="6018DA7A" w14:textId="77777777" w:rsidR="003E245D" w:rsidRPr="00276F51" w:rsidRDefault="003E245D" w:rsidP="003E245D">
            <w:pPr>
              <w:spacing w:after="0" w:line="240" w:lineRule="auto"/>
              <w:jc w:val="center"/>
              <w:rPr>
                <w:rFonts w:eastAsia="Times New Roman" w:cs="Calibri"/>
                <w:b/>
                <w:bCs/>
                <w:color w:val="FFFFFF" w:themeColor="background1"/>
              </w:rPr>
            </w:pPr>
            <w:r w:rsidRPr="00276F51">
              <w:rPr>
                <w:rFonts w:eastAsia="Times New Roman" w:cs="Calibri"/>
                <w:b/>
                <w:bCs/>
                <w:color w:val="FFFFFF" w:themeColor="background1"/>
              </w:rPr>
              <w:t>TOTALE Bacino</w:t>
            </w:r>
          </w:p>
        </w:tc>
        <w:tc>
          <w:tcPr>
            <w:tcW w:w="612" w:type="pct"/>
            <w:shd w:val="clear" w:color="auto" w:fill="FF7C80"/>
            <w:vAlign w:val="center"/>
            <w:hideMark/>
          </w:tcPr>
          <w:p w14:paraId="34826312" w14:textId="77777777" w:rsidR="003E245D" w:rsidRPr="00276F51" w:rsidRDefault="003E245D" w:rsidP="003E245D">
            <w:pPr>
              <w:spacing w:after="0" w:line="240" w:lineRule="auto"/>
              <w:jc w:val="center"/>
              <w:rPr>
                <w:rFonts w:eastAsia="Times New Roman" w:cs="Calibri"/>
                <w:b/>
                <w:bCs/>
                <w:color w:val="FFFFFF" w:themeColor="background1"/>
              </w:rPr>
            </w:pPr>
            <w:r w:rsidRPr="00276F51">
              <w:rPr>
                <w:rFonts w:eastAsia="Times New Roman" w:cs="Calibri"/>
                <w:b/>
                <w:bCs/>
                <w:color w:val="FFFFFF" w:themeColor="background1"/>
              </w:rPr>
              <w:t>Modal split Bacino</w:t>
            </w:r>
          </w:p>
        </w:tc>
      </w:tr>
      <w:tr w:rsidR="003E245D" w:rsidRPr="003E245D" w14:paraId="7118B74D" w14:textId="77777777" w:rsidTr="00276F51">
        <w:trPr>
          <w:trHeight w:val="300"/>
        </w:trPr>
        <w:tc>
          <w:tcPr>
            <w:tcW w:w="1327" w:type="pct"/>
            <w:noWrap/>
            <w:vAlign w:val="bottom"/>
            <w:hideMark/>
          </w:tcPr>
          <w:p w14:paraId="189E364F" w14:textId="77777777" w:rsidR="003E245D" w:rsidRPr="003E245D" w:rsidRDefault="003E245D" w:rsidP="003E245D">
            <w:pPr>
              <w:spacing w:after="0" w:line="240" w:lineRule="auto"/>
              <w:jc w:val="left"/>
              <w:rPr>
                <w:rFonts w:eastAsia="Times New Roman" w:cs="Calibri"/>
                <w:color w:val="000000"/>
              </w:rPr>
            </w:pPr>
            <w:r w:rsidRPr="003E245D">
              <w:rPr>
                <w:rFonts w:eastAsia="Times New Roman" w:cs="Calibri"/>
                <w:color w:val="000000"/>
              </w:rPr>
              <w:t>pubblico</w:t>
            </w:r>
          </w:p>
        </w:tc>
        <w:tc>
          <w:tcPr>
            <w:tcW w:w="612" w:type="pct"/>
            <w:noWrap/>
            <w:vAlign w:val="bottom"/>
            <w:hideMark/>
          </w:tcPr>
          <w:p w14:paraId="089640C1" w14:textId="77777777" w:rsidR="003E245D" w:rsidRPr="003E245D" w:rsidRDefault="003E245D" w:rsidP="003E245D">
            <w:pPr>
              <w:spacing w:after="0" w:line="240" w:lineRule="auto"/>
              <w:jc w:val="right"/>
              <w:rPr>
                <w:rFonts w:eastAsia="Times New Roman" w:cs="Calibri"/>
                <w:color w:val="000000"/>
              </w:rPr>
            </w:pPr>
            <w:r w:rsidRPr="003E245D">
              <w:rPr>
                <w:rFonts w:eastAsia="Times New Roman" w:cs="Calibri"/>
                <w:color w:val="000000"/>
              </w:rPr>
              <w:t>452.242</w:t>
            </w:r>
          </w:p>
        </w:tc>
        <w:tc>
          <w:tcPr>
            <w:tcW w:w="612" w:type="pct"/>
            <w:noWrap/>
            <w:vAlign w:val="bottom"/>
            <w:hideMark/>
          </w:tcPr>
          <w:p w14:paraId="073EED9B" w14:textId="77777777" w:rsidR="003E245D" w:rsidRPr="003E245D" w:rsidRDefault="003E245D" w:rsidP="003E245D">
            <w:pPr>
              <w:spacing w:after="0" w:line="240" w:lineRule="auto"/>
              <w:jc w:val="right"/>
              <w:rPr>
                <w:rFonts w:eastAsia="Times New Roman" w:cs="Calibri"/>
                <w:color w:val="000000"/>
              </w:rPr>
            </w:pPr>
            <w:r w:rsidRPr="003E245D">
              <w:rPr>
                <w:rFonts w:eastAsia="Times New Roman" w:cs="Calibri"/>
                <w:color w:val="000000"/>
              </w:rPr>
              <w:t>156.479</w:t>
            </w:r>
          </w:p>
        </w:tc>
        <w:tc>
          <w:tcPr>
            <w:tcW w:w="612" w:type="pct"/>
            <w:noWrap/>
            <w:vAlign w:val="bottom"/>
            <w:hideMark/>
          </w:tcPr>
          <w:p w14:paraId="142DFD59" w14:textId="77777777" w:rsidR="003E245D" w:rsidRPr="003E245D" w:rsidRDefault="003E245D" w:rsidP="003E245D">
            <w:pPr>
              <w:spacing w:after="0" w:line="240" w:lineRule="auto"/>
              <w:jc w:val="right"/>
              <w:rPr>
                <w:rFonts w:eastAsia="Times New Roman" w:cs="Calibri"/>
                <w:color w:val="000000"/>
              </w:rPr>
            </w:pPr>
            <w:r w:rsidRPr="003E245D">
              <w:rPr>
                <w:rFonts w:eastAsia="Times New Roman" w:cs="Calibri"/>
                <w:color w:val="000000"/>
              </w:rPr>
              <w:t>114.336</w:t>
            </w:r>
          </w:p>
        </w:tc>
        <w:tc>
          <w:tcPr>
            <w:tcW w:w="613" w:type="pct"/>
            <w:noWrap/>
            <w:vAlign w:val="bottom"/>
            <w:hideMark/>
          </w:tcPr>
          <w:p w14:paraId="435CEEFD" w14:textId="77777777" w:rsidR="003E245D" w:rsidRPr="003E245D" w:rsidRDefault="003E245D" w:rsidP="003E245D">
            <w:pPr>
              <w:spacing w:after="0" w:line="240" w:lineRule="auto"/>
              <w:jc w:val="right"/>
              <w:rPr>
                <w:rFonts w:eastAsia="Times New Roman" w:cs="Calibri"/>
                <w:i/>
                <w:color w:val="000000"/>
              </w:rPr>
            </w:pPr>
            <w:r w:rsidRPr="003E245D">
              <w:rPr>
                <w:rFonts w:eastAsia="Times New Roman" w:cs="Calibri"/>
                <w:i/>
                <w:color w:val="000000"/>
              </w:rPr>
              <w:t>270.815</w:t>
            </w:r>
          </w:p>
        </w:tc>
        <w:tc>
          <w:tcPr>
            <w:tcW w:w="612" w:type="pct"/>
            <w:noWrap/>
            <w:vAlign w:val="bottom"/>
            <w:hideMark/>
          </w:tcPr>
          <w:p w14:paraId="5F492777" w14:textId="77777777" w:rsidR="003E245D" w:rsidRPr="003E245D" w:rsidRDefault="003E245D" w:rsidP="003E245D">
            <w:pPr>
              <w:spacing w:after="0" w:line="240" w:lineRule="auto"/>
              <w:jc w:val="right"/>
              <w:rPr>
                <w:rFonts w:eastAsia="Times New Roman" w:cs="Calibri"/>
                <w:b/>
                <w:color w:val="000000"/>
              </w:rPr>
            </w:pPr>
            <w:r w:rsidRPr="003E245D">
              <w:rPr>
                <w:rFonts w:eastAsia="Times New Roman" w:cs="Calibri"/>
                <w:b/>
                <w:color w:val="000000"/>
              </w:rPr>
              <w:t>723.057</w:t>
            </w:r>
          </w:p>
        </w:tc>
        <w:tc>
          <w:tcPr>
            <w:tcW w:w="612" w:type="pct"/>
            <w:noWrap/>
            <w:vAlign w:val="bottom"/>
            <w:hideMark/>
          </w:tcPr>
          <w:p w14:paraId="147BEBFB" w14:textId="77777777" w:rsidR="003E245D" w:rsidRPr="003E245D" w:rsidRDefault="003E245D" w:rsidP="003E245D">
            <w:pPr>
              <w:spacing w:after="0" w:line="240" w:lineRule="auto"/>
              <w:jc w:val="center"/>
              <w:rPr>
                <w:rFonts w:eastAsia="Times New Roman" w:cs="Calibri"/>
                <w:color w:val="000000"/>
              </w:rPr>
            </w:pPr>
            <w:r w:rsidRPr="003E245D">
              <w:rPr>
                <w:rFonts w:eastAsia="Times New Roman" w:cs="Calibri"/>
                <w:color w:val="000000"/>
              </w:rPr>
              <w:t>13,9%</w:t>
            </w:r>
          </w:p>
        </w:tc>
      </w:tr>
      <w:tr w:rsidR="003E245D" w:rsidRPr="003E245D" w14:paraId="208C6517" w14:textId="77777777" w:rsidTr="00276F51">
        <w:trPr>
          <w:trHeight w:val="300"/>
        </w:trPr>
        <w:tc>
          <w:tcPr>
            <w:tcW w:w="1327" w:type="pct"/>
            <w:noWrap/>
            <w:vAlign w:val="bottom"/>
            <w:hideMark/>
          </w:tcPr>
          <w:p w14:paraId="5C3CEAE0" w14:textId="77777777" w:rsidR="003E245D" w:rsidRPr="003E245D" w:rsidRDefault="003E245D" w:rsidP="003E245D">
            <w:pPr>
              <w:spacing w:after="0" w:line="240" w:lineRule="auto"/>
              <w:jc w:val="left"/>
              <w:rPr>
                <w:rFonts w:eastAsia="Times New Roman" w:cs="Calibri"/>
                <w:color w:val="000000"/>
              </w:rPr>
            </w:pPr>
            <w:r w:rsidRPr="003E245D">
              <w:rPr>
                <w:rFonts w:eastAsia="Times New Roman" w:cs="Calibri"/>
                <w:color w:val="000000"/>
              </w:rPr>
              <w:t>privato</w:t>
            </w:r>
          </w:p>
        </w:tc>
        <w:tc>
          <w:tcPr>
            <w:tcW w:w="612" w:type="pct"/>
            <w:noWrap/>
            <w:vAlign w:val="bottom"/>
            <w:hideMark/>
          </w:tcPr>
          <w:p w14:paraId="280B6E6A" w14:textId="77777777" w:rsidR="003E245D" w:rsidRPr="003E245D" w:rsidRDefault="003E245D" w:rsidP="003E245D">
            <w:pPr>
              <w:spacing w:after="0" w:line="240" w:lineRule="auto"/>
              <w:jc w:val="right"/>
              <w:rPr>
                <w:rFonts w:eastAsia="Times New Roman" w:cs="Calibri"/>
                <w:color w:val="000000"/>
              </w:rPr>
            </w:pPr>
            <w:r w:rsidRPr="003E245D">
              <w:rPr>
                <w:rFonts w:eastAsia="Times New Roman" w:cs="Calibri"/>
                <w:color w:val="000000"/>
              </w:rPr>
              <w:t>925.321</w:t>
            </w:r>
          </w:p>
        </w:tc>
        <w:tc>
          <w:tcPr>
            <w:tcW w:w="612" w:type="pct"/>
            <w:noWrap/>
            <w:vAlign w:val="bottom"/>
            <w:hideMark/>
          </w:tcPr>
          <w:p w14:paraId="5997A695" w14:textId="77777777" w:rsidR="003E245D" w:rsidRPr="003E245D" w:rsidRDefault="003E245D" w:rsidP="003E245D">
            <w:pPr>
              <w:spacing w:after="0" w:line="240" w:lineRule="auto"/>
              <w:jc w:val="right"/>
              <w:rPr>
                <w:rFonts w:eastAsia="Times New Roman" w:cs="Calibri"/>
                <w:color w:val="000000"/>
              </w:rPr>
            </w:pPr>
            <w:r w:rsidRPr="003E245D">
              <w:rPr>
                <w:rFonts w:eastAsia="Times New Roman" w:cs="Calibri"/>
                <w:color w:val="000000"/>
              </w:rPr>
              <w:t>806.446</w:t>
            </w:r>
          </w:p>
        </w:tc>
        <w:tc>
          <w:tcPr>
            <w:tcW w:w="612" w:type="pct"/>
            <w:noWrap/>
            <w:vAlign w:val="bottom"/>
            <w:hideMark/>
          </w:tcPr>
          <w:p w14:paraId="29DE864F" w14:textId="77777777" w:rsidR="003E245D" w:rsidRPr="003E245D" w:rsidRDefault="003E245D" w:rsidP="003E245D">
            <w:pPr>
              <w:spacing w:after="0" w:line="240" w:lineRule="auto"/>
              <w:jc w:val="right"/>
              <w:rPr>
                <w:rFonts w:eastAsia="Times New Roman" w:cs="Calibri"/>
                <w:color w:val="000000"/>
              </w:rPr>
            </w:pPr>
            <w:r w:rsidRPr="003E245D">
              <w:rPr>
                <w:rFonts w:eastAsia="Times New Roman" w:cs="Calibri"/>
                <w:color w:val="000000"/>
              </w:rPr>
              <w:t>1.206.561</w:t>
            </w:r>
          </w:p>
        </w:tc>
        <w:tc>
          <w:tcPr>
            <w:tcW w:w="613" w:type="pct"/>
            <w:noWrap/>
            <w:vAlign w:val="bottom"/>
            <w:hideMark/>
          </w:tcPr>
          <w:p w14:paraId="58D358EB" w14:textId="77777777" w:rsidR="003E245D" w:rsidRPr="003E245D" w:rsidRDefault="003E245D" w:rsidP="003E245D">
            <w:pPr>
              <w:spacing w:after="0" w:line="240" w:lineRule="auto"/>
              <w:jc w:val="right"/>
              <w:rPr>
                <w:rFonts w:eastAsia="Times New Roman" w:cs="Calibri"/>
                <w:i/>
                <w:color w:val="000000"/>
              </w:rPr>
            </w:pPr>
            <w:r w:rsidRPr="003E245D">
              <w:rPr>
                <w:rFonts w:eastAsia="Times New Roman" w:cs="Calibri"/>
                <w:i/>
                <w:color w:val="000000"/>
              </w:rPr>
              <w:t>2.013.007</w:t>
            </w:r>
          </w:p>
        </w:tc>
        <w:tc>
          <w:tcPr>
            <w:tcW w:w="612" w:type="pct"/>
            <w:noWrap/>
            <w:vAlign w:val="bottom"/>
            <w:hideMark/>
          </w:tcPr>
          <w:p w14:paraId="3F070F81" w14:textId="77777777" w:rsidR="003E245D" w:rsidRPr="003E245D" w:rsidRDefault="003E245D" w:rsidP="003E245D">
            <w:pPr>
              <w:spacing w:after="0" w:line="240" w:lineRule="auto"/>
              <w:jc w:val="right"/>
              <w:rPr>
                <w:rFonts w:eastAsia="Times New Roman" w:cs="Calibri"/>
                <w:b/>
                <w:color w:val="000000"/>
              </w:rPr>
            </w:pPr>
            <w:r w:rsidRPr="003E245D">
              <w:rPr>
                <w:rFonts w:eastAsia="Times New Roman" w:cs="Calibri"/>
                <w:b/>
                <w:color w:val="000000"/>
              </w:rPr>
              <w:t>2.938.328</w:t>
            </w:r>
          </w:p>
        </w:tc>
        <w:tc>
          <w:tcPr>
            <w:tcW w:w="612" w:type="pct"/>
            <w:noWrap/>
            <w:vAlign w:val="bottom"/>
            <w:hideMark/>
          </w:tcPr>
          <w:p w14:paraId="0CEAA36E" w14:textId="77777777" w:rsidR="003E245D" w:rsidRPr="003E245D" w:rsidRDefault="003E245D" w:rsidP="003E245D">
            <w:pPr>
              <w:spacing w:after="0" w:line="240" w:lineRule="auto"/>
              <w:jc w:val="center"/>
              <w:rPr>
                <w:rFonts w:eastAsia="Times New Roman" w:cs="Calibri"/>
                <w:color w:val="000000"/>
              </w:rPr>
            </w:pPr>
            <w:r w:rsidRPr="003E245D">
              <w:rPr>
                <w:rFonts w:eastAsia="Times New Roman" w:cs="Calibri"/>
                <w:color w:val="000000"/>
              </w:rPr>
              <w:t>56,4%</w:t>
            </w:r>
          </w:p>
        </w:tc>
      </w:tr>
      <w:tr w:rsidR="003E245D" w:rsidRPr="003E245D" w14:paraId="532D8880" w14:textId="77777777" w:rsidTr="00276F51">
        <w:trPr>
          <w:trHeight w:val="300"/>
        </w:trPr>
        <w:tc>
          <w:tcPr>
            <w:tcW w:w="1327" w:type="pct"/>
            <w:noWrap/>
            <w:vAlign w:val="bottom"/>
            <w:hideMark/>
          </w:tcPr>
          <w:p w14:paraId="450EEAB0" w14:textId="77777777" w:rsidR="003E245D" w:rsidRPr="003E245D" w:rsidRDefault="003E245D" w:rsidP="003E245D">
            <w:pPr>
              <w:spacing w:after="0" w:line="240" w:lineRule="auto"/>
              <w:jc w:val="left"/>
              <w:rPr>
                <w:rFonts w:eastAsia="Times New Roman" w:cs="Calibri"/>
                <w:color w:val="000000"/>
              </w:rPr>
            </w:pPr>
            <w:r w:rsidRPr="003E245D">
              <w:rPr>
                <w:rFonts w:eastAsia="Times New Roman" w:cs="Calibri"/>
                <w:color w:val="000000"/>
              </w:rPr>
              <w:t>altro</w:t>
            </w:r>
          </w:p>
        </w:tc>
        <w:tc>
          <w:tcPr>
            <w:tcW w:w="612" w:type="pct"/>
            <w:noWrap/>
            <w:vAlign w:val="bottom"/>
            <w:hideMark/>
          </w:tcPr>
          <w:p w14:paraId="684E38C7" w14:textId="77777777" w:rsidR="003E245D" w:rsidRPr="003E245D" w:rsidRDefault="003E245D" w:rsidP="003E245D">
            <w:pPr>
              <w:spacing w:after="0" w:line="240" w:lineRule="auto"/>
              <w:jc w:val="right"/>
              <w:rPr>
                <w:rFonts w:eastAsia="Times New Roman" w:cs="Calibri"/>
                <w:color w:val="000000"/>
              </w:rPr>
            </w:pPr>
            <w:r w:rsidRPr="003E245D">
              <w:rPr>
                <w:rFonts w:eastAsia="Times New Roman" w:cs="Calibri"/>
                <w:color w:val="000000"/>
              </w:rPr>
              <w:t>765.608</w:t>
            </w:r>
          </w:p>
        </w:tc>
        <w:tc>
          <w:tcPr>
            <w:tcW w:w="612" w:type="pct"/>
            <w:noWrap/>
            <w:vAlign w:val="bottom"/>
            <w:hideMark/>
          </w:tcPr>
          <w:p w14:paraId="1BE51824" w14:textId="77777777" w:rsidR="003E245D" w:rsidRPr="003E245D" w:rsidRDefault="003E245D" w:rsidP="003E245D">
            <w:pPr>
              <w:spacing w:after="0" w:line="240" w:lineRule="auto"/>
              <w:jc w:val="right"/>
              <w:rPr>
                <w:rFonts w:eastAsia="Times New Roman" w:cs="Calibri"/>
                <w:color w:val="000000"/>
              </w:rPr>
            </w:pPr>
            <w:r w:rsidRPr="003E245D">
              <w:rPr>
                <w:rFonts w:eastAsia="Times New Roman" w:cs="Calibri"/>
                <w:color w:val="000000"/>
              </w:rPr>
              <w:t>327.931</w:t>
            </w:r>
          </w:p>
        </w:tc>
        <w:tc>
          <w:tcPr>
            <w:tcW w:w="612" w:type="pct"/>
            <w:noWrap/>
            <w:vAlign w:val="bottom"/>
            <w:hideMark/>
          </w:tcPr>
          <w:p w14:paraId="3EDBDB7E" w14:textId="77777777" w:rsidR="003E245D" w:rsidRPr="003E245D" w:rsidRDefault="003E245D" w:rsidP="003E245D">
            <w:pPr>
              <w:spacing w:after="0" w:line="240" w:lineRule="auto"/>
              <w:jc w:val="right"/>
              <w:rPr>
                <w:rFonts w:eastAsia="Times New Roman" w:cs="Calibri"/>
                <w:color w:val="000000"/>
              </w:rPr>
            </w:pPr>
            <w:r w:rsidRPr="003E245D">
              <w:rPr>
                <w:rFonts w:eastAsia="Times New Roman" w:cs="Calibri"/>
                <w:color w:val="000000"/>
              </w:rPr>
              <w:t>454.554</w:t>
            </w:r>
          </w:p>
        </w:tc>
        <w:tc>
          <w:tcPr>
            <w:tcW w:w="613" w:type="pct"/>
            <w:noWrap/>
            <w:vAlign w:val="bottom"/>
            <w:hideMark/>
          </w:tcPr>
          <w:p w14:paraId="13805661" w14:textId="77777777" w:rsidR="003E245D" w:rsidRPr="003E245D" w:rsidRDefault="003E245D" w:rsidP="003E245D">
            <w:pPr>
              <w:spacing w:after="0" w:line="240" w:lineRule="auto"/>
              <w:jc w:val="right"/>
              <w:rPr>
                <w:rFonts w:eastAsia="Times New Roman" w:cs="Calibri"/>
                <w:i/>
                <w:color w:val="000000"/>
              </w:rPr>
            </w:pPr>
            <w:r w:rsidRPr="003E245D">
              <w:rPr>
                <w:rFonts w:eastAsia="Times New Roman" w:cs="Calibri"/>
                <w:i/>
                <w:color w:val="000000"/>
              </w:rPr>
              <w:t>782.485</w:t>
            </w:r>
          </w:p>
        </w:tc>
        <w:tc>
          <w:tcPr>
            <w:tcW w:w="612" w:type="pct"/>
            <w:noWrap/>
            <w:vAlign w:val="bottom"/>
            <w:hideMark/>
          </w:tcPr>
          <w:p w14:paraId="3D7E8667" w14:textId="77777777" w:rsidR="003E245D" w:rsidRPr="003E245D" w:rsidRDefault="003E245D" w:rsidP="003E245D">
            <w:pPr>
              <w:spacing w:after="0" w:line="240" w:lineRule="auto"/>
              <w:jc w:val="right"/>
              <w:rPr>
                <w:rFonts w:eastAsia="Times New Roman" w:cs="Calibri"/>
                <w:b/>
                <w:color w:val="000000"/>
              </w:rPr>
            </w:pPr>
            <w:r w:rsidRPr="003E245D">
              <w:rPr>
                <w:rFonts w:eastAsia="Times New Roman" w:cs="Calibri"/>
                <w:b/>
                <w:color w:val="000000"/>
              </w:rPr>
              <w:t>1.548.093</w:t>
            </w:r>
          </w:p>
        </w:tc>
        <w:tc>
          <w:tcPr>
            <w:tcW w:w="612" w:type="pct"/>
            <w:noWrap/>
            <w:vAlign w:val="bottom"/>
            <w:hideMark/>
          </w:tcPr>
          <w:p w14:paraId="39F6FBFA" w14:textId="77777777" w:rsidR="003E245D" w:rsidRPr="003E245D" w:rsidRDefault="003E245D" w:rsidP="003E245D">
            <w:pPr>
              <w:spacing w:after="0" w:line="240" w:lineRule="auto"/>
              <w:jc w:val="center"/>
              <w:rPr>
                <w:rFonts w:eastAsia="Times New Roman" w:cs="Calibri"/>
                <w:color w:val="000000"/>
              </w:rPr>
            </w:pPr>
            <w:r w:rsidRPr="003E245D">
              <w:rPr>
                <w:rFonts w:eastAsia="Times New Roman" w:cs="Calibri"/>
                <w:color w:val="000000"/>
              </w:rPr>
              <w:t>29,7%</w:t>
            </w:r>
          </w:p>
        </w:tc>
      </w:tr>
      <w:tr w:rsidR="003E245D" w:rsidRPr="003E245D" w14:paraId="34F19201" w14:textId="77777777" w:rsidTr="00276F51">
        <w:trPr>
          <w:trHeight w:val="300"/>
        </w:trPr>
        <w:tc>
          <w:tcPr>
            <w:tcW w:w="1327" w:type="pct"/>
            <w:noWrap/>
            <w:vAlign w:val="bottom"/>
            <w:hideMark/>
          </w:tcPr>
          <w:p w14:paraId="14DA78CF" w14:textId="77777777" w:rsidR="003E245D" w:rsidRPr="003E245D" w:rsidRDefault="003E245D" w:rsidP="003E245D">
            <w:pPr>
              <w:spacing w:after="0" w:line="240" w:lineRule="auto"/>
              <w:jc w:val="left"/>
              <w:rPr>
                <w:rFonts w:eastAsia="Times New Roman" w:cs="Calibri"/>
                <w:b/>
                <w:color w:val="000000"/>
              </w:rPr>
            </w:pPr>
            <w:r w:rsidRPr="003E245D">
              <w:rPr>
                <w:rFonts w:eastAsia="Times New Roman" w:cs="Calibri"/>
                <w:b/>
                <w:color w:val="000000"/>
              </w:rPr>
              <w:t>Totale generale spostamenti</w:t>
            </w:r>
          </w:p>
        </w:tc>
        <w:tc>
          <w:tcPr>
            <w:tcW w:w="612" w:type="pct"/>
            <w:noWrap/>
            <w:vAlign w:val="bottom"/>
            <w:hideMark/>
          </w:tcPr>
          <w:p w14:paraId="1C595CAA" w14:textId="77777777" w:rsidR="003E245D" w:rsidRPr="003E245D" w:rsidRDefault="003E245D" w:rsidP="003E245D">
            <w:pPr>
              <w:spacing w:after="0" w:line="240" w:lineRule="auto"/>
              <w:jc w:val="right"/>
              <w:rPr>
                <w:rFonts w:eastAsia="Times New Roman" w:cs="Calibri"/>
                <w:b/>
                <w:color w:val="000000"/>
              </w:rPr>
            </w:pPr>
            <w:r w:rsidRPr="003E245D">
              <w:rPr>
                <w:rFonts w:eastAsia="Times New Roman" w:cs="Calibri"/>
                <w:b/>
                <w:color w:val="000000"/>
              </w:rPr>
              <w:t>2.143.171</w:t>
            </w:r>
          </w:p>
        </w:tc>
        <w:tc>
          <w:tcPr>
            <w:tcW w:w="612" w:type="pct"/>
            <w:noWrap/>
            <w:vAlign w:val="bottom"/>
            <w:hideMark/>
          </w:tcPr>
          <w:p w14:paraId="2B44B9D4" w14:textId="77777777" w:rsidR="003E245D" w:rsidRPr="003E245D" w:rsidRDefault="003E245D" w:rsidP="003E245D">
            <w:pPr>
              <w:spacing w:after="0" w:line="240" w:lineRule="auto"/>
              <w:jc w:val="right"/>
              <w:rPr>
                <w:rFonts w:eastAsia="Times New Roman" w:cs="Calibri"/>
                <w:b/>
                <w:color w:val="000000"/>
              </w:rPr>
            </w:pPr>
            <w:r w:rsidRPr="003E245D">
              <w:rPr>
                <w:rFonts w:eastAsia="Times New Roman" w:cs="Calibri"/>
                <w:b/>
                <w:color w:val="000000"/>
              </w:rPr>
              <w:t>1.290.856</w:t>
            </w:r>
          </w:p>
        </w:tc>
        <w:tc>
          <w:tcPr>
            <w:tcW w:w="612" w:type="pct"/>
            <w:noWrap/>
            <w:vAlign w:val="bottom"/>
            <w:hideMark/>
          </w:tcPr>
          <w:p w14:paraId="0699CC37" w14:textId="77777777" w:rsidR="003E245D" w:rsidRPr="003E245D" w:rsidRDefault="003E245D" w:rsidP="003E245D">
            <w:pPr>
              <w:spacing w:after="0" w:line="240" w:lineRule="auto"/>
              <w:jc w:val="right"/>
              <w:rPr>
                <w:rFonts w:eastAsia="Times New Roman" w:cs="Calibri"/>
                <w:b/>
                <w:color w:val="000000"/>
              </w:rPr>
            </w:pPr>
            <w:r w:rsidRPr="003E245D">
              <w:rPr>
                <w:rFonts w:eastAsia="Times New Roman" w:cs="Calibri"/>
                <w:b/>
                <w:color w:val="000000"/>
              </w:rPr>
              <w:t>1.775.451</w:t>
            </w:r>
          </w:p>
        </w:tc>
        <w:tc>
          <w:tcPr>
            <w:tcW w:w="613" w:type="pct"/>
            <w:noWrap/>
            <w:vAlign w:val="bottom"/>
            <w:hideMark/>
          </w:tcPr>
          <w:p w14:paraId="553C176C" w14:textId="77777777" w:rsidR="003E245D" w:rsidRPr="003E245D" w:rsidRDefault="003E245D" w:rsidP="003E245D">
            <w:pPr>
              <w:spacing w:after="0" w:line="240" w:lineRule="auto"/>
              <w:jc w:val="right"/>
              <w:rPr>
                <w:rFonts w:eastAsia="Times New Roman" w:cs="Calibri"/>
                <w:b/>
                <w:i/>
                <w:color w:val="000000"/>
              </w:rPr>
            </w:pPr>
            <w:r w:rsidRPr="003E245D">
              <w:rPr>
                <w:rFonts w:eastAsia="Times New Roman" w:cs="Calibri"/>
                <w:b/>
                <w:i/>
                <w:color w:val="000000"/>
              </w:rPr>
              <w:t>3.066.307</w:t>
            </w:r>
          </w:p>
        </w:tc>
        <w:tc>
          <w:tcPr>
            <w:tcW w:w="612" w:type="pct"/>
            <w:noWrap/>
            <w:vAlign w:val="bottom"/>
            <w:hideMark/>
          </w:tcPr>
          <w:p w14:paraId="7D5B61F9" w14:textId="77777777" w:rsidR="003E245D" w:rsidRPr="003E245D" w:rsidRDefault="003E245D" w:rsidP="003E245D">
            <w:pPr>
              <w:spacing w:after="0" w:line="240" w:lineRule="auto"/>
              <w:jc w:val="right"/>
              <w:rPr>
                <w:rFonts w:eastAsia="Times New Roman" w:cs="Calibri"/>
                <w:b/>
                <w:color w:val="000000"/>
              </w:rPr>
            </w:pPr>
            <w:r w:rsidRPr="003E245D">
              <w:rPr>
                <w:rFonts w:eastAsia="Times New Roman" w:cs="Calibri"/>
                <w:b/>
                <w:color w:val="000000"/>
              </w:rPr>
              <w:t>5.209.478</w:t>
            </w:r>
          </w:p>
        </w:tc>
        <w:tc>
          <w:tcPr>
            <w:tcW w:w="612" w:type="pct"/>
            <w:noWrap/>
            <w:vAlign w:val="bottom"/>
            <w:hideMark/>
          </w:tcPr>
          <w:p w14:paraId="35CA8232" w14:textId="77777777" w:rsidR="003E245D" w:rsidRPr="003E245D" w:rsidRDefault="003E245D" w:rsidP="003E245D">
            <w:pPr>
              <w:spacing w:after="0" w:line="240" w:lineRule="auto"/>
              <w:jc w:val="center"/>
              <w:rPr>
                <w:rFonts w:eastAsia="Times New Roman" w:cs="Calibri"/>
                <w:b/>
                <w:color w:val="000000"/>
              </w:rPr>
            </w:pPr>
            <w:r w:rsidRPr="003E245D">
              <w:rPr>
                <w:rFonts w:eastAsia="Times New Roman" w:cs="Calibri"/>
                <w:b/>
                <w:color w:val="000000"/>
              </w:rPr>
              <w:t>100,0%</w:t>
            </w:r>
          </w:p>
        </w:tc>
      </w:tr>
      <w:tr w:rsidR="003E245D" w:rsidRPr="003E245D" w14:paraId="71CDBF41" w14:textId="77777777" w:rsidTr="00276F51">
        <w:trPr>
          <w:trHeight w:val="600"/>
        </w:trPr>
        <w:tc>
          <w:tcPr>
            <w:tcW w:w="1327" w:type="pct"/>
            <w:shd w:val="clear" w:color="auto" w:fill="FF6569"/>
            <w:vAlign w:val="center"/>
            <w:hideMark/>
          </w:tcPr>
          <w:p w14:paraId="327B0209" w14:textId="77777777" w:rsidR="003E245D" w:rsidRPr="00276F51" w:rsidRDefault="003E245D" w:rsidP="003E245D">
            <w:pPr>
              <w:spacing w:after="0" w:line="240" w:lineRule="auto"/>
              <w:jc w:val="left"/>
              <w:rPr>
                <w:rFonts w:eastAsia="Times New Roman" w:cs="Calibri"/>
                <w:b/>
                <w:bCs/>
                <w:color w:val="FFFFFF" w:themeColor="background1"/>
              </w:rPr>
            </w:pPr>
            <w:r w:rsidRPr="00276F51">
              <w:rPr>
                <w:rFonts w:eastAsia="Times New Roman" w:cs="Calibri"/>
                <w:b/>
                <w:bCs/>
                <w:color w:val="FFFFFF" w:themeColor="background1"/>
              </w:rPr>
              <w:lastRenderedPageBreak/>
              <w:t>2013</w:t>
            </w:r>
          </w:p>
        </w:tc>
        <w:tc>
          <w:tcPr>
            <w:tcW w:w="612" w:type="pct"/>
            <w:shd w:val="clear" w:color="auto" w:fill="FF6569"/>
            <w:vAlign w:val="center"/>
            <w:hideMark/>
          </w:tcPr>
          <w:p w14:paraId="3409ECA9" w14:textId="77777777" w:rsidR="003E245D" w:rsidRPr="00276F51" w:rsidRDefault="003E245D" w:rsidP="003E245D">
            <w:pPr>
              <w:spacing w:after="0" w:line="240" w:lineRule="auto"/>
              <w:jc w:val="left"/>
              <w:rPr>
                <w:rFonts w:eastAsia="Times New Roman" w:cs="Calibri"/>
                <w:b/>
                <w:bCs/>
                <w:color w:val="FFFFFF" w:themeColor="background1"/>
              </w:rPr>
            </w:pPr>
            <w:r w:rsidRPr="00276F51">
              <w:rPr>
                <w:rFonts w:eastAsia="Times New Roman" w:cs="Calibri"/>
                <w:b/>
                <w:bCs/>
                <w:color w:val="FFFFFF" w:themeColor="background1"/>
              </w:rPr>
              <w:t>Torino</w:t>
            </w:r>
          </w:p>
        </w:tc>
        <w:tc>
          <w:tcPr>
            <w:tcW w:w="612" w:type="pct"/>
            <w:shd w:val="clear" w:color="auto" w:fill="FF6569"/>
            <w:vAlign w:val="center"/>
            <w:hideMark/>
          </w:tcPr>
          <w:p w14:paraId="7BC8DD9E" w14:textId="77777777" w:rsidR="003E245D" w:rsidRPr="00276F51" w:rsidRDefault="003E245D" w:rsidP="003E245D">
            <w:pPr>
              <w:spacing w:after="0" w:line="240" w:lineRule="auto"/>
              <w:jc w:val="left"/>
              <w:rPr>
                <w:rFonts w:eastAsia="Times New Roman" w:cs="Calibri"/>
                <w:b/>
                <w:bCs/>
                <w:color w:val="FFFFFF" w:themeColor="background1"/>
              </w:rPr>
            </w:pPr>
            <w:r w:rsidRPr="00276F51">
              <w:rPr>
                <w:rFonts w:eastAsia="Times New Roman" w:cs="Calibri"/>
                <w:b/>
                <w:bCs/>
                <w:color w:val="FFFFFF" w:themeColor="background1"/>
              </w:rPr>
              <w:t>Cintura</w:t>
            </w:r>
          </w:p>
        </w:tc>
        <w:tc>
          <w:tcPr>
            <w:tcW w:w="612" w:type="pct"/>
            <w:shd w:val="clear" w:color="auto" w:fill="FF6569"/>
            <w:vAlign w:val="center"/>
            <w:hideMark/>
          </w:tcPr>
          <w:p w14:paraId="63EAE883" w14:textId="77777777" w:rsidR="003E245D" w:rsidRPr="00276F51" w:rsidRDefault="003E245D" w:rsidP="003E245D">
            <w:pPr>
              <w:spacing w:after="0" w:line="240" w:lineRule="auto"/>
              <w:jc w:val="left"/>
              <w:rPr>
                <w:rFonts w:eastAsia="Times New Roman" w:cs="Calibri"/>
                <w:b/>
                <w:bCs/>
                <w:color w:val="FFFFFF" w:themeColor="background1"/>
              </w:rPr>
            </w:pPr>
            <w:r w:rsidRPr="00276F51">
              <w:rPr>
                <w:rFonts w:eastAsia="Times New Roman" w:cs="Calibri"/>
                <w:b/>
                <w:bCs/>
                <w:color w:val="FFFFFF" w:themeColor="background1"/>
              </w:rPr>
              <w:t>Area esterna TO</w:t>
            </w:r>
          </w:p>
        </w:tc>
        <w:tc>
          <w:tcPr>
            <w:tcW w:w="613" w:type="pct"/>
            <w:shd w:val="clear" w:color="auto" w:fill="FF6569"/>
            <w:vAlign w:val="center"/>
            <w:hideMark/>
          </w:tcPr>
          <w:p w14:paraId="45E6DC01" w14:textId="77777777" w:rsidR="003E245D" w:rsidRPr="00276F51" w:rsidRDefault="003E245D" w:rsidP="003E245D">
            <w:pPr>
              <w:spacing w:after="0" w:line="240" w:lineRule="auto"/>
              <w:jc w:val="left"/>
              <w:rPr>
                <w:rFonts w:eastAsia="Times New Roman" w:cs="Calibri"/>
                <w:b/>
                <w:bCs/>
                <w:color w:val="FFFFFF" w:themeColor="background1"/>
              </w:rPr>
            </w:pPr>
            <w:r w:rsidRPr="00276F51">
              <w:rPr>
                <w:rFonts w:eastAsia="Times New Roman" w:cs="Calibri"/>
                <w:b/>
                <w:bCs/>
                <w:color w:val="FFFFFF" w:themeColor="background1"/>
              </w:rPr>
              <w:t>Cintura + area esterna TO</w:t>
            </w:r>
          </w:p>
        </w:tc>
        <w:tc>
          <w:tcPr>
            <w:tcW w:w="612" w:type="pct"/>
            <w:shd w:val="clear" w:color="auto" w:fill="FF6569"/>
            <w:vAlign w:val="center"/>
            <w:hideMark/>
          </w:tcPr>
          <w:p w14:paraId="4492FA37" w14:textId="77777777" w:rsidR="003E245D" w:rsidRPr="00276F51" w:rsidRDefault="003E245D" w:rsidP="003E245D">
            <w:pPr>
              <w:spacing w:after="0" w:line="240" w:lineRule="auto"/>
              <w:jc w:val="left"/>
              <w:rPr>
                <w:rFonts w:eastAsia="Times New Roman" w:cs="Calibri"/>
                <w:b/>
                <w:bCs/>
                <w:color w:val="FFFFFF" w:themeColor="background1"/>
              </w:rPr>
            </w:pPr>
            <w:r w:rsidRPr="00276F51">
              <w:rPr>
                <w:rFonts w:eastAsia="Times New Roman" w:cs="Calibri"/>
                <w:b/>
                <w:bCs/>
                <w:color w:val="FFFFFF" w:themeColor="background1"/>
              </w:rPr>
              <w:t>TOTALE Bacino</w:t>
            </w:r>
          </w:p>
        </w:tc>
        <w:tc>
          <w:tcPr>
            <w:tcW w:w="612" w:type="pct"/>
            <w:shd w:val="clear" w:color="auto" w:fill="FF6569"/>
            <w:vAlign w:val="center"/>
            <w:hideMark/>
          </w:tcPr>
          <w:p w14:paraId="5595E061" w14:textId="77777777" w:rsidR="003E245D" w:rsidRPr="00276F51" w:rsidRDefault="003E245D" w:rsidP="003E245D">
            <w:pPr>
              <w:spacing w:after="0" w:line="240" w:lineRule="auto"/>
              <w:jc w:val="center"/>
              <w:rPr>
                <w:rFonts w:eastAsia="Times New Roman" w:cs="Calibri"/>
                <w:b/>
                <w:bCs/>
                <w:color w:val="FFFFFF" w:themeColor="background1"/>
              </w:rPr>
            </w:pPr>
            <w:r w:rsidRPr="00276F51">
              <w:rPr>
                <w:rFonts w:eastAsia="Times New Roman" w:cs="Calibri"/>
                <w:b/>
                <w:bCs/>
                <w:color w:val="FFFFFF" w:themeColor="background1"/>
              </w:rPr>
              <w:t>Modal split Bacino</w:t>
            </w:r>
          </w:p>
        </w:tc>
      </w:tr>
      <w:tr w:rsidR="003E245D" w:rsidRPr="003E245D" w14:paraId="43F88F60" w14:textId="77777777" w:rsidTr="00276F51">
        <w:trPr>
          <w:trHeight w:val="300"/>
        </w:trPr>
        <w:tc>
          <w:tcPr>
            <w:tcW w:w="1327" w:type="pct"/>
            <w:noWrap/>
            <w:vAlign w:val="bottom"/>
            <w:hideMark/>
          </w:tcPr>
          <w:p w14:paraId="7D2F0E88" w14:textId="77777777" w:rsidR="003E245D" w:rsidRPr="003E245D" w:rsidRDefault="003E245D" w:rsidP="003E245D">
            <w:pPr>
              <w:spacing w:after="0" w:line="240" w:lineRule="auto"/>
              <w:jc w:val="left"/>
              <w:rPr>
                <w:rFonts w:eastAsia="Times New Roman" w:cs="Calibri"/>
                <w:color w:val="000000"/>
              </w:rPr>
            </w:pPr>
            <w:r w:rsidRPr="003E245D">
              <w:rPr>
                <w:rFonts w:eastAsia="Times New Roman" w:cs="Calibri"/>
                <w:color w:val="000000"/>
              </w:rPr>
              <w:t>pubblico</w:t>
            </w:r>
          </w:p>
        </w:tc>
        <w:tc>
          <w:tcPr>
            <w:tcW w:w="612" w:type="pct"/>
            <w:noWrap/>
            <w:vAlign w:val="bottom"/>
            <w:hideMark/>
          </w:tcPr>
          <w:p w14:paraId="114D633B" w14:textId="77777777" w:rsidR="003E245D" w:rsidRPr="003E245D" w:rsidRDefault="003E245D" w:rsidP="003E245D">
            <w:pPr>
              <w:spacing w:after="0" w:line="240" w:lineRule="auto"/>
              <w:jc w:val="right"/>
              <w:rPr>
                <w:rFonts w:eastAsia="Times New Roman" w:cs="Calibri"/>
                <w:color w:val="000000"/>
              </w:rPr>
            </w:pPr>
            <w:r w:rsidRPr="003E245D">
              <w:rPr>
                <w:rFonts w:eastAsia="Times New Roman" w:cs="Calibri"/>
                <w:color w:val="000000"/>
              </w:rPr>
              <w:t>430.065</w:t>
            </w:r>
          </w:p>
        </w:tc>
        <w:tc>
          <w:tcPr>
            <w:tcW w:w="612" w:type="pct"/>
            <w:noWrap/>
            <w:vAlign w:val="bottom"/>
            <w:hideMark/>
          </w:tcPr>
          <w:p w14:paraId="60E49098" w14:textId="77777777" w:rsidR="003E245D" w:rsidRPr="003E245D" w:rsidRDefault="003E245D" w:rsidP="003E245D">
            <w:pPr>
              <w:spacing w:after="0" w:line="240" w:lineRule="auto"/>
              <w:jc w:val="right"/>
              <w:rPr>
                <w:rFonts w:eastAsia="Times New Roman" w:cs="Calibri"/>
                <w:color w:val="000000"/>
              </w:rPr>
            </w:pPr>
            <w:r w:rsidRPr="003E245D">
              <w:rPr>
                <w:rFonts w:eastAsia="Times New Roman" w:cs="Calibri"/>
                <w:color w:val="000000"/>
              </w:rPr>
              <w:t>101.762</w:t>
            </w:r>
          </w:p>
        </w:tc>
        <w:tc>
          <w:tcPr>
            <w:tcW w:w="612" w:type="pct"/>
            <w:noWrap/>
            <w:vAlign w:val="bottom"/>
            <w:hideMark/>
          </w:tcPr>
          <w:p w14:paraId="3B8BFFF8" w14:textId="77777777" w:rsidR="003E245D" w:rsidRPr="003E245D" w:rsidRDefault="003E245D" w:rsidP="003E245D">
            <w:pPr>
              <w:spacing w:after="0" w:line="240" w:lineRule="auto"/>
              <w:jc w:val="right"/>
              <w:rPr>
                <w:rFonts w:eastAsia="Times New Roman" w:cs="Calibri"/>
                <w:color w:val="000000"/>
              </w:rPr>
            </w:pPr>
            <w:r w:rsidRPr="003E245D">
              <w:rPr>
                <w:rFonts w:eastAsia="Times New Roman" w:cs="Calibri"/>
                <w:color w:val="000000"/>
              </w:rPr>
              <w:t>119.959</w:t>
            </w:r>
          </w:p>
        </w:tc>
        <w:tc>
          <w:tcPr>
            <w:tcW w:w="613" w:type="pct"/>
            <w:noWrap/>
            <w:vAlign w:val="bottom"/>
            <w:hideMark/>
          </w:tcPr>
          <w:p w14:paraId="04E7A464" w14:textId="77777777" w:rsidR="003E245D" w:rsidRPr="003E245D" w:rsidRDefault="003E245D" w:rsidP="003E245D">
            <w:pPr>
              <w:spacing w:after="0" w:line="240" w:lineRule="auto"/>
              <w:jc w:val="right"/>
              <w:rPr>
                <w:rFonts w:eastAsia="Times New Roman" w:cs="Calibri"/>
                <w:i/>
                <w:color w:val="000000"/>
              </w:rPr>
            </w:pPr>
            <w:r w:rsidRPr="003E245D">
              <w:rPr>
                <w:rFonts w:eastAsia="Times New Roman" w:cs="Calibri"/>
                <w:i/>
                <w:color w:val="000000"/>
              </w:rPr>
              <w:t>221.721</w:t>
            </w:r>
          </w:p>
        </w:tc>
        <w:tc>
          <w:tcPr>
            <w:tcW w:w="612" w:type="pct"/>
            <w:noWrap/>
            <w:vAlign w:val="bottom"/>
            <w:hideMark/>
          </w:tcPr>
          <w:p w14:paraId="459A34E5" w14:textId="77777777" w:rsidR="003E245D" w:rsidRPr="003E245D" w:rsidRDefault="003E245D" w:rsidP="003E245D">
            <w:pPr>
              <w:spacing w:after="0" w:line="240" w:lineRule="auto"/>
              <w:jc w:val="right"/>
              <w:rPr>
                <w:rFonts w:eastAsia="Times New Roman" w:cs="Calibri"/>
                <w:b/>
                <w:color w:val="000000"/>
              </w:rPr>
            </w:pPr>
            <w:r w:rsidRPr="003E245D">
              <w:rPr>
                <w:rFonts w:eastAsia="Times New Roman" w:cs="Calibri"/>
                <w:b/>
                <w:color w:val="000000"/>
              </w:rPr>
              <w:t>651.786</w:t>
            </w:r>
          </w:p>
        </w:tc>
        <w:tc>
          <w:tcPr>
            <w:tcW w:w="612" w:type="pct"/>
            <w:noWrap/>
            <w:vAlign w:val="bottom"/>
            <w:hideMark/>
          </w:tcPr>
          <w:p w14:paraId="47EC013E" w14:textId="77777777" w:rsidR="003E245D" w:rsidRPr="003E245D" w:rsidRDefault="003E245D" w:rsidP="003E245D">
            <w:pPr>
              <w:spacing w:after="0" w:line="240" w:lineRule="auto"/>
              <w:jc w:val="center"/>
              <w:rPr>
                <w:rFonts w:eastAsia="Times New Roman" w:cs="Calibri"/>
                <w:color w:val="000000"/>
              </w:rPr>
            </w:pPr>
            <w:r w:rsidRPr="003E245D">
              <w:rPr>
                <w:rFonts w:eastAsia="Times New Roman" w:cs="Calibri"/>
                <w:color w:val="000000"/>
              </w:rPr>
              <w:t>14,9%</w:t>
            </w:r>
          </w:p>
        </w:tc>
      </w:tr>
      <w:tr w:rsidR="003E245D" w:rsidRPr="003E245D" w14:paraId="62AB742E" w14:textId="77777777" w:rsidTr="00276F51">
        <w:trPr>
          <w:trHeight w:val="300"/>
        </w:trPr>
        <w:tc>
          <w:tcPr>
            <w:tcW w:w="1327" w:type="pct"/>
            <w:noWrap/>
            <w:vAlign w:val="bottom"/>
            <w:hideMark/>
          </w:tcPr>
          <w:p w14:paraId="31A12646" w14:textId="77777777" w:rsidR="003E245D" w:rsidRPr="003E245D" w:rsidRDefault="003E245D" w:rsidP="003E245D">
            <w:pPr>
              <w:spacing w:after="0" w:line="240" w:lineRule="auto"/>
              <w:jc w:val="left"/>
              <w:rPr>
                <w:rFonts w:eastAsia="Times New Roman" w:cs="Calibri"/>
                <w:color w:val="000000"/>
              </w:rPr>
            </w:pPr>
            <w:r w:rsidRPr="003E245D">
              <w:rPr>
                <w:rFonts w:eastAsia="Times New Roman" w:cs="Calibri"/>
                <w:color w:val="000000"/>
              </w:rPr>
              <w:t>privato</w:t>
            </w:r>
          </w:p>
        </w:tc>
        <w:tc>
          <w:tcPr>
            <w:tcW w:w="612" w:type="pct"/>
            <w:noWrap/>
            <w:vAlign w:val="bottom"/>
            <w:hideMark/>
          </w:tcPr>
          <w:p w14:paraId="0E462173" w14:textId="77777777" w:rsidR="003E245D" w:rsidRPr="003E245D" w:rsidRDefault="003E245D" w:rsidP="003E245D">
            <w:pPr>
              <w:spacing w:after="0" w:line="240" w:lineRule="auto"/>
              <w:jc w:val="right"/>
              <w:rPr>
                <w:rFonts w:eastAsia="Times New Roman" w:cs="Calibri"/>
                <w:color w:val="000000"/>
              </w:rPr>
            </w:pPr>
            <w:r w:rsidRPr="003E245D">
              <w:rPr>
                <w:rFonts w:eastAsia="Times New Roman" w:cs="Calibri"/>
                <w:color w:val="000000"/>
              </w:rPr>
              <w:t>819.959</w:t>
            </w:r>
          </w:p>
        </w:tc>
        <w:tc>
          <w:tcPr>
            <w:tcW w:w="612" w:type="pct"/>
            <w:noWrap/>
            <w:vAlign w:val="bottom"/>
            <w:hideMark/>
          </w:tcPr>
          <w:p w14:paraId="337E0056" w14:textId="77777777" w:rsidR="003E245D" w:rsidRPr="003E245D" w:rsidRDefault="003E245D" w:rsidP="003E245D">
            <w:pPr>
              <w:spacing w:after="0" w:line="240" w:lineRule="auto"/>
              <w:jc w:val="right"/>
              <w:rPr>
                <w:rFonts w:eastAsia="Times New Roman" w:cs="Calibri"/>
                <w:color w:val="000000"/>
              </w:rPr>
            </w:pPr>
            <w:r w:rsidRPr="003E245D">
              <w:rPr>
                <w:rFonts w:eastAsia="Times New Roman" w:cs="Calibri"/>
                <w:color w:val="000000"/>
              </w:rPr>
              <w:t>610.089</w:t>
            </w:r>
          </w:p>
        </w:tc>
        <w:tc>
          <w:tcPr>
            <w:tcW w:w="612" w:type="pct"/>
            <w:noWrap/>
            <w:vAlign w:val="bottom"/>
            <w:hideMark/>
          </w:tcPr>
          <w:p w14:paraId="03DFA8A1" w14:textId="77777777" w:rsidR="003E245D" w:rsidRPr="003E245D" w:rsidRDefault="003E245D" w:rsidP="003E245D">
            <w:pPr>
              <w:spacing w:after="0" w:line="240" w:lineRule="auto"/>
              <w:jc w:val="right"/>
              <w:rPr>
                <w:rFonts w:eastAsia="Times New Roman" w:cs="Calibri"/>
                <w:color w:val="000000"/>
              </w:rPr>
            </w:pPr>
            <w:r w:rsidRPr="003E245D">
              <w:rPr>
                <w:rFonts w:eastAsia="Times New Roman" w:cs="Calibri"/>
                <w:color w:val="000000"/>
              </w:rPr>
              <w:t>997.061</w:t>
            </w:r>
          </w:p>
        </w:tc>
        <w:tc>
          <w:tcPr>
            <w:tcW w:w="613" w:type="pct"/>
            <w:noWrap/>
            <w:vAlign w:val="bottom"/>
            <w:hideMark/>
          </w:tcPr>
          <w:p w14:paraId="3654E39C" w14:textId="77777777" w:rsidR="003E245D" w:rsidRPr="003E245D" w:rsidRDefault="003E245D" w:rsidP="003E245D">
            <w:pPr>
              <w:spacing w:after="0" w:line="240" w:lineRule="auto"/>
              <w:jc w:val="right"/>
              <w:rPr>
                <w:rFonts w:eastAsia="Times New Roman" w:cs="Calibri"/>
                <w:i/>
                <w:color w:val="000000"/>
              </w:rPr>
            </w:pPr>
            <w:r w:rsidRPr="003E245D">
              <w:rPr>
                <w:rFonts w:eastAsia="Times New Roman" w:cs="Calibri"/>
                <w:i/>
                <w:color w:val="000000"/>
              </w:rPr>
              <w:t>1.607.150</w:t>
            </w:r>
          </w:p>
        </w:tc>
        <w:tc>
          <w:tcPr>
            <w:tcW w:w="612" w:type="pct"/>
            <w:noWrap/>
            <w:vAlign w:val="bottom"/>
            <w:hideMark/>
          </w:tcPr>
          <w:p w14:paraId="71AC9735" w14:textId="77777777" w:rsidR="003E245D" w:rsidRPr="003E245D" w:rsidRDefault="003E245D" w:rsidP="003E245D">
            <w:pPr>
              <w:spacing w:after="0" w:line="240" w:lineRule="auto"/>
              <w:jc w:val="right"/>
              <w:rPr>
                <w:rFonts w:eastAsia="Times New Roman" w:cs="Calibri"/>
                <w:b/>
                <w:color w:val="000000"/>
              </w:rPr>
            </w:pPr>
            <w:r w:rsidRPr="003E245D">
              <w:rPr>
                <w:rFonts w:eastAsia="Times New Roman" w:cs="Calibri"/>
                <w:b/>
                <w:color w:val="000000"/>
              </w:rPr>
              <w:t>2.427.109</w:t>
            </w:r>
          </w:p>
        </w:tc>
        <w:tc>
          <w:tcPr>
            <w:tcW w:w="612" w:type="pct"/>
            <w:noWrap/>
            <w:vAlign w:val="bottom"/>
            <w:hideMark/>
          </w:tcPr>
          <w:p w14:paraId="0531CDA9" w14:textId="77777777" w:rsidR="003E245D" w:rsidRPr="003E245D" w:rsidRDefault="003E245D" w:rsidP="003E245D">
            <w:pPr>
              <w:spacing w:after="0" w:line="240" w:lineRule="auto"/>
              <w:jc w:val="center"/>
              <w:rPr>
                <w:rFonts w:eastAsia="Times New Roman" w:cs="Calibri"/>
                <w:color w:val="000000"/>
              </w:rPr>
            </w:pPr>
            <w:r w:rsidRPr="003E245D">
              <w:rPr>
                <w:rFonts w:eastAsia="Times New Roman" w:cs="Calibri"/>
                <w:color w:val="000000"/>
              </w:rPr>
              <w:t>55,5%</w:t>
            </w:r>
          </w:p>
        </w:tc>
      </w:tr>
      <w:tr w:rsidR="003E245D" w:rsidRPr="003E245D" w14:paraId="294222FE" w14:textId="77777777" w:rsidTr="00276F51">
        <w:trPr>
          <w:trHeight w:val="300"/>
        </w:trPr>
        <w:tc>
          <w:tcPr>
            <w:tcW w:w="1327" w:type="pct"/>
            <w:noWrap/>
            <w:vAlign w:val="bottom"/>
            <w:hideMark/>
          </w:tcPr>
          <w:p w14:paraId="6694F3DB" w14:textId="77777777" w:rsidR="003E245D" w:rsidRPr="003E245D" w:rsidRDefault="003E245D" w:rsidP="003E245D">
            <w:pPr>
              <w:spacing w:after="0" w:line="240" w:lineRule="auto"/>
              <w:jc w:val="left"/>
              <w:rPr>
                <w:rFonts w:eastAsia="Times New Roman" w:cs="Calibri"/>
                <w:color w:val="000000"/>
              </w:rPr>
            </w:pPr>
            <w:r w:rsidRPr="003E245D">
              <w:rPr>
                <w:rFonts w:eastAsia="Times New Roman" w:cs="Calibri"/>
                <w:color w:val="000000"/>
              </w:rPr>
              <w:t>altro</w:t>
            </w:r>
          </w:p>
        </w:tc>
        <w:tc>
          <w:tcPr>
            <w:tcW w:w="612" w:type="pct"/>
            <w:noWrap/>
            <w:vAlign w:val="bottom"/>
            <w:hideMark/>
          </w:tcPr>
          <w:p w14:paraId="7B5C0F04" w14:textId="77777777" w:rsidR="003E245D" w:rsidRPr="003E245D" w:rsidRDefault="003E245D" w:rsidP="003E245D">
            <w:pPr>
              <w:spacing w:after="0" w:line="240" w:lineRule="auto"/>
              <w:jc w:val="right"/>
              <w:rPr>
                <w:rFonts w:eastAsia="Times New Roman" w:cs="Calibri"/>
                <w:color w:val="000000"/>
              </w:rPr>
            </w:pPr>
            <w:r w:rsidRPr="003E245D">
              <w:rPr>
                <w:rFonts w:eastAsia="Times New Roman" w:cs="Calibri"/>
                <w:color w:val="000000"/>
              </w:rPr>
              <w:t>640.690</w:t>
            </w:r>
          </w:p>
        </w:tc>
        <w:tc>
          <w:tcPr>
            <w:tcW w:w="612" w:type="pct"/>
            <w:noWrap/>
            <w:vAlign w:val="bottom"/>
            <w:hideMark/>
          </w:tcPr>
          <w:p w14:paraId="15B91354" w14:textId="77777777" w:rsidR="003E245D" w:rsidRPr="003E245D" w:rsidRDefault="003E245D" w:rsidP="003E245D">
            <w:pPr>
              <w:spacing w:after="0" w:line="240" w:lineRule="auto"/>
              <w:jc w:val="right"/>
              <w:rPr>
                <w:rFonts w:eastAsia="Times New Roman" w:cs="Calibri"/>
                <w:color w:val="000000"/>
              </w:rPr>
            </w:pPr>
            <w:r w:rsidRPr="003E245D">
              <w:rPr>
                <w:rFonts w:eastAsia="Times New Roman" w:cs="Calibri"/>
                <w:color w:val="000000"/>
              </w:rPr>
              <w:t>359.245</w:t>
            </w:r>
          </w:p>
        </w:tc>
        <w:tc>
          <w:tcPr>
            <w:tcW w:w="612" w:type="pct"/>
            <w:noWrap/>
            <w:vAlign w:val="bottom"/>
            <w:hideMark/>
          </w:tcPr>
          <w:p w14:paraId="78272F31" w14:textId="77777777" w:rsidR="003E245D" w:rsidRPr="003E245D" w:rsidRDefault="003E245D" w:rsidP="003E245D">
            <w:pPr>
              <w:spacing w:after="0" w:line="240" w:lineRule="auto"/>
              <w:jc w:val="right"/>
              <w:rPr>
                <w:rFonts w:eastAsia="Times New Roman" w:cs="Calibri"/>
                <w:color w:val="000000"/>
              </w:rPr>
            </w:pPr>
            <w:r w:rsidRPr="003E245D">
              <w:rPr>
                <w:rFonts w:eastAsia="Times New Roman" w:cs="Calibri"/>
                <w:color w:val="000000"/>
              </w:rPr>
              <w:t>297.325</w:t>
            </w:r>
          </w:p>
        </w:tc>
        <w:tc>
          <w:tcPr>
            <w:tcW w:w="613" w:type="pct"/>
            <w:noWrap/>
            <w:vAlign w:val="bottom"/>
            <w:hideMark/>
          </w:tcPr>
          <w:p w14:paraId="124A550D" w14:textId="77777777" w:rsidR="003E245D" w:rsidRPr="003E245D" w:rsidRDefault="003E245D" w:rsidP="003E245D">
            <w:pPr>
              <w:spacing w:after="0" w:line="240" w:lineRule="auto"/>
              <w:jc w:val="right"/>
              <w:rPr>
                <w:rFonts w:eastAsia="Times New Roman" w:cs="Calibri"/>
                <w:i/>
                <w:color w:val="000000"/>
              </w:rPr>
            </w:pPr>
            <w:r w:rsidRPr="003E245D">
              <w:rPr>
                <w:rFonts w:eastAsia="Times New Roman" w:cs="Calibri"/>
                <w:i/>
                <w:color w:val="000000"/>
              </w:rPr>
              <w:t>656.570</w:t>
            </w:r>
          </w:p>
        </w:tc>
        <w:tc>
          <w:tcPr>
            <w:tcW w:w="612" w:type="pct"/>
            <w:noWrap/>
            <w:vAlign w:val="bottom"/>
            <w:hideMark/>
          </w:tcPr>
          <w:p w14:paraId="48AD9D14" w14:textId="77777777" w:rsidR="003E245D" w:rsidRPr="003E245D" w:rsidRDefault="003E245D" w:rsidP="003E245D">
            <w:pPr>
              <w:spacing w:after="0" w:line="240" w:lineRule="auto"/>
              <w:jc w:val="right"/>
              <w:rPr>
                <w:rFonts w:eastAsia="Times New Roman" w:cs="Calibri"/>
                <w:b/>
                <w:color w:val="000000"/>
              </w:rPr>
            </w:pPr>
            <w:r w:rsidRPr="003E245D">
              <w:rPr>
                <w:rFonts w:eastAsia="Times New Roman" w:cs="Calibri"/>
                <w:b/>
                <w:color w:val="000000"/>
              </w:rPr>
              <w:t>1.297.260</w:t>
            </w:r>
          </w:p>
        </w:tc>
        <w:tc>
          <w:tcPr>
            <w:tcW w:w="612" w:type="pct"/>
            <w:noWrap/>
            <w:vAlign w:val="bottom"/>
            <w:hideMark/>
          </w:tcPr>
          <w:p w14:paraId="476FDB70" w14:textId="77777777" w:rsidR="003E245D" w:rsidRPr="003E245D" w:rsidRDefault="003E245D" w:rsidP="003E245D">
            <w:pPr>
              <w:spacing w:after="0" w:line="240" w:lineRule="auto"/>
              <w:jc w:val="center"/>
              <w:rPr>
                <w:rFonts w:eastAsia="Times New Roman" w:cs="Calibri"/>
                <w:color w:val="000000"/>
              </w:rPr>
            </w:pPr>
            <w:r w:rsidRPr="003E245D">
              <w:rPr>
                <w:rFonts w:eastAsia="Times New Roman" w:cs="Calibri"/>
                <w:color w:val="000000"/>
              </w:rPr>
              <w:t>29,6%</w:t>
            </w:r>
          </w:p>
        </w:tc>
      </w:tr>
      <w:tr w:rsidR="003E245D" w:rsidRPr="003E245D" w14:paraId="74389BB2" w14:textId="77777777" w:rsidTr="00276F51">
        <w:trPr>
          <w:trHeight w:val="300"/>
        </w:trPr>
        <w:tc>
          <w:tcPr>
            <w:tcW w:w="1327" w:type="pct"/>
            <w:noWrap/>
            <w:vAlign w:val="bottom"/>
            <w:hideMark/>
          </w:tcPr>
          <w:p w14:paraId="694532CD" w14:textId="77777777" w:rsidR="003E245D" w:rsidRPr="003E245D" w:rsidRDefault="003E245D" w:rsidP="003E245D">
            <w:pPr>
              <w:spacing w:after="0" w:line="240" w:lineRule="auto"/>
              <w:jc w:val="left"/>
              <w:rPr>
                <w:rFonts w:eastAsia="Times New Roman" w:cs="Calibri"/>
                <w:b/>
                <w:color w:val="000000"/>
              </w:rPr>
            </w:pPr>
            <w:r w:rsidRPr="003E245D">
              <w:rPr>
                <w:rFonts w:eastAsia="Times New Roman" w:cs="Calibri"/>
                <w:b/>
                <w:color w:val="000000"/>
              </w:rPr>
              <w:t>Totale generale spostamenti</w:t>
            </w:r>
          </w:p>
        </w:tc>
        <w:tc>
          <w:tcPr>
            <w:tcW w:w="612" w:type="pct"/>
            <w:noWrap/>
            <w:vAlign w:val="bottom"/>
            <w:hideMark/>
          </w:tcPr>
          <w:p w14:paraId="1EBADC15" w14:textId="77777777" w:rsidR="003E245D" w:rsidRPr="003E245D" w:rsidRDefault="003E245D" w:rsidP="003E245D">
            <w:pPr>
              <w:spacing w:after="0" w:line="240" w:lineRule="auto"/>
              <w:jc w:val="right"/>
              <w:rPr>
                <w:rFonts w:eastAsia="Times New Roman" w:cs="Calibri"/>
                <w:b/>
                <w:color w:val="000000"/>
              </w:rPr>
            </w:pPr>
            <w:r w:rsidRPr="003E245D">
              <w:rPr>
                <w:rFonts w:eastAsia="Times New Roman" w:cs="Calibri"/>
                <w:b/>
                <w:color w:val="000000"/>
              </w:rPr>
              <w:t>1.890.714</w:t>
            </w:r>
          </w:p>
        </w:tc>
        <w:tc>
          <w:tcPr>
            <w:tcW w:w="612" w:type="pct"/>
            <w:noWrap/>
            <w:vAlign w:val="bottom"/>
            <w:hideMark/>
          </w:tcPr>
          <w:p w14:paraId="0199E3E8" w14:textId="77777777" w:rsidR="003E245D" w:rsidRPr="003E245D" w:rsidRDefault="003E245D" w:rsidP="003E245D">
            <w:pPr>
              <w:spacing w:after="0" w:line="240" w:lineRule="auto"/>
              <w:jc w:val="right"/>
              <w:rPr>
                <w:rFonts w:eastAsia="Times New Roman" w:cs="Calibri"/>
                <w:b/>
                <w:color w:val="000000"/>
              </w:rPr>
            </w:pPr>
            <w:r w:rsidRPr="003E245D">
              <w:rPr>
                <w:rFonts w:eastAsia="Times New Roman" w:cs="Calibri"/>
                <w:b/>
                <w:color w:val="000000"/>
              </w:rPr>
              <w:t>1.071.096</w:t>
            </w:r>
          </w:p>
        </w:tc>
        <w:tc>
          <w:tcPr>
            <w:tcW w:w="612" w:type="pct"/>
            <w:noWrap/>
            <w:vAlign w:val="bottom"/>
            <w:hideMark/>
          </w:tcPr>
          <w:p w14:paraId="07C8D955" w14:textId="77777777" w:rsidR="003E245D" w:rsidRPr="003E245D" w:rsidRDefault="003E245D" w:rsidP="003E245D">
            <w:pPr>
              <w:spacing w:after="0" w:line="240" w:lineRule="auto"/>
              <w:jc w:val="right"/>
              <w:rPr>
                <w:rFonts w:eastAsia="Times New Roman" w:cs="Calibri"/>
                <w:b/>
                <w:color w:val="000000"/>
              </w:rPr>
            </w:pPr>
            <w:r w:rsidRPr="003E245D">
              <w:rPr>
                <w:rFonts w:eastAsia="Times New Roman" w:cs="Calibri"/>
                <w:b/>
                <w:color w:val="000000"/>
              </w:rPr>
              <w:t>1.414.345</w:t>
            </w:r>
          </w:p>
        </w:tc>
        <w:tc>
          <w:tcPr>
            <w:tcW w:w="613" w:type="pct"/>
            <w:noWrap/>
            <w:vAlign w:val="bottom"/>
            <w:hideMark/>
          </w:tcPr>
          <w:p w14:paraId="3F463F23" w14:textId="77777777" w:rsidR="003E245D" w:rsidRPr="003E245D" w:rsidRDefault="003E245D" w:rsidP="003E245D">
            <w:pPr>
              <w:spacing w:after="0" w:line="240" w:lineRule="auto"/>
              <w:jc w:val="right"/>
              <w:rPr>
                <w:rFonts w:eastAsia="Times New Roman" w:cs="Calibri"/>
                <w:b/>
                <w:i/>
                <w:color w:val="000000"/>
              </w:rPr>
            </w:pPr>
            <w:r w:rsidRPr="003E245D">
              <w:rPr>
                <w:rFonts w:eastAsia="Times New Roman" w:cs="Calibri"/>
                <w:b/>
                <w:i/>
                <w:color w:val="000000"/>
              </w:rPr>
              <w:t>2.485.441</w:t>
            </w:r>
          </w:p>
        </w:tc>
        <w:tc>
          <w:tcPr>
            <w:tcW w:w="612" w:type="pct"/>
            <w:noWrap/>
            <w:vAlign w:val="bottom"/>
            <w:hideMark/>
          </w:tcPr>
          <w:p w14:paraId="04F0FBF8" w14:textId="77777777" w:rsidR="003E245D" w:rsidRPr="003E245D" w:rsidRDefault="003E245D" w:rsidP="003E245D">
            <w:pPr>
              <w:spacing w:after="0" w:line="240" w:lineRule="auto"/>
              <w:jc w:val="right"/>
              <w:rPr>
                <w:rFonts w:eastAsia="Times New Roman" w:cs="Calibri"/>
                <w:b/>
                <w:color w:val="000000"/>
              </w:rPr>
            </w:pPr>
            <w:r w:rsidRPr="003E245D">
              <w:rPr>
                <w:rFonts w:eastAsia="Times New Roman" w:cs="Calibri"/>
                <w:b/>
                <w:color w:val="000000"/>
              </w:rPr>
              <w:t>4.376.155</w:t>
            </w:r>
          </w:p>
        </w:tc>
        <w:tc>
          <w:tcPr>
            <w:tcW w:w="612" w:type="pct"/>
            <w:noWrap/>
            <w:vAlign w:val="bottom"/>
            <w:hideMark/>
          </w:tcPr>
          <w:p w14:paraId="2BFF1796" w14:textId="77777777" w:rsidR="003E245D" w:rsidRPr="003E245D" w:rsidRDefault="003E245D" w:rsidP="003E245D">
            <w:pPr>
              <w:spacing w:after="0" w:line="240" w:lineRule="auto"/>
              <w:jc w:val="center"/>
              <w:rPr>
                <w:rFonts w:eastAsia="Times New Roman" w:cs="Calibri"/>
                <w:b/>
                <w:color w:val="000000"/>
              </w:rPr>
            </w:pPr>
            <w:r w:rsidRPr="003E245D">
              <w:rPr>
                <w:rFonts w:eastAsia="Times New Roman" w:cs="Calibri"/>
                <w:b/>
                <w:color w:val="000000"/>
              </w:rPr>
              <w:t>100,0%</w:t>
            </w:r>
          </w:p>
        </w:tc>
      </w:tr>
      <w:tr w:rsidR="003E245D" w:rsidRPr="003E245D" w14:paraId="688B8E5B" w14:textId="77777777" w:rsidTr="00276F51">
        <w:trPr>
          <w:trHeight w:val="600"/>
        </w:trPr>
        <w:tc>
          <w:tcPr>
            <w:tcW w:w="1327" w:type="pct"/>
            <w:shd w:val="clear" w:color="auto" w:fill="EE3438"/>
            <w:vAlign w:val="center"/>
            <w:hideMark/>
          </w:tcPr>
          <w:p w14:paraId="3ABA036F" w14:textId="77777777" w:rsidR="003E245D" w:rsidRPr="00276F51" w:rsidRDefault="003E245D" w:rsidP="003E245D">
            <w:pPr>
              <w:spacing w:after="0" w:line="240" w:lineRule="auto"/>
              <w:jc w:val="left"/>
              <w:rPr>
                <w:rFonts w:eastAsia="Times New Roman" w:cs="Calibri"/>
                <w:b/>
                <w:bCs/>
                <w:color w:val="FFFFFF" w:themeColor="background1"/>
              </w:rPr>
            </w:pPr>
            <w:r w:rsidRPr="00276F51">
              <w:rPr>
                <w:rFonts w:eastAsia="Times New Roman" w:cs="Calibri"/>
                <w:b/>
                <w:bCs/>
                <w:color w:val="FFFFFF" w:themeColor="background1"/>
              </w:rPr>
              <w:t>2022</w:t>
            </w:r>
          </w:p>
        </w:tc>
        <w:tc>
          <w:tcPr>
            <w:tcW w:w="612" w:type="pct"/>
            <w:shd w:val="clear" w:color="auto" w:fill="EE3438"/>
            <w:vAlign w:val="center"/>
            <w:hideMark/>
          </w:tcPr>
          <w:p w14:paraId="0D229843" w14:textId="77777777" w:rsidR="003E245D" w:rsidRPr="00276F51" w:rsidRDefault="003E245D" w:rsidP="003E245D">
            <w:pPr>
              <w:spacing w:after="0" w:line="240" w:lineRule="auto"/>
              <w:jc w:val="left"/>
              <w:rPr>
                <w:rFonts w:eastAsia="Times New Roman" w:cs="Calibri"/>
                <w:b/>
                <w:bCs/>
                <w:color w:val="FFFFFF" w:themeColor="background1"/>
              </w:rPr>
            </w:pPr>
            <w:r w:rsidRPr="00276F51">
              <w:rPr>
                <w:rFonts w:eastAsia="Times New Roman" w:cs="Calibri"/>
                <w:b/>
                <w:bCs/>
                <w:color w:val="FFFFFF" w:themeColor="background1"/>
              </w:rPr>
              <w:t>Torino</w:t>
            </w:r>
          </w:p>
        </w:tc>
        <w:tc>
          <w:tcPr>
            <w:tcW w:w="612" w:type="pct"/>
            <w:shd w:val="clear" w:color="auto" w:fill="EE3438"/>
            <w:vAlign w:val="center"/>
            <w:hideMark/>
          </w:tcPr>
          <w:p w14:paraId="0337FB24" w14:textId="77777777" w:rsidR="003E245D" w:rsidRPr="00276F51" w:rsidRDefault="003E245D" w:rsidP="003E245D">
            <w:pPr>
              <w:spacing w:after="0" w:line="240" w:lineRule="auto"/>
              <w:jc w:val="left"/>
              <w:rPr>
                <w:rFonts w:eastAsia="Times New Roman" w:cs="Calibri"/>
                <w:b/>
                <w:bCs/>
                <w:color w:val="FFFFFF" w:themeColor="background1"/>
              </w:rPr>
            </w:pPr>
            <w:r w:rsidRPr="00276F51">
              <w:rPr>
                <w:rFonts w:eastAsia="Times New Roman" w:cs="Calibri"/>
                <w:b/>
                <w:bCs/>
                <w:color w:val="FFFFFF" w:themeColor="background1"/>
              </w:rPr>
              <w:t>Cintura</w:t>
            </w:r>
          </w:p>
        </w:tc>
        <w:tc>
          <w:tcPr>
            <w:tcW w:w="612" w:type="pct"/>
            <w:shd w:val="clear" w:color="auto" w:fill="EE3438"/>
            <w:vAlign w:val="center"/>
            <w:hideMark/>
          </w:tcPr>
          <w:p w14:paraId="15AA3B6B" w14:textId="77777777" w:rsidR="003E245D" w:rsidRPr="00276F51" w:rsidRDefault="003E245D" w:rsidP="003E245D">
            <w:pPr>
              <w:spacing w:after="0" w:line="240" w:lineRule="auto"/>
              <w:jc w:val="left"/>
              <w:rPr>
                <w:rFonts w:eastAsia="Times New Roman" w:cs="Calibri"/>
                <w:b/>
                <w:bCs/>
                <w:color w:val="FFFFFF" w:themeColor="background1"/>
              </w:rPr>
            </w:pPr>
            <w:r w:rsidRPr="00276F51">
              <w:rPr>
                <w:rFonts w:eastAsia="Times New Roman" w:cs="Calibri"/>
                <w:b/>
                <w:bCs/>
                <w:color w:val="FFFFFF" w:themeColor="background1"/>
              </w:rPr>
              <w:t>Area esterna TO</w:t>
            </w:r>
          </w:p>
        </w:tc>
        <w:tc>
          <w:tcPr>
            <w:tcW w:w="613" w:type="pct"/>
            <w:shd w:val="clear" w:color="auto" w:fill="EE3438"/>
            <w:vAlign w:val="center"/>
            <w:hideMark/>
          </w:tcPr>
          <w:p w14:paraId="3EB63936" w14:textId="77777777" w:rsidR="003E245D" w:rsidRPr="00276F51" w:rsidRDefault="003E245D" w:rsidP="003E245D">
            <w:pPr>
              <w:spacing w:after="0" w:line="240" w:lineRule="auto"/>
              <w:jc w:val="left"/>
              <w:rPr>
                <w:rFonts w:eastAsia="Times New Roman" w:cs="Calibri"/>
                <w:b/>
                <w:bCs/>
                <w:color w:val="FFFFFF" w:themeColor="background1"/>
              </w:rPr>
            </w:pPr>
            <w:r w:rsidRPr="00276F51">
              <w:rPr>
                <w:rFonts w:eastAsia="Times New Roman" w:cs="Calibri"/>
                <w:b/>
                <w:bCs/>
                <w:color w:val="FFFFFF" w:themeColor="background1"/>
              </w:rPr>
              <w:t>Cintura + area esterna TO</w:t>
            </w:r>
          </w:p>
        </w:tc>
        <w:tc>
          <w:tcPr>
            <w:tcW w:w="612" w:type="pct"/>
            <w:shd w:val="clear" w:color="auto" w:fill="EE3438"/>
            <w:vAlign w:val="center"/>
            <w:hideMark/>
          </w:tcPr>
          <w:p w14:paraId="6FBDA614" w14:textId="77777777" w:rsidR="003E245D" w:rsidRPr="00276F51" w:rsidRDefault="003E245D" w:rsidP="003E245D">
            <w:pPr>
              <w:spacing w:after="0" w:line="240" w:lineRule="auto"/>
              <w:jc w:val="left"/>
              <w:rPr>
                <w:rFonts w:eastAsia="Times New Roman" w:cs="Calibri"/>
                <w:b/>
                <w:bCs/>
                <w:color w:val="FFFFFF" w:themeColor="background1"/>
              </w:rPr>
            </w:pPr>
            <w:r w:rsidRPr="00276F51">
              <w:rPr>
                <w:rFonts w:eastAsia="Times New Roman" w:cs="Calibri"/>
                <w:b/>
                <w:bCs/>
                <w:color w:val="FFFFFF" w:themeColor="background1"/>
              </w:rPr>
              <w:t>TOTALE Bacino</w:t>
            </w:r>
          </w:p>
        </w:tc>
        <w:tc>
          <w:tcPr>
            <w:tcW w:w="612" w:type="pct"/>
            <w:shd w:val="clear" w:color="auto" w:fill="EE3438"/>
            <w:vAlign w:val="center"/>
            <w:hideMark/>
          </w:tcPr>
          <w:p w14:paraId="599948D2" w14:textId="77777777" w:rsidR="003E245D" w:rsidRPr="00276F51" w:rsidRDefault="003E245D" w:rsidP="003E245D">
            <w:pPr>
              <w:spacing w:after="0" w:line="240" w:lineRule="auto"/>
              <w:jc w:val="center"/>
              <w:rPr>
                <w:rFonts w:eastAsia="Times New Roman" w:cs="Calibri"/>
                <w:b/>
                <w:bCs/>
                <w:color w:val="FFFFFF" w:themeColor="background1"/>
              </w:rPr>
            </w:pPr>
            <w:r w:rsidRPr="00276F51">
              <w:rPr>
                <w:rFonts w:eastAsia="Times New Roman" w:cs="Calibri"/>
                <w:b/>
                <w:bCs/>
                <w:color w:val="FFFFFF" w:themeColor="background1"/>
              </w:rPr>
              <w:t>Modal split Bacino</w:t>
            </w:r>
          </w:p>
        </w:tc>
      </w:tr>
      <w:tr w:rsidR="003E245D" w:rsidRPr="003E245D" w14:paraId="13F5EFA1" w14:textId="77777777" w:rsidTr="00276F51">
        <w:trPr>
          <w:trHeight w:val="300"/>
        </w:trPr>
        <w:tc>
          <w:tcPr>
            <w:tcW w:w="1327" w:type="pct"/>
            <w:noWrap/>
            <w:vAlign w:val="bottom"/>
            <w:hideMark/>
          </w:tcPr>
          <w:p w14:paraId="4CE132BE" w14:textId="77777777" w:rsidR="003E245D" w:rsidRPr="003E245D" w:rsidRDefault="003E245D" w:rsidP="003E245D">
            <w:pPr>
              <w:spacing w:after="0" w:line="240" w:lineRule="auto"/>
              <w:jc w:val="left"/>
              <w:rPr>
                <w:rFonts w:eastAsia="Times New Roman" w:cs="Calibri"/>
                <w:color w:val="000000"/>
              </w:rPr>
            </w:pPr>
            <w:r w:rsidRPr="003E245D">
              <w:rPr>
                <w:rFonts w:eastAsia="Times New Roman" w:cs="Calibri"/>
                <w:color w:val="000000"/>
              </w:rPr>
              <w:t>pubblico</w:t>
            </w:r>
          </w:p>
        </w:tc>
        <w:tc>
          <w:tcPr>
            <w:tcW w:w="612" w:type="pct"/>
            <w:noWrap/>
            <w:vAlign w:val="bottom"/>
            <w:hideMark/>
          </w:tcPr>
          <w:p w14:paraId="76647C43" w14:textId="77777777" w:rsidR="003E245D" w:rsidRPr="003E245D" w:rsidRDefault="003E245D" w:rsidP="003E245D">
            <w:pPr>
              <w:spacing w:after="0" w:line="240" w:lineRule="auto"/>
              <w:jc w:val="right"/>
              <w:rPr>
                <w:rFonts w:eastAsia="Times New Roman" w:cs="Calibri"/>
                <w:color w:val="000000"/>
              </w:rPr>
            </w:pPr>
            <w:r w:rsidRPr="003E245D">
              <w:rPr>
                <w:rFonts w:eastAsia="Times New Roman" w:cs="Calibri"/>
                <w:color w:val="000000"/>
              </w:rPr>
              <w:t>198.364</w:t>
            </w:r>
          </w:p>
        </w:tc>
        <w:tc>
          <w:tcPr>
            <w:tcW w:w="612" w:type="pct"/>
            <w:noWrap/>
            <w:vAlign w:val="bottom"/>
            <w:hideMark/>
          </w:tcPr>
          <w:p w14:paraId="07FFFCFF" w14:textId="77777777" w:rsidR="003E245D" w:rsidRPr="003E245D" w:rsidRDefault="003E245D" w:rsidP="003E245D">
            <w:pPr>
              <w:spacing w:after="0" w:line="240" w:lineRule="auto"/>
              <w:jc w:val="right"/>
              <w:rPr>
                <w:rFonts w:eastAsia="Times New Roman" w:cs="Calibri"/>
                <w:color w:val="000000"/>
              </w:rPr>
            </w:pPr>
            <w:r w:rsidRPr="003E245D">
              <w:rPr>
                <w:rFonts w:eastAsia="Times New Roman" w:cs="Calibri"/>
                <w:color w:val="000000"/>
              </w:rPr>
              <w:t>63.412</w:t>
            </w:r>
          </w:p>
        </w:tc>
        <w:tc>
          <w:tcPr>
            <w:tcW w:w="612" w:type="pct"/>
            <w:noWrap/>
            <w:vAlign w:val="bottom"/>
            <w:hideMark/>
          </w:tcPr>
          <w:p w14:paraId="0299706C" w14:textId="77777777" w:rsidR="003E245D" w:rsidRPr="003E245D" w:rsidRDefault="003E245D" w:rsidP="003E245D">
            <w:pPr>
              <w:spacing w:after="0" w:line="240" w:lineRule="auto"/>
              <w:jc w:val="right"/>
              <w:rPr>
                <w:rFonts w:eastAsia="Times New Roman" w:cs="Calibri"/>
                <w:color w:val="000000"/>
              </w:rPr>
            </w:pPr>
            <w:r w:rsidRPr="003E245D">
              <w:rPr>
                <w:rFonts w:eastAsia="Times New Roman" w:cs="Calibri"/>
                <w:color w:val="000000"/>
              </w:rPr>
              <w:t>20.626</w:t>
            </w:r>
          </w:p>
        </w:tc>
        <w:tc>
          <w:tcPr>
            <w:tcW w:w="613" w:type="pct"/>
            <w:noWrap/>
            <w:vAlign w:val="bottom"/>
            <w:hideMark/>
          </w:tcPr>
          <w:p w14:paraId="537A9209" w14:textId="77777777" w:rsidR="003E245D" w:rsidRPr="003E245D" w:rsidRDefault="003E245D" w:rsidP="003E245D">
            <w:pPr>
              <w:spacing w:after="0" w:line="240" w:lineRule="auto"/>
              <w:jc w:val="right"/>
              <w:rPr>
                <w:rFonts w:eastAsia="Times New Roman" w:cs="Calibri"/>
                <w:i/>
                <w:color w:val="000000"/>
              </w:rPr>
            </w:pPr>
            <w:r w:rsidRPr="003E245D">
              <w:rPr>
                <w:rFonts w:eastAsia="Times New Roman" w:cs="Calibri"/>
                <w:i/>
                <w:color w:val="000000"/>
              </w:rPr>
              <w:t>84.038</w:t>
            </w:r>
          </w:p>
        </w:tc>
        <w:tc>
          <w:tcPr>
            <w:tcW w:w="612" w:type="pct"/>
            <w:noWrap/>
            <w:vAlign w:val="bottom"/>
            <w:hideMark/>
          </w:tcPr>
          <w:p w14:paraId="204142F5" w14:textId="77777777" w:rsidR="003E245D" w:rsidRPr="003E245D" w:rsidRDefault="003E245D" w:rsidP="003E245D">
            <w:pPr>
              <w:spacing w:after="0" w:line="240" w:lineRule="auto"/>
              <w:jc w:val="right"/>
              <w:rPr>
                <w:rFonts w:eastAsia="Times New Roman" w:cs="Calibri"/>
                <w:b/>
                <w:color w:val="000000"/>
              </w:rPr>
            </w:pPr>
            <w:r w:rsidRPr="003E245D">
              <w:rPr>
                <w:rFonts w:eastAsia="Times New Roman" w:cs="Calibri"/>
                <w:b/>
                <w:color w:val="000000"/>
              </w:rPr>
              <w:t>282.402</w:t>
            </w:r>
          </w:p>
        </w:tc>
        <w:tc>
          <w:tcPr>
            <w:tcW w:w="612" w:type="pct"/>
            <w:noWrap/>
            <w:vAlign w:val="bottom"/>
            <w:hideMark/>
          </w:tcPr>
          <w:p w14:paraId="02B279C3" w14:textId="77777777" w:rsidR="003E245D" w:rsidRPr="003E245D" w:rsidRDefault="003E245D" w:rsidP="003E245D">
            <w:pPr>
              <w:spacing w:after="0" w:line="240" w:lineRule="auto"/>
              <w:jc w:val="center"/>
              <w:rPr>
                <w:rFonts w:eastAsia="Times New Roman" w:cs="Calibri"/>
                <w:color w:val="000000"/>
              </w:rPr>
            </w:pPr>
            <w:r w:rsidRPr="003E245D">
              <w:rPr>
                <w:rFonts w:eastAsia="Times New Roman" w:cs="Calibri"/>
                <w:color w:val="000000"/>
              </w:rPr>
              <w:t>6,6%</w:t>
            </w:r>
          </w:p>
        </w:tc>
      </w:tr>
      <w:tr w:rsidR="003E245D" w:rsidRPr="003E245D" w14:paraId="5660DA19" w14:textId="77777777" w:rsidTr="00276F51">
        <w:trPr>
          <w:trHeight w:val="300"/>
        </w:trPr>
        <w:tc>
          <w:tcPr>
            <w:tcW w:w="1327" w:type="pct"/>
            <w:noWrap/>
            <w:vAlign w:val="bottom"/>
            <w:hideMark/>
          </w:tcPr>
          <w:p w14:paraId="5CF6B966" w14:textId="77777777" w:rsidR="003E245D" w:rsidRPr="003E245D" w:rsidRDefault="003E245D" w:rsidP="003E245D">
            <w:pPr>
              <w:spacing w:after="0" w:line="240" w:lineRule="auto"/>
              <w:jc w:val="left"/>
              <w:rPr>
                <w:rFonts w:eastAsia="Times New Roman" w:cs="Calibri"/>
                <w:color w:val="000000"/>
              </w:rPr>
            </w:pPr>
            <w:r w:rsidRPr="003E245D">
              <w:rPr>
                <w:rFonts w:eastAsia="Times New Roman" w:cs="Calibri"/>
                <w:color w:val="000000"/>
              </w:rPr>
              <w:t>privato</w:t>
            </w:r>
          </w:p>
        </w:tc>
        <w:tc>
          <w:tcPr>
            <w:tcW w:w="612" w:type="pct"/>
            <w:noWrap/>
            <w:vAlign w:val="bottom"/>
            <w:hideMark/>
          </w:tcPr>
          <w:p w14:paraId="00335A98" w14:textId="77777777" w:rsidR="003E245D" w:rsidRPr="003E245D" w:rsidRDefault="003E245D" w:rsidP="003E245D">
            <w:pPr>
              <w:spacing w:after="0" w:line="240" w:lineRule="auto"/>
              <w:jc w:val="right"/>
              <w:rPr>
                <w:rFonts w:eastAsia="Times New Roman" w:cs="Calibri"/>
                <w:color w:val="000000"/>
              </w:rPr>
            </w:pPr>
            <w:r w:rsidRPr="003E245D">
              <w:rPr>
                <w:rFonts w:eastAsia="Times New Roman" w:cs="Calibri"/>
                <w:color w:val="000000"/>
              </w:rPr>
              <w:t>799.832</w:t>
            </w:r>
          </w:p>
        </w:tc>
        <w:tc>
          <w:tcPr>
            <w:tcW w:w="612" w:type="pct"/>
            <w:noWrap/>
            <w:vAlign w:val="bottom"/>
            <w:hideMark/>
          </w:tcPr>
          <w:p w14:paraId="4D273935" w14:textId="77777777" w:rsidR="003E245D" w:rsidRPr="003E245D" w:rsidRDefault="003E245D" w:rsidP="003E245D">
            <w:pPr>
              <w:spacing w:after="0" w:line="240" w:lineRule="auto"/>
              <w:jc w:val="right"/>
              <w:rPr>
                <w:rFonts w:eastAsia="Times New Roman" w:cs="Calibri"/>
                <w:color w:val="000000"/>
              </w:rPr>
            </w:pPr>
            <w:r w:rsidRPr="003E245D">
              <w:rPr>
                <w:rFonts w:eastAsia="Times New Roman" w:cs="Calibri"/>
                <w:color w:val="000000"/>
              </w:rPr>
              <w:t>857.371</w:t>
            </w:r>
          </w:p>
        </w:tc>
        <w:tc>
          <w:tcPr>
            <w:tcW w:w="612" w:type="pct"/>
            <w:noWrap/>
            <w:vAlign w:val="bottom"/>
            <w:hideMark/>
          </w:tcPr>
          <w:p w14:paraId="74CA84BD" w14:textId="77777777" w:rsidR="003E245D" w:rsidRPr="003E245D" w:rsidRDefault="003E245D" w:rsidP="003E245D">
            <w:pPr>
              <w:spacing w:after="0" w:line="240" w:lineRule="auto"/>
              <w:jc w:val="right"/>
              <w:rPr>
                <w:rFonts w:eastAsia="Times New Roman" w:cs="Calibri"/>
                <w:color w:val="000000"/>
              </w:rPr>
            </w:pPr>
            <w:r w:rsidRPr="003E245D">
              <w:rPr>
                <w:rFonts w:eastAsia="Times New Roman" w:cs="Calibri"/>
                <w:color w:val="000000"/>
              </w:rPr>
              <w:t>755.704</w:t>
            </w:r>
          </w:p>
        </w:tc>
        <w:tc>
          <w:tcPr>
            <w:tcW w:w="613" w:type="pct"/>
            <w:noWrap/>
            <w:vAlign w:val="bottom"/>
            <w:hideMark/>
          </w:tcPr>
          <w:p w14:paraId="185330C3" w14:textId="77777777" w:rsidR="003E245D" w:rsidRPr="003E245D" w:rsidRDefault="003E245D" w:rsidP="003E245D">
            <w:pPr>
              <w:spacing w:after="0" w:line="240" w:lineRule="auto"/>
              <w:jc w:val="right"/>
              <w:rPr>
                <w:rFonts w:eastAsia="Times New Roman" w:cs="Calibri"/>
                <w:i/>
                <w:color w:val="000000"/>
              </w:rPr>
            </w:pPr>
            <w:r w:rsidRPr="003E245D">
              <w:rPr>
                <w:rFonts w:eastAsia="Times New Roman" w:cs="Calibri"/>
                <w:i/>
                <w:color w:val="000000"/>
              </w:rPr>
              <w:t>1.613.075</w:t>
            </w:r>
          </w:p>
        </w:tc>
        <w:tc>
          <w:tcPr>
            <w:tcW w:w="612" w:type="pct"/>
            <w:noWrap/>
            <w:vAlign w:val="bottom"/>
            <w:hideMark/>
          </w:tcPr>
          <w:p w14:paraId="4A82641C" w14:textId="77777777" w:rsidR="003E245D" w:rsidRPr="003E245D" w:rsidRDefault="003E245D" w:rsidP="003E245D">
            <w:pPr>
              <w:spacing w:after="0" w:line="240" w:lineRule="auto"/>
              <w:jc w:val="right"/>
              <w:rPr>
                <w:rFonts w:eastAsia="Times New Roman" w:cs="Calibri"/>
                <w:b/>
                <w:color w:val="000000"/>
              </w:rPr>
            </w:pPr>
            <w:r w:rsidRPr="003E245D">
              <w:rPr>
                <w:rFonts w:eastAsia="Times New Roman" w:cs="Calibri"/>
                <w:b/>
                <w:color w:val="000000"/>
              </w:rPr>
              <w:t>2.412.907</w:t>
            </w:r>
          </w:p>
        </w:tc>
        <w:tc>
          <w:tcPr>
            <w:tcW w:w="612" w:type="pct"/>
            <w:noWrap/>
            <w:vAlign w:val="bottom"/>
            <w:hideMark/>
          </w:tcPr>
          <w:p w14:paraId="074753A7" w14:textId="77777777" w:rsidR="003E245D" w:rsidRPr="003E245D" w:rsidRDefault="003E245D" w:rsidP="003E245D">
            <w:pPr>
              <w:spacing w:after="0" w:line="240" w:lineRule="auto"/>
              <w:jc w:val="center"/>
              <w:rPr>
                <w:rFonts w:eastAsia="Times New Roman" w:cs="Calibri"/>
                <w:color w:val="000000"/>
              </w:rPr>
            </w:pPr>
            <w:r w:rsidRPr="003E245D">
              <w:rPr>
                <w:rFonts w:eastAsia="Times New Roman" w:cs="Calibri"/>
                <w:color w:val="000000"/>
              </w:rPr>
              <w:t>56,8%</w:t>
            </w:r>
          </w:p>
        </w:tc>
      </w:tr>
      <w:tr w:rsidR="003E245D" w:rsidRPr="003E245D" w14:paraId="4DB033B3" w14:textId="77777777" w:rsidTr="00276F51">
        <w:trPr>
          <w:trHeight w:val="300"/>
        </w:trPr>
        <w:tc>
          <w:tcPr>
            <w:tcW w:w="1327" w:type="pct"/>
            <w:noWrap/>
            <w:vAlign w:val="bottom"/>
            <w:hideMark/>
          </w:tcPr>
          <w:p w14:paraId="5C9BE645" w14:textId="77777777" w:rsidR="003E245D" w:rsidRPr="003E245D" w:rsidRDefault="003E245D" w:rsidP="003E245D">
            <w:pPr>
              <w:spacing w:after="0" w:line="240" w:lineRule="auto"/>
              <w:jc w:val="left"/>
              <w:rPr>
                <w:rFonts w:eastAsia="Times New Roman" w:cs="Calibri"/>
                <w:color w:val="000000"/>
              </w:rPr>
            </w:pPr>
            <w:r w:rsidRPr="003E245D">
              <w:rPr>
                <w:rFonts w:eastAsia="Times New Roman" w:cs="Calibri"/>
                <w:color w:val="000000"/>
              </w:rPr>
              <w:t>altro</w:t>
            </w:r>
          </w:p>
        </w:tc>
        <w:tc>
          <w:tcPr>
            <w:tcW w:w="612" w:type="pct"/>
            <w:noWrap/>
            <w:vAlign w:val="bottom"/>
            <w:hideMark/>
          </w:tcPr>
          <w:p w14:paraId="63DDC233" w14:textId="77777777" w:rsidR="003E245D" w:rsidRPr="003E245D" w:rsidRDefault="003E245D" w:rsidP="003E245D">
            <w:pPr>
              <w:spacing w:after="0" w:line="240" w:lineRule="auto"/>
              <w:jc w:val="right"/>
              <w:rPr>
                <w:rFonts w:eastAsia="Times New Roman" w:cs="Calibri"/>
                <w:color w:val="000000"/>
              </w:rPr>
            </w:pPr>
            <w:r w:rsidRPr="003E245D">
              <w:rPr>
                <w:rFonts w:eastAsia="Times New Roman" w:cs="Calibri"/>
                <w:color w:val="000000"/>
              </w:rPr>
              <w:t>746.473</w:t>
            </w:r>
          </w:p>
        </w:tc>
        <w:tc>
          <w:tcPr>
            <w:tcW w:w="612" w:type="pct"/>
            <w:noWrap/>
            <w:vAlign w:val="bottom"/>
            <w:hideMark/>
          </w:tcPr>
          <w:p w14:paraId="4D701643" w14:textId="77777777" w:rsidR="003E245D" w:rsidRPr="003E245D" w:rsidRDefault="003E245D" w:rsidP="003E245D">
            <w:pPr>
              <w:spacing w:after="0" w:line="240" w:lineRule="auto"/>
              <w:jc w:val="right"/>
              <w:rPr>
                <w:rFonts w:eastAsia="Times New Roman" w:cs="Calibri"/>
                <w:color w:val="000000"/>
              </w:rPr>
            </w:pPr>
            <w:r w:rsidRPr="003E245D">
              <w:rPr>
                <w:rFonts w:eastAsia="Times New Roman" w:cs="Calibri"/>
                <w:color w:val="000000"/>
              </w:rPr>
              <w:t>385.372</w:t>
            </w:r>
          </w:p>
        </w:tc>
        <w:tc>
          <w:tcPr>
            <w:tcW w:w="612" w:type="pct"/>
            <w:noWrap/>
            <w:vAlign w:val="bottom"/>
            <w:hideMark/>
          </w:tcPr>
          <w:p w14:paraId="6012EC38" w14:textId="77777777" w:rsidR="003E245D" w:rsidRPr="003E245D" w:rsidRDefault="003E245D" w:rsidP="003E245D">
            <w:pPr>
              <w:spacing w:after="0" w:line="240" w:lineRule="auto"/>
              <w:jc w:val="right"/>
              <w:rPr>
                <w:rFonts w:eastAsia="Times New Roman" w:cs="Calibri"/>
                <w:color w:val="000000"/>
              </w:rPr>
            </w:pPr>
            <w:r w:rsidRPr="003E245D">
              <w:rPr>
                <w:rFonts w:eastAsia="Times New Roman" w:cs="Calibri"/>
                <w:color w:val="000000"/>
              </w:rPr>
              <w:t>419.848</w:t>
            </w:r>
          </w:p>
        </w:tc>
        <w:tc>
          <w:tcPr>
            <w:tcW w:w="613" w:type="pct"/>
            <w:noWrap/>
            <w:vAlign w:val="bottom"/>
            <w:hideMark/>
          </w:tcPr>
          <w:p w14:paraId="50FCFF0D" w14:textId="77777777" w:rsidR="003E245D" w:rsidRPr="003E245D" w:rsidRDefault="003E245D" w:rsidP="003E245D">
            <w:pPr>
              <w:spacing w:after="0" w:line="240" w:lineRule="auto"/>
              <w:jc w:val="right"/>
              <w:rPr>
                <w:rFonts w:eastAsia="Times New Roman" w:cs="Calibri"/>
                <w:i/>
                <w:color w:val="000000"/>
              </w:rPr>
            </w:pPr>
            <w:r w:rsidRPr="003E245D">
              <w:rPr>
                <w:rFonts w:eastAsia="Times New Roman" w:cs="Calibri"/>
                <w:i/>
                <w:color w:val="000000"/>
              </w:rPr>
              <w:t>805.220</w:t>
            </w:r>
          </w:p>
        </w:tc>
        <w:tc>
          <w:tcPr>
            <w:tcW w:w="612" w:type="pct"/>
            <w:noWrap/>
            <w:vAlign w:val="bottom"/>
            <w:hideMark/>
          </w:tcPr>
          <w:p w14:paraId="14D18658" w14:textId="77777777" w:rsidR="003E245D" w:rsidRPr="003E245D" w:rsidRDefault="003E245D" w:rsidP="003E245D">
            <w:pPr>
              <w:spacing w:after="0" w:line="240" w:lineRule="auto"/>
              <w:jc w:val="right"/>
              <w:rPr>
                <w:rFonts w:eastAsia="Times New Roman" w:cs="Calibri"/>
                <w:b/>
                <w:color w:val="000000"/>
              </w:rPr>
            </w:pPr>
            <w:r w:rsidRPr="003E245D">
              <w:rPr>
                <w:rFonts w:eastAsia="Times New Roman" w:cs="Calibri"/>
                <w:b/>
                <w:color w:val="000000"/>
              </w:rPr>
              <w:t>1.551.693</w:t>
            </w:r>
          </w:p>
        </w:tc>
        <w:tc>
          <w:tcPr>
            <w:tcW w:w="612" w:type="pct"/>
            <w:noWrap/>
            <w:vAlign w:val="bottom"/>
            <w:hideMark/>
          </w:tcPr>
          <w:p w14:paraId="451B91AB" w14:textId="77777777" w:rsidR="003E245D" w:rsidRPr="003E245D" w:rsidRDefault="003E245D" w:rsidP="003E245D">
            <w:pPr>
              <w:spacing w:after="0" w:line="240" w:lineRule="auto"/>
              <w:jc w:val="center"/>
              <w:rPr>
                <w:rFonts w:eastAsia="Times New Roman" w:cs="Calibri"/>
                <w:color w:val="000000"/>
              </w:rPr>
            </w:pPr>
            <w:r w:rsidRPr="003E245D">
              <w:rPr>
                <w:rFonts w:eastAsia="Times New Roman" w:cs="Calibri"/>
                <w:color w:val="000000"/>
              </w:rPr>
              <w:t>36,5%</w:t>
            </w:r>
          </w:p>
        </w:tc>
      </w:tr>
      <w:tr w:rsidR="003E245D" w:rsidRPr="003E245D" w14:paraId="3CF0890B" w14:textId="77777777" w:rsidTr="00276F51">
        <w:trPr>
          <w:trHeight w:val="300"/>
        </w:trPr>
        <w:tc>
          <w:tcPr>
            <w:tcW w:w="1327" w:type="pct"/>
            <w:noWrap/>
            <w:vAlign w:val="bottom"/>
            <w:hideMark/>
          </w:tcPr>
          <w:p w14:paraId="7BBC270D" w14:textId="77777777" w:rsidR="003E245D" w:rsidRPr="003E245D" w:rsidRDefault="003E245D" w:rsidP="003E245D">
            <w:pPr>
              <w:spacing w:after="0" w:line="240" w:lineRule="auto"/>
              <w:jc w:val="left"/>
              <w:rPr>
                <w:rFonts w:eastAsia="Times New Roman" w:cs="Calibri"/>
                <w:b/>
                <w:color w:val="000000"/>
              </w:rPr>
            </w:pPr>
            <w:r w:rsidRPr="003E245D">
              <w:rPr>
                <w:rFonts w:eastAsia="Times New Roman" w:cs="Calibri"/>
                <w:b/>
                <w:color w:val="000000"/>
              </w:rPr>
              <w:t>Totale generale spostamenti</w:t>
            </w:r>
          </w:p>
        </w:tc>
        <w:tc>
          <w:tcPr>
            <w:tcW w:w="612" w:type="pct"/>
            <w:noWrap/>
            <w:vAlign w:val="bottom"/>
            <w:hideMark/>
          </w:tcPr>
          <w:p w14:paraId="7C33136F" w14:textId="77777777" w:rsidR="003E245D" w:rsidRPr="003E245D" w:rsidRDefault="003E245D" w:rsidP="003E245D">
            <w:pPr>
              <w:spacing w:after="0" w:line="240" w:lineRule="auto"/>
              <w:jc w:val="right"/>
              <w:rPr>
                <w:rFonts w:eastAsia="Times New Roman" w:cs="Calibri"/>
                <w:b/>
                <w:color w:val="000000"/>
              </w:rPr>
            </w:pPr>
            <w:r w:rsidRPr="003E245D">
              <w:rPr>
                <w:rFonts w:eastAsia="Times New Roman" w:cs="Calibri"/>
                <w:b/>
                <w:color w:val="000000"/>
              </w:rPr>
              <w:t>1.744.669</w:t>
            </w:r>
          </w:p>
        </w:tc>
        <w:tc>
          <w:tcPr>
            <w:tcW w:w="612" w:type="pct"/>
            <w:noWrap/>
            <w:vAlign w:val="bottom"/>
            <w:hideMark/>
          </w:tcPr>
          <w:p w14:paraId="4E7D70F3" w14:textId="77777777" w:rsidR="003E245D" w:rsidRPr="003E245D" w:rsidRDefault="003E245D" w:rsidP="003E245D">
            <w:pPr>
              <w:spacing w:after="0" w:line="240" w:lineRule="auto"/>
              <w:jc w:val="right"/>
              <w:rPr>
                <w:rFonts w:eastAsia="Times New Roman" w:cs="Calibri"/>
                <w:b/>
                <w:color w:val="000000"/>
              </w:rPr>
            </w:pPr>
            <w:r w:rsidRPr="003E245D">
              <w:rPr>
                <w:rFonts w:eastAsia="Times New Roman" w:cs="Calibri"/>
                <w:b/>
                <w:color w:val="000000"/>
              </w:rPr>
              <w:t>1.306.155</w:t>
            </w:r>
          </w:p>
        </w:tc>
        <w:tc>
          <w:tcPr>
            <w:tcW w:w="612" w:type="pct"/>
            <w:noWrap/>
            <w:vAlign w:val="bottom"/>
            <w:hideMark/>
          </w:tcPr>
          <w:p w14:paraId="3D62FC36" w14:textId="77777777" w:rsidR="003E245D" w:rsidRPr="003E245D" w:rsidRDefault="003E245D" w:rsidP="003E245D">
            <w:pPr>
              <w:spacing w:after="0" w:line="240" w:lineRule="auto"/>
              <w:jc w:val="right"/>
              <w:rPr>
                <w:rFonts w:eastAsia="Times New Roman" w:cs="Calibri"/>
                <w:b/>
                <w:color w:val="000000"/>
              </w:rPr>
            </w:pPr>
            <w:r w:rsidRPr="003E245D">
              <w:rPr>
                <w:rFonts w:eastAsia="Times New Roman" w:cs="Calibri"/>
                <w:b/>
                <w:color w:val="000000"/>
              </w:rPr>
              <w:t>1.196.178</w:t>
            </w:r>
          </w:p>
        </w:tc>
        <w:tc>
          <w:tcPr>
            <w:tcW w:w="613" w:type="pct"/>
            <w:noWrap/>
            <w:vAlign w:val="bottom"/>
            <w:hideMark/>
          </w:tcPr>
          <w:p w14:paraId="1972669B" w14:textId="77777777" w:rsidR="003E245D" w:rsidRPr="003E245D" w:rsidRDefault="003E245D" w:rsidP="003E245D">
            <w:pPr>
              <w:spacing w:after="0" w:line="240" w:lineRule="auto"/>
              <w:jc w:val="right"/>
              <w:rPr>
                <w:rFonts w:eastAsia="Times New Roman" w:cs="Calibri"/>
                <w:b/>
                <w:i/>
                <w:color w:val="000000"/>
              </w:rPr>
            </w:pPr>
            <w:r w:rsidRPr="003E245D">
              <w:rPr>
                <w:rFonts w:eastAsia="Times New Roman" w:cs="Calibri"/>
                <w:b/>
                <w:i/>
                <w:color w:val="000000"/>
              </w:rPr>
              <w:t>2.502.333</w:t>
            </w:r>
          </w:p>
        </w:tc>
        <w:tc>
          <w:tcPr>
            <w:tcW w:w="612" w:type="pct"/>
            <w:noWrap/>
            <w:vAlign w:val="bottom"/>
            <w:hideMark/>
          </w:tcPr>
          <w:p w14:paraId="54D70A9F" w14:textId="77777777" w:rsidR="003E245D" w:rsidRPr="003E245D" w:rsidRDefault="003E245D" w:rsidP="003E245D">
            <w:pPr>
              <w:spacing w:after="0" w:line="240" w:lineRule="auto"/>
              <w:jc w:val="right"/>
              <w:rPr>
                <w:rFonts w:eastAsia="Times New Roman" w:cs="Calibri"/>
                <w:b/>
                <w:color w:val="000000"/>
              </w:rPr>
            </w:pPr>
            <w:r w:rsidRPr="003E245D">
              <w:rPr>
                <w:rFonts w:eastAsia="Times New Roman" w:cs="Calibri"/>
                <w:b/>
                <w:color w:val="000000"/>
              </w:rPr>
              <w:t>4.247.002</w:t>
            </w:r>
          </w:p>
        </w:tc>
        <w:tc>
          <w:tcPr>
            <w:tcW w:w="612" w:type="pct"/>
            <w:noWrap/>
            <w:vAlign w:val="bottom"/>
            <w:hideMark/>
          </w:tcPr>
          <w:p w14:paraId="58BF4615" w14:textId="77777777" w:rsidR="003E245D" w:rsidRPr="003E245D" w:rsidRDefault="003E245D" w:rsidP="003E245D">
            <w:pPr>
              <w:spacing w:after="0" w:line="240" w:lineRule="auto"/>
              <w:jc w:val="center"/>
              <w:rPr>
                <w:rFonts w:eastAsia="Times New Roman" w:cs="Calibri"/>
                <w:b/>
                <w:color w:val="000000"/>
              </w:rPr>
            </w:pPr>
            <w:r w:rsidRPr="003E245D">
              <w:rPr>
                <w:rFonts w:eastAsia="Times New Roman" w:cs="Calibri"/>
                <w:b/>
                <w:color w:val="000000"/>
              </w:rPr>
              <w:t>100,0%</w:t>
            </w:r>
          </w:p>
        </w:tc>
      </w:tr>
    </w:tbl>
    <w:p w14:paraId="72C636AC" w14:textId="74F05CD1" w:rsidR="003E245D" w:rsidRPr="003E245D" w:rsidRDefault="003E245D" w:rsidP="003E245D">
      <w:pPr>
        <w:spacing w:after="200" w:line="240" w:lineRule="auto"/>
        <w:jc w:val="center"/>
        <w:rPr>
          <w:rFonts w:cstheme="minorHAnsi"/>
          <w:i/>
          <w:color w:val="17406D" w:themeColor="text2"/>
          <w:sz w:val="18"/>
          <w:szCs w:val="18"/>
        </w:rPr>
      </w:pPr>
      <w:bookmarkStart w:id="117" w:name="_Ref203583831"/>
      <w:r w:rsidRPr="003E245D">
        <w:rPr>
          <w:rFonts w:cstheme="minorHAnsi"/>
          <w:iCs/>
          <w:color w:val="17406D" w:themeColor="text2"/>
          <w:sz w:val="18"/>
          <w:szCs w:val="18"/>
        </w:rPr>
        <w:t xml:space="preserve">Tabella </w:t>
      </w:r>
      <w:r w:rsidRPr="003E245D">
        <w:rPr>
          <w:rFonts w:cstheme="minorHAnsi"/>
          <w:iCs/>
          <w:color w:val="17406D" w:themeColor="text2"/>
          <w:sz w:val="18"/>
          <w:szCs w:val="18"/>
        </w:rPr>
        <w:fldChar w:fldCharType="begin"/>
      </w:r>
      <w:r w:rsidRPr="003E245D">
        <w:rPr>
          <w:rFonts w:cstheme="minorHAnsi"/>
          <w:iCs/>
          <w:color w:val="17406D" w:themeColor="text2"/>
          <w:sz w:val="18"/>
          <w:szCs w:val="18"/>
        </w:rPr>
        <w:instrText xml:space="preserve"> SEQ Tabella \* ARABIC </w:instrText>
      </w:r>
      <w:r w:rsidRPr="003E245D">
        <w:rPr>
          <w:rFonts w:cstheme="minorHAnsi"/>
          <w:iCs/>
          <w:color w:val="17406D" w:themeColor="text2"/>
          <w:sz w:val="18"/>
          <w:szCs w:val="18"/>
        </w:rPr>
        <w:fldChar w:fldCharType="separate"/>
      </w:r>
      <w:r w:rsidR="00073B6D">
        <w:rPr>
          <w:rFonts w:cstheme="minorHAnsi"/>
          <w:iCs/>
          <w:noProof/>
          <w:color w:val="17406D" w:themeColor="text2"/>
          <w:sz w:val="18"/>
          <w:szCs w:val="18"/>
        </w:rPr>
        <w:t>4</w:t>
      </w:r>
      <w:r w:rsidRPr="003E245D">
        <w:rPr>
          <w:rFonts w:cstheme="minorHAnsi"/>
          <w:iCs/>
          <w:color w:val="17406D" w:themeColor="text2"/>
          <w:sz w:val="18"/>
          <w:szCs w:val="18"/>
        </w:rPr>
        <w:fldChar w:fldCharType="end"/>
      </w:r>
      <w:bookmarkEnd w:id="117"/>
      <w:r w:rsidRPr="003E245D">
        <w:rPr>
          <w:rFonts w:cstheme="minorHAnsi"/>
          <w:iCs/>
          <w:color w:val="17406D" w:themeColor="text2"/>
          <w:sz w:val="18"/>
          <w:szCs w:val="18"/>
        </w:rPr>
        <w:t xml:space="preserve"> – </w:t>
      </w:r>
      <w:r w:rsidRPr="003E245D">
        <w:rPr>
          <w:rFonts w:cstheme="minorHAnsi"/>
          <w:i/>
          <w:color w:val="17406D" w:themeColor="text2"/>
          <w:sz w:val="18"/>
          <w:szCs w:val="18"/>
        </w:rPr>
        <w:t>Andamento dello split modale</w:t>
      </w:r>
    </w:p>
    <w:p w14:paraId="392C4FDB" w14:textId="77777777" w:rsidR="003E245D" w:rsidRPr="003E245D" w:rsidRDefault="003E245D" w:rsidP="003E245D">
      <w:pPr>
        <w:spacing w:before="120" w:after="0" w:line="240" w:lineRule="auto"/>
        <w:rPr>
          <w:rFonts w:cstheme="minorHAnsi"/>
        </w:rPr>
      </w:pPr>
      <w:r w:rsidRPr="003E245D">
        <w:rPr>
          <w:rFonts w:cstheme="minorHAnsi"/>
        </w:rPr>
        <w:t>Dal momento che le indagini IMQ non vengono svolte a cadenza ravvicinata, AMP si avvale anche dei Rapporti sulla Mobilità degli italiani pubblicati annualmente da ISFORT per monitorare i trend di mobilità. In particolare, per avere una stima della domanda negli anni successivi all’ultima indagine IMQ del 2022, sono state analizzate le quote modali dei mezzi privati e pubblici.</w:t>
      </w:r>
    </w:p>
    <w:p w14:paraId="740069A2" w14:textId="77777777" w:rsidR="003E245D" w:rsidRPr="003E245D" w:rsidRDefault="003E245D" w:rsidP="003E245D">
      <w:pPr>
        <w:spacing w:before="120" w:after="0" w:line="240" w:lineRule="auto"/>
        <w:rPr>
          <w:rFonts w:cstheme="minorHAnsi"/>
        </w:rPr>
      </w:pPr>
      <w:r w:rsidRPr="003E245D">
        <w:rPr>
          <w:rFonts w:cstheme="minorHAnsi"/>
        </w:rPr>
        <w:t>Le indagini Audimob di ISFORT non presentano i dati a livello regionale, si è pertanto preso a riferimento il Nord-Ovest d’Italia per il confronto con il dato IMQ del Piemonte.</w:t>
      </w:r>
    </w:p>
    <w:p w14:paraId="4EE16D54" w14:textId="77777777" w:rsidR="003E245D" w:rsidRPr="003E245D" w:rsidRDefault="003E245D" w:rsidP="003E245D">
      <w:pPr>
        <w:spacing w:before="120" w:after="0" w:line="240" w:lineRule="auto"/>
        <w:rPr>
          <w:rFonts w:cstheme="minorHAnsi"/>
        </w:rPr>
      </w:pPr>
      <w:r w:rsidRPr="003E245D">
        <w:rPr>
          <w:rFonts w:cstheme="minorHAnsi"/>
        </w:rPr>
        <w:t>Di seguito è riportato il confronto tra Audimob Nord-Ovest e IMQ. Il confronto con le serie storiche evidenzia che il comportamento del Piemonte, rilevato attraverso le indagini IMQ, è in linea con quanto emerso dalle indagini Audimob.</w:t>
      </w:r>
    </w:p>
    <w:p w14:paraId="392C048F" w14:textId="77777777" w:rsidR="003E245D" w:rsidRPr="003E245D" w:rsidRDefault="003E245D" w:rsidP="003E245D">
      <w:pPr>
        <w:spacing w:before="120" w:after="0" w:line="240" w:lineRule="auto"/>
        <w:rPr>
          <w:rFonts w:cstheme="minorHAnsi"/>
        </w:rPr>
      </w:pPr>
      <w:r w:rsidRPr="003E245D">
        <w:rPr>
          <w:rFonts w:cstheme="minorHAnsi"/>
        </w:rPr>
        <w:t>Per analizzare l'andamento degli indicatori di mobilità dell'ultimo periodo, sono stati utilizzati i dati Audimob relativi alle rilevazioni del 2021, 2022 e 2023. Gli scostamenti individuati sono probabilmente da interpretare considerando il periodo di indagine IMQ, che si è svolto prevalentemente durante l'Autunno-Inverno 2021, ancora influenzato dall'emergenza Covid. L'indagine Audimob 2022, invece, si è estesa per tutto l'anno 2022 e rivela già gli effetti della ripresa post-Covid.</w:t>
      </w:r>
    </w:p>
    <w:p w14:paraId="68B7C201" w14:textId="77777777" w:rsidR="003E245D" w:rsidRPr="003E245D" w:rsidRDefault="003E245D" w:rsidP="003E245D">
      <w:pPr>
        <w:spacing w:before="120" w:after="0" w:line="240" w:lineRule="auto"/>
        <w:rPr>
          <w:rFonts w:cstheme="minorHAnsi"/>
        </w:rPr>
      </w:pPr>
      <w:r w:rsidRPr="003E245D">
        <w:rPr>
          <w:rFonts w:cstheme="minorHAnsi"/>
        </w:rPr>
        <w:t>È importante sottolineare che le indagini IMQ sono allineate a quelle condotte da ISFORT, in particolare attraverso l'Osservatorio Audimob. Entrambe le indagini utilizzano metodologie rigorose e comparabili per monitorare la domanda di mobilità e i comportamenti di spostamento della popolazione e le serie storiche confermano tali analogie.</w:t>
      </w:r>
    </w:p>
    <w:p w14:paraId="6C9A9B51" w14:textId="77777777" w:rsidR="003E245D" w:rsidRPr="003E245D" w:rsidRDefault="003E245D" w:rsidP="003E245D">
      <w:pPr>
        <w:spacing w:before="120" w:after="0" w:line="240" w:lineRule="auto"/>
        <w:rPr>
          <w:rFonts w:cstheme="minorHAnsi"/>
        </w:rPr>
      </w:pPr>
      <w:r w:rsidRPr="003E245D">
        <w:rPr>
          <w:rFonts w:cstheme="minorHAnsi"/>
        </w:rPr>
        <w:t>Considerando che entrambe le fonti di dati riflettono le tendenze generali della mobilità, la coerenza metodologica e la sovrapposizione temporale delle indagini, è ragionevole ritenere che gli indicatori di mobilità per il Piemonte nel 2023 non si discosteranno significativamente da quelli rilevati da ISFORT nello stesso periodo.</w:t>
      </w:r>
    </w:p>
    <w:p w14:paraId="02457568" w14:textId="77777777" w:rsidR="003E245D" w:rsidRPr="003E245D" w:rsidRDefault="003E245D" w:rsidP="003E245D">
      <w:pPr>
        <w:spacing w:before="120" w:after="0" w:line="240" w:lineRule="auto"/>
        <w:rPr>
          <w:rFonts w:cstheme="minorHAnsi"/>
        </w:rPr>
      </w:pPr>
      <w:r w:rsidRPr="003E245D">
        <w:rPr>
          <w:rFonts w:cstheme="minorHAnsi"/>
        </w:rPr>
        <w:t>Nell’indagine Audimob si osserva come la quota modale del mezzo pubblico registri una sensibile ripresa, passando da 9,2% nel 2021 al 12% nel 2023. Parallelamente sale la quota modale dei mezzi privati, passando dal 63% al 65,4% mentre si riducono gli spostamenti a piedi e in bici passando dal 27,8% al 22,6%.</w:t>
      </w:r>
    </w:p>
    <w:p w14:paraId="3DB5B760" w14:textId="77777777" w:rsidR="003E245D" w:rsidRPr="003E245D" w:rsidRDefault="003E245D" w:rsidP="003E245D">
      <w:pPr>
        <w:spacing w:before="120" w:after="0" w:line="240" w:lineRule="auto"/>
        <w:rPr>
          <w:rFonts w:cstheme="minorHAnsi"/>
        </w:rPr>
      </w:pPr>
      <w:r w:rsidRPr="003E245D">
        <w:rPr>
          <w:rFonts w:cstheme="minorHAnsi"/>
          <w:noProof/>
        </w:rPr>
        <w:lastRenderedPageBreak/>
        <w:drawing>
          <wp:inline distT="0" distB="0" distL="0" distR="0" wp14:anchorId="19B709CF" wp14:editId="42553184">
            <wp:extent cx="5759051" cy="3572151"/>
            <wp:effectExtent l="0" t="0" r="0" b="0"/>
            <wp:docPr id="20505036" name="Immagine 2" descr="Immagine che contiene linea, diagramma, schermat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5036" name="Immagine 2" descr="Immagine che contiene linea, diagramma, schermata&#10;&#10;Descrizione generata automaticamente"/>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t="5471"/>
                    <a:stretch/>
                  </pic:blipFill>
                  <pic:spPr bwMode="auto">
                    <a:xfrm>
                      <a:off x="0" y="0"/>
                      <a:ext cx="5760000" cy="3572740"/>
                    </a:xfrm>
                    <a:prstGeom prst="rect">
                      <a:avLst/>
                    </a:prstGeom>
                    <a:noFill/>
                    <a:ln>
                      <a:noFill/>
                    </a:ln>
                    <a:extLst>
                      <a:ext uri="{53640926-AAD7-44D8-BBD7-CCE9431645EC}">
                        <a14:shadowObscured xmlns:a14="http://schemas.microsoft.com/office/drawing/2010/main"/>
                      </a:ext>
                    </a:extLst>
                  </pic:spPr>
                </pic:pic>
              </a:graphicData>
            </a:graphic>
          </wp:inline>
        </w:drawing>
      </w:r>
    </w:p>
    <w:p w14:paraId="7F48B83D" w14:textId="388969BC" w:rsidR="003E245D" w:rsidRPr="003E245D" w:rsidRDefault="003E245D" w:rsidP="003E245D">
      <w:pPr>
        <w:spacing w:after="200" w:line="240" w:lineRule="auto"/>
        <w:jc w:val="center"/>
        <w:rPr>
          <w:rFonts w:cstheme="minorHAnsi"/>
          <w:i/>
          <w:iCs/>
          <w:color w:val="003366"/>
          <w:sz w:val="18"/>
          <w:szCs w:val="18"/>
        </w:rPr>
      </w:pPr>
      <w:r w:rsidRPr="003E245D">
        <w:rPr>
          <w:rFonts w:cstheme="minorHAnsi"/>
          <w:i/>
          <w:iCs/>
          <w:color w:val="003366"/>
          <w:sz w:val="18"/>
          <w:szCs w:val="18"/>
        </w:rPr>
        <w:t xml:space="preserve">Figura </w:t>
      </w:r>
      <w:r w:rsidRPr="003E245D">
        <w:rPr>
          <w:rFonts w:cstheme="minorHAnsi"/>
          <w:i/>
          <w:iCs/>
          <w:color w:val="003366"/>
          <w:sz w:val="18"/>
          <w:szCs w:val="18"/>
        </w:rPr>
        <w:fldChar w:fldCharType="begin"/>
      </w:r>
      <w:r w:rsidRPr="003E245D">
        <w:rPr>
          <w:rFonts w:cstheme="minorHAnsi"/>
          <w:i/>
          <w:iCs/>
          <w:color w:val="003366"/>
          <w:sz w:val="18"/>
          <w:szCs w:val="18"/>
        </w:rPr>
        <w:instrText xml:space="preserve"> SEQ Figura \* ARABIC </w:instrText>
      </w:r>
      <w:r w:rsidRPr="003E245D">
        <w:rPr>
          <w:rFonts w:cstheme="minorHAnsi"/>
          <w:i/>
          <w:iCs/>
          <w:color w:val="003366"/>
          <w:sz w:val="18"/>
          <w:szCs w:val="18"/>
        </w:rPr>
        <w:fldChar w:fldCharType="separate"/>
      </w:r>
      <w:r w:rsidR="00073B6D">
        <w:rPr>
          <w:rFonts w:cstheme="minorHAnsi"/>
          <w:i/>
          <w:iCs/>
          <w:noProof/>
          <w:color w:val="003366"/>
          <w:sz w:val="18"/>
          <w:szCs w:val="18"/>
        </w:rPr>
        <w:t>13</w:t>
      </w:r>
      <w:r w:rsidRPr="003E245D">
        <w:rPr>
          <w:rFonts w:cstheme="minorHAnsi"/>
          <w:i/>
          <w:iCs/>
          <w:noProof/>
          <w:color w:val="003366"/>
          <w:sz w:val="18"/>
          <w:szCs w:val="18"/>
        </w:rPr>
        <w:fldChar w:fldCharType="end"/>
      </w:r>
      <w:r w:rsidRPr="003E245D">
        <w:rPr>
          <w:rFonts w:cstheme="minorHAnsi"/>
          <w:i/>
          <w:iCs/>
          <w:color w:val="003366"/>
          <w:sz w:val="18"/>
          <w:szCs w:val="18"/>
        </w:rPr>
        <w:t xml:space="preserve"> – Quota spostamenti con uso di mezzi pubblici</w:t>
      </w:r>
    </w:p>
    <w:p w14:paraId="23D0EF41" w14:textId="77777777" w:rsidR="003E245D" w:rsidRPr="003E245D" w:rsidRDefault="003E245D" w:rsidP="003E245D">
      <w:pPr>
        <w:rPr>
          <w:rFonts w:cstheme="minorHAnsi"/>
        </w:rPr>
      </w:pPr>
    </w:p>
    <w:p w14:paraId="21774417" w14:textId="77777777" w:rsidR="003E245D" w:rsidRPr="003E245D" w:rsidRDefault="003E245D" w:rsidP="003E245D">
      <w:pPr>
        <w:spacing w:after="0"/>
        <w:rPr>
          <w:rFonts w:cstheme="minorHAnsi"/>
        </w:rPr>
      </w:pPr>
      <w:r w:rsidRPr="003E245D">
        <w:rPr>
          <w:rFonts w:cstheme="minorHAnsi"/>
          <w:noProof/>
        </w:rPr>
        <w:drawing>
          <wp:inline distT="0" distB="0" distL="0" distR="0" wp14:anchorId="0123C27B" wp14:editId="130F0590">
            <wp:extent cx="5759051" cy="3564200"/>
            <wp:effectExtent l="0" t="0" r="0" b="0"/>
            <wp:docPr id="1188138481" name="Immagine 1" descr="Immagine che contiene schermata, diagramma, line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138481" name="Immagine 1" descr="Immagine che contiene schermata, diagramma, linea&#10;&#10;Descrizione generata automaticamente"/>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t="5681"/>
                    <a:stretch/>
                  </pic:blipFill>
                  <pic:spPr bwMode="auto">
                    <a:xfrm>
                      <a:off x="0" y="0"/>
                      <a:ext cx="5760000" cy="3564788"/>
                    </a:xfrm>
                    <a:prstGeom prst="rect">
                      <a:avLst/>
                    </a:prstGeom>
                    <a:noFill/>
                    <a:ln>
                      <a:noFill/>
                    </a:ln>
                    <a:extLst>
                      <a:ext uri="{53640926-AAD7-44D8-BBD7-CCE9431645EC}">
                        <a14:shadowObscured xmlns:a14="http://schemas.microsoft.com/office/drawing/2010/main"/>
                      </a:ext>
                    </a:extLst>
                  </pic:spPr>
                </pic:pic>
              </a:graphicData>
            </a:graphic>
          </wp:inline>
        </w:drawing>
      </w:r>
    </w:p>
    <w:p w14:paraId="777BF806" w14:textId="171D0A8A" w:rsidR="003E245D" w:rsidRPr="003E245D" w:rsidRDefault="003E245D" w:rsidP="003E245D">
      <w:pPr>
        <w:spacing w:after="200" w:line="240" w:lineRule="auto"/>
        <w:jc w:val="center"/>
        <w:rPr>
          <w:rFonts w:cstheme="minorHAnsi"/>
          <w:i/>
          <w:iCs/>
          <w:color w:val="003366"/>
          <w:sz w:val="18"/>
          <w:szCs w:val="18"/>
        </w:rPr>
      </w:pPr>
      <w:r w:rsidRPr="003E245D">
        <w:rPr>
          <w:rFonts w:cstheme="minorHAnsi"/>
          <w:i/>
          <w:iCs/>
          <w:color w:val="003366"/>
          <w:sz w:val="18"/>
          <w:szCs w:val="18"/>
        </w:rPr>
        <w:t xml:space="preserve">Figura </w:t>
      </w:r>
      <w:r w:rsidRPr="003E245D">
        <w:rPr>
          <w:rFonts w:cstheme="minorHAnsi"/>
          <w:i/>
          <w:iCs/>
          <w:color w:val="003366"/>
          <w:sz w:val="18"/>
          <w:szCs w:val="18"/>
        </w:rPr>
        <w:fldChar w:fldCharType="begin"/>
      </w:r>
      <w:r w:rsidRPr="003E245D">
        <w:rPr>
          <w:rFonts w:cstheme="minorHAnsi"/>
          <w:i/>
          <w:iCs/>
          <w:color w:val="003366"/>
          <w:sz w:val="18"/>
          <w:szCs w:val="18"/>
        </w:rPr>
        <w:instrText xml:space="preserve"> SEQ Figura \* ARABIC </w:instrText>
      </w:r>
      <w:r w:rsidRPr="003E245D">
        <w:rPr>
          <w:rFonts w:cstheme="minorHAnsi"/>
          <w:i/>
          <w:iCs/>
          <w:color w:val="003366"/>
          <w:sz w:val="18"/>
          <w:szCs w:val="18"/>
        </w:rPr>
        <w:fldChar w:fldCharType="separate"/>
      </w:r>
      <w:r w:rsidR="00073B6D">
        <w:rPr>
          <w:rFonts w:cstheme="minorHAnsi"/>
          <w:i/>
          <w:iCs/>
          <w:noProof/>
          <w:color w:val="003366"/>
          <w:sz w:val="18"/>
          <w:szCs w:val="18"/>
        </w:rPr>
        <w:t>14</w:t>
      </w:r>
      <w:r w:rsidRPr="003E245D">
        <w:rPr>
          <w:rFonts w:cstheme="minorHAnsi"/>
          <w:i/>
          <w:iCs/>
          <w:noProof/>
          <w:color w:val="003366"/>
          <w:sz w:val="18"/>
          <w:szCs w:val="18"/>
        </w:rPr>
        <w:fldChar w:fldCharType="end"/>
      </w:r>
      <w:r w:rsidRPr="003E245D">
        <w:rPr>
          <w:rFonts w:cstheme="minorHAnsi"/>
          <w:i/>
          <w:iCs/>
          <w:color w:val="003366"/>
          <w:sz w:val="18"/>
          <w:szCs w:val="18"/>
        </w:rPr>
        <w:t xml:space="preserve"> – Quota spostamenti con uso di mezzi privati</w:t>
      </w:r>
    </w:p>
    <w:p w14:paraId="69E6FDEE" w14:textId="77777777" w:rsidR="003E245D" w:rsidRPr="003E245D" w:rsidRDefault="003E245D" w:rsidP="003E245D">
      <w:pPr>
        <w:rPr>
          <w:rFonts w:cstheme="minorHAnsi"/>
          <w:sz w:val="16"/>
          <w:szCs w:val="16"/>
        </w:rPr>
      </w:pPr>
    </w:p>
    <w:p w14:paraId="5DA8881F" w14:textId="77777777" w:rsidR="003E245D" w:rsidRPr="003E245D" w:rsidRDefault="003E245D" w:rsidP="003E245D">
      <w:pPr>
        <w:spacing w:after="0"/>
        <w:rPr>
          <w:rFonts w:cstheme="minorHAnsi"/>
        </w:rPr>
      </w:pPr>
      <w:r w:rsidRPr="003E245D">
        <w:rPr>
          <w:rFonts w:cstheme="minorHAnsi"/>
          <w:noProof/>
        </w:rPr>
        <w:lastRenderedPageBreak/>
        <w:drawing>
          <wp:inline distT="0" distB="0" distL="0" distR="0" wp14:anchorId="1C938FE4" wp14:editId="1B75D8E8">
            <wp:extent cx="5759051" cy="3556249"/>
            <wp:effectExtent l="0" t="0" r="0" b="0"/>
            <wp:docPr id="1201455472" name="Immagine 4" descr="Immagine che contiene schermata, linea, Diagramma, diagramm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455472" name="Immagine 4" descr="Immagine che contiene schermata, linea, Diagramma, diagramma&#10;&#10;Descrizione generata automaticamente"/>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t="5891"/>
                    <a:stretch/>
                  </pic:blipFill>
                  <pic:spPr bwMode="auto">
                    <a:xfrm>
                      <a:off x="0" y="0"/>
                      <a:ext cx="5760000" cy="3556835"/>
                    </a:xfrm>
                    <a:prstGeom prst="rect">
                      <a:avLst/>
                    </a:prstGeom>
                    <a:noFill/>
                    <a:ln>
                      <a:noFill/>
                    </a:ln>
                    <a:extLst>
                      <a:ext uri="{53640926-AAD7-44D8-BBD7-CCE9431645EC}">
                        <a14:shadowObscured xmlns:a14="http://schemas.microsoft.com/office/drawing/2010/main"/>
                      </a:ext>
                    </a:extLst>
                  </pic:spPr>
                </pic:pic>
              </a:graphicData>
            </a:graphic>
          </wp:inline>
        </w:drawing>
      </w:r>
    </w:p>
    <w:p w14:paraId="257B0659" w14:textId="749D0BC4" w:rsidR="003E245D" w:rsidRPr="003E245D" w:rsidRDefault="003E245D" w:rsidP="003E245D">
      <w:pPr>
        <w:spacing w:after="200" w:line="240" w:lineRule="auto"/>
        <w:jc w:val="center"/>
        <w:rPr>
          <w:rFonts w:cstheme="minorHAnsi"/>
          <w:i/>
          <w:iCs/>
          <w:color w:val="003366"/>
          <w:sz w:val="18"/>
          <w:szCs w:val="18"/>
        </w:rPr>
      </w:pPr>
      <w:r w:rsidRPr="003E245D">
        <w:rPr>
          <w:rFonts w:cstheme="minorHAnsi"/>
          <w:i/>
          <w:iCs/>
          <w:color w:val="003366"/>
          <w:sz w:val="18"/>
          <w:szCs w:val="18"/>
        </w:rPr>
        <w:t xml:space="preserve">Figura </w:t>
      </w:r>
      <w:r w:rsidRPr="003E245D">
        <w:rPr>
          <w:rFonts w:cstheme="minorHAnsi"/>
          <w:i/>
          <w:iCs/>
          <w:color w:val="003366"/>
          <w:sz w:val="18"/>
          <w:szCs w:val="18"/>
        </w:rPr>
        <w:fldChar w:fldCharType="begin"/>
      </w:r>
      <w:r w:rsidRPr="003E245D">
        <w:rPr>
          <w:rFonts w:cstheme="minorHAnsi"/>
          <w:i/>
          <w:iCs/>
          <w:color w:val="003366"/>
          <w:sz w:val="18"/>
          <w:szCs w:val="18"/>
        </w:rPr>
        <w:instrText xml:space="preserve"> SEQ Figura \* ARABIC </w:instrText>
      </w:r>
      <w:r w:rsidRPr="003E245D">
        <w:rPr>
          <w:rFonts w:cstheme="minorHAnsi"/>
          <w:i/>
          <w:iCs/>
          <w:color w:val="003366"/>
          <w:sz w:val="18"/>
          <w:szCs w:val="18"/>
        </w:rPr>
        <w:fldChar w:fldCharType="separate"/>
      </w:r>
      <w:r w:rsidR="00073B6D">
        <w:rPr>
          <w:rFonts w:cstheme="minorHAnsi"/>
          <w:i/>
          <w:iCs/>
          <w:noProof/>
          <w:color w:val="003366"/>
          <w:sz w:val="18"/>
          <w:szCs w:val="18"/>
        </w:rPr>
        <w:t>15</w:t>
      </w:r>
      <w:r w:rsidRPr="003E245D">
        <w:rPr>
          <w:rFonts w:cstheme="minorHAnsi"/>
          <w:i/>
          <w:iCs/>
          <w:noProof/>
          <w:color w:val="003366"/>
          <w:sz w:val="18"/>
          <w:szCs w:val="18"/>
        </w:rPr>
        <w:fldChar w:fldCharType="end"/>
      </w:r>
      <w:r w:rsidRPr="003E245D">
        <w:rPr>
          <w:rFonts w:cstheme="minorHAnsi"/>
          <w:i/>
          <w:iCs/>
          <w:color w:val="003366"/>
          <w:sz w:val="18"/>
          <w:szCs w:val="18"/>
        </w:rPr>
        <w:t xml:space="preserve"> – Quota spostamenti pedonali + uso bicicletta</w:t>
      </w:r>
    </w:p>
    <w:p w14:paraId="7BAF4C2F" w14:textId="77777777" w:rsidR="003E245D" w:rsidRPr="003E245D" w:rsidRDefault="003E245D" w:rsidP="003E245D">
      <w:pPr>
        <w:spacing w:before="120" w:after="120" w:line="240" w:lineRule="auto"/>
        <w:rPr>
          <w:rFonts w:cstheme="minorHAnsi"/>
        </w:rPr>
      </w:pPr>
      <w:bookmarkStart w:id="118" w:name="_Toc193195291"/>
      <w:bookmarkStart w:id="119" w:name="_Ref193386177"/>
      <w:bookmarkStart w:id="120" w:name="_Ref193793557"/>
      <w:bookmarkStart w:id="121" w:name="_Toc365510335"/>
      <w:r w:rsidRPr="003E245D">
        <w:rPr>
          <w:rFonts w:cstheme="minorHAnsi"/>
        </w:rPr>
        <w:t>Come ricordato in precedenza, nel luglio 2025 AMP ha stipulato uno specifico accordo con ISFORT per attivare un focus nell’ambito dell’indagine condotta da ISFORT per la realizzazione del Rapporto sulla mobilità degli italiani, al fine di ottenere dati significativi sulla mobilità a livello della regione Piemonte.</w:t>
      </w:r>
    </w:p>
    <w:p w14:paraId="0F0AAEB3" w14:textId="77777777" w:rsidR="003E245D" w:rsidRPr="003E245D" w:rsidRDefault="003E245D" w:rsidP="003E245D">
      <w:pPr>
        <w:spacing w:before="120" w:after="120" w:line="240" w:lineRule="auto"/>
        <w:rPr>
          <w:rFonts w:cstheme="minorHAnsi"/>
        </w:rPr>
      </w:pPr>
      <w:r w:rsidRPr="003E245D">
        <w:rPr>
          <w:rFonts w:cstheme="minorHAnsi"/>
        </w:rPr>
        <w:t>Questo approfondimento del “focus Piemonte” nell'ambito delle rilevazioni Audimob permetterà di ottenere risultati più continui e dettagliati nel breve periodo, garantendo una maggiore precisione e tempestività nell'analisi delle tendenze di mobilità regionale.</w:t>
      </w:r>
    </w:p>
    <w:p w14:paraId="27DCB3D0" w14:textId="77777777" w:rsidR="003E245D" w:rsidRPr="003E245D" w:rsidRDefault="003E245D" w:rsidP="000C34FB">
      <w:pPr>
        <w:pStyle w:val="Titolo2"/>
        <w:ind w:left="567"/>
        <w:rPr>
          <w:rFonts w:cstheme="minorHAnsi"/>
          <w:b w:val="0"/>
        </w:rPr>
      </w:pPr>
      <w:bookmarkStart w:id="122" w:name="_Toc193195296"/>
      <w:bookmarkStart w:id="123" w:name="_Toc1367870661"/>
      <w:bookmarkStart w:id="124" w:name="_Toc197695665"/>
      <w:bookmarkStart w:id="125" w:name="_Toc204616481"/>
      <w:bookmarkStart w:id="126" w:name="_Toc213078350"/>
      <w:r w:rsidRPr="000C34FB">
        <w:rPr>
          <w:rFonts w:asciiTheme="minorHAnsi" w:hAnsiTheme="minorHAnsi" w:cstheme="minorHAnsi"/>
        </w:rPr>
        <w:t>Aree a domanda debole</w:t>
      </w:r>
      <w:bookmarkEnd w:id="122"/>
      <w:bookmarkEnd w:id="123"/>
      <w:bookmarkEnd w:id="124"/>
      <w:bookmarkEnd w:id="125"/>
      <w:bookmarkEnd w:id="126"/>
    </w:p>
    <w:p w14:paraId="58EB0189" w14:textId="77777777" w:rsidR="003E245D" w:rsidRPr="003E245D" w:rsidRDefault="003E245D" w:rsidP="003E245D">
      <w:pPr>
        <w:spacing w:before="120" w:after="120" w:line="240" w:lineRule="auto"/>
        <w:rPr>
          <w:rFonts w:cstheme="minorHAnsi"/>
        </w:rPr>
      </w:pPr>
      <w:r w:rsidRPr="003E245D">
        <w:rPr>
          <w:rFonts w:cstheme="minorHAnsi"/>
        </w:rPr>
        <w:t xml:space="preserve">Le aree a domanda debole (ADD) sono zone caratterizzate da una bassa domanda di trasporto pubblico, spesso a causa di una popolazione ridotta, dispersione abitativa o limitate attività economiche. Queste aree includono piccoli comuni, spesso in zone rurali, dove il numero di viaggi generati è relativamente basso e frammentato. </w:t>
      </w:r>
    </w:p>
    <w:p w14:paraId="4AA6CFD7" w14:textId="77777777" w:rsidR="003E245D" w:rsidRPr="003E245D" w:rsidRDefault="003E245D" w:rsidP="003E245D">
      <w:pPr>
        <w:spacing w:before="120" w:after="120" w:line="240" w:lineRule="auto"/>
        <w:rPr>
          <w:rFonts w:cstheme="minorHAnsi"/>
        </w:rPr>
      </w:pPr>
      <w:r w:rsidRPr="003E245D">
        <w:rPr>
          <w:rFonts w:cstheme="minorHAnsi"/>
        </w:rPr>
        <w:t>Per individuare le aree a domanda debole nel Bacino Metropolitano si è proceduto con l’applicazione della metodologia prescritta dal DM 157/2018; tale metodologia prevede di classificare i comuni in funzione della quota di pendolarismo inferiore alle 3000 unità, della presenza di una popolazione in età scolare (5-24 anni) e anziana (&gt;70 anni) maggiore del 10%, della escursione altimetrica interna al comune maggiore di 600 m e della presenza di frazioni o contrade con distanza reciproca maggiore di 1.5 km.</w:t>
      </w:r>
    </w:p>
    <w:p w14:paraId="7C805A98" w14:textId="77777777" w:rsidR="003E245D" w:rsidRPr="003E245D" w:rsidRDefault="003E245D" w:rsidP="003E245D">
      <w:pPr>
        <w:spacing w:before="120" w:after="120" w:line="240" w:lineRule="auto"/>
        <w:rPr>
          <w:rFonts w:cstheme="minorHAnsi"/>
        </w:rPr>
      </w:pPr>
      <w:r w:rsidRPr="003E245D">
        <w:rPr>
          <w:rFonts w:cstheme="minorHAnsi"/>
        </w:rPr>
        <w:t>La valutazione è riassunta nello schema seguente e rappresentata graficamente nella figura seguente.</w:t>
      </w:r>
    </w:p>
    <w:p w14:paraId="63208435" w14:textId="77777777" w:rsidR="003E245D" w:rsidRPr="003E245D" w:rsidRDefault="003E245D" w:rsidP="003E245D">
      <w:pPr>
        <w:spacing w:before="120" w:after="0" w:line="240" w:lineRule="auto"/>
        <w:rPr>
          <w:rFonts w:eastAsia="Calibri" w:cstheme="minorHAnsi"/>
        </w:rPr>
      </w:pPr>
      <w:r w:rsidRPr="003E245D">
        <w:rPr>
          <w:rFonts w:cstheme="minorHAnsi"/>
          <w:noProof/>
        </w:rPr>
        <w:lastRenderedPageBreak/>
        <w:drawing>
          <wp:inline distT="0" distB="0" distL="0" distR="0" wp14:anchorId="0386D7BC" wp14:editId="670EED6F">
            <wp:extent cx="5759450" cy="3105150"/>
            <wp:effectExtent l="0" t="0" r="0" b="0"/>
            <wp:docPr id="1386096319" name="Immagine 1" descr="Immagine che contiene testo, diagramma, Carattere, schermat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096319" name="Immagine 1" descr="Immagine che contiene testo, diagramma, Carattere, schermata&#10;&#10;Descrizione generata automaticamente"/>
                    <pic:cNvPicPr/>
                  </pic:nvPicPr>
                  <pic:blipFill rotWithShape="1">
                    <a:blip r:embed="rId38"/>
                    <a:srcRect b="3721"/>
                    <a:stretch/>
                  </pic:blipFill>
                  <pic:spPr bwMode="auto">
                    <a:xfrm>
                      <a:off x="0" y="0"/>
                      <a:ext cx="5759450" cy="3105150"/>
                    </a:xfrm>
                    <a:prstGeom prst="rect">
                      <a:avLst/>
                    </a:prstGeom>
                    <a:ln>
                      <a:noFill/>
                    </a:ln>
                    <a:extLst>
                      <a:ext uri="{53640926-AAD7-44D8-BBD7-CCE9431645EC}">
                        <a14:shadowObscured xmlns:a14="http://schemas.microsoft.com/office/drawing/2010/main"/>
                      </a:ext>
                    </a:extLst>
                  </pic:spPr>
                </pic:pic>
              </a:graphicData>
            </a:graphic>
          </wp:inline>
        </w:drawing>
      </w:r>
    </w:p>
    <w:p w14:paraId="717CE35B" w14:textId="4A69FAF9" w:rsidR="003E245D" w:rsidRPr="003E245D" w:rsidRDefault="003E245D" w:rsidP="003E245D">
      <w:pPr>
        <w:spacing w:after="200" w:line="240" w:lineRule="auto"/>
        <w:jc w:val="center"/>
        <w:rPr>
          <w:rFonts w:cstheme="minorHAnsi"/>
          <w:i/>
          <w:iCs/>
          <w:color w:val="17406D" w:themeColor="text2"/>
          <w:sz w:val="18"/>
          <w:szCs w:val="18"/>
        </w:rPr>
      </w:pPr>
      <w:r w:rsidRPr="003E245D">
        <w:rPr>
          <w:rFonts w:cstheme="minorHAnsi"/>
          <w:i/>
          <w:iCs/>
          <w:color w:val="17406D" w:themeColor="text2"/>
          <w:sz w:val="18"/>
          <w:szCs w:val="18"/>
        </w:rPr>
        <w:t xml:space="preserve">Figura </w:t>
      </w:r>
      <w:r w:rsidRPr="003E245D">
        <w:rPr>
          <w:rFonts w:cstheme="minorHAnsi"/>
          <w:i/>
          <w:iCs/>
          <w:color w:val="17406D" w:themeColor="text2"/>
          <w:sz w:val="18"/>
          <w:szCs w:val="18"/>
        </w:rPr>
        <w:fldChar w:fldCharType="begin"/>
      </w:r>
      <w:r w:rsidRPr="003E245D">
        <w:rPr>
          <w:rFonts w:cstheme="minorHAnsi"/>
          <w:i/>
          <w:iCs/>
          <w:color w:val="17406D" w:themeColor="text2"/>
          <w:sz w:val="18"/>
          <w:szCs w:val="18"/>
        </w:rPr>
        <w:instrText xml:space="preserve"> SEQ Figura \* ARABIC </w:instrText>
      </w:r>
      <w:r w:rsidRPr="003E245D">
        <w:rPr>
          <w:rFonts w:cstheme="minorHAnsi"/>
          <w:i/>
          <w:iCs/>
          <w:color w:val="17406D" w:themeColor="text2"/>
          <w:sz w:val="18"/>
          <w:szCs w:val="18"/>
        </w:rPr>
        <w:fldChar w:fldCharType="separate"/>
      </w:r>
      <w:r w:rsidR="00073B6D">
        <w:rPr>
          <w:rFonts w:cstheme="minorHAnsi"/>
          <w:i/>
          <w:iCs/>
          <w:noProof/>
          <w:color w:val="17406D" w:themeColor="text2"/>
          <w:sz w:val="18"/>
          <w:szCs w:val="18"/>
        </w:rPr>
        <w:t>16</w:t>
      </w:r>
      <w:r w:rsidRPr="003E245D">
        <w:rPr>
          <w:rFonts w:cstheme="minorHAnsi"/>
          <w:i/>
          <w:iCs/>
          <w:noProof/>
          <w:color w:val="17406D" w:themeColor="text2"/>
          <w:sz w:val="18"/>
          <w:szCs w:val="18"/>
        </w:rPr>
        <w:fldChar w:fldCharType="end"/>
      </w:r>
      <w:r w:rsidRPr="003E245D">
        <w:rPr>
          <w:rFonts w:cstheme="minorHAnsi"/>
          <w:i/>
          <w:iCs/>
          <w:color w:val="17406D" w:themeColor="text2"/>
          <w:sz w:val="18"/>
          <w:szCs w:val="18"/>
        </w:rPr>
        <w:t xml:space="preserve"> – Schema per l’individuazione dei comuni in Area a Domanda Debole </w:t>
      </w:r>
    </w:p>
    <w:p w14:paraId="5F2B0ECC" w14:textId="77777777" w:rsidR="003E245D" w:rsidRPr="003E245D" w:rsidRDefault="003E245D" w:rsidP="003E245D">
      <w:pPr>
        <w:spacing w:before="120" w:after="0" w:line="240" w:lineRule="auto"/>
        <w:rPr>
          <w:rFonts w:cstheme="minorHAnsi"/>
        </w:rPr>
      </w:pPr>
    </w:p>
    <w:p w14:paraId="11E381F4" w14:textId="77777777" w:rsidR="003E245D" w:rsidRPr="003E245D" w:rsidRDefault="003E245D" w:rsidP="003E245D">
      <w:pPr>
        <w:spacing w:before="120" w:after="0" w:line="240" w:lineRule="auto"/>
        <w:rPr>
          <w:rFonts w:cstheme="minorHAnsi"/>
        </w:rPr>
      </w:pPr>
      <w:r w:rsidRPr="003E245D">
        <w:rPr>
          <w:noProof/>
        </w:rPr>
        <w:drawing>
          <wp:inline distT="0" distB="0" distL="0" distR="0" wp14:anchorId="42B7A69F" wp14:editId="2AF01A7C">
            <wp:extent cx="5759450" cy="4076065"/>
            <wp:effectExtent l="19050" t="19050" r="12700" b="19685"/>
            <wp:docPr id="1759312903" name="Immagine 1" descr="Immagine che contiene mappa, testo, atlante, diagramm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312903" name="Immagine 1" descr="Immagine che contiene mappa, testo, atlante, diagramma&#10;&#10;Descrizione generata automaticamente"/>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759450" cy="4076065"/>
                    </a:xfrm>
                    <a:prstGeom prst="rect">
                      <a:avLst/>
                    </a:prstGeom>
                    <a:noFill/>
                    <a:ln w="19050">
                      <a:solidFill>
                        <a:srgbClr val="EE3438"/>
                      </a:solidFill>
                    </a:ln>
                  </pic:spPr>
                </pic:pic>
              </a:graphicData>
            </a:graphic>
          </wp:inline>
        </w:drawing>
      </w:r>
    </w:p>
    <w:p w14:paraId="5FFD18F3" w14:textId="5DFC4507" w:rsidR="003E245D" w:rsidRPr="003E245D" w:rsidRDefault="003E245D" w:rsidP="003E245D">
      <w:pPr>
        <w:spacing w:after="200" w:line="240" w:lineRule="auto"/>
        <w:jc w:val="center"/>
        <w:rPr>
          <w:rFonts w:cstheme="minorHAnsi"/>
          <w:i/>
          <w:iCs/>
          <w:color w:val="17406D" w:themeColor="text2"/>
          <w:sz w:val="18"/>
          <w:szCs w:val="18"/>
        </w:rPr>
      </w:pPr>
      <w:r w:rsidRPr="003E245D">
        <w:rPr>
          <w:rFonts w:cstheme="minorHAnsi"/>
          <w:i/>
          <w:iCs/>
          <w:color w:val="17406D" w:themeColor="text2"/>
          <w:sz w:val="18"/>
          <w:szCs w:val="18"/>
        </w:rPr>
        <w:t xml:space="preserve">Figura </w:t>
      </w:r>
      <w:r w:rsidRPr="003E245D">
        <w:rPr>
          <w:rFonts w:cstheme="minorHAnsi"/>
          <w:i/>
          <w:iCs/>
          <w:color w:val="17406D" w:themeColor="text2"/>
          <w:sz w:val="18"/>
          <w:szCs w:val="18"/>
        </w:rPr>
        <w:fldChar w:fldCharType="begin"/>
      </w:r>
      <w:r w:rsidRPr="003E245D">
        <w:rPr>
          <w:rFonts w:cstheme="minorHAnsi"/>
          <w:i/>
          <w:iCs/>
          <w:color w:val="17406D" w:themeColor="text2"/>
          <w:sz w:val="18"/>
          <w:szCs w:val="18"/>
        </w:rPr>
        <w:instrText xml:space="preserve"> SEQ Figura \* ARABIC </w:instrText>
      </w:r>
      <w:r w:rsidRPr="003E245D">
        <w:rPr>
          <w:rFonts w:cstheme="minorHAnsi"/>
          <w:i/>
          <w:iCs/>
          <w:color w:val="17406D" w:themeColor="text2"/>
          <w:sz w:val="18"/>
          <w:szCs w:val="18"/>
        </w:rPr>
        <w:fldChar w:fldCharType="separate"/>
      </w:r>
      <w:r w:rsidR="00073B6D">
        <w:rPr>
          <w:rFonts w:cstheme="minorHAnsi"/>
          <w:i/>
          <w:iCs/>
          <w:noProof/>
          <w:color w:val="17406D" w:themeColor="text2"/>
          <w:sz w:val="18"/>
          <w:szCs w:val="18"/>
        </w:rPr>
        <w:t>17</w:t>
      </w:r>
      <w:r w:rsidRPr="003E245D">
        <w:rPr>
          <w:rFonts w:cstheme="minorHAnsi"/>
          <w:i/>
          <w:iCs/>
          <w:noProof/>
          <w:color w:val="17406D" w:themeColor="text2"/>
          <w:sz w:val="18"/>
          <w:szCs w:val="18"/>
        </w:rPr>
        <w:fldChar w:fldCharType="end"/>
      </w:r>
      <w:r w:rsidRPr="003E245D">
        <w:rPr>
          <w:rFonts w:cstheme="minorHAnsi"/>
          <w:i/>
          <w:iCs/>
          <w:color w:val="17406D" w:themeColor="text2"/>
          <w:sz w:val="18"/>
          <w:szCs w:val="18"/>
        </w:rPr>
        <w:t xml:space="preserve"> – Localizzazione dei comuni in area a domanda debole </w:t>
      </w:r>
    </w:p>
    <w:p w14:paraId="0BB2FBAC" w14:textId="77777777" w:rsidR="003E245D" w:rsidRPr="003E245D" w:rsidRDefault="003E245D" w:rsidP="003E245D">
      <w:pPr>
        <w:spacing w:before="120" w:after="0" w:line="240" w:lineRule="auto"/>
        <w:rPr>
          <w:rFonts w:cstheme="minorHAnsi"/>
        </w:rPr>
      </w:pPr>
    </w:p>
    <w:p w14:paraId="6C6D9D58" w14:textId="77777777" w:rsidR="003E245D" w:rsidRPr="003E245D" w:rsidRDefault="003E245D" w:rsidP="003E245D">
      <w:pPr>
        <w:spacing w:before="120" w:after="0" w:line="240" w:lineRule="auto"/>
        <w:rPr>
          <w:rFonts w:cstheme="minorHAnsi"/>
        </w:rPr>
      </w:pPr>
      <w:r w:rsidRPr="003E245D">
        <w:rPr>
          <w:rFonts w:cstheme="minorHAnsi"/>
        </w:rPr>
        <w:t xml:space="preserve">Nel Bacino Metropolitano sono presenti 312 comuni, di cui 98 sono classificati come intermedi, periferici e ultraperiferici secondo la classificazione delle aree interne 2021-2027. Di questi comuni 94 </w:t>
      </w:r>
      <w:r w:rsidRPr="003E245D">
        <w:rPr>
          <w:rFonts w:cstheme="minorHAnsi"/>
        </w:rPr>
        <w:lastRenderedPageBreak/>
        <w:t>hanno una quota di pendolarismo inferiore alle 3000 unità e una popolazione in età scolare (5-24 anni) e anziana (&gt;70 anni) superiore al 10%.</w:t>
      </w:r>
    </w:p>
    <w:p w14:paraId="443A2B16" w14:textId="77777777" w:rsidR="003E245D" w:rsidRPr="003E245D" w:rsidRDefault="003E245D" w:rsidP="003E245D">
      <w:pPr>
        <w:spacing w:before="120" w:after="0" w:line="240" w:lineRule="auto"/>
        <w:rPr>
          <w:rFonts w:cstheme="minorHAnsi"/>
        </w:rPr>
      </w:pPr>
      <w:r w:rsidRPr="003E245D">
        <w:rPr>
          <w:rFonts w:cstheme="minorHAnsi"/>
        </w:rPr>
        <w:t>A loro volta tra questi, 81 comuni presentano un'escursione altimetrica interna maggiore di 600 metri e sono quindi definiti a tutti gli effetti come comuni in area a domanda debole. Gli altri 13 comuni, con un'escursione altimetrica interna inferiore a 600 metri, richiedono una verifica della presenza di frazioni o contrade con una distanza reciproca maggiore di 1,5 km.</w:t>
      </w:r>
    </w:p>
    <w:p w14:paraId="0693B70C" w14:textId="77777777" w:rsidR="003E245D" w:rsidRPr="003E245D" w:rsidRDefault="003E245D" w:rsidP="003E245D">
      <w:pPr>
        <w:spacing w:before="120" w:after="0" w:line="240" w:lineRule="auto"/>
        <w:rPr>
          <w:rFonts w:cstheme="minorHAnsi"/>
        </w:rPr>
      </w:pPr>
      <w:r w:rsidRPr="003E245D">
        <w:rPr>
          <w:rFonts w:cstheme="minorHAnsi"/>
        </w:rPr>
        <w:t xml:space="preserve">Dall’analisi, considerando la piccola estensione dei territori comunali, spesso inferiore a un raggio di 1,5 km dal capoluogo, risultano esclusi molti comuni. Pertanto, i comuni con un'escursione altimetrica inferiore a 600 metri che rientrano nella definizione di area a domanda debole sono 11. </w:t>
      </w:r>
    </w:p>
    <w:p w14:paraId="6BE208D8" w14:textId="77777777" w:rsidR="003E245D" w:rsidRPr="003E245D" w:rsidRDefault="003E245D" w:rsidP="003E245D">
      <w:pPr>
        <w:spacing w:before="120" w:after="0" w:line="240" w:lineRule="auto"/>
        <w:rPr>
          <w:rFonts w:cstheme="minorHAnsi"/>
        </w:rPr>
      </w:pPr>
      <w:r w:rsidRPr="003E245D">
        <w:rPr>
          <w:rFonts w:cstheme="minorHAnsi"/>
        </w:rPr>
        <w:t>Pertanto, i comuni classificabili come comuni in Area a Domanda Debole sono 91 e sono elencati nella tabella seguente.</w:t>
      </w:r>
    </w:p>
    <w:p w14:paraId="597A3D3B" w14:textId="77777777" w:rsidR="003E245D" w:rsidRPr="003E245D" w:rsidRDefault="003E245D" w:rsidP="003E245D">
      <w:pPr>
        <w:spacing w:before="120" w:after="0" w:line="240" w:lineRule="auto"/>
        <w:rPr>
          <w:rFonts w:cstheme="minorHAnsi"/>
        </w:rPr>
      </w:pPr>
    </w:p>
    <w:tbl>
      <w:tblPr>
        <w:tblW w:w="6296" w:type="dxa"/>
        <w:jc w:val="center"/>
        <w:tblCellMar>
          <w:left w:w="70" w:type="dxa"/>
          <w:right w:w="70" w:type="dxa"/>
        </w:tblCellMar>
        <w:tblLook w:val="04A0" w:firstRow="1" w:lastRow="0" w:firstColumn="1" w:lastColumn="0" w:noHBand="0" w:noVBand="1"/>
      </w:tblPr>
      <w:tblGrid>
        <w:gridCol w:w="2092"/>
        <w:gridCol w:w="1004"/>
        <w:gridCol w:w="960"/>
        <w:gridCol w:w="1120"/>
        <w:gridCol w:w="1120"/>
      </w:tblGrid>
      <w:tr w:rsidR="003E245D" w:rsidRPr="003E245D" w14:paraId="3DBB5E90" w14:textId="77777777" w:rsidTr="00614C87">
        <w:trPr>
          <w:trHeight w:val="525"/>
          <w:jc w:val="center"/>
        </w:trPr>
        <w:tc>
          <w:tcPr>
            <w:tcW w:w="20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E3438"/>
            <w:vAlign w:val="center"/>
            <w:hideMark/>
          </w:tcPr>
          <w:p w14:paraId="418BD687" w14:textId="77777777" w:rsidR="003E245D" w:rsidRPr="003E245D" w:rsidRDefault="003E245D" w:rsidP="003E245D">
            <w:pPr>
              <w:spacing w:after="0" w:line="240" w:lineRule="auto"/>
              <w:jc w:val="center"/>
              <w:rPr>
                <w:rFonts w:eastAsia="Times New Roman" w:cstheme="minorHAnsi"/>
                <w:b/>
                <w:bCs/>
                <w:color w:val="FFFFFF" w:themeColor="background1"/>
                <w:sz w:val="20"/>
                <w:szCs w:val="20"/>
              </w:rPr>
            </w:pPr>
            <w:r w:rsidRPr="003E245D">
              <w:rPr>
                <w:rFonts w:eastAsia="Times New Roman" w:cstheme="minorHAnsi"/>
                <w:b/>
                <w:bCs/>
                <w:color w:val="FFFFFF" w:themeColor="background1"/>
                <w:sz w:val="20"/>
                <w:szCs w:val="20"/>
              </w:rPr>
              <w:t>Comune</w:t>
            </w:r>
          </w:p>
        </w:tc>
        <w:tc>
          <w:tcPr>
            <w:tcW w:w="10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E3438"/>
            <w:vAlign w:val="center"/>
            <w:hideMark/>
          </w:tcPr>
          <w:p w14:paraId="2CB1C792" w14:textId="77777777" w:rsidR="003E245D" w:rsidRPr="003E245D" w:rsidRDefault="003E245D" w:rsidP="003E245D">
            <w:pPr>
              <w:spacing w:after="0" w:line="240" w:lineRule="auto"/>
              <w:jc w:val="center"/>
              <w:rPr>
                <w:rFonts w:eastAsia="Times New Roman" w:cstheme="minorHAnsi"/>
                <w:b/>
                <w:bCs/>
                <w:color w:val="FFFFFF" w:themeColor="background1"/>
                <w:sz w:val="20"/>
                <w:szCs w:val="20"/>
              </w:rPr>
            </w:pPr>
            <w:r w:rsidRPr="003E245D">
              <w:rPr>
                <w:rFonts w:eastAsia="Times New Roman" w:cstheme="minorHAnsi"/>
                <w:b/>
                <w:bCs/>
                <w:color w:val="FFFFFF" w:themeColor="background1"/>
                <w:sz w:val="20"/>
                <w:szCs w:val="20"/>
              </w:rPr>
              <w:t>Quota capoluogo</w:t>
            </w:r>
          </w:p>
        </w:tc>
        <w:tc>
          <w:tcPr>
            <w:tcW w:w="9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E3438"/>
            <w:vAlign w:val="center"/>
            <w:hideMark/>
          </w:tcPr>
          <w:p w14:paraId="3B41ED4D" w14:textId="77777777" w:rsidR="003E245D" w:rsidRPr="003E245D" w:rsidRDefault="003E245D" w:rsidP="003E245D">
            <w:pPr>
              <w:spacing w:after="0" w:line="240" w:lineRule="auto"/>
              <w:jc w:val="center"/>
              <w:rPr>
                <w:rFonts w:eastAsia="Times New Roman" w:cstheme="minorHAnsi"/>
                <w:b/>
                <w:bCs/>
                <w:color w:val="FFFFFF" w:themeColor="background1"/>
                <w:sz w:val="20"/>
                <w:szCs w:val="20"/>
              </w:rPr>
            </w:pPr>
            <w:r w:rsidRPr="003E245D">
              <w:rPr>
                <w:rFonts w:eastAsia="Times New Roman" w:cstheme="minorHAnsi"/>
                <w:b/>
                <w:bCs/>
                <w:color w:val="FFFFFF" w:themeColor="background1"/>
                <w:sz w:val="20"/>
                <w:szCs w:val="20"/>
              </w:rPr>
              <w:t>Dislivello</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E3438"/>
            <w:vAlign w:val="center"/>
            <w:hideMark/>
          </w:tcPr>
          <w:p w14:paraId="6B3984D4" w14:textId="77777777" w:rsidR="003E245D" w:rsidRPr="003E245D" w:rsidRDefault="003E245D" w:rsidP="003E245D">
            <w:pPr>
              <w:spacing w:after="0" w:line="240" w:lineRule="auto"/>
              <w:jc w:val="center"/>
              <w:rPr>
                <w:rFonts w:eastAsia="Times New Roman" w:cstheme="minorHAnsi"/>
                <w:b/>
                <w:bCs/>
                <w:color w:val="FFFFFF" w:themeColor="background1"/>
                <w:sz w:val="20"/>
                <w:szCs w:val="20"/>
              </w:rPr>
            </w:pPr>
            <w:r w:rsidRPr="003E245D">
              <w:rPr>
                <w:rFonts w:eastAsia="Times New Roman" w:cstheme="minorHAnsi"/>
                <w:b/>
                <w:bCs/>
                <w:color w:val="FFFFFF" w:themeColor="background1"/>
                <w:sz w:val="20"/>
                <w:szCs w:val="20"/>
              </w:rPr>
              <w:t>Pop 2023</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E3438"/>
            <w:vAlign w:val="center"/>
            <w:hideMark/>
          </w:tcPr>
          <w:p w14:paraId="18A99B66" w14:textId="77777777" w:rsidR="003E245D" w:rsidRPr="003E245D" w:rsidRDefault="003E245D" w:rsidP="003E245D">
            <w:pPr>
              <w:spacing w:after="0" w:line="240" w:lineRule="auto"/>
              <w:jc w:val="center"/>
              <w:rPr>
                <w:rFonts w:eastAsia="Times New Roman" w:cstheme="minorHAnsi"/>
                <w:b/>
                <w:bCs/>
                <w:color w:val="FFFFFF" w:themeColor="background1"/>
                <w:sz w:val="20"/>
                <w:szCs w:val="20"/>
              </w:rPr>
            </w:pPr>
            <w:r w:rsidRPr="003E245D">
              <w:rPr>
                <w:rFonts w:eastAsia="Times New Roman" w:cstheme="minorHAnsi"/>
                <w:b/>
                <w:bCs/>
                <w:color w:val="FFFFFF" w:themeColor="background1"/>
                <w:sz w:val="20"/>
                <w:szCs w:val="20"/>
              </w:rPr>
              <w:t>Pop 11-84 anni 2023</w:t>
            </w:r>
          </w:p>
        </w:tc>
      </w:tr>
      <w:tr w:rsidR="003E245D" w:rsidRPr="003E245D" w14:paraId="1E725BF9" w14:textId="77777777" w:rsidTr="00614C87">
        <w:trPr>
          <w:trHeight w:val="315"/>
          <w:jc w:val="center"/>
        </w:trPr>
        <w:tc>
          <w:tcPr>
            <w:tcW w:w="20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5827913A" w14:textId="77777777" w:rsidR="003E245D" w:rsidRPr="003E245D" w:rsidRDefault="003E245D" w:rsidP="003E245D">
            <w:pPr>
              <w:spacing w:after="0" w:line="240" w:lineRule="auto"/>
              <w:jc w:val="left"/>
              <w:rPr>
                <w:rFonts w:eastAsia="Times New Roman" w:cstheme="minorHAnsi"/>
                <w:color w:val="000000"/>
                <w:sz w:val="20"/>
                <w:szCs w:val="20"/>
              </w:rPr>
            </w:pPr>
            <w:r w:rsidRPr="003E245D">
              <w:t>Ala di Stura</w:t>
            </w:r>
          </w:p>
        </w:tc>
        <w:tc>
          <w:tcPr>
            <w:tcW w:w="10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00FB52E3" w14:textId="77777777" w:rsidR="003E245D" w:rsidRPr="003E245D" w:rsidRDefault="003E245D" w:rsidP="003E245D">
            <w:pPr>
              <w:spacing w:after="0" w:line="240" w:lineRule="auto"/>
              <w:jc w:val="right"/>
              <w:rPr>
                <w:rFonts w:eastAsia="Times New Roman" w:cstheme="minorHAnsi"/>
                <w:color w:val="000000"/>
              </w:rPr>
            </w:pPr>
            <w:r w:rsidRPr="003E245D">
              <w:t>1.069</w:t>
            </w:r>
          </w:p>
        </w:tc>
        <w:tc>
          <w:tcPr>
            <w:tcW w:w="9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44A788C2" w14:textId="77777777" w:rsidR="003E245D" w:rsidRPr="003E245D" w:rsidRDefault="003E245D" w:rsidP="003E245D">
            <w:pPr>
              <w:spacing w:after="0" w:line="240" w:lineRule="auto"/>
              <w:jc w:val="right"/>
              <w:rPr>
                <w:rFonts w:eastAsia="Times New Roman" w:cstheme="minorHAnsi"/>
                <w:color w:val="000000"/>
              </w:rPr>
            </w:pPr>
            <w:r w:rsidRPr="003E245D">
              <w:t>2.068</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6A366074" w14:textId="77777777" w:rsidR="003E245D" w:rsidRPr="003E245D" w:rsidRDefault="003E245D" w:rsidP="003E245D">
            <w:pPr>
              <w:spacing w:after="0" w:line="240" w:lineRule="auto"/>
              <w:jc w:val="right"/>
              <w:rPr>
                <w:rFonts w:eastAsia="Times New Roman" w:cstheme="minorHAnsi"/>
                <w:color w:val="000000"/>
              </w:rPr>
            </w:pPr>
            <w:r w:rsidRPr="003E245D">
              <w:t>465</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431F2F9C" w14:textId="77777777" w:rsidR="003E245D" w:rsidRPr="003E245D" w:rsidRDefault="003E245D" w:rsidP="003E245D">
            <w:pPr>
              <w:spacing w:after="0" w:line="240" w:lineRule="auto"/>
              <w:jc w:val="right"/>
              <w:rPr>
                <w:rFonts w:eastAsia="Times New Roman" w:cstheme="minorHAnsi"/>
                <w:color w:val="000000"/>
              </w:rPr>
            </w:pPr>
            <w:r w:rsidRPr="003E245D">
              <w:t>414</w:t>
            </w:r>
          </w:p>
        </w:tc>
      </w:tr>
      <w:tr w:rsidR="003E245D" w:rsidRPr="003E245D" w14:paraId="77AAE7D8" w14:textId="77777777" w:rsidTr="00614C87">
        <w:trPr>
          <w:trHeight w:val="315"/>
          <w:jc w:val="center"/>
        </w:trPr>
        <w:tc>
          <w:tcPr>
            <w:tcW w:w="20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243F334E" w14:textId="77777777" w:rsidR="003E245D" w:rsidRPr="003E245D" w:rsidRDefault="003E245D" w:rsidP="003E245D">
            <w:pPr>
              <w:spacing w:after="0" w:line="240" w:lineRule="auto"/>
              <w:jc w:val="left"/>
              <w:rPr>
                <w:rFonts w:eastAsia="Times New Roman" w:cstheme="minorHAnsi"/>
                <w:color w:val="000000"/>
                <w:sz w:val="20"/>
                <w:szCs w:val="20"/>
              </w:rPr>
            </w:pPr>
            <w:r w:rsidRPr="003E245D">
              <w:t>Alpette</w:t>
            </w:r>
          </w:p>
        </w:tc>
        <w:tc>
          <w:tcPr>
            <w:tcW w:w="10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279FF4A1" w14:textId="77777777" w:rsidR="003E245D" w:rsidRPr="003E245D" w:rsidRDefault="003E245D" w:rsidP="003E245D">
            <w:pPr>
              <w:spacing w:after="0" w:line="240" w:lineRule="auto"/>
              <w:jc w:val="right"/>
              <w:rPr>
                <w:rFonts w:eastAsia="Times New Roman" w:cstheme="minorHAnsi"/>
                <w:color w:val="000000"/>
              </w:rPr>
            </w:pPr>
            <w:r w:rsidRPr="003E245D">
              <w:t>961</w:t>
            </w:r>
          </w:p>
        </w:tc>
        <w:tc>
          <w:tcPr>
            <w:tcW w:w="9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3E788E4B" w14:textId="77777777" w:rsidR="003E245D" w:rsidRPr="003E245D" w:rsidRDefault="003E245D" w:rsidP="003E245D">
            <w:pPr>
              <w:spacing w:after="0" w:line="240" w:lineRule="auto"/>
              <w:jc w:val="right"/>
              <w:rPr>
                <w:rFonts w:eastAsia="Times New Roman" w:cstheme="minorHAnsi"/>
                <w:color w:val="000000"/>
              </w:rPr>
            </w:pPr>
            <w:r w:rsidRPr="003E245D">
              <w:t>1.193</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31F7A9DD" w14:textId="77777777" w:rsidR="003E245D" w:rsidRPr="003E245D" w:rsidRDefault="003E245D" w:rsidP="003E245D">
            <w:pPr>
              <w:spacing w:after="0" w:line="240" w:lineRule="auto"/>
              <w:jc w:val="right"/>
              <w:rPr>
                <w:rFonts w:eastAsia="Times New Roman" w:cstheme="minorHAnsi"/>
                <w:color w:val="000000"/>
              </w:rPr>
            </w:pPr>
            <w:r w:rsidRPr="003E245D">
              <w:t>251</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053C5C3B" w14:textId="77777777" w:rsidR="003E245D" w:rsidRPr="003E245D" w:rsidRDefault="003E245D" w:rsidP="003E245D">
            <w:pPr>
              <w:spacing w:after="0" w:line="240" w:lineRule="auto"/>
              <w:jc w:val="right"/>
              <w:rPr>
                <w:rFonts w:eastAsia="Times New Roman" w:cstheme="minorHAnsi"/>
                <w:color w:val="000000"/>
              </w:rPr>
            </w:pPr>
            <w:r w:rsidRPr="003E245D">
              <w:t>230</w:t>
            </w:r>
          </w:p>
        </w:tc>
      </w:tr>
      <w:tr w:rsidR="003E245D" w:rsidRPr="003E245D" w14:paraId="1DD1BD9A" w14:textId="77777777" w:rsidTr="00614C87">
        <w:trPr>
          <w:trHeight w:val="315"/>
          <w:jc w:val="center"/>
        </w:trPr>
        <w:tc>
          <w:tcPr>
            <w:tcW w:w="20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728D544F" w14:textId="77777777" w:rsidR="003E245D" w:rsidRPr="003E245D" w:rsidRDefault="003E245D" w:rsidP="003E245D">
            <w:pPr>
              <w:spacing w:after="0" w:line="240" w:lineRule="auto"/>
              <w:jc w:val="left"/>
              <w:rPr>
                <w:rFonts w:eastAsia="Times New Roman" w:cstheme="minorHAnsi"/>
                <w:color w:val="000000"/>
                <w:sz w:val="20"/>
                <w:szCs w:val="20"/>
              </w:rPr>
            </w:pPr>
            <w:r w:rsidRPr="003E245D">
              <w:t>Angrogna</w:t>
            </w:r>
          </w:p>
        </w:tc>
        <w:tc>
          <w:tcPr>
            <w:tcW w:w="10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32E84ADE" w14:textId="77777777" w:rsidR="003E245D" w:rsidRPr="003E245D" w:rsidRDefault="003E245D" w:rsidP="003E245D">
            <w:pPr>
              <w:spacing w:after="0" w:line="240" w:lineRule="auto"/>
              <w:jc w:val="right"/>
              <w:rPr>
                <w:rFonts w:eastAsia="Times New Roman" w:cstheme="minorHAnsi"/>
                <w:color w:val="000000"/>
              </w:rPr>
            </w:pPr>
            <w:r w:rsidRPr="003E245D">
              <w:t>759</w:t>
            </w:r>
          </w:p>
        </w:tc>
        <w:tc>
          <w:tcPr>
            <w:tcW w:w="9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148CFD58" w14:textId="77777777" w:rsidR="003E245D" w:rsidRPr="003E245D" w:rsidRDefault="003E245D" w:rsidP="003E245D">
            <w:pPr>
              <w:spacing w:after="0" w:line="240" w:lineRule="auto"/>
              <w:jc w:val="right"/>
              <w:rPr>
                <w:rFonts w:eastAsia="Times New Roman" w:cstheme="minorHAnsi"/>
                <w:color w:val="000000"/>
              </w:rPr>
            </w:pPr>
            <w:r w:rsidRPr="003E245D">
              <w:t>2.288</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7FDFD283" w14:textId="77777777" w:rsidR="003E245D" w:rsidRPr="003E245D" w:rsidRDefault="003E245D" w:rsidP="003E245D">
            <w:pPr>
              <w:spacing w:after="0" w:line="240" w:lineRule="auto"/>
              <w:jc w:val="right"/>
              <w:rPr>
                <w:rFonts w:eastAsia="Times New Roman" w:cstheme="minorHAnsi"/>
                <w:color w:val="000000"/>
              </w:rPr>
            </w:pPr>
            <w:r w:rsidRPr="003E245D">
              <w:t>810</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489BD89C" w14:textId="77777777" w:rsidR="003E245D" w:rsidRPr="003E245D" w:rsidRDefault="003E245D" w:rsidP="003E245D">
            <w:pPr>
              <w:spacing w:after="0" w:line="240" w:lineRule="auto"/>
              <w:jc w:val="right"/>
              <w:rPr>
                <w:rFonts w:eastAsia="Times New Roman" w:cstheme="minorHAnsi"/>
                <w:color w:val="000000"/>
              </w:rPr>
            </w:pPr>
            <w:r w:rsidRPr="003E245D">
              <w:t>738</w:t>
            </w:r>
          </w:p>
        </w:tc>
      </w:tr>
      <w:tr w:rsidR="003E245D" w:rsidRPr="003E245D" w14:paraId="4068DDC5" w14:textId="77777777" w:rsidTr="00614C87">
        <w:trPr>
          <w:trHeight w:val="315"/>
          <w:jc w:val="center"/>
        </w:trPr>
        <w:tc>
          <w:tcPr>
            <w:tcW w:w="20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12638A20" w14:textId="77777777" w:rsidR="003E245D" w:rsidRPr="003E245D" w:rsidRDefault="003E245D" w:rsidP="003E245D">
            <w:pPr>
              <w:spacing w:after="0" w:line="240" w:lineRule="auto"/>
              <w:jc w:val="left"/>
              <w:rPr>
                <w:rFonts w:eastAsia="Times New Roman" w:cstheme="minorHAnsi"/>
                <w:color w:val="000000"/>
                <w:sz w:val="20"/>
                <w:szCs w:val="20"/>
              </w:rPr>
            </w:pPr>
            <w:r w:rsidRPr="003E245D">
              <w:t>Balme</w:t>
            </w:r>
          </w:p>
        </w:tc>
        <w:tc>
          <w:tcPr>
            <w:tcW w:w="10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0FB6A48D" w14:textId="77777777" w:rsidR="003E245D" w:rsidRPr="003E245D" w:rsidRDefault="003E245D" w:rsidP="003E245D">
            <w:pPr>
              <w:spacing w:after="0" w:line="240" w:lineRule="auto"/>
              <w:jc w:val="right"/>
              <w:rPr>
                <w:rFonts w:eastAsia="Times New Roman" w:cstheme="minorHAnsi"/>
                <w:color w:val="000000"/>
              </w:rPr>
            </w:pPr>
            <w:r w:rsidRPr="003E245D">
              <w:t>1.439</w:t>
            </w:r>
          </w:p>
        </w:tc>
        <w:tc>
          <w:tcPr>
            <w:tcW w:w="9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6CD36E2A" w14:textId="77777777" w:rsidR="003E245D" w:rsidRPr="003E245D" w:rsidRDefault="003E245D" w:rsidP="003E245D">
            <w:pPr>
              <w:spacing w:after="0" w:line="240" w:lineRule="auto"/>
              <w:jc w:val="right"/>
              <w:rPr>
                <w:rFonts w:eastAsia="Times New Roman" w:cstheme="minorHAnsi"/>
                <w:color w:val="000000"/>
              </w:rPr>
            </w:pPr>
            <w:r w:rsidRPr="003E245D">
              <w:t>2.351</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06364343" w14:textId="77777777" w:rsidR="003E245D" w:rsidRPr="003E245D" w:rsidRDefault="003E245D" w:rsidP="003E245D">
            <w:pPr>
              <w:spacing w:after="0" w:line="240" w:lineRule="auto"/>
              <w:jc w:val="right"/>
              <w:rPr>
                <w:rFonts w:eastAsia="Times New Roman" w:cstheme="minorHAnsi"/>
                <w:color w:val="000000"/>
              </w:rPr>
            </w:pPr>
            <w:r w:rsidRPr="003E245D">
              <w:t>105</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6ABF1A82" w14:textId="77777777" w:rsidR="003E245D" w:rsidRPr="003E245D" w:rsidRDefault="003E245D" w:rsidP="003E245D">
            <w:pPr>
              <w:spacing w:after="0" w:line="240" w:lineRule="auto"/>
              <w:jc w:val="right"/>
              <w:rPr>
                <w:rFonts w:eastAsia="Times New Roman" w:cstheme="minorHAnsi"/>
                <w:color w:val="000000"/>
              </w:rPr>
            </w:pPr>
            <w:r w:rsidRPr="003E245D">
              <w:t>97</w:t>
            </w:r>
          </w:p>
        </w:tc>
      </w:tr>
      <w:tr w:rsidR="003E245D" w:rsidRPr="003E245D" w14:paraId="3D30B7B5" w14:textId="77777777" w:rsidTr="00614C87">
        <w:trPr>
          <w:trHeight w:val="315"/>
          <w:jc w:val="center"/>
        </w:trPr>
        <w:tc>
          <w:tcPr>
            <w:tcW w:w="20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1210A1AA" w14:textId="77777777" w:rsidR="003E245D" w:rsidRPr="003E245D" w:rsidRDefault="003E245D" w:rsidP="003E245D">
            <w:pPr>
              <w:spacing w:after="0" w:line="240" w:lineRule="auto"/>
              <w:jc w:val="left"/>
              <w:rPr>
                <w:rFonts w:eastAsia="Times New Roman" w:cstheme="minorHAnsi"/>
                <w:color w:val="000000"/>
                <w:sz w:val="20"/>
                <w:szCs w:val="20"/>
              </w:rPr>
            </w:pPr>
            <w:r w:rsidRPr="003E245D">
              <w:t>Barbania</w:t>
            </w:r>
          </w:p>
        </w:tc>
        <w:tc>
          <w:tcPr>
            <w:tcW w:w="10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2316BB18" w14:textId="77777777" w:rsidR="003E245D" w:rsidRPr="003E245D" w:rsidRDefault="003E245D" w:rsidP="003E245D">
            <w:pPr>
              <w:spacing w:after="0" w:line="240" w:lineRule="auto"/>
              <w:jc w:val="right"/>
              <w:rPr>
                <w:rFonts w:eastAsia="Times New Roman" w:cstheme="minorHAnsi"/>
                <w:color w:val="000000"/>
              </w:rPr>
            </w:pPr>
            <w:r w:rsidRPr="003E245D">
              <w:t>356</w:t>
            </w:r>
          </w:p>
        </w:tc>
        <w:tc>
          <w:tcPr>
            <w:tcW w:w="9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3A14545F" w14:textId="77777777" w:rsidR="003E245D" w:rsidRPr="003E245D" w:rsidRDefault="003E245D" w:rsidP="003E245D">
            <w:pPr>
              <w:spacing w:after="0" w:line="240" w:lineRule="auto"/>
              <w:jc w:val="right"/>
              <w:rPr>
                <w:rFonts w:eastAsia="Times New Roman" w:cstheme="minorHAnsi"/>
                <w:color w:val="000000"/>
              </w:rPr>
            </w:pPr>
            <w:r w:rsidRPr="003E245D">
              <w:t>150</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38F59362" w14:textId="77777777" w:rsidR="003E245D" w:rsidRPr="003E245D" w:rsidRDefault="003E245D" w:rsidP="003E245D">
            <w:pPr>
              <w:spacing w:after="0" w:line="240" w:lineRule="auto"/>
              <w:jc w:val="right"/>
              <w:rPr>
                <w:rFonts w:eastAsia="Times New Roman" w:cstheme="minorHAnsi"/>
                <w:color w:val="000000"/>
              </w:rPr>
            </w:pPr>
            <w:r w:rsidRPr="003E245D">
              <w:t>1.563</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4023EC65" w14:textId="77777777" w:rsidR="003E245D" w:rsidRPr="003E245D" w:rsidRDefault="003E245D" w:rsidP="003E245D">
            <w:pPr>
              <w:spacing w:after="0" w:line="240" w:lineRule="auto"/>
              <w:jc w:val="right"/>
              <w:rPr>
                <w:rFonts w:eastAsia="Times New Roman" w:cstheme="minorHAnsi"/>
                <w:color w:val="000000"/>
              </w:rPr>
            </w:pPr>
            <w:r w:rsidRPr="003E245D">
              <w:t>1.380</w:t>
            </w:r>
          </w:p>
        </w:tc>
      </w:tr>
      <w:tr w:rsidR="003E245D" w:rsidRPr="003E245D" w14:paraId="1E9095AB" w14:textId="77777777" w:rsidTr="00614C87">
        <w:trPr>
          <w:trHeight w:val="315"/>
          <w:jc w:val="center"/>
        </w:trPr>
        <w:tc>
          <w:tcPr>
            <w:tcW w:w="20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11046C81" w14:textId="77777777" w:rsidR="003E245D" w:rsidRPr="003E245D" w:rsidRDefault="003E245D" w:rsidP="003E245D">
            <w:pPr>
              <w:spacing w:after="0" w:line="240" w:lineRule="auto"/>
              <w:jc w:val="left"/>
              <w:rPr>
                <w:rFonts w:eastAsia="Times New Roman" w:cstheme="minorHAnsi"/>
                <w:color w:val="000000"/>
                <w:sz w:val="20"/>
                <w:szCs w:val="20"/>
              </w:rPr>
            </w:pPr>
            <w:r w:rsidRPr="003E245D">
              <w:t>Bardonecchia</w:t>
            </w:r>
          </w:p>
        </w:tc>
        <w:tc>
          <w:tcPr>
            <w:tcW w:w="10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71C34ADB" w14:textId="77777777" w:rsidR="003E245D" w:rsidRPr="003E245D" w:rsidRDefault="003E245D" w:rsidP="003E245D">
            <w:pPr>
              <w:spacing w:after="0" w:line="240" w:lineRule="auto"/>
              <w:jc w:val="right"/>
              <w:rPr>
                <w:rFonts w:eastAsia="Times New Roman" w:cstheme="minorHAnsi"/>
                <w:color w:val="000000"/>
              </w:rPr>
            </w:pPr>
            <w:r w:rsidRPr="003E245D">
              <w:t>1.286</w:t>
            </w:r>
          </w:p>
        </w:tc>
        <w:tc>
          <w:tcPr>
            <w:tcW w:w="9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6C1BA406" w14:textId="77777777" w:rsidR="003E245D" w:rsidRPr="003E245D" w:rsidRDefault="003E245D" w:rsidP="003E245D">
            <w:pPr>
              <w:spacing w:after="0" w:line="240" w:lineRule="auto"/>
              <w:jc w:val="right"/>
              <w:rPr>
                <w:rFonts w:eastAsia="Times New Roman" w:cstheme="minorHAnsi"/>
                <w:color w:val="000000"/>
              </w:rPr>
            </w:pPr>
            <w:r w:rsidRPr="003E245D">
              <w:t>2.306</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7B706CBE" w14:textId="77777777" w:rsidR="003E245D" w:rsidRPr="003E245D" w:rsidRDefault="003E245D" w:rsidP="003E245D">
            <w:pPr>
              <w:spacing w:after="0" w:line="240" w:lineRule="auto"/>
              <w:jc w:val="right"/>
              <w:rPr>
                <w:rFonts w:eastAsia="Times New Roman" w:cstheme="minorHAnsi"/>
                <w:color w:val="000000"/>
              </w:rPr>
            </w:pPr>
            <w:r w:rsidRPr="003E245D">
              <w:t>3.028</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2308AAE3" w14:textId="77777777" w:rsidR="003E245D" w:rsidRPr="003E245D" w:rsidRDefault="003E245D" w:rsidP="003E245D">
            <w:pPr>
              <w:spacing w:after="0" w:line="240" w:lineRule="auto"/>
              <w:jc w:val="right"/>
              <w:rPr>
                <w:rFonts w:eastAsia="Times New Roman" w:cstheme="minorHAnsi"/>
                <w:color w:val="000000"/>
              </w:rPr>
            </w:pPr>
            <w:r w:rsidRPr="003E245D">
              <w:t>2.695</w:t>
            </w:r>
          </w:p>
        </w:tc>
      </w:tr>
      <w:tr w:rsidR="003E245D" w:rsidRPr="003E245D" w14:paraId="553579EE" w14:textId="77777777" w:rsidTr="00614C87">
        <w:trPr>
          <w:trHeight w:val="315"/>
          <w:jc w:val="center"/>
        </w:trPr>
        <w:tc>
          <w:tcPr>
            <w:tcW w:w="20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2BCA7460" w14:textId="77777777" w:rsidR="003E245D" w:rsidRPr="003E245D" w:rsidRDefault="003E245D" w:rsidP="003E245D">
            <w:pPr>
              <w:spacing w:after="0" w:line="240" w:lineRule="auto"/>
              <w:jc w:val="left"/>
              <w:rPr>
                <w:rFonts w:eastAsia="Times New Roman" w:cstheme="minorHAnsi"/>
                <w:color w:val="000000"/>
                <w:sz w:val="20"/>
                <w:szCs w:val="20"/>
              </w:rPr>
            </w:pPr>
            <w:r w:rsidRPr="003E245D">
              <w:t>Bobbio Pellice</w:t>
            </w:r>
          </w:p>
        </w:tc>
        <w:tc>
          <w:tcPr>
            <w:tcW w:w="10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10DF43A5" w14:textId="77777777" w:rsidR="003E245D" w:rsidRPr="003E245D" w:rsidRDefault="003E245D" w:rsidP="003E245D">
            <w:pPr>
              <w:spacing w:after="0" w:line="240" w:lineRule="auto"/>
              <w:jc w:val="right"/>
              <w:rPr>
                <w:rFonts w:eastAsia="Times New Roman" w:cstheme="minorHAnsi"/>
                <w:color w:val="000000"/>
              </w:rPr>
            </w:pPr>
            <w:r w:rsidRPr="003E245D">
              <w:t>741</w:t>
            </w:r>
          </w:p>
        </w:tc>
        <w:tc>
          <w:tcPr>
            <w:tcW w:w="9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6032D054" w14:textId="77777777" w:rsidR="003E245D" w:rsidRPr="003E245D" w:rsidRDefault="003E245D" w:rsidP="003E245D">
            <w:pPr>
              <w:spacing w:after="0" w:line="240" w:lineRule="auto"/>
              <w:jc w:val="right"/>
              <w:rPr>
                <w:rFonts w:eastAsia="Times New Roman" w:cstheme="minorHAnsi"/>
                <w:color w:val="000000"/>
              </w:rPr>
            </w:pPr>
            <w:r w:rsidRPr="003E245D">
              <w:t>2.481</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186F19FC" w14:textId="77777777" w:rsidR="003E245D" w:rsidRPr="003E245D" w:rsidRDefault="003E245D" w:rsidP="003E245D">
            <w:pPr>
              <w:spacing w:after="0" w:line="240" w:lineRule="auto"/>
              <w:jc w:val="right"/>
              <w:rPr>
                <w:rFonts w:eastAsia="Times New Roman" w:cstheme="minorHAnsi"/>
                <w:color w:val="000000"/>
              </w:rPr>
            </w:pPr>
            <w:r w:rsidRPr="003E245D">
              <w:t>536</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7944887F" w14:textId="77777777" w:rsidR="003E245D" w:rsidRPr="003E245D" w:rsidRDefault="003E245D" w:rsidP="003E245D">
            <w:pPr>
              <w:spacing w:after="0" w:line="240" w:lineRule="auto"/>
              <w:jc w:val="right"/>
              <w:rPr>
                <w:rFonts w:eastAsia="Times New Roman" w:cstheme="minorHAnsi"/>
                <w:color w:val="000000"/>
              </w:rPr>
            </w:pPr>
            <w:r w:rsidRPr="003E245D">
              <w:t>462</w:t>
            </w:r>
          </w:p>
        </w:tc>
      </w:tr>
      <w:tr w:rsidR="003E245D" w:rsidRPr="003E245D" w14:paraId="73E3B635" w14:textId="77777777" w:rsidTr="00614C87">
        <w:trPr>
          <w:trHeight w:val="315"/>
          <w:jc w:val="center"/>
        </w:trPr>
        <w:tc>
          <w:tcPr>
            <w:tcW w:w="20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7F937ACC" w14:textId="77777777" w:rsidR="003E245D" w:rsidRPr="003E245D" w:rsidRDefault="003E245D" w:rsidP="003E245D">
            <w:pPr>
              <w:spacing w:after="0" w:line="240" w:lineRule="auto"/>
              <w:jc w:val="left"/>
              <w:rPr>
                <w:rFonts w:eastAsia="Times New Roman" w:cstheme="minorHAnsi"/>
                <w:color w:val="000000"/>
                <w:sz w:val="20"/>
                <w:szCs w:val="20"/>
              </w:rPr>
            </w:pPr>
            <w:r w:rsidRPr="003E245D">
              <w:t>Borgiallo</w:t>
            </w:r>
          </w:p>
        </w:tc>
        <w:tc>
          <w:tcPr>
            <w:tcW w:w="10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57DACE0F" w14:textId="77777777" w:rsidR="003E245D" w:rsidRPr="003E245D" w:rsidRDefault="003E245D" w:rsidP="003E245D">
            <w:pPr>
              <w:spacing w:after="0" w:line="240" w:lineRule="auto"/>
              <w:jc w:val="right"/>
              <w:rPr>
                <w:rFonts w:eastAsia="Times New Roman" w:cstheme="minorHAnsi"/>
                <w:color w:val="000000"/>
              </w:rPr>
            </w:pPr>
            <w:r w:rsidRPr="003E245D">
              <w:t>571</w:t>
            </w:r>
          </w:p>
        </w:tc>
        <w:tc>
          <w:tcPr>
            <w:tcW w:w="9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001FE94C" w14:textId="77777777" w:rsidR="003E245D" w:rsidRPr="003E245D" w:rsidRDefault="003E245D" w:rsidP="003E245D">
            <w:pPr>
              <w:spacing w:after="0" w:line="240" w:lineRule="auto"/>
              <w:jc w:val="right"/>
              <w:rPr>
                <w:rFonts w:eastAsia="Times New Roman" w:cstheme="minorHAnsi"/>
                <w:color w:val="000000"/>
              </w:rPr>
            </w:pPr>
            <w:r w:rsidRPr="003E245D">
              <w:t>1.804</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6345C5E6" w14:textId="77777777" w:rsidR="003E245D" w:rsidRPr="003E245D" w:rsidRDefault="003E245D" w:rsidP="003E245D">
            <w:pPr>
              <w:spacing w:after="0" w:line="240" w:lineRule="auto"/>
              <w:jc w:val="right"/>
              <w:rPr>
                <w:rFonts w:eastAsia="Times New Roman" w:cstheme="minorHAnsi"/>
                <w:color w:val="000000"/>
              </w:rPr>
            </w:pPr>
            <w:r w:rsidRPr="003E245D">
              <w:t>579</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06C5F8BA" w14:textId="77777777" w:rsidR="003E245D" w:rsidRPr="003E245D" w:rsidRDefault="003E245D" w:rsidP="003E245D">
            <w:pPr>
              <w:spacing w:after="0" w:line="240" w:lineRule="auto"/>
              <w:jc w:val="right"/>
              <w:rPr>
                <w:rFonts w:eastAsia="Times New Roman" w:cstheme="minorHAnsi"/>
                <w:color w:val="000000"/>
              </w:rPr>
            </w:pPr>
            <w:r w:rsidRPr="003E245D">
              <w:t>490</w:t>
            </w:r>
          </w:p>
        </w:tc>
      </w:tr>
      <w:tr w:rsidR="003E245D" w:rsidRPr="003E245D" w14:paraId="3BB370FF" w14:textId="77777777" w:rsidTr="00614C87">
        <w:trPr>
          <w:trHeight w:val="315"/>
          <w:jc w:val="center"/>
        </w:trPr>
        <w:tc>
          <w:tcPr>
            <w:tcW w:w="20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01D209C4" w14:textId="77777777" w:rsidR="003E245D" w:rsidRPr="003E245D" w:rsidRDefault="003E245D" w:rsidP="003E245D">
            <w:pPr>
              <w:spacing w:after="0" w:line="240" w:lineRule="auto"/>
              <w:jc w:val="left"/>
              <w:rPr>
                <w:rFonts w:eastAsia="Times New Roman" w:cstheme="minorHAnsi"/>
                <w:color w:val="000000"/>
                <w:sz w:val="20"/>
                <w:szCs w:val="20"/>
              </w:rPr>
            </w:pPr>
            <w:r w:rsidRPr="003E245D">
              <w:t>Brosso</w:t>
            </w:r>
          </w:p>
        </w:tc>
        <w:tc>
          <w:tcPr>
            <w:tcW w:w="10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71CD5714" w14:textId="77777777" w:rsidR="003E245D" w:rsidRPr="003E245D" w:rsidRDefault="003E245D" w:rsidP="003E245D">
            <w:pPr>
              <w:spacing w:after="0" w:line="240" w:lineRule="auto"/>
              <w:jc w:val="right"/>
              <w:rPr>
                <w:rFonts w:eastAsia="Times New Roman" w:cstheme="minorHAnsi"/>
                <w:color w:val="000000"/>
              </w:rPr>
            </w:pPr>
            <w:r w:rsidRPr="003E245D">
              <w:t>766</w:t>
            </w:r>
          </w:p>
        </w:tc>
        <w:tc>
          <w:tcPr>
            <w:tcW w:w="9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6D9280EB" w14:textId="77777777" w:rsidR="003E245D" w:rsidRPr="003E245D" w:rsidRDefault="003E245D" w:rsidP="003E245D">
            <w:pPr>
              <w:spacing w:after="0" w:line="240" w:lineRule="auto"/>
              <w:jc w:val="right"/>
              <w:rPr>
                <w:rFonts w:eastAsia="Times New Roman" w:cstheme="minorHAnsi"/>
                <w:color w:val="000000"/>
              </w:rPr>
            </w:pPr>
            <w:r w:rsidRPr="003E245D">
              <w:t>1.404</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2868A272" w14:textId="77777777" w:rsidR="003E245D" w:rsidRPr="003E245D" w:rsidRDefault="003E245D" w:rsidP="003E245D">
            <w:pPr>
              <w:spacing w:after="0" w:line="240" w:lineRule="auto"/>
              <w:jc w:val="right"/>
              <w:rPr>
                <w:rFonts w:eastAsia="Times New Roman" w:cstheme="minorHAnsi"/>
                <w:color w:val="000000"/>
              </w:rPr>
            </w:pPr>
            <w:r w:rsidRPr="003E245D">
              <w:t>391</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512CB89E" w14:textId="77777777" w:rsidR="003E245D" w:rsidRPr="003E245D" w:rsidRDefault="003E245D" w:rsidP="003E245D">
            <w:pPr>
              <w:spacing w:after="0" w:line="240" w:lineRule="auto"/>
              <w:jc w:val="right"/>
              <w:rPr>
                <w:rFonts w:eastAsia="Times New Roman" w:cstheme="minorHAnsi"/>
                <w:color w:val="000000"/>
              </w:rPr>
            </w:pPr>
            <w:r w:rsidRPr="003E245D">
              <w:t>349</w:t>
            </w:r>
          </w:p>
        </w:tc>
      </w:tr>
      <w:tr w:rsidR="003E245D" w:rsidRPr="003E245D" w14:paraId="3B7ED41B" w14:textId="77777777" w:rsidTr="00614C87">
        <w:trPr>
          <w:trHeight w:val="315"/>
          <w:jc w:val="center"/>
        </w:trPr>
        <w:tc>
          <w:tcPr>
            <w:tcW w:w="20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6E02BA2E" w14:textId="77777777" w:rsidR="003E245D" w:rsidRPr="003E245D" w:rsidRDefault="003E245D" w:rsidP="003E245D">
            <w:pPr>
              <w:spacing w:after="0" w:line="240" w:lineRule="auto"/>
              <w:jc w:val="left"/>
              <w:rPr>
                <w:rFonts w:eastAsia="Times New Roman" w:cstheme="minorHAnsi"/>
                <w:color w:val="000000"/>
                <w:sz w:val="20"/>
                <w:szCs w:val="20"/>
              </w:rPr>
            </w:pPr>
            <w:r w:rsidRPr="003E245D">
              <w:t>Busano</w:t>
            </w:r>
          </w:p>
        </w:tc>
        <w:tc>
          <w:tcPr>
            <w:tcW w:w="10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79AD64DA" w14:textId="77777777" w:rsidR="003E245D" w:rsidRPr="003E245D" w:rsidRDefault="003E245D" w:rsidP="003E245D">
            <w:pPr>
              <w:spacing w:after="0" w:line="240" w:lineRule="auto"/>
              <w:jc w:val="right"/>
              <w:rPr>
                <w:rFonts w:eastAsia="Times New Roman" w:cstheme="minorHAnsi"/>
                <w:color w:val="000000"/>
              </w:rPr>
            </w:pPr>
            <w:r w:rsidRPr="003E245D">
              <w:t>315</w:t>
            </w:r>
          </w:p>
        </w:tc>
        <w:tc>
          <w:tcPr>
            <w:tcW w:w="9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0C030000" w14:textId="77777777" w:rsidR="003E245D" w:rsidRPr="003E245D" w:rsidRDefault="003E245D" w:rsidP="003E245D">
            <w:pPr>
              <w:spacing w:after="0" w:line="240" w:lineRule="auto"/>
              <w:jc w:val="right"/>
              <w:rPr>
                <w:rFonts w:eastAsia="Times New Roman" w:cstheme="minorHAnsi"/>
                <w:color w:val="000000"/>
              </w:rPr>
            </w:pPr>
            <w:r w:rsidRPr="003E245D">
              <w:t>48</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6A23BCC4" w14:textId="77777777" w:rsidR="003E245D" w:rsidRPr="003E245D" w:rsidRDefault="003E245D" w:rsidP="003E245D">
            <w:pPr>
              <w:spacing w:after="0" w:line="240" w:lineRule="auto"/>
              <w:jc w:val="right"/>
              <w:rPr>
                <w:rFonts w:eastAsia="Times New Roman" w:cstheme="minorHAnsi"/>
                <w:color w:val="000000"/>
              </w:rPr>
            </w:pPr>
            <w:r w:rsidRPr="003E245D">
              <w:t>1.595</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780D90F4" w14:textId="77777777" w:rsidR="003E245D" w:rsidRPr="003E245D" w:rsidRDefault="003E245D" w:rsidP="003E245D">
            <w:pPr>
              <w:spacing w:after="0" w:line="240" w:lineRule="auto"/>
              <w:jc w:val="right"/>
              <w:rPr>
                <w:rFonts w:eastAsia="Times New Roman" w:cstheme="minorHAnsi"/>
                <w:color w:val="000000"/>
              </w:rPr>
            </w:pPr>
            <w:r w:rsidRPr="003E245D">
              <w:t>1.383</w:t>
            </w:r>
          </w:p>
        </w:tc>
      </w:tr>
      <w:tr w:rsidR="003E245D" w:rsidRPr="003E245D" w14:paraId="7D038FE0" w14:textId="77777777" w:rsidTr="00614C87">
        <w:trPr>
          <w:trHeight w:val="315"/>
          <w:jc w:val="center"/>
        </w:trPr>
        <w:tc>
          <w:tcPr>
            <w:tcW w:w="20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0B9BE634" w14:textId="77777777" w:rsidR="003E245D" w:rsidRPr="003E245D" w:rsidRDefault="003E245D" w:rsidP="003E245D">
            <w:pPr>
              <w:spacing w:after="0" w:line="240" w:lineRule="auto"/>
              <w:jc w:val="left"/>
              <w:rPr>
                <w:rFonts w:eastAsia="Times New Roman" w:cstheme="minorHAnsi"/>
                <w:color w:val="000000"/>
                <w:sz w:val="20"/>
                <w:szCs w:val="20"/>
              </w:rPr>
            </w:pPr>
            <w:r w:rsidRPr="003E245D">
              <w:t>Cafasse</w:t>
            </w:r>
          </w:p>
        </w:tc>
        <w:tc>
          <w:tcPr>
            <w:tcW w:w="10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76DB1CEC" w14:textId="77777777" w:rsidR="003E245D" w:rsidRPr="003E245D" w:rsidRDefault="003E245D" w:rsidP="003E245D">
            <w:pPr>
              <w:spacing w:after="0" w:line="240" w:lineRule="auto"/>
              <w:jc w:val="right"/>
              <w:rPr>
                <w:rFonts w:eastAsia="Times New Roman" w:cstheme="minorHAnsi"/>
                <w:color w:val="000000"/>
              </w:rPr>
            </w:pPr>
            <w:r w:rsidRPr="003E245D">
              <w:t>408</w:t>
            </w:r>
          </w:p>
        </w:tc>
        <w:tc>
          <w:tcPr>
            <w:tcW w:w="9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4EF1873D" w14:textId="77777777" w:rsidR="003E245D" w:rsidRPr="003E245D" w:rsidRDefault="003E245D" w:rsidP="003E245D">
            <w:pPr>
              <w:spacing w:after="0" w:line="240" w:lineRule="auto"/>
              <w:jc w:val="right"/>
              <w:rPr>
                <w:rFonts w:eastAsia="Times New Roman" w:cstheme="minorHAnsi"/>
                <w:color w:val="000000"/>
              </w:rPr>
            </w:pPr>
            <w:r w:rsidRPr="003E245D">
              <w:t>852</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22DE1298" w14:textId="77777777" w:rsidR="003E245D" w:rsidRPr="003E245D" w:rsidRDefault="003E245D" w:rsidP="003E245D">
            <w:pPr>
              <w:spacing w:after="0" w:line="240" w:lineRule="auto"/>
              <w:jc w:val="right"/>
              <w:rPr>
                <w:rFonts w:eastAsia="Times New Roman" w:cstheme="minorHAnsi"/>
                <w:color w:val="000000"/>
              </w:rPr>
            </w:pPr>
            <w:r w:rsidRPr="003E245D">
              <w:t>3.326</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3C7C061E" w14:textId="77777777" w:rsidR="003E245D" w:rsidRPr="003E245D" w:rsidRDefault="003E245D" w:rsidP="003E245D">
            <w:pPr>
              <w:spacing w:after="0" w:line="240" w:lineRule="auto"/>
              <w:jc w:val="right"/>
              <w:rPr>
                <w:rFonts w:eastAsia="Times New Roman" w:cstheme="minorHAnsi"/>
                <w:color w:val="000000"/>
              </w:rPr>
            </w:pPr>
            <w:r w:rsidRPr="003E245D">
              <w:t>2.933</w:t>
            </w:r>
          </w:p>
        </w:tc>
      </w:tr>
      <w:tr w:rsidR="003E245D" w:rsidRPr="003E245D" w14:paraId="02B9538D" w14:textId="77777777" w:rsidTr="00614C87">
        <w:trPr>
          <w:trHeight w:val="315"/>
          <w:jc w:val="center"/>
        </w:trPr>
        <w:tc>
          <w:tcPr>
            <w:tcW w:w="20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0CB3828F" w14:textId="77777777" w:rsidR="003E245D" w:rsidRPr="003E245D" w:rsidRDefault="003E245D" w:rsidP="003E245D">
            <w:pPr>
              <w:spacing w:after="0" w:line="240" w:lineRule="auto"/>
              <w:jc w:val="left"/>
              <w:rPr>
                <w:rFonts w:eastAsia="Times New Roman" w:cstheme="minorHAnsi"/>
                <w:color w:val="000000"/>
                <w:sz w:val="20"/>
                <w:szCs w:val="20"/>
              </w:rPr>
            </w:pPr>
            <w:r w:rsidRPr="003E245D">
              <w:t>Canischio</w:t>
            </w:r>
          </w:p>
        </w:tc>
        <w:tc>
          <w:tcPr>
            <w:tcW w:w="10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5DA456EE" w14:textId="77777777" w:rsidR="003E245D" w:rsidRPr="003E245D" w:rsidRDefault="003E245D" w:rsidP="003E245D">
            <w:pPr>
              <w:spacing w:after="0" w:line="240" w:lineRule="auto"/>
              <w:jc w:val="right"/>
              <w:rPr>
                <w:rFonts w:eastAsia="Times New Roman" w:cstheme="minorHAnsi"/>
                <w:color w:val="000000"/>
              </w:rPr>
            </w:pPr>
            <w:r w:rsidRPr="003E245D">
              <w:t>670</w:t>
            </w:r>
          </w:p>
        </w:tc>
        <w:tc>
          <w:tcPr>
            <w:tcW w:w="9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04A7BE08" w14:textId="77777777" w:rsidR="003E245D" w:rsidRPr="003E245D" w:rsidRDefault="003E245D" w:rsidP="003E245D">
            <w:pPr>
              <w:spacing w:after="0" w:line="240" w:lineRule="auto"/>
              <w:jc w:val="right"/>
              <w:rPr>
                <w:rFonts w:eastAsia="Times New Roman" w:cstheme="minorHAnsi"/>
                <w:color w:val="000000"/>
              </w:rPr>
            </w:pPr>
            <w:r w:rsidRPr="003E245D">
              <w:t>1.151</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3231FD04" w14:textId="77777777" w:rsidR="003E245D" w:rsidRPr="003E245D" w:rsidRDefault="003E245D" w:rsidP="003E245D">
            <w:pPr>
              <w:spacing w:after="0" w:line="240" w:lineRule="auto"/>
              <w:jc w:val="right"/>
              <w:rPr>
                <w:rFonts w:eastAsia="Times New Roman" w:cstheme="minorHAnsi"/>
                <w:color w:val="000000"/>
              </w:rPr>
            </w:pPr>
            <w:r w:rsidRPr="003E245D">
              <w:t>280</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42C46090" w14:textId="77777777" w:rsidR="003E245D" w:rsidRPr="003E245D" w:rsidRDefault="003E245D" w:rsidP="003E245D">
            <w:pPr>
              <w:spacing w:after="0" w:line="240" w:lineRule="auto"/>
              <w:jc w:val="right"/>
              <w:rPr>
                <w:rFonts w:eastAsia="Times New Roman" w:cstheme="minorHAnsi"/>
                <w:color w:val="000000"/>
              </w:rPr>
            </w:pPr>
            <w:r w:rsidRPr="003E245D">
              <w:t>245</w:t>
            </w:r>
          </w:p>
        </w:tc>
      </w:tr>
      <w:tr w:rsidR="003E245D" w:rsidRPr="003E245D" w14:paraId="4008936D" w14:textId="77777777" w:rsidTr="00614C87">
        <w:trPr>
          <w:trHeight w:val="315"/>
          <w:jc w:val="center"/>
        </w:trPr>
        <w:tc>
          <w:tcPr>
            <w:tcW w:w="20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1AC6F688" w14:textId="77777777" w:rsidR="003E245D" w:rsidRPr="003E245D" w:rsidRDefault="003E245D" w:rsidP="003E245D">
            <w:pPr>
              <w:spacing w:after="0" w:line="240" w:lineRule="auto"/>
              <w:jc w:val="left"/>
              <w:rPr>
                <w:rFonts w:eastAsia="Times New Roman" w:cstheme="minorHAnsi"/>
                <w:color w:val="000000"/>
                <w:sz w:val="20"/>
                <w:szCs w:val="20"/>
              </w:rPr>
            </w:pPr>
            <w:r w:rsidRPr="003E245D">
              <w:t>Cantoira</w:t>
            </w:r>
          </w:p>
        </w:tc>
        <w:tc>
          <w:tcPr>
            <w:tcW w:w="10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5DEC7CA0" w14:textId="77777777" w:rsidR="003E245D" w:rsidRPr="003E245D" w:rsidRDefault="003E245D" w:rsidP="003E245D">
            <w:pPr>
              <w:spacing w:after="0" w:line="240" w:lineRule="auto"/>
              <w:jc w:val="right"/>
              <w:rPr>
                <w:rFonts w:eastAsia="Times New Roman" w:cstheme="minorHAnsi"/>
                <w:color w:val="000000"/>
              </w:rPr>
            </w:pPr>
            <w:r w:rsidRPr="003E245D">
              <w:t>769</w:t>
            </w:r>
          </w:p>
        </w:tc>
        <w:tc>
          <w:tcPr>
            <w:tcW w:w="9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5475DFF7" w14:textId="77777777" w:rsidR="003E245D" w:rsidRPr="003E245D" w:rsidRDefault="003E245D" w:rsidP="003E245D">
            <w:pPr>
              <w:spacing w:after="0" w:line="240" w:lineRule="auto"/>
              <w:jc w:val="right"/>
              <w:rPr>
                <w:rFonts w:eastAsia="Times New Roman" w:cstheme="minorHAnsi"/>
                <w:color w:val="000000"/>
              </w:rPr>
            </w:pPr>
            <w:r w:rsidRPr="003E245D">
              <w:t>1.663</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491DD867" w14:textId="77777777" w:rsidR="003E245D" w:rsidRPr="003E245D" w:rsidRDefault="003E245D" w:rsidP="003E245D">
            <w:pPr>
              <w:spacing w:after="0" w:line="240" w:lineRule="auto"/>
              <w:jc w:val="right"/>
              <w:rPr>
                <w:rFonts w:eastAsia="Times New Roman" w:cstheme="minorHAnsi"/>
                <w:color w:val="000000"/>
              </w:rPr>
            </w:pPr>
            <w:r w:rsidRPr="003E245D">
              <w:t>625</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1903C0CF" w14:textId="77777777" w:rsidR="003E245D" w:rsidRPr="003E245D" w:rsidRDefault="003E245D" w:rsidP="003E245D">
            <w:pPr>
              <w:spacing w:after="0" w:line="240" w:lineRule="auto"/>
              <w:jc w:val="right"/>
              <w:rPr>
                <w:rFonts w:eastAsia="Times New Roman" w:cstheme="minorHAnsi"/>
                <w:color w:val="000000"/>
              </w:rPr>
            </w:pPr>
            <w:r w:rsidRPr="003E245D">
              <w:t>543</w:t>
            </w:r>
          </w:p>
        </w:tc>
      </w:tr>
      <w:tr w:rsidR="003E245D" w:rsidRPr="003E245D" w14:paraId="00845849" w14:textId="77777777" w:rsidTr="00614C87">
        <w:trPr>
          <w:trHeight w:val="315"/>
          <w:jc w:val="center"/>
        </w:trPr>
        <w:tc>
          <w:tcPr>
            <w:tcW w:w="20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240C885A" w14:textId="77777777" w:rsidR="003E245D" w:rsidRPr="003E245D" w:rsidRDefault="003E245D" w:rsidP="003E245D">
            <w:pPr>
              <w:spacing w:after="0" w:line="240" w:lineRule="auto"/>
              <w:jc w:val="left"/>
              <w:rPr>
                <w:rFonts w:eastAsia="Times New Roman" w:cstheme="minorHAnsi"/>
                <w:color w:val="000000"/>
                <w:sz w:val="20"/>
                <w:szCs w:val="20"/>
              </w:rPr>
            </w:pPr>
            <w:r w:rsidRPr="003E245D">
              <w:t>Castelnuovo Nigra</w:t>
            </w:r>
          </w:p>
        </w:tc>
        <w:tc>
          <w:tcPr>
            <w:tcW w:w="10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0FD7B0AD" w14:textId="77777777" w:rsidR="003E245D" w:rsidRPr="003E245D" w:rsidRDefault="003E245D" w:rsidP="003E245D">
            <w:pPr>
              <w:spacing w:after="0" w:line="240" w:lineRule="auto"/>
              <w:jc w:val="right"/>
              <w:rPr>
                <w:rFonts w:eastAsia="Times New Roman" w:cstheme="minorHAnsi"/>
                <w:color w:val="000000"/>
              </w:rPr>
            </w:pPr>
            <w:r w:rsidRPr="003E245D">
              <w:t>820</w:t>
            </w:r>
          </w:p>
        </w:tc>
        <w:tc>
          <w:tcPr>
            <w:tcW w:w="9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60A1975D" w14:textId="77777777" w:rsidR="003E245D" w:rsidRPr="003E245D" w:rsidRDefault="003E245D" w:rsidP="003E245D">
            <w:pPr>
              <w:spacing w:after="0" w:line="240" w:lineRule="auto"/>
              <w:jc w:val="right"/>
              <w:rPr>
                <w:rFonts w:eastAsia="Times New Roman" w:cstheme="minorHAnsi"/>
                <w:color w:val="000000"/>
              </w:rPr>
            </w:pPr>
            <w:r w:rsidRPr="003E245D">
              <w:t>2.252</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3238C5AB" w14:textId="77777777" w:rsidR="003E245D" w:rsidRPr="003E245D" w:rsidRDefault="003E245D" w:rsidP="003E245D">
            <w:pPr>
              <w:spacing w:after="0" w:line="240" w:lineRule="auto"/>
              <w:jc w:val="right"/>
              <w:rPr>
                <w:rFonts w:eastAsia="Times New Roman" w:cstheme="minorHAnsi"/>
                <w:color w:val="000000"/>
              </w:rPr>
            </w:pPr>
            <w:r w:rsidRPr="003E245D">
              <w:t>409</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470406C4" w14:textId="77777777" w:rsidR="003E245D" w:rsidRPr="003E245D" w:rsidRDefault="003E245D" w:rsidP="003E245D">
            <w:pPr>
              <w:spacing w:after="0" w:line="240" w:lineRule="auto"/>
              <w:jc w:val="right"/>
              <w:rPr>
                <w:rFonts w:eastAsia="Times New Roman" w:cstheme="minorHAnsi"/>
                <w:color w:val="000000"/>
              </w:rPr>
            </w:pPr>
            <w:r w:rsidRPr="003E245D">
              <w:t>367</w:t>
            </w:r>
          </w:p>
        </w:tc>
      </w:tr>
      <w:tr w:rsidR="003E245D" w:rsidRPr="003E245D" w14:paraId="5E21691E" w14:textId="77777777" w:rsidTr="00614C87">
        <w:trPr>
          <w:trHeight w:val="315"/>
          <w:jc w:val="center"/>
        </w:trPr>
        <w:tc>
          <w:tcPr>
            <w:tcW w:w="20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703B9C24" w14:textId="77777777" w:rsidR="003E245D" w:rsidRPr="003E245D" w:rsidRDefault="003E245D" w:rsidP="003E245D">
            <w:pPr>
              <w:spacing w:after="0" w:line="240" w:lineRule="auto"/>
              <w:jc w:val="left"/>
              <w:rPr>
                <w:rFonts w:eastAsia="Times New Roman" w:cstheme="minorHAnsi"/>
                <w:color w:val="000000"/>
                <w:sz w:val="20"/>
                <w:szCs w:val="20"/>
              </w:rPr>
            </w:pPr>
            <w:r w:rsidRPr="003E245D">
              <w:t>Ceres</w:t>
            </w:r>
          </w:p>
        </w:tc>
        <w:tc>
          <w:tcPr>
            <w:tcW w:w="10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39E2170D" w14:textId="77777777" w:rsidR="003E245D" w:rsidRPr="003E245D" w:rsidRDefault="003E245D" w:rsidP="003E245D">
            <w:pPr>
              <w:spacing w:after="0" w:line="240" w:lineRule="auto"/>
              <w:jc w:val="right"/>
              <w:rPr>
                <w:rFonts w:eastAsia="Times New Roman" w:cstheme="minorHAnsi"/>
                <w:color w:val="000000"/>
              </w:rPr>
            </w:pPr>
            <w:r w:rsidRPr="003E245D">
              <w:t>705</w:t>
            </w:r>
          </w:p>
        </w:tc>
        <w:tc>
          <w:tcPr>
            <w:tcW w:w="9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319B2A69" w14:textId="77777777" w:rsidR="003E245D" w:rsidRPr="003E245D" w:rsidRDefault="003E245D" w:rsidP="003E245D">
            <w:pPr>
              <w:spacing w:after="0" w:line="240" w:lineRule="auto"/>
              <w:jc w:val="right"/>
              <w:rPr>
                <w:rFonts w:eastAsia="Times New Roman" w:cstheme="minorHAnsi"/>
                <w:color w:val="000000"/>
              </w:rPr>
            </w:pPr>
            <w:r w:rsidRPr="003E245D">
              <w:t>1.853</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28B6CC12" w14:textId="77777777" w:rsidR="003E245D" w:rsidRPr="003E245D" w:rsidRDefault="003E245D" w:rsidP="003E245D">
            <w:pPr>
              <w:spacing w:after="0" w:line="240" w:lineRule="auto"/>
              <w:jc w:val="right"/>
              <w:rPr>
                <w:rFonts w:eastAsia="Times New Roman" w:cstheme="minorHAnsi"/>
                <w:color w:val="000000"/>
              </w:rPr>
            </w:pPr>
            <w:r w:rsidRPr="003E245D">
              <w:t>1.020</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07BFA4C9" w14:textId="77777777" w:rsidR="003E245D" w:rsidRPr="003E245D" w:rsidRDefault="003E245D" w:rsidP="003E245D">
            <w:pPr>
              <w:spacing w:after="0" w:line="240" w:lineRule="auto"/>
              <w:jc w:val="right"/>
              <w:rPr>
                <w:rFonts w:eastAsia="Times New Roman" w:cstheme="minorHAnsi"/>
                <w:color w:val="000000"/>
              </w:rPr>
            </w:pPr>
            <w:r w:rsidRPr="003E245D">
              <w:t>920</w:t>
            </w:r>
          </w:p>
        </w:tc>
      </w:tr>
      <w:tr w:rsidR="003E245D" w:rsidRPr="003E245D" w14:paraId="3674E9F2" w14:textId="77777777" w:rsidTr="00614C87">
        <w:trPr>
          <w:trHeight w:val="315"/>
          <w:jc w:val="center"/>
        </w:trPr>
        <w:tc>
          <w:tcPr>
            <w:tcW w:w="20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42CA8348" w14:textId="77777777" w:rsidR="003E245D" w:rsidRPr="003E245D" w:rsidRDefault="003E245D" w:rsidP="003E245D">
            <w:pPr>
              <w:spacing w:after="0" w:line="240" w:lineRule="auto"/>
              <w:jc w:val="left"/>
              <w:rPr>
                <w:rFonts w:eastAsia="Times New Roman" w:cstheme="minorHAnsi"/>
                <w:color w:val="000000"/>
                <w:sz w:val="20"/>
                <w:szCs w:val="20"/>
              </w:rPr>
            </w:pPr>
            <w:r w:rsidRPr="003E245D">
              <w:t>Ceresole Reale</w:t>
            </w:r>
          </w:p>
        </w:tc>
        <w:tc>
          <w:tcPr>
            <w:tcW w:w="10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6E1B43C2" w14:textId="77777777" w:rsidR="003E245D" w:rsidRPr="003E245D" w:rsidRDefault="003E245D" w:rsidP="003E245D">
            <w:pPr>
              <w:spacing w:after="0" w:line="240" w:lineRule="auto"/>
              <w:jc w:val="right"/>
              <w:rPr>
                <w:rFonts w:eastAsia="Times New Roman" w:cstheme="minorHAnsi"/>
                <w:color w:val="000000"/>
              </w:rPr>
            </w:pPr>
            <w:r w:rsidRPr="003E245D">
              <w:t>1.615</w:t>
            </w:r>
          </w:p>
        </w:tc>
        <w:tc>
          <w:tcPr>
            <w:tcW w:w="9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27036B2E" w14:textId="77777777" w:rsidR="003E245D" w:rsidRPr="003E245D" w:rsidRDefault="003E245D" w:rsidP="003E245D">
            <w:pPr>
              <w:spacing w:after="0" w:line="240" w:lineRule="auto"/>
              <w:jc w:val="right"/>
              <w:rPr>
                <w:rFonts w:eastAsia="Times New Roman" w:cstheme="minorHAnsi"/>
                <w:color w:val="000000"/>
              </w:rPr>
            </w:pPr>
            <w:r w:rsidRPr="003E245D">
              <w:t>2.349</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4933875F" w14:textId="77777777" w:rsidR="003E245D" w:rsidRPr="003E245D" w:rsidRDefault="003E245D" w:rsidP="003E245D">
            <w:pPr>
              <w:spacing w:after="0" w:line="240" w:lineRule="auto"/>
              <w:jc w:val="right"/>
              <w:rPr>
                <w:rFonts w:eastAsia="Times New Roman" w:cstheme="minorHAnsi"/>
                <w:color w:val="000000"/>
              </w:rPr>
            </w:pPr>
            <w:r w:rsidRPr="003E245D">
              <w:t>158</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58DD222C" w14:textId="77777777" w:rsidR="003E245D" w:rsidRPr="003E245D" w:rsidRDefault="003E245D" w:rsidP="003E245D">
            <w:pPr>
              <w:spacing w:after="0" w:line="240" w:lineRule="auto"/>
              <w:jc w:val="right"/>
              <w:rPr>
                <w:rFonts w:eastAsia="Times New Roman" w:cstheme="minorHAnsi"/>
                <w:color w:val="000000"/>
              </w:rPr>
            </w:pPr>
            <w:r w:rsidRPr="003E245D">
              <w:t>142</w:t>
            </w:r>
          </w:p>
        </w:tc>
      </w:tr>
      <w:tr w:rsidR="003E245D" w:rsidRPr="003E245D" w14:paraId="320B1DF2" w14:textId="77777777" w:rsidTr="00614C87">
        <w:trPr>
          <w:trHeight w:val="315"/>
          <w:jc w:val="center"/>
        </w:trPr>
        <w:tc>
          <w:tcPr>
            <w:tcW w:w="20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3E3FBB56" w14:textId="77777777" w:rsidR="003E245D" w:rsidRPr="003E245D" w:rsidRDefault="003E245D" w:rsidP="003E245D">
            <w:pPr>
              <w:spacing w:after="0" w:line="240" w:lineRule="auto"/>
              <w:jc w:val="left"/>
              <w:rPr>
                <w:rFonts w:eastAsia="Times New Roman" w:cstheme="minorHAnsi"/>
                <w:color w:val="000000"/>
                <w:sz w:val="20"/>
                <w:szCs w:val="20"/>
              </w:rPr>
            </w:pPr>
            <w:r w:rsidRPr="003E245D">
              <w:t>Cesana Torinese</w:t>
            </w:r>
          </w:p>
        </w:tc>
        <w:tc>
          <w:tcPr>
            <w:tcW w:w="10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2E02A497" w14:textId="77777777" w:rsidR="003E245D" w:rsidRPr="003E245D" w:rsidRDefault="003E245D" w:rsidP="003E245D">
            <w:pPr>
              <w:spacing w:after="0" w:line="240" w:lineRule="auto"/>
              <w:jc w:val="right"/>
              <w:rPr>
                <w:rFonts w:eastAsia="Times New Roman" w:cstheme="minorHAnsi"/>
                <w:color w:val="000000"/>
              </w:rPr>
            </w:pPr>
            <w:r w:rsidRPr="003E245D">
              <w:t>1.341</w:t>
            </w:r>
          </w:p>
        </w:tc>
        <w:tc>
          <w:tcPr>
            <w:tcW w:w="9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3671003C" w14:textId="77777777" w:rsidR="003E245D" w:rsidRPr="003E245D" w:rsidRDefault="003E245D" w:rsidP="003E245D">
            <w:pPr>
              <w:spacing w:after="0" w:line="240" w:lineRule="auto"/>
              <w:jc w:val="right"/>
              <w:rPr>
                <w:rFonts w:eastAsia="Times New Roman" w:cstheme="minorHAnsi"/>
                <w:color w:val="000000"/>
              </w:rPr>
            </w:pPr>
            <w:r w:rsidRPr="003E245D">
              <w:t>2.096</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2822CD4C" w14:textId="77777777" w:rsidR="003E245D" w:rsidRPr="003E245D" w:rsidRDefault="003E245D" w:rsidP="003E245D">
            <w:pPr>
              <w:spacing w:after="0" w:line="240" w:lineRule="auto"/>
              <w:jc w:val="right"/>
              <w:rPr>
                <w:rFonts w:eastAsia="Times New Roman" w:cstheme="minorHAnsi"/>
                <w:color w:val="000000"/>
              </w:rPr>
            </w:pPr>
            <w:r w:rsidRPr="003E245D">
              <w:t>896</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5A2AABBB" w14:textId="77777777" w:rsidR="003E245D" w:rsidRPr="003E245D" w:rsidRDefault="003E245D" w:rsidP="003E245D">
            <w:pPr>
              <w:spacing w:after="0" w:line="240" w:lineRule="auto"/>
              <w:jc w:val="right"/>
              <w:rPr>
                <w:rFonts w:eastAsia="Times New Roman" w:cstheme="minorHAnsi"/>
                <w:color w:val="000000"/>
              </w:rPr>
            </w:pPr>
            <w:r w:rsidRPr="003E245D">
              <w:t>823</w:t>
            </w:r>
          </w:p>
        </w:tc>
      </w:tr>
      <w:tr w:rsidR="003E245D" w:rsidRPr="003E245D" w14:paraId="27C95A1D" w14:textId="77777777" w:rsidTr="00614C87">
        <w:trPr>
          <w:trHeight w:val="315"/>
          <w:jc w:val="center"/>
        </w:trPr>
        <w:tc>
          <w:tcPr>
            <w:tcW w:w="20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6F888DCD" w14:textId="77777777" w:rsidR="003E245D" w:rsidRPr="003E245D" w:rsidRDefault="003E245D" w:rsidP="003E245D">
            <w:pPr>
              <w:spacing w:after="0" w:line="240" w:lineRule="auto"/>
              <w:jc w:val="left"/>
              <w:rPr>
                <w:rFonts w:eastAsia="Times New Roman" w:cstheme="minorHAnsi"/>
                <w:color w:val="000000"/>
                <w:sz w:val="20"/>
                <w:szCs w:val="20"/>
              </w:rPr>
            </w:pPr>
            <w:r w:rsidRPr="003E245D">
              <w:t>Chialamberto</w:t>
            </w:r>
          </w:p>
        </w:tc>
        <w:tc>
          <w:tcPr>
            <w:tcW w:w="10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64B4D6D9" w14:textId="77777777" w:rsidR="003E245D" w:rsidRPr="003E245D" w:rsidRDefault="003E245D" w:rsidP="003E245D">
            <w:pPr>
              <w:spacing w:after="0" w:line="240" w:lineRule="auto"/>
              <w:jc w:val="right"/>
              <w:rPr>
                <w:rFonts w:eastAsia="Times New Roman" w:cstheme="minorHAnsi"/>
                <w:color w:val="000000"/>
              </w:rPr>
            </w:pPr>
            <w:r w:rsidRPr="003E245D">
              <w:t>849</w:t>
            </w:r>
          </w:p>
        </w:tc>
        <w:tc>
          <w:tcPr>
            <w:tcW w:w="9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08A339E6" w14:textId="77777777" w:rsidR="003E245D" w:rsidRPr="003E245D" w:rsidRDefault="003E245D" w:rsidP="003E245D">
            <w:pPr>
              <w:spacing w:after="0" w:line="240" w:lineRule="auto"/>
              <w:jc w:val="right"/>
              <w:rPr>
                <w:rFonts w:eastAsia="Times New Roman" w:cstheme="minorHAnsi"/>
                <w:color w:val="000000"/>
              </w:rPr>
            </w:pPr>
            <w:r w:rsidRPr="003E245D">
              <w:t>2.104</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78F0D1B7" w14:textId="77777777" w:rsidR="003E245D" w:rsidRPr="003E245D" w:rsidRDefault="003E245D" w:rsidP="003E245D">
            <w:pPr>
              <w:spacing w:after="0" w:line="240" w:lineRule="auto"/>
              <w:jc w:val="right"/>
              <w:rPr>
                <w:rFonts w:eastAsia="Times New Roman" w:cstheme="minorHAnsi"/>
                <w:color w:val="000000"/>
              </w:rPr>
            </w:pPr>
            <w:r w:rsidRPr="003E245D">
              <w:t>337</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49AA5D47" w14:textId="77777777" w:rsidR="003E245D" w:rsidRPr="003E245D" w:rsidRDefault="003E245D" w:rsidP="003E245D">
            <w:pPr>
              <w:spacing w:after="0" w:line="240" w:lineRule="auto"/>
              <w:jc w:val="right"/>
              <w:rPr>
                <w:rFonts w:eastAsia="Times New Roman" w:cstheme="minorHAnsi"/>
                <w:color w:val="000000"/>
              </w:rPr>
            </w:pPr>
            <w:r w:rsidRPr="003E245D">
              <w:t>290</w:t>
            </w:r>
          </w:p>
        </w:tc>
      </w:tr>
      <w:tr w:rsidR="003E245D" w:rsidRPr="003E245D" w14:paraId="6668066D" w14:textId="77777777" w:rsidTr="00614C87">
        <w:trPr>
          <w:trHeight w:val="315"/>
          <w:jc w:val="center"/>
        </w:trPr>
        <w:tc>
          <w:tcPr>
            <w:tcW w:w="20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7292E4E5" w14:textId="77777777" w:rsidR="003E245D" w:rsidRPr="003E245D" w:rsidRDefault="003E245D" w:rsidP="003E245D">
            <w:pPr>
              <w:spacing w:after="0" w:line="240" w:lineRule="auto"/>
              <w:jc w:val="left"/>
              <w:rPr>
                <w:rFonts w:eastAsia="Times New Roman" w:cstheme="minorHAnsi"/>
                <w:color w:val="000000"/>
                <w:sz w:val="20"/>
                <w:szCs w:val="20"/>
              </w:rPr>
            </w:pPr>
            <w:r w:rsidRPr="003E245D">
              <w:t>Chianocco</w:t>
            </w:r>
          </w:p>
        </w:tc>
        <w:tc>
          <w:tcPr>
            <w:tcW w:w="10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086427A5" w14:textId="77777777" w:rsidR="003E245D" w:rsidRPr="003E245D" w:rsidRDefault="003E245D" w:rsidP="003E245D">
            <w:pPr>
              <w:spacing w:after="0" w:line="240" w:lineRule="auto"/>
              <w:jc w:val="right"/>
              <w:rPr>
                <w:rFonts w:eastAsia="Times New Roman" w:cstheme="minorHAnsi"/>
                <w:color w:val="000000"/>
              </w:rPr>
            </w:pPr>
            <w:r w:rsidRPr="003E245D">
              <w:t>549</w:t>
            </w:r>
          </w:p>
        </w:tc>
        <w:tc>
          <w:tcPr>
            <w:tcW w:w="9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0551A190" w14:textId="77777777" w:rsidR="003E245D" w:rsidRPr="003E245D" w:rsidRDefault="003E245D" w:rsidP="003E245D">
            <w:pPr>
              <w:spacing w:after="0" w:line="240" w:lineRule="auto"/>
              <w:jc w:val="right"/>
              <w:rPr>
                <w:rFonts w:eastAsia="Times New Roman" w:cstheme="minorHAnsi"/>
                <w:color w:val="000000"/>
              </w:rPr>
            </w:pPr>
            <w:r w:rsidRPr="003E245D">
              <w:t>2.246</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27AFC2C4" w14:textId="77777777" w:rsidR="003E245D" w:rsidRPr="003E245D" w:rsidRDefault="003E245D" w:rsidP="003E245D">
            <w:pPr>
              <w:spacing w:after="0" w:line="240" w:lineRule="auto"/>
              <w:jc w:val="right"/>
              <w:rPr>
                <w:rFonts w:eastAsia="Times New Roman" w:cstheme="minorHAnsi"/>
                <w:color w:val="000000"/>
              </w:rPr>
            </w:pPr>
            <w:r w:rsidRPr="003E245D">
              <w:t>1.528</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1CCFAE8D" w14:textId="77777777" w:rsidR="003E245D" w:rsidRPr="003E245D" w:rsidRDefault="003E245D" w:rsidP="003E245D">
            <w:pPr>
              <w:spacing w:after="0" w:line="240" w:lineRule="auto"/>
              <w:jc w:val="right"/>
              <w:rPr>
                <w:rFonts w:eastAsia="Times New Roman" w:cstheme="minorHAnsi"/>
                <w:color w:val="000000"/>
              </w:rPr>
            </w:pPr>
            <w:r w:rsidRPr="003E245D">
              <w:t>1.392</w:t>
            </w:r>
          </w:p>
        </w:tc>
      </w:tr>
      <w:tr w:rsidR="003E245D" w:rsidRPr="003E245D" w14:paraId="6E5424CF" w14:textId="77777777" w:rsidTr="00614C87">
        <w:trPr>
          <w:trHeight w:val="315"/>
          <w:jc w:val="center"/>
        </w:trPr>
        <w:tc>
          <w:tcPr>
            <w:tcW w:w="20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3FCB6E12" w14:textId="77777777" w:rsidR="003E245D" w:rsidRPr="003E245D" w:rsidRDefault="003E245D" w:rsidP="003E245D">
            <w:pPr>
              <w:spacing w:after="0" w:line="240" w:lineRule="auto"/>
              <w:jc w:val="left"/>
              <w:rPr>
                <w:rFonts w:eastAsia="Times New Roman" w:cstheme="minorHAnsi"/>
                <w:color w:val="000000"/>
                <w:sz w:val="20"/>
                <w:szCs w:val="20"/>
              </w:rPr>
            </w:pPr>
            <w:r w:rsidRPr="003E245D">
              <w:t>Chiesanuova</w:t>
            </w:r>
          </w:p>
        </w:tc>
        <w:tc>
          <w:tcPr>
            <w:tcW w:w="10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7A4A86A5" w14:textId="77777777" w:rsidR="003E245D" w:rsidRPr="003E245D" w:rsidRDefault="003E245D" w:rsidP="003E245D">
            <w:pPr>
              <w:spacing w:after="0" w:line="240" w:lineRule="auto"/>
              <w:jc w:val="right"/>
              <w:rPr>
                <w:rFonts w:eastAsia="Times New Roman" w:cstheme="minorHAnsi"/>
                <w:color w:val="000000"/>
              </w:rPr>
            </w:pPr>
            <w:r w:rsidRPr="003E245D">
              <w:t>662</w:t>
            </w:r>
          </w:p>
        </w:tc>
        <w:tc>
          <w:tcPr>
            <w:tcW w:w="9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181C6D8B" w14:textId="77777777" w:rsidR="003E245D" w:rsidRPr="003E245D" w:rsidRDefault="003E245D" w:rsidP="003E245D">
            <w:pPr>
              <w:spacing w:after="0" w:line="240" w:lineRule="auto"/>
              <w:jc w:val="right"/>
              <w:rPr>
                <w:rFonts w:eastAsia="Times New Roman" w:cstheme="minorHAnsi"/>
                <w:color w:val="000000"/>
              </w:rPr>
            </w:pPr>
            <w:r w:rsidRPr="003E245D">
              <w:t>975</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15A31BE1" w14:textId="77777777" w:rsidR="003E245D" w:rsidRPr="003E245D" w:rsidRDefault="003E245D" w:rsidP="003E245D">
            <w:pPr>
              <w:spacing w:after="0" w:line="240" w:lineRule="auto"/>
              <w:jc w:val="right"/>
              <w:rPr>
                <w:rFonts w:eastAsia="Times New Roman" w:cstheme="minorHAnsi"/>
                <w:color w:val="000000"/>
              </w:rPr>
            </w:pPr>
            <w:r w:rsidRPr="003E245D">
              <w:t>213</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2D714AED" w14:textId="77777777" w:rsidR="003E245D" w:rsidRPr="003E245D" w:rsidRDefault="003E245D" w:rsidP="003E245D">
            <w:pPr>
              <w:spacing w:after="0" w:line="240" w:lineRule="auto"/>
              <w:jc w:val="right"/>
              <w:rPr>
                <w:rFonts w:eastAsia="Times New Roman" w:cstheme="minorHAnsi"/>
                <w:color w:val="000000"/>
              </w:rPr>
            </w:pPr>
            <w:r w:rsidRPr="003E245D">
              <w:t>193</w:t>
            </w:r>
          </w:p>
        </w:tc>
      </w:tr>
      <w:tr w:rsidR="003E245D" w:rsidRPr="003E245D" w14:paraId="52588EC5" w14:textId="77777777" w:rsidTr="00614C87">
        <w:trPr>
          <w:trHeight w:val="315"/>
          <w:jc w:val="center"/>
        </w:trPr>
        <w:tc>
          <w:tcPr>
            <w:tcW w:w="20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2D151AAD" w14:textId="77777777" w:rsidR="003E245D" w:rsidRPr="003E245D" w:rsidRDefault="003E245D" w:rsidP="003E245D">
            <w:pPr>
              <w:spacing w:after="0" w:line="240" w:lineRule="auto"/>
              <w:jc w:val="left"/>
              <w:rPr>
                <w:rFonts w:eastAsia="Times New Roman" w:cstheme="minorHAnsi"/>
                <w:color w:val="000000"/>
                <w:sz w:val="20"/>
                <w:szCs w:val="20"/>
              </w:rPr>
            </w:pPr>
            <w:r w:rsidRPr="003E245D">
              <w:t>Chiomonte</w:t>
            </w:r>
          </w:p>
        </w:tc>
        <w:tc>
          <w:tcPr>
            <w:tcW w:w="10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1DAD33E5" w14:textId="77777777" w:rsidR="003E245D" w:rsidRPr="003E245D" w:rsidRDefault="003E245D" w:rsidP="003E245D">
            <w:pPr>
              <w:spacing w:after="0" w:line="240" w:lineRule="auto"/>
              <w:jc w:val="right"/>
              <w:rPr>
                <w:rFonts w:eastAsia="Times New Roman" w:cstheme="minorHAnsi"/>
                <w:color w:val="000000"/>
              </w:rPr>
            </w:pPr>
            <w:r w:rsidRPr="003E245D">
              <w:t>742</w:t>
            </w:r>
          </w:p>
        </w:tc>
        <w:tc>
          <w:tcPr>
            <w:tcW w:w="9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18AC91E4" w14:textId="77777777" w:rsidR="003E245D" w:rsidRPr="003E245D" w:rsidRDefault="003E245D" w:rsidP="003E245D">
            <w:pPr>
              <w:spacing w:after="0" w:line="240" w:lineRule="auto"/>
              <w:jc w:val="right"/>
              <w:rPr>
                <w:rFonts w:eastAsia="Times New Roman" w:cstheme="minorHAnsi"/>
                <w:color w:val="000000"/>
              </w:rPr>
            </w:pPr>
            <w:r w:rsidRPr="003E245D">
              <w:t>2.249</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2F65860F" w14:textId="77777777" w:rsidR="003E245D" w:rsidRPr="003E245D" w:rsidRDefault="003E245D" w:rsidP="003E245D">
            <w:pPr>
              <w:spacing w:after="0" w:line="240" w:lineRule="auto"/>
              <w:jc w:val="right"/>
              <w:rPr>
                <w:rFonts w:eastAsia="Times New Roman" w:cstheme="minorHAnsi"/>
                <w:color w:val="000000"/>
              </w:rPr>
            </w:pPr>
            <w:r w:rsidRPr="003E245D">
              <w:t>854</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64D4CA0F" w14:textId="77777777" w:rsidR="003E245D" w:rsidRPr="003E245D" w:rsidRDefault="003E245D" w:rsidP="003E245D">
            <w:pPr>
              <w:spacing w:after="0" w:line="240" w:lineRule="auto"/>
              <w:jc w:val="right"/>
              <w:rPr>
                <w:rFonts w:eastAsia="Times New Roman" w:cstheme="minorHAnsi"/>
                <w:color w:val="000000"/>
              </w:rPr>
            </w:pPr>
            <w:r w:rsidRPr="003E245D">
              <w:t>748</w:t>
            </w:r>
          </w:p>
        </w:tc>
      </w:tr>
      <w:tr w:rsidR="003E245D" w:rsidRPr="003E245D" w14:paraId="212871A3" w14:textId="77777777" w:rsidTr="00614C87">
        <w:trPr>
          <w:trHeight w:val="315"/>
          <w:jc w:val="center"/>
        </w:trPr>
        <w:tc>
          <w:tcPr>
            <w:tcW w:w="20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2A69F5EE" w14:textId="77777777" w:rsidR="003E245D" w:rsidRPr="003E245D" w:rsidRDefault="003E245D" w:rsidP="003E245D">
            <w:pPr>
              <w:spacing w:after="0" w:line="240" w:lineRule="auto"/>
              <w:jc w:val="left"/>
              <w:rPr>
                <w:rFonts w:eastAsia="Times New Roman" w:cstheme="minorHAnsi"/>
                <w:color w:val="000000"/>
                <w:sz w:val="20"/>
                <w:szCs w:val="20"/>
              </w:rPr>
            </w:pPr>
            <w:r w:rsidRPr="003E245D">
              <w:t>Cintano</w:t>
            </w:r>
          </w:p>
        </w:tc>
        <w:tc>
          <w:tcPr>
            <w:tcW w:w="10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3E0C878C" w14:textId="77777777" w:rsidR="003E245D" w:rsidRPr="003E245D" w:rsidRDefault="003E245D" w:rsidP="003E245D">
            <w:pPr>
              <w:spacing w:after="0" w:line="240" w:lineRule="auto"/>
              <w:jc w:val="right"/>
              <w:rPr>
                <w:rFonts w:eastAsia="Times New Roman" w:cstheme="minorHAnsi"/>
                <w:color w:val="000000"/>
              </w:rPr>
            </w:pPr>
            <w:r w:rsidRPr="003E245D">
              <w:t>646</w:t>
            </w:r>
          </w:p>
        </w:tc>
        <w:tc>
          <w:tcPr>
            <w:tcW w:w="9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01B8E8C5" w14:textId="77777777" w:rsidR="003E245D" w:rsidRPr="003E245D" w:rsidRDefault="003E245D" w:rsidP="003E245D">
            <w:pPr>
              <w:spacing w:after="0" w:line="240" w:lineRule="auto"/>
              <w:jc w:val="right"/>
              <w:rPr>
                <w:rFonts w:eastAsia="Times New Roman" w:cstheme="minorHAnsi"/>
                <w:color w:val="000000"/>
              </w:rPr>
            </w:pPr>
            <w:r w:rsidRPr="003E245D">
              <w:t>891</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2DC6780D" w14:textId="77777777" w:rsidR="003E245D" w:rsidRPr="003E245D" w:rsidRDefault="003E245D" w:rsidP="003E245D">
            <w:pPr>
              <w:spacing w:after="0" w:line="240" w:lineRule="auto"/>
              <w:jc w:val="right"/>
              <w:rPr>
                <w:rFonts w:eastAsia="Times New Roman" w:cstheme="minorHAnsi"/>
                <w:color w:val="000000"/>
              </w:rPr>
            </w:pPr>
            <w:r w:rsidRPr="003E245D">
              <w:t>239</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31F86431" w14:textId="77777777" w:rsidR="003E245D" w:rsidRPr="003E245D" w:rsidRDefault="003E245D" w:rsidP="003E245D">
            <w:pPr>
              <w:spacing w:after="0" w:line="240" w:lineRule="auto"/>
              <w:jc w:val="right"/>
              <w:rPr>
                <w:rFonts w:eastAsia="Times New Roman" w:cstheme="minorHAnsi"/>
                <w:color w:val="000000"/>
              </w:rPr>
            </w:pPr>
            <w:r w:rsidRPr="003E245D">
              <w:t>208</w:t>
            </w:r>
          </w:p>
        </w:tc>
      </w:tr>
      <w:tr w:rsidR="003E245D" w:rsidRPr="003E245D" w14:paraId="14ECEC19" w14:textId="77777777" w:rsidTr="00614C87">
        <w:trPr>
          <w:trHeight w:val="315"/>
          <w:jc w:val="center"/>
        </w:trPr>
        <w:tc>
          <w:tcPr>
            <w:tcW w:w="20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279C38C8" w14:textId="77777777" w:rsidR="003E245D" w:rsidRPr="003E245D" w:rsidRDefault="003E245D" w:rsidP="003E245D">
            <w:pPr>
              <w:spacing w:after="0" w:line="240" w:lineRule="auto"/>
              <w:jc w:val="left"/>
              <w:rPr>
                <w:rFonts w:eastAsia="Times New Roman" w:cstheme="minorHAnsi"/>
                <w:color w:val="000000"/>
                <w:sz w:val="20"/>
                <w:szCs w:val="20"/>
              </w:rPr>
            </w:pPr>
            <w:r w:rsidRPr="003E245D">
              <w:t>Claviere</w:t>
            </w:r>
          </w:p>
        </w:tc>
        <w:tc>
          <w:tcPr>
            <w:tcW w:w="10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2F3B1DD5" w14:textId="77777777" w:rsidR="003E245D" w:rsidRPr="003E245D" w:rsidRDefault="003E245D" w:rsidP="003E245D">
            <w:pPr>
              <w:spacing w:after="0" w:line="240" w:lineRule="auto"/>
              <w:jc w:val="right"/>
              <w:rPr>
                <w:rFonts w:eastAsia="Times New Roman" w:cstheme="minorHAnsi"/>
                <w:color w:val="000000"/>
              </w:rPr>
            </w:pPr>
            <w:r w:rsidRPr="003E245D">
              <w:t>1.771</w:t>
            </w:r>
          </w:p>
        </w:tc>
        <w:tc>
          <w:tcPr>
            <w:tcW w:w="9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09F451AB" w14:textId="77777777" w:rsidR="003E245D" w:rsidRPr="003E245D" w:rsidRDefault="003E245D" w:rsidP="003E245D">
            <w:pPr>
              <w:spacing w:after="0" w:line="240" w:lineRule="auto"/>
              <w:jc w:val="right"/>
              <w:rPr>
                <w:rFonts w:eastAsia="Times New Roman" w:cstheme="minorHAnsi"/>
                <w:color w:val="000000"/>
              </w:rPr>
            </w:pPr>
            <w:r w:rsidRPr="003E245D">
              <w:t>798</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7CEDC610" w14:textId="77777777" w:rsidR="003E245D" w:rsidRPr="003E245D" w:rsidRDefault="003E245D" w:rsidP="003E245D">
            <w:pPr>
              <w:spacing w:after="0" w:line="240" w:lineRule="auto"/>
              <w:jc w:val="right"/>
              <w:rPr>
                <w:rFonts w:eastAsia="Times New Roman" w:cstheme="minorHAnsi"/>
                <w:color w:val="000000"/>
              </w:rPr>
            </w:pPr>
            <w:r w:rsidRPr="003E245D">
              <w:t>211</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48D455D0" w14:textId="77777777" w:rsidR="003E245D" w:rsidRPr="003E245D" w:rsidRDefault="003E245D" w:rsidP="003E245D">
            <w:pPr>
              <w:spacing w:after="0" w:line="240" w:lineRule="auto"/>
              <w:jc w:val="right"/>
              <w:rPr>
                <w:rFonts w:eastAsia="Times New Roman" w:cstheme="minorHAnsi"/>
                <w:color w:val="000000"/>
              </w:rPr>
            </w:pPr>
            <w:r w:rsidRPr="003E245D">
              <w:t>184</w:t>
            </w:r>
          </w:p>
        </w:tc>
      </w:tr>
      <w:tr w:rsidR="003E245D" w:rsidRPr="003E245D" w14:paraId="03D5440C" w14:textId="77777777" w:rsidTr="00614C87">
        <w:trPr>
          <w:trHeight w:val="315"/>
          <w:jc w:val="center"/>
        </w:trPr>
        <w:tc>
          <w:tcPr>
            <w:tcW w:w="20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602A4542" w14:textId="77777777" w:rsidR="003E245D" w:rsidRPr="003E245D" w:rsidRDefault="003E245D" w:rsidP="003E245D">
            <w:pPr>
              <w:spacing w:after="0" w:line="240" w:lineRule="auto"/>
              <w:jc w:val="left"/>
              <w:rPr>
                <w:rFonts w:eastAsia="Times New Roman" w:cstheme="minorHAnsi"/>
                <w:color w:val="000000"/>
                <w:sz w:val="20"/>
                <w:szCs w:val="20"/>
              </w:rPr>
            </w:pPr>
            <w:r w:rsidRPr="003E245D">
              <w:t>Coassolo Torinese</w:t>
            </w:r>
          </w:p>
        </w:tc>
        <w:tc>
          <w:tcPr>
            <w:tcW w:w="10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50AFEE6F" w14:textId="77777777" w:rsidR="003E245D" w:rsidRPr="003E245D" w:rsidRDefault="003E245D" w:rsidP="003E245D">
            <w:pPr>
              <w:spacing w:after="0" w:line="240" w:lineRule="auto"/>
              <w:jc w:val="right"/>
              <w:rPr>
                <w:rFonts w:eastAsia="Times New Roman" w:cstheme="minorHAnsi"/>
                <w:color w:val="000000"/>
              </w:rPr>
            </w:pPr>
            <w:r w:rsidRPr="003E245D">
              <w:t>727</w:t>
            </w:r>
          </w:p>
        </w:tc>
        <w:tc>
          <w:tcPr>
            <w:tcW w:w="9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085B0307" w14:textId="77777777" w:rsidR="003E245D" w:rsidRPr="003E245D" w:rsidRDefault="003E245D" w:rsidP="003E245D">
            <w:pPr>
              <w:spacing w:after="0" w:line="240" w:lineRule="auto"/>
              <w:jc w:val="right"/>
              <w:rPr>
                <w:rFonts w:eastAsia="Times New Roman" w:cstheme="minorHAnsi"/>
                <w:color w:val="000000"/>
              </w:rPr>
            </w:pPr>
            <w:r w:rsidRPr="003E245D">
              <w:t>1.673</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268FC9D5" w14:textId="77777777" w:rsidR="003E245D" w:rsidRPr="003E245D" w:rsidRDefault="003E245D" w:rsidP="003E245D">
            <w:pPr>
              <w:spacing w:after="0" w:line="240" w:lineRule="auto"/>
              <w:jc w:val="right"/>
              <w:rPr>
                <w:rFonts w:eastAsia="Times New Roman" w:cstheme="minorHAnsi"/>
                <w:color w:val="000000"/>
              </w:rPr>
            </w:pPr>
            <w:r w:rsidRPr="003E245D">
              <w:t>1.432</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753EC33F" w14:textId="77777777" w:rsidR="003E245D" w:rsidRPr="003E245D" w:rsidRDefault="003E245D" w:rsidP="003E245D">
            <w:pPr>
              <w:spacing w:after="0" w:line="240" w:lineRule="auto"/>
              <w:jc w:val="right"/>
              <w:rPr>
                <w:rFonts w:eastAsia="Times New Roman" w:cstheme="minorHAnsi"/>
                <w:color w:val="000000"/>
              </w:rPr>
            </w:pPr>
            <w:r w:rsidRPr="003E245D">
              <w:t>1.266</w:t>
            </w:r>
          </w:p>
        </w:tc>
      </w:tr>
      <w:tr w:rsidR="003E245D" w:rsidRPr="003E245D" w14:paraId="70327D0E" w14:textId="77777777" w:rsidTr="00614C87">
        <w:trPr>
          <w:trHeight w:val="315"/>
          <w:jc w:val="center"/>
        </w:trPr>
        <w:tc>
          <w:tcPr>
            <w:tcW w:w="20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27A03316" w14:textId="77777777" w:rsidR="003E245D" w:rsidRPr="003E245D" w:rsidRDefault="003E245D" w:rsidP="003E245D">
            <w:pPr>
              <w:spacing w:after="0" w:line="240" w:lineRule="auto"/>
              <w:jc w:val="left"/>
              <w:rPr>
                <w:rFonts w:eastAsia="Times New Roman" w:cstheme="minorHAnsi"/>
                <w:color w:val="000000"/>
                <w:sz w:val="20"/>
                <w:szCs w:val="20"/>
              </w:rPr>
            </w:pPr>
            <w:r w:rsidRPr="003E245D">
              <w:t>Coazze</w:t>
            </w:r>
          </w:p>
        </w:tc>
        <w:tc>
          <w:tcPr>
            <w:tcW w:w="10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47D4ABB5" w14:textId="77777777" w:rsidR="003E245D" w:rsidRPr="003E245D" w:rsidRDefault="003E245D" w:rsidP="003E245D">
            <w:pPr>
              <w:spacing w:after="0" w:line="240" w:lineRule="auto"/>
              <w:jc w:val="right"/>
              <w:rPr>
                <w:rFonts w:eastAsia="Times New Roman" w:cstheme="minorHAnsi"/>
                <w:color w:val="000000"/>
              </w:rPr>
            </w:pPr>
            <w:r w:rsidRPr="003E245D">
              <w:t>747</w:t>
            </w:r>
          </w:p>
        </w:tc>
        <w:tc>
          <w:tcPr>
            <w:tcW w:w="9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44CC1AFE" w14:textId="77777777" w:rsidR="003E245D" w:rsidRPr="003E245D" w:rsidRDefault="003E245D" w:rsidP="003E245D">
            <w:pPr>
              <w:spacing w:after="0" w:line="240" w:lineRule="auto"/>
              <w:jc w:val="right"/>
              <w:rPr>
                <w:rFonts w:eastAsia="Times New Roman" w:cstheme="minorHAnsi"/>
                <w:color w:val="000000"/>
              </w:rPr>
            </w:pPr>
            <w:r w:rsidRPr="003E245D">
              <w:t>2.119</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65344CC0" w14:textId="77777777" w:rsidR="003E245D" w:rsidRPr="003E245D" w:rsidRDefault="003E245D" w:rsidP="003E245D">
            <w:pPr>
              <w:spacing w:after="0" w:line="240" w:lineRule="auto"/>
              <w:jc w:val="right"/>
              <w:rPr>
                <w:rFonts w:eastAsia="Times New Roman" w:cstheme="minorHAnsi"/>
                <w:color w:val="000000"/>
              </w:rPr>
            </w:pPr>
            <w:r w:rsidRPr="003E245D">
              <w:t>3.254</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227150B9" w14:textId="77777777" w:rsidR="003E245D" w:rsidRPr="003E245D" w:rsidRDefault="003E245D" w:rsidP="003E245D">
            <w:pPr>
              <w:spacing w:after="0" w:line="240" w:lineRule="auto"/>
              <w:jc w:val="right"/>
              <w:rPr>
                <w:rFonts w:eastAsia="Times New Roman" w:cstheme="minorHAnsi"/>
                <w:color w:val="000000"/>
              </w:rPr>
            </w:pPr>
            <w:r w:rsidRPr="003E245D">
              <w:t>2.906</w:t>
            </w:r>
          </w:p>
        </w:tc>
      </w:tr>
      <w:tr w:rsidR="003E245D" w:rsidRPr="003E245D" w14:paraId="4F030904" w14:textId="77777777" w:rsidTr="00614C87">
        <w:trPr>
          <w:trHeight w:val="315"/>
          <w:jc w:val="center"/>
        </w:trPr>
        <w:tc>
          <w:tcPr>
            <w:tcW w:w="20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5BF47699" w14:textId="77777777" w:rsidR="003E245D" w:rsidRPr="003E245D" w:rsidRDefault="003E245D" w:rsidP="003E245D">
            <w:pPr>
              <w:spacing w:after="0" w:line="240" w:lineRule="auto"/>
              <w:jc w:val="left"/>
              <w:rPr>
                <w:rFonts w:eastAsia="Times New Roman" w:cstheme="minorHAnsi"/>
                <w:color w:val="000000"/>
                <w:sz w:val="20"/>
                <w:szCs w:val="20"/>
              </w:rPr>
            </w:pPr>
            <w:r w:rsidRPr="003E245D">
              <w:t>Colleretto Castelnuovo</w:t>
            </w:r>
          </w:p>
        </w:tc>
        <w:tc>
          <w:tcPr>
            <w:tcW w:w="10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4C76B6CE" w14:textId="77777777" w:rsidR="003E245D" w:rsidRPr="003E245D" w:rsidRDefault="003E245D" w:rsidP="003E245D">
            <w:pPr>
              <w:spacing w:after="0" w:line="240" w:lineRule="auto"/>
              <w:jc w:val="right"/>
              <w:rPr>
                <w:rFonts w:eastAsia="Times New Roman" w:cstheme="minorHAnsi"/>
                <w:color w:val="000000"/>
              </w:rPr>
            </w:pPr>
            <w:r w:rsidRPr="003E245D">
              <w:t>582</w:t>
            </w:r>
          </w:p>
        </w:tc>
        <w:tc>
          <w:tcPr>
            <w:tcW w:w="9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014FD3E8" w14:textId="77777777" w:rsidR="003E245D" w:rsidRPr="003E245D" w:rsidRDefault="003E245D" w:rsidP="003E245D">
            <w:pPr>
              <w:spacing w:after="0" w:line="240" w:lineRule="auto"/>
              <w:jc w:val="right"/>
              <w:rPr>
                <w:rFonts w:eastAsia="Times New Roman" w:cstheme="minorHAnsi"/>
                <w:color w:val="000000"/>
              </w:rPr>
            </w:pPr>
            <w:r w:rsidRPr="003E245D">
              <w:t>1.741</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6E81214D" w14:textId="77777777" w:rsidR="003E245D" w:rsidRPr="003E245D" w:rsidRDefault="003E245D" w:rsidP="003E245D">
            <w:pPr>
              <w:spacing w:after="0" w:line="240" w:lineRule="auto"/>
              <w:jc w:val="right"/>
              <w:rPr>
                <w:rFonts w:eastAsia="Times New Roman" w:cstheme="minorHAnsi"/>
                <w:color w:val="000000"/>
              </w:rPr>
            </w:pPr>
            <w:r w:rsidRPr="003E245D">
              <w:t>326</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6AE785C0" w14:textId="77777777" w:rsidR="003E245D" w:rsidRPr="003E245D" w:rsidRDefault="003E245D" w:rsidP="003E245D">
            <w:pPr>
              <w:spacing w:after="0" w:line="240" w:lineRule="auto"/>
              <w:jc w:val="right"/>
              <w:rPr>
                <w:rFonts w:eastAsia="Times New Roman" w:cstheme="minorHAnsi"/>
                <w:color w:val="000000"/>
              </w:rPr>
            </w:pPr>
            <w:r w:rsidRPr="003E245D">
              <w:t>292</w:t>
            </w:r>
          </w:p>
        </w:tc>
      </w:tr>
      <w:tr w:rsidR="003E245D" w:rsidRPr="003E245D" w14:paraId="0C239625" w14:textId="77777777" w:rsidTr="00614C87">
        <w:trPr>
          <w:trHeight w:val="315"/>
          <w:jc w:val="center"/>
        </w:trPr>
        <w:tc>
          <w:tcPr>
            <w:tcW w:w="20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427DB871" w14:textId="77777777" w:rsidR="003E245D" w:rsidRPr="003E245D" w:rsidRDefault="003E245D" w:rsidP="003E245D">
            <w:pPr>
              <w:spacing w:after="0" w:line="240" w:lineRule="auto"/>
              <w:jc w:val="left"/>
              <w:rPr>
                <w:rFonts w:eastAsia="Times New Roman" w:cstheme="minorHAnsi"/>
                <w:color w:val="000000"/>
                <w:sz w:val="20"/>
                <w:szCs w:val="20"/>
              </w:rPr>
            </w:pPr>
            <w:r w:rsidRPr="003E245D">
              <w:t>Corio</w:t>
            </w:r>
          </w:p>
        </w:tc>
        <w:tc>
          <w:tcPr>
            <w:tcW w:w="10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6C19A6A8" w14:textId="77777777" w:rsidR="003E245D" w:rsidRPr="003E245D" w:rsidRDefault="003E245D" w:rsidP="003E245D">
            <w:pPr>
              <w:spacing w:after="0" w:line="240" w:lineRule="auto"/>
              <w:jc w:val="right"/>
              <w:rPr>
                <w:rFonts w:eastAsia="Times New Roman" w:cstheme="minorHAnsi"/>
                <w:color w:val="000000"/>
              </w:rPr>
            </w:pPr>
            <w:r w:rsidRPr="003E245D">
              <w:t>623</w:t>
            </w:r>
          </w:p>
        </w:tc>
        <w:tc>
          <w:tcPr>
            <w:tcW w:w="9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2F1B728B" w14:textId="77777777" w:rsidR="003E245D" w:rsidRPr="003E245D" w:rsidRDefault="003E245D" w:rsidP="003E245D">
            <w:pPr>
              <w:spacing w:after="0" w:line="240" w:lineRule="auto"/>
              <w:jc w:val="right"/>
              <w:rPr>
                <w:rFonts w:eastAsia="Times New Roman" w:cstheme="minorHAnsi"/>
                <w:color w:val="000000"/>
              </w:rPr>
            </w:pPr>
            <w:r w:rsidRPr="003E245D">
              <w:t>1.742</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4B060D8C" w14:textId="77777777" w:rsidR="003E245D" w:rsidRPr="003E245D" w:rsidRDefault="003E245D" w:rsidP="003E245D">
            <w:pPr>
              <w:spacing w:after="0" w:line="240" w:lineRule="auto"/>
              <w:jc w:val="right"/>
              <w:rPr>
                <w:rFonts w:eastAsia="Times New Roman" w:cstheme="minorHAnsi"/>
                <w:color w:val="000000"/>
              </w:rPr>
            </w:pPr>
            <w:r w:rsidRPr="003E245D">
              <w:t>3.028</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42427F8A" w14:textId="77777777" w:rsidR="003E245D" w:rsidRPr="003E245D" w:rsidRDefault="003E245D" w:rsidP="003E245D">
            <w:pPr>
              <w:spacing w:after="0" w:line="240" w:lineRule="auto"/>
              <w:jc w:val="right"/>
              <w:rPr>
                <w:rFonts w:eastAsia="Times New Roman" w:cstheme="minorHAnsi"/>
                <w:color w:val="000000"/>
              </w:rPr>
            </w:pPr>
            <w:r w:rsidRPr="003E245D">
              <w:t>2.696</w:t>
            </w:r>
          </w:p>
        </w:tc>
      </w:tr>
      <w:tr w:rsidR="003E245D" w:rsidRPr="003E245D" w14:paraId="6D103F7E" w14:textId="77777777" w:rsidTr="00614C87">
        <w:trPr>
          <w:trHeight w:val="315"/>
          <w:jc w:val="center"/>
        </w:trPr>
        <w:tc>
          <w:tcPr>
            <w:tcW w:w="20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4C43C815" w14:textId="77777777" w:rsidR="003E245D" w:rsidRPr="003E245D" w:rsidRDefault="003E245D" w:rsidP="003E245D">
            <w:pPr>
              <w:spacing w:after="0" w:line="240" w:lineRule="auto"/>
              <w:jc w:val="left"/>
              <w:rPr>
                <w:rFonts w:eastAsia="Times New Roman" w:cstheme="minorHAnsi"/>
                <w:color w:val="000000"/>
                <w:sz w:val="20"/>
                <w:szCs w:val="20"/>
              </w:rPr>
            </w:pPr>
            <w:r w:rsidRPr="003E245D">
              <w:t>Exilles</w:t>
            </w:r>
          </w:p>
        </w:tc>
        <w:tc>
          <w:tcPr>
            <w:tcW w:w="10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5F5FA1C6" w14:textId="77777777" w:rsidR="003E245D" w:rsidRPr="003E245D" w:rsidRDefault="003E245D" w:rsidP="003E245D">
            <w:pPr>
              <w:spacing w:after="0" w:line="240" w:lineRule="auto"/>
              <w:jc w:val="right"/>
              <w:rPr>
                <w:rFonts w:eastAsia="Times New Roman" w:cstheme="minorHAnsi"/>
                <w:color w:val="000000"/>
              </w:rPr>
            </w:pPr>
            <w:r w:rsidRPr="003E245D">
              <w:t>871</w:t>
            </w:r>
          </w:p>
        </w:tc>
        <w:tc>
          <w:tcPr>
            <w:tcW w:w="9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72CE0217" w14:textId="77777777" w:rsidR="003E245D" w:rsidRPr="003E245D" w:rsidRDefault="003E245D" w:rsidP="003E245D">
            <w:pPr>
              <w:spacing w:after="0" w:line="240" w:lineRule="auto"/>
              <w:jc w:val="right"/>
              <w:rPr>
                <w:rFonts w:eastAsia="Times New Roman" w:cstheme="minorHAnsi"/>
                <w:color w:val="000000"/>
              </w:rPr>
            </w:pPr>
            <w:r w:rsidRPr="003E245D">
              <w:t>2.665</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64333266" w14:textId="77777777" w:rsidR="003E245D" w:rsidRPr="003E245D" w:rsidRDefault="003E245D" w:rsidP="003E245D">
            <w:pPr>
              <w:spacing w:after="0" w:line="240" w:lineRule="auto"/>
              <w:jc w:val="right"/>
              <w:rPr>
                <w:rFonts w:eastAsia="Times New Roman" w:cstheme="minorHAnsi"/>
                <w:color w:val="000000"/>
              </w:rPr>
            </w:pPr>
            <w:r w:rsidRPr="003E245D">
              <w:t>241</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1B21719C" w14:textId="77777777" w:rsidR="003E245D" w:rsidRPr="003E245D" w:rsidRDefault="003E245D" w:rsidP="003E245D">
            <w:pPr>
              <w:spacing w:after="0" w:line="240" w:lineRule="auto"/>
              <w:jc w:val="right"/>
              <w:rPr>
                <w:rFonts w:eastAsia="Times New Roman" w:cstheme="minorHAnsi"/>
                <w:color w:val="000000"/>
              </w:rPr>
            </w:pPr>
            <w:r w:rsidRPr="003E245D">
              <w:t>216</w:t>
            </w:r>
          </w:p>
        </w:tc>
      </w:tr>
      <w:tr w:rsidR="003E245D" w:rsidRPr="003E245D" w14:paraId="2C87FAE2" w14:textId="77777777" w:rsidTr="00614C87">
        <w:trPr>
          <w:trHeight w:val="315"/>
          <w:jc w:val="center"/>
        </w:trPr>
        <w:tc>
          <w:tcPr>
            <w:tcW w:w="20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2360AC1A" w14:textId="77777777" w:rsidR="003E245D" w:rsidRPr="003E245D" w:rsidRDefault="003E245D" w:rsidP="003E245D">
            <w:pPr>
              <w:spacing w:after="0" w:line="240" w:lineRule="auto"/>
              <w:jc w:val="left"/>
              <w:rPr>
                <w:rFonts w:eastAsia="Times New Roman" w:cstheme="minorHAnsi"/>
                <w:color w:val="000000"/>
                <w:sz w:val="20"/>
                <w:szCs w:val="20"/>
              </w:rPr>
            </w:pPr>
            <w:r w:rsidRPr="003E245D">
              <w:lastRenderedPageBreak/>
              <w:t>Fenestrelle</w:t>
            </w:r>
          </w:p>
        </w:tc>
        <w:tc>
          <w:tcPr>
            <w:tcW w:w="10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4EB72781" w14:textId="77777777" w:rsidR="003E245D" w:rsidRPr="003E245D" w:rsidRDefault="003E245D" w:rsidP="003E245D">
            <w:pPr>
              <w:spacing w:after="0" w:line="240" w:lineRule="auto"/>
              <w:jc w:val="right"/>
              <w:rPr>
                <w:rFonts w:eastAsia="Times New Roman" w:cstheme="minorHAnsi"/>
                <w:color w:val="000000"/>
              </w:rPr>
            </w:pPr>
            <w:r w:rsidRPr="003E245D">
              <w:t>1.141</w:t>
            </w:r>
          </w:p>
        </w:tc>
        <w:tc>
          <w:tcPr>
            <w:tcW w:w="9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63735355" w14:textId="77777777" w:rsidR="003E245D" w:rsidRPr="003E245D" w:rsidRDefault="003E245D" w:rsidP="003E245D">
            <w:pPr>
              <w:spacing w:after="0" w:line="240" w:lineRule="auto"/>
              <w:jc w:val="right"/>
              <w:rPr>
                <w:rFonts w:eastAsia="Times New Roman" w:cstheme="minorHAnsi"/>
                <w:color w:val="000000"/>
              </w:rPr>
            </w:pPr>
            <w:r w:rsidRPr="003E245D">
              <w:t>2.063</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5A50CB0E" w14:textId="77777777" w:rsidR="003E245D" w:rsidRPr="003E245D" w:rsidRDefault="003E245D" w:rsidP="003E245D">
            <w:pPr>
              <w:spacing w:after="0" w:line="240" w:lineRule="auto"/>
              <w:jc w:val="right"/>
              <w:rPr>
                <w:rFonts w:eastAsia="Times New Roman" w:cstheme="minorHAnsi"/>
                <w:color w:val="000000"/>
              </w:rPr>
            </w:pPr>
            <w:r w:rsidRPr="003E245D">
              <w:t>476</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688AB67E" w14:textId="77777777" w:rsidR="003E245D" w:rsidRPr="003E245D" w:rsidRDefault="003E245D" w:rsidP="003E245D">
            <w:pPr>
              <w:spacing w:after="0" w:line="240" w:lineRule="auto"/>
              <w:jc w:val="right"/>
              <w:rPr>
                <w:rFonts w:eastAsia="Times New Roman" w:cstheme="minorHAnsi"/>
                <w:color w:val="000000"/>
              </w:rPr>
            </w:pPr>
            <w:r w:rsidRPr="003E245D">
              <w:t>430</w:t>
            </w:r>
          </w:p>
        </w:tc>
      </w:tr>
      <w:tr w:rsidR="003E245D" w:rsidRPr="003E245D" w14:paraId="0BC16D5D" w14:textId="77777777" w:rsidTr="00614C87">
        <w:trPr>
          <w:trHeight w:val="315"/>
          <w:jc w:val="center"/>
        </w:trPr>
        <w:tc>
          <w:tcPr>
            <w:tcW w:w="20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77B07449" w14:textId="77777777" w:rsidR="003E245D" w:rsidRPr="003E245D" w:rsidRDefault="003E245D" w:rsidP="003E245D">
            <w:pPr>
              <w:spacing w:after="0" w:line="240" w:lineRule="auto"/>
              <w:jc w:val="left"/>
              <w:rPr>
                <w:rFonts w:eastAsia="Times New Roman" w:cstheme="minorHAnsi"/>
                <w:color w:val="000000"/>
                <w:sz w:val="20"/>
                <w:szCs w:val="20"/>
              </w:rPr>
            </w:pPr>
            <w:r w:rsidRPr="003E245D">
              <w:t>Fiano</w:t>
            </w:r>
          </w:p>
        </w:tc>
        <w:tc>
          <w:tcPr>
            <w:tcW w:w="10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4769F999" w14:textId="77777777" w:rsidR="003E245D" w:rsidRPr="003E245D" w:rsidRDefault="003E245D" w:rsidP="003E245D">
            <w:pPr>
              <w:spacing w:after="0" w:line="240" w:lineRule="auto"/>
              <w:jc w:val="right"/>
              <w:rPr>
                <w:rFonts w:eastAsia="Times New Roman" w:cstheme="minorHAnsi"/>
                <w:color w:val="000000"/>
              </w:rPr>
            </w:pPr>
            <w:r w:rsidRPr="003E245D">
              <w:t>435</w:t>
            </w:r>
          </w:p>
        </w:tc>
        <w:tc>
          <w:tcPr>
            <w:tcW w:w="9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47993DC5" w14:textId="77777777" w:rsidR="003E245D" w:rsidRPr="003E245D" w:rsidRDefault="003E245D" w:rsidP="003E245D">
            <w:pPr>
              <w:spacing w:after="0" w:line="240" w:lineRule="auto"/>
              <w:jc w:val="right"/>
              <w:rPr>
                <w:rFonts w:eastAsia="Times New Roman" w:cstheme="minorHAnsi"/>
                <w:color w:val="000000"/>
              </w:rPr>
            </w:pPr>
            <w:r w:rsidRPr="003E245D">
              <w:t>880</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5CE38A94" w14:textId="77777777" w:rsidR="003E245D" w:rsidRPr="003E245D" w:rsidRDefault="003E245D" w:rsidP="003E245D">
            <w:pPr>
              <w:spacing w:after="0" w:line="240" w:lineRule="auto"/>
              <w:jc w:val="right"/>
              <w:rPr>
                <w:rFonts w:eastAsia="Times New Roman" w:cstheme="minorHAnsi"/>
                <w:color w:val="000000"/>
              </w:rPr>
            </w:pPr>
            <w:r w:rsidRPr="003E245D">
              <w:t>2.651</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20482BB4" w14:textId="77777777" w:rsidR="003E245D" w:rsidRPr="003E245D" w:rsidRDefault="003E245D" w:rsidP="003E245D">
            <w:pPr>
              <w:spacing w:after="0" w:line="240" w:lineRule="auto"/>
              <w:jc w:val="right"/>
              <w:rPr>
                <w:rFonts w:eastAsia="Times New Roman" w:cstheme="minorHAnsi"/>
                <w:color w:val="000000"/>
              </w:rPr>
            </w:pPr>
            <w:r w:rsidRPr="003E245D">
              <w:t>2.344</w:t>
            </w:r>
          </w:p>
        </w:tc>
      </w:tr>
      <w:tr w:rsidR="003E245D" w:rsidRPr="003E245D" w14:paraId="1AE955F8" w14:textId="77777777" w:rsidTr="00614C87">
        <w:trPr>
          <w:trHeight w:val="315"/>
          <w:jc w:val="center"/>
        </w:trPr>
        <w:tc>
          <w:tcPr>
            <w:tcW w:w="20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168D3B84" w14:textId="77777777" w:rsidR="003E245D" w:rsidRPr="003E245D" w:rsidRDefault="003E245D" w:rsidP="003E245D">
            <w:pPr>
              <w:spacing w:after="0" w:line="240" w:lineRule="auto"/>
              <w:jc w:val="left"/>
              <w:rPr>
                <w:rFonts w:eastAsia="Times New Roman" w:cstheme="minorHAnsi"/>
                <w:color w:val="000000"/>
                <w:sz w:val="20"/>
                <w:szCs w:val="20"/>
              </w:rPr>
            </w:pPr>
            <w:r w:rsidRPr="003E245D">
              <w:t>Forno Canavese</w:t>
            </w:r>
          </w:p>
        </w:tc>
        <w:tc>
          <w:tcPr>
            <w:tcW w:w="10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4330E94E" w14:textId="77777777" w:rsidR="003E245D" w:rsidRPr="003E245D" w:rsidRDefault="003E245D" w:rsidP="003E245D">
            <w:pPr>
              <w:spacing w:after="0" w:line="240" w:lineRule="auto"/>
              <w:jc w:val="right"/>
              <w:rPr>
                <w:rFonts w:eastAsia="Times New Roman" w:cstheme="minorHAnsi"/>
                <w:color w:val="000000"/>
              </w:rPr>
            </w:pPr>
            <w:r w:rsidRPr="003E245D">
              <w:t>561</w:t>
            </w:r>
          </w:p>
        </w:tc>
        <w:tc>
          <w:tcPr>
            <w:tcW w:w="9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46733193" w14:textId="77777777" w:rsidR="003E245D" w:rsidRPr="003E245D" w:rsidRDefault="003E245D" w:rsidP="003E245D">
            <w:pPr>
              <w:spacing w:after="0" w:line="240" w:lineRule="auto"/>
              <w:jc w:val="right"/>
              <w:rPr>
                <w:rFonts w:eastAsia="Times New Roman" w:cstheme="minorHAnsi"/>
                <w:color w:val="000000"/>
              </w:rPr>
            </w:pPr>
            <w:r w:rsidRPr="003E245D">
              <w:t>1.591</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4C419EE1" w14:textId="77777777" w:rsidR="003E245D" w:rsidRPr="003E245D" w:rsidRDefault="003E245D" w:rsidP="003E245D">
            <w:pPr>
              <w:spacing w:after="0" w:line="240" w:lineRule="auto"/>
              <w:jc w:val="right"/>
              <w:rPr>
                <w:rFonts w:eastAsia="Times New Roman" w:cstheme="minorHAnsi"/>
                <w:color w:val="000000"/>
              </w:rPr>
            </w:pPr>
            <w:r w:rsidRPr="003E245D">
              <w:t>3.197</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0C790CB6" w14:textId="77777777" w:rsidR="003E245D" w:rsidRPr="003E245D" w:rsidRDefault="003E245D" w:rsidP="003E245D">
            <w:pPr>
              <w:spacing w:after="0" w:line="240" w:lineRule="auto"/>
              <w:jc w:val="right"/>
              <w:rPr>
                <w:rFonts w:eastAsia="Times New Roman" w:cstheme="minorHAnsi"/>
                <w:color w:val="000000"/>
              </w:rPr>
            </w:pPr>
            <w:r w:rsidRPr="003E245D">
              <w:t>2.794</w:t>
            </w:r>
          </w:p>
        </w:tc>
      </w:tr>
      <w:tr w:rsidR="003E245D" w:rsidRPr="003E245D" w14:paraId="6187A4DC" w14:textId="77777777" w:rsidTr="00614C87">
        <w:trPr>
          <w:trHeight w:val="315"/>
          <w:jc w:val="center"/>
        </w:trPr>
        <w:tc>
          <w:tcPr>
            <w:tcW w:w="20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0493D93F" w14:textId="77777777" w:rsidR="003E245D" w:rsidRPr="003E245D" w:rsidRDefault="003E245D" w:rsidP="003E245D">
            <w:pPr>
              <w:spacing w:after="0" w:line="240" w:lineRule="auto"/>
              <w:jc w:val="left"/>
              <w:rPr>
                <w:rFonts w:eastAsia="Times New Roman" w:cstheme="minorHAnsi"/>
                <w:color w:val="000000"/>
                <w:sz w:val="20"/>
                <w:szCs w:val="20"/>
              </w:rPr>
            </w:pPr>
            <w:r w:rsidRPr="003E245D">
              <w:t>Frassinetto</w:t>
            </w:r>
          </w:p>
        </w:tc>
        <w:tc>
          <w:tcPr>
            <w:tcW w:w="10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37020AAC" w14:textId="77777777" w:rsidR="003E245D" w:rsidRPr="003E245D" w:rsidRDefault="003E245D" w:rsidP="003E245D">
            <w:pPr>
              <w:spacing w:after="0" w:line="240" w:lineRule="auto"/>
              <w:jc w:val="right"/>
              <w:rPr>
                <w:rFonts w:eastAsia="Times New Roman" w:cstheme="minorHAnsi"/>
                <w:color w:val="000000"/>
              </w:rPr>
            </w:pPr>
            <w:r w:rsidRPr="003E245D">
              <w:t>1.047</w:t>
            </w:r>
          </w:p>
        </w:tc>
        <w:tc>
          <w:tcPr>
            <w:tcW w:w="9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64603895" w14:textId="77777777" w:rsidR="003E245D" w:rsidRPr="003E245D" w:rsidRDefault="003E245D" w:rsidP="003E245D">
            <w:pPr>
              <w:spacing w:after="0" w:line="240" w:lineRule="auto"/>
              <w:jc w:val="right"/>
              <w:rPr>
                <w:rFonts w:eastAsia="Times New Roman" w:cstheme="minorHAnsi"/>
                <w:color w:val="000000"/>
              </w:rPr>
            </w:pPr>
            <w:r w:rsidRPr="003E245D">
              <w:t>2.074</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5A678CA3" w14:textId="77777777" w:rsidR="003E245D" w:rsidRPr="003E245D" w:rsidRDefault="003E245D" w:rsidP="003E245D">
            <w:pPr>
              <w:spacing w:after="0" w:line="240" w:lineRule="auto"/>
              <w:jc w:val="right"/>
              <w:rPr>
                <w:rFonts w:eastAsia="Times New Roman" w:cstheme="minorHAnsi"/>
                <w:color w:val="000000"/>
              </w:rPr>
            </w:pPr>
            <w:r w:rsidRPr="003E245D">
              <w:t>274</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518B2141" w14:textId="77777777" w:rsidR="003E245D" w:rsidRPr="003E245D" w:rsidRDefault="003E245D" w:rsidP="003E245D">
            <w:pPr>
              <w:spacing w:after="0" w:line="240" w:lineRule="auto"/>
              <w:jc w:val="right"/>
              <w:rPr>
                <w:rFonts w:eastAsia="Times New Roman" w:cstheme="minorHAnsi"/>
                <w:color w:val="000000"/>
              </w:rPr>
            </w:pPr>
            <w:r w:rsidRPr="003E245D">
              <w:t>250</w:t>
            </w:r>
          </w:p>
        </w:tc>
      </w:tr>
      <w:tr w:rsidR="003E245D" w:rsidRPr="003E245D" w14:paraId="35B32967" w14:textId="77777777" w:rsidTr="00614C87">
        <w:trPr>
          <w:trHeight w:val="315"/>
          <w:jc w:val="center"/>
        </w:trPr>
        <w:tc>
          <w:tcPr>
            <w:tcW w:w="20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2BCC7B7E" w14:textId="77777777" w:rsidR="003E245D" w:rsidRPr="003E245D" w:rsidRDefault="003E245D" w:rsidP="003E245D">
            <w:pPr>
              <w:spacing w:after="0" w:line="240" w:lineRule="auto"/>
              <w:jc w:val="left"/>
              <w:rPr>
                <w:rFonts w:eastAsia="Times New Roman" w:cstheme="minorHAnsi"/>
                <w:color w:val="000000"/>
                <w:sz w:val="20"/>
                <w:szCs w:val="20"/>
              </w:rPr>
            </w:pPr>
            <w:r w:rsidRPr="003E245D">
              <w:t>Germagnano</w:t>
            </w:r>
          </w:p>
        </w:tc>
        <w:tc>
          <w:tcPr>
            <w:tcW w:w="10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5EAA5601" w14:textId="77777777" w:rsidR="003E245D" w:rsidRPr="003E245D" w:rsidRDefault="003E245D" w:rsidP="003E245D">
            <w:pPr>
              <w:spacing w:after="0" w:line="240" w:lineRule="auto"/>
              <w:jc w:val="right"/>
              <w:rPr>
                <w:rFonts w:eastAsia="Times New Roman" w:cstheme="minorHAnsi"/>
                <w:color w:val="000000"/>
              </w:rPr>
            </w:pPr>
            <w:r w:rsidRPr="003E245D">
              <w:t>489</w:t>
            </w:r>
          </w:p>
        </w:tc>
        <w:tc>
          <w:tcPr>
            <w:tcW w:w="9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47B25E45" w14:textId="77777777" w:rsidR="003E245D" w:rsidRPr="003E245D" w:rsidRDefault="003E245D" w:rsidP="003E245D">
            <w:pPr>
              <w:spacing w:after="0" w:line="240" w:lineRule="auto"/>
              <w:jc w:val="right"/>
              <w:rPr>
                <w:rFonts w:eastAsia="Times New Roman" w:cstheme="minorHAnsi"/>
                <w:color w:val="000000"/>
              </w:rPr>
            </w:pPr>
            <w:r w:rsidRPr="003E245D">
              <w:t>900</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20D76B37" w14:textId="77777777" w:rsidR="003E245D" w:rsidRPr="003E245D" w:rsidRDefault="003E245D" w:rsidP="003E245D">
            <w:pPr>
              <w:spacing w:after="0" w:line="240" w:lineRule="auto"/>
              <w:jc w:val="right"/>
              <w:rPr>
                <w:rFonts w:eastAsia="Times New Roman" w:cstheme="minorHAnsi"/>
                <w:color w:val="000000"/>
              </w:rPr>
            </w:pPr>
            <w:r w:rsidRPr="003E245D">
              <w:t>1.123</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0338D0E9" w14:textId="77777777" w:rsidR="003E245D" w:rsidRPr="003E245D" w:rsidRDefault="003E245D" w:rsidP="003E245D">
            <w:pPr>
              <w:spacing w:after="0" w:line="240" w:lineRule="auto"/>
              <w:jc w:val="right"/>
              <w:rPr>
                <w:rFonts w:eastAsia="Times New Roman" w:cstheme="minorHAnsi"/>
                <w:color w:val="000000"/>
              </w:rPr>
            </w:pPr>
            <w:r w:rsidRPr="003E245D">
              <w:t>994</w:t>
            </w:r>
          </w:p>
        </w:tc>
      </w:tr>
      <w:tr w:rsidR="003E245D" w:rsidRPr="003E245D" w14:paraId="52ADB5D3" w14:textId="77777777" w:rsidTr="00614C87">
        <w:trPr>
          <w:trHeight w:val="315"/>
          <w:jc w:val="center"/>
        </w:trPr>
        <w:tc>
          <w:tcPr>
            <w:tcW w:w="20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35481516" w14:textId="77777777" w:rsidR="003E245D" w:rsidRPr="003E245D" w:rsidRDefault="003E245D" w:rsidP="003E245D">
            <w:pPr>
              <w:spacing w:after="0" w:line="240" w:lineRule="auto"/>
              <w:jc w:val="left"/>
              <w:rPr>
                <w:rFonts w:eastAsia="Times New Roman" w:cstheme="minorHAnsi"/>
                <w:color w:val="000000"/>
                <w:sz w:val="20"/>
                <w:szCs w:val="20"/>
              </w:rPr>
            </w:pPr>
            <w:r w:rsidRPr="003E245D">
              <w:t>Giaglione</w:t>
            </w:r>
          </w:p>
        </w:tc>
        <w:tc>
          <w:tcPr>
            <w:tcW w:w="10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295DAE1B" w14:textId="77777777" w:rsidR="003E245D" w:rsidRPr="003E245D" w:rsidRDefault="003E245D" w:rsidP="003E245D">
            <w:pPr>
              <w:spacing w:after="0" w:line="240" w:lineRule="auto"/>
              <w:jc w:val="right"/>
              <w:rPr>
                <w:rFonts w:eastAsia="Times New Roman" w:cstheme="minorHAnsi"/>
                <w:color w:val="000000"/>
              </w:rPr>
            </w:pPr>
            <w:r w:rsidRPr="003E245D">
              <w:t>724</w:t>
            </w:r>
          </w:p>
        </w:tc>
        <w:tc>
          <w:tcPr>
            <w:tcW w:w="9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09ED15BB" w14:textId="77777777" w:rsidR="003E245D" w:rsidRPr="003E245D" w:rsidRDefault="003E245D" w:rsidP="003E245D">
            <w:pPr>
              <w:spacing w:after="0" w:line="240" w:lineRule="auto"/>
              <w:jc w:val="right"/>
              <w:rPr>
                <w:rFonts w:eastAsia="Times New Roman" w:cstheme="minorHAnsi"/>
                <w:color w:val="000000"/>
              </w:rPr>
            </w:pPr>
            <w:r w:rsidRPr="003E245D">
              <w:t>2.828</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67676B31" w14:textId="77777777" w:rsidR="003E245D" w:rsidRPr="003E245D" w:rsidRDefault="003E245D" w:rsidP="003E245D">
            <w:pPr>
              <w:spacing w:after="0" w:line="240" w:lineRule="auto"/>
              <w:jc w:val="right"/>
              <w:rPr>
                <w:rFonts w:eastAsia="Times New Roman" w:cstheme="minorHAnsi"/>
                <w:color w:val="000000"/>
              </w:rPr>
            </w:pPr>
            <w:r w:rsidRPr="003E245D">
              <w:t>589</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058822DA" w14:textId="77777777" w:rsidR="003E245D" w:rsidRPr="003E245D" w:rsidRDefault="003E245D" w:rsidP="003E245D">
            <w:pPr>
              <w:spacing w:after="0" w:line="240" w:lineRule="auto"/>
              <w:jc w:val="right"/>
              <w:rPr>
                <w:rFonts w:eastAsia="Times New Roman" w:cstheme="minorHAnsi"/>
                <w:color w:val="000000"/>
              </w:rPr>
            </w:pPr>
            <w:r w:rsidRPr="003E245D">
              <w:t>525</w:t>
            </w:r>
          </w:p>
        </w:tc>
      </w:tr>
      <w:tr w:rsidR="003E245D" w:rsidRPr="003E245D" w14:paraId="246F5B1F" w14:textId="77777777" w:rsidTr="00614C87">
        <w:trPr>
          <w:trHeight w:val="315"/>
          <w:jc w:val="center"/>
        </w:trPr>
        <w:tc>
          <w:tcPr>
            <w:tcW w:w="20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6D253511" w14:textId="77777777" w:rsidR="003E245D" w:rsidRPr="003E245D" w:rsidRDefault="003E245D" w:rsidP="003E245D">
            <w:pPr>
              <w:spacing w:after="0" w:line="240" w:lineRule="auto"/>
              <w:jc w:val="left"/>
              <w:rPr>
                <w:rFonts w:eastAsia="Times New Roman" w:cstheme="minorHAnsi"/>
                <w:color w:val="000000"/>
                <w:sz w:val="20"/>
                <w:szCs w:val="20"/>
              </w:rPr>
            </w:pPr>
            <w:r w:rsidRPr="003E245D">
              <w:t>Gravere</w:t>
            </w:r>
          </w:p>
        </w:tc>
        <w:tc>
          <w:tcPr>
            <w:tcW w:w="10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4771D013" w14:textId="77777777" w:rsidR="003E245D" w:rsidRPr="003E245D" w:rsidRDefault="003E245D" w:rsidP="003E245D">
            <w:pPr>
              <w:spacing w:after="0" w:line="240" w:lineRule="auto"/>
              <w:jc w:val="right"/>
              <w:rPr>
                <w:rFonts w:eastAsia="Times New Roman" w:cstheme="minorHAnsi"/>
                <w:color w:val="000000"/>
              </w:rPr>
            </w:pPr>
            <w:r w:rsidRPr="003E245D">
              <w:t>814</w:t>
            </w:r>
          </w:p>
        </w:tc>
        <w:tc>
          <w:tcPr>
            <w:tcW w:w="9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74484F54" w14:textId="77777777" w:rsidR="003E245D" w:rsidRPr="003E245D" w:rsidRDefault="003E245D" w:rsidP="003E245D">
            <w:pPr>
              <w:spacing w:after="0" w:line="240" w:lineRule="auto"/>
              <w:jc w:val="right"/>
              <w:rPr>
                <w:rFonts w:eastAsia="Times New Roman" w:cstheme="minorHAnsi"/>
                <w:color w:val="000000"/>
              </w:rPr>
            </w:pPr>
            <w:r w:rsidRPr="003E245D">
              <w:t>2.091</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15182EF9" w14:textId="77777777" w:rsidR="003E245D" w:rsidRPr="003E245D" w:rsidRDefault="003E245D" w:rsidP="003E245D">
            <w:pPr>
              <w:spacing w:after="0" w:line="240" w:lineRule="auto"/>
              <w:jc w:val="right"/>
              <w:rPr>
                <w:rFonts w:eastAsia="Times New Roman" w:cstheme="minorHAnsi"/>
                <w:color w:val="000000"/>
              </w:rPr>
            </w:pPr>
            <w:r w:rsidRPr="003E245D">
              <w:t>669</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5BCEB7D5" w14:textId="77777777" w:rsidR="003E245D" w:rsidRPr="003E245D" w:rsidRDefault="003E245D" w:rsidP="003E245D">
            <w:pPr>
              <w:spacing w:after="0" w:line="240" w:lineRule="auto"/>
              <w:jc w:val="right"/>
              <w:rPr>
                <w:rFonts w:eastAsia="Times New Roman" w:cstheme="minorHAnsi"/>
                <w:color w:val="000000"/>
              </w:rPr>
            </w:pPr>
            <w:r w:rsidRPr="003E245D">
              <w:t>605</w:t>
            </w:r>
          </w:p>
        </w:tc>
      </w:tr>
      <w:tr w:rsidR="003E245D" w:rsidRPr="003E245D" w14:paraId="360F452A" w14:textId="77777777" w:rsidTr="00614C87">
        <w:trPr>
          <w:trHeight w:val="315"/>
          <w:jc w:val="center"/>
        </w:trPr>
        <w:tc>
          <w:tcPr>
            <w:tcW w:w="20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5F076796" w14:textId="77777777" w:rsidR="003E245D" w:rsidRPr="003E245D" w:rsidRDefault="003E245D" w:rsidP="003E245D">
            <w:pPr>
              <w:spacing w:after="0" w:line="240" w:lineRule="auto"/>
              <w:jc w:val="left"/>
              <w:rPr>
                <w:rFonts w:eastAsia="Times New Roman" w:cstheme="minorHAnsi"/>
                <w:color w:val="000000"/>
                <w:sz w:val="20"/>
                <w:szCs w:val="20"/>
              </w:rPr>
            </w:pPr>
            <w:r w:rsidRPr="003E245D">
              <w:t>Groscavallo</w:t>
            </w:r>
          </w:p>
        </w:tc>
        <w:tc>
          <w:tcPr>
            <w:tcW w:w="10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3A1DCF97" w14:textId="77777777" w:rsidR="003E245D" w:rsidRPr="003E245D" w:rsidRDefault="003E245D" w:rsidP="003E245D">
            <w:pPr>
              <w:spacing w:after="0" w:line="240" w:lineRule="auto"/>
              <w:jc w:val="right"/>
              <w:rPr>
                <w:rFonts w:eastAsia="Times New Roman" w:cstheme="minorHAnsi"/>
                <w:color w:val="000000"/>
              </w:rPr>
            </w:pPr>
            <w:r w:rsidRPr="003E245D">
              <w:t>1.068</w:t>
            </w:r>
          </w:p>
        </w:tc>
        <w:tc>
          <w:tcPr>
            <w:tcW w:w="9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24B1B57D" w14:textId="77777777" w:rsidR="003E245D" w:rsidRPr="003E245D" w:rsidRDefault="003E245D" w:rsidP="003E245D">
            <w:pPr>
              <w:spacing w:after="0" w:line="240" w:lineRule="auto"/>
              <w:jc w:val="right"/>
              <w:rPr>
                <w:rFonts w:eastAsia="Times New Roman" w:cstheme="minorHAnsi"/>
                <w:color w:val="000000"/>
              </w:rPr>
            </w:pPr>
            <w:r w:rsidRPr="003E245D">
              <w:t>2.689</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508C49E3" w14:textId="77777777" w:rsidR="003E245D" w:rsidRPr="003E245D" w:rsidRDefault="003E245D" w:rsidP="003E245D">
            <w:pPr>
              <w:spacing w:after="0" w:line="240" w:lineRule="auto"/>
              <w:jc w:val="right"/>
              <w:rPr>
                <w:rFonts w:eastAsia="Times New Roman" w:cstheme="minorHAnsi"/>
                <w:color w:val="000000"/>
              </w:rPr>
            </w:pPr>
            <w:r w:rsidRPr="003E245D">
              <w:t>192</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30FB5C43" w14:textId="77777777" w:rsidR="003E245D" w:rsidRPr="003E245D" w:rsidRDefault="003E245D" w:rsidP="003E245D">
            <w:pPr>
              <w:spacing w:after="0" w:line="240" w:lineRule="auto"/>
              <w:jc w:val="right"/>
              <w:rPr>
                <w:rFonts w:eastAsia="Times New Roman" w:cstheme="minorHAnsi"/>
                <w:color w:val="000000"/>
              </w:rPr>
            </w:pPr>
            <w:r w:rsidRPr="003E245D">
              <w:t>167</w:t>
            </w:r>
          </w:p>
        </w:tc>
      </w:tr>
      <w:tr w:rsidR="003E245D" w:rsidRPr="003E245D" w14:paraId="45E3E277" w14:textId="77777777" w:rsidTr="00614C87">
        <w:trPr>
          <w:trHeight w:val="315"/>
          <w:jc w:val="center"/>
        </w:trPr>
        <w:tc>
          <w:tcPr>
            <w:tcW w:w="20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02DD3966" w14:textId="77777777" w:rsidR="003E245D" w:rsidRPr="003E245D" w:rsidRDefault="003E245D" w:rsidP="003E245D">
            <w:pPr>
              <w:spacing w:after="0" w:line="240" w:lineRule="auto"/>
              <w:jc w:val="left"/>
              <w:rPr>
                <w:rFonts w:eastAsia="Times New Roman" w:cstheme="minorHAnsi"/>
                <w:color w:val="000000"/>
                <w:sz w:val="20"/>
                <w:szCs w:val="20"/>
              </w:rPr>
            </w:pPr>
            <w:r w:rsidRPr="003E245D">
              <w:t>Grosso</w:t>
            </w:r>
          </w:p>
        </w:tc>
        <w:tc>
          <w:tcPr>
            <w:tcW w:w="10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7BEFA90F" w14:textId="77777777" w:rsidR="003E245D" w:rsidRPr="003E245D" w:rsidRDefault="003E245D" w:rsidP="003E245D">
            <w:pPr>
              <w:spacing w:after="0" w:line="240" w:lineRule="auto"/>
              <w:jc w:val="right"/>
              <w:rPr>
                <w:rFonts w:eastAsia="Times New Roman" w:cstheme="minorHAnsi"/>
                <w:color w:val="000000"/>
              </w:rPr>
            </w:pPr>
            <w:r w:rsidRPr="003E245D">
              <w:t>391</w:t>
            </w:r>
          </w:p>
        </w:tc>
        <w:tc>
          <w:tcPr>
            <w:tcW w:w="9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3435AEB2" w14:textId="77777777" w:rsidR="003E245D" w:rsidRPr="003E245D" w:rsidRDefault="003E245D" w:rsidP="003E245D">
            <w:pPr>
              <w:spacing w:after="0" w:line="240" w:lineRule="auto"/>
              <w:jc w:val="right"/>
              <w:rPr>
                <w:rFonts w:eastAsia="Times New Roman" w:cstheme="minorHAnsi"/>
                <w:color w:val="000000"/>
              </w:rPr>
            </w:pPr>
            <w:r w:rsidRPr="003E245D">
              <w:t>106</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0A7BB204" w14:textId="77777777" w:rsidR="003E245D" w:rsidRPr="003E245D" w:rsidRDefault="003E245D" w:rsidP="003E245D">
            <w:pPr>
              <w:spacing w:after="0" w:line="240" w:lineRule="auto"/>
              <w:jc w:val="right"/>
              <w:rPr>
                <w:rFonts w:eastAsia="Times New Roman" w:cstheme="minorHAnsi"/>
                <w:color w:val="000000"/>
              </w:rPr>
            </w:pPr>
            <w:r w:rsidRPr="003E245D">
              <w:t>997</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466904A4" w14:textId="77777777" w:rsidR="003E245D" w:rsidRPr="003E245D" w:rsidRDefault="003E245D" w:rsidP="003E245D">
            <w:pPr>
              <w:spacing w:after="0" w:line="240" w:lineRule="auto"/>
              <w:jc w:val="right"/>
              <w:rPr>
                <w:rFonts w:eastAsia="Times New Roman" w:cstheme="minorHAnsi"/>
                <w:color w:val="000000"/>
              </w:rPr>
            </w:pPr>
            <w:r w:rsidRPr="003E245D">
              <w:t>891</w:t>
            </w:r>
          </w:p>
        </w:tc>
      </w:tr>
      <w:tr w:rsidR="003E245D" w:rsidRPr="003E245D" w14:paraId="41F47DDB" w14:textId="77777777" w:rsidTr="00614C87">
        <w:trPr>
          <w:trHeight w:val="315"/>
          <w:jc w:val="center"/>
        </w:trPr>
        <w:tc>
          <w:tcPr>
            <w:tcW w:w="20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5273D5BB" w14:textId="77777777" w:rsidR="003E245D" w:rsidRPr="003E245D" w:rsidRDefault="003E245D" w:rsidP="003E245D">
            <w:pPr>
              <w:spacing w:after="0" w:line="240" w:lineRule="auto"/>
              <w:jc w:val="left"/>
              <w:rPr>
                <w:rFonts w:eastAsia="Times New Roman" w:cstheme="minorHAnsi"/>
                <w:color w:val="000000"/>
                <w:sz w:val="20"/>
                <w:szCs w:val="20"/>
              </w:rPr>
            </w:pPr>
            <w:r w:rsidRPr="003E245D">
              <w:t>Ingria</w:t>
            </w:r>
          </w:p>
        </w:tc>
        <w:tc>
          <w:tcPr>
            <w:tcW w:w="10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40DB535B" w14:textId="77777777" w:rsidR="003E245D" w:rsidRPr="003E245D" w:rsidRDefault="003E245D" w:rsidP="003E245D">
            <w:pPr>
              <w:spacing w:after="0" w:line="240" w:lineRule="auto"/>
              <w:jc w:val="right"/>
              <w:rPr>
                <w:rFonts w:eastAsia="Times New Roman" w:cstheme="minorHAnsi"/>
                <w:color w:val="000000"/>
              </w:rPr>
            </w:pPr>
            <w:r w:rsidRPr="003E245D">
              <w:t>812</w:t>
            </w:r>
          </w:p>
        </w:tc>
        <w:tc>
          <w:tcPr>
            <w:tcW w:w="9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39199D88" w14:textId="77777777" w:rsidR="003E245D" w:rsidRPr="003E245D" w:rsidRDefault="003E245D" w:rsidP="003E245D">
            <w:pPr>
              <w:spacing w:after="0" w:line="240" w:lineRule="auto"/>
              <w:jc w:val="right"/>
              <w:rPr>
                <w:rFonts w:eastAsia="Times New Roman" w:cstheme="minorHAnsi"/>
                <w:color w:val="000000"/>
              </w:rPr>
            </w:pPr>
            <w:r w:rsidRPr="003E245D">
              <w:t>2.101</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26BD2B39" w14:textId="77777777" w:rsidR="003E245D" w:rsidRPr="003E245D" w:rsidRDefault="003E245D" w:rsidP="003E245D">
            <w:pPr>
              <w:spacing w:after="0" w:line="240" w:lineRule="auto"/>
              <w:jc w:val="right"/>
              <w:rPr>
                <w:rFonts w:eastAsia="Times New Roman" w:cstheme="minorHAnsi"/>
                <w:color w:val="000000"/>
              </w:rPr>
            </w:pPr>
            <w:r w:rsidRPr="003E245D">
              <w:t>43</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422FE1C1" w14:textId="77777777" w:rsidR="003E245D" w:rsidRPr="003E245D" w:rsidRDefault="003E245D" w:rsidP="003E245D">
            <w:pPr>
              <w:spacing w:after="0" w:line="240" w:lineRule="auto"/>
              <w:jc w:val="right"/>
              <w:rPr>
                <w:rFonts w:eastAsia="Times New Roman" w:cstheme="minorHAnsi"/>
                <w:color w:val="000000"/>
              </w:rPr>
            </w:pPr>
            <w:r w:rsidRPr="003E245D">
              <w:t>37</w:t>
            </w:r>
          </w:p>
        </w:tc>
      </w:tr>
      <w:tr w:rsidR="003E245D" w:rsidRPr="003E245D" w14:paraId="0E5B0793" w14:textId="77777777" w:rsidTr="00614C87">
        <w:trPr>
          <w:trHeight w:val="315"/>
          <w:jc w:val="center"/>
        </w:trPr>
        <w:tc>
          <w:tcPr>
            <w:tcW w:w="20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5B8D251B" w14:textId="77777777" w:rsidR="003E245D" w:rsidRPr="003E245D" w:rsidRDefault="003E245D" w:rsidP="003E245D">
            <w:pPr>
              <w:spacing w:after="0" w:line="240" w:lineRule="auto"/>
              <w:jc w:val="left"/>
              <w:rPr>
                <w:rFonts w:eastAsia="Times New Roman" w:cstheme="minorHAnsi"/>
                <w:color w:val="000000"/>
                <w:sz w:val="20"/>
                <w:szCs w:val="20"/>
              </w:rPr>
            </w:pPr>
            <w:r w:rsidRPr="003E245D">
              <w:t>Lanzo Torinese</w:t>
            </w:r>
          </w:p>
        </w:tc>
        <w:tc>
          <w:tcPr>
            <w:tcW w:w="10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50D561E3" w14:textId="77777777" w:rsidR="003E245D" w:rsidRPr="003E245D" w:rsidRDefault="003E245D" w:rsidP="003E245D">
            <w:pPr>
              <w:spacing w:after="0" w:line="240" w:lineRule="auto"/>
              <w:jc w:val="right"/>
              <w:rPr>
                <w:rFonts w:eastAsia="Times New Roman" w:cstheme="minorHAnsi"/>
                <w:color w:val="000000"/>
              </w:rPr>
            </w:pPr>
            <w:r w:rsidRPr="003E245D">
              <w:t>513</w:t>
            </w:r>
          </w:p>
        </w:tc>
        <w:tc>
          <w:tcPr>
            <w:tcW w:w="9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25191C94" w14:textId="77777777" w:rsidR="003E245D" w:rsidRPr="003E245D" w:rsidRDefault="003E245D" w:rsidP="003E245D">
            <w:pPr>
              <w:spacing w:after="0" w:line="240" w:lineRule="auto"/>
              <w:jc w:val="right"/>
              <w:rPr>
                <w:rFonts w:eastAsia="Times New Roman" w:cstheme="minorHAnsi"/>
                <w:color w:val="000000"/>
              </w:rPr>
            </w:pPr>
            <w:r w:rsidRPr="003E245D">
              <w:t>614</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4F6A2ECF" w14:textId="77777777" w:rsidR="003E245D" w:rsidRPr="003E245D" w:rsidRDefault="003E245D" w:rsidP="003E245D">
            <w:pPr>
              <w:spacing w:after="0" w:line="240" w:lineRule="auto"/>
              <w:jc w:val="right"/>
              <w:rPr>
                <w:rFonts w:eastAsia="Times New Roman" w:cstheme="minorHAnsi"/>
                <w:color w:val="000000"/>
              </w:rPr>
            </w:pPr>
            <w:r w:rsidRPr="003E245D">
              <w:t>4.881</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37929B42" w14:textId="77777777" w:rsidR="003E245D" w:rsidRPr="003E245D" w:rsidRDefault="003E245D" w:rsidP="003E245D">
            <w:pPr>
              <w:spacing w:after="0" w:line="240" w:lineRule="auto"/>
              <w:jc w:val="right"/>
              <w:rPr>
                <w:rFonts w:eastAsia="Times New Roman" w:cstheme="minorHAnsi"/>
                <w:color w:val="000000"/>
              </w:rPr>
            </w:pPr>
            <w:r w:rsidRPr="003E245D">
              <w:t>4.280</w:t>
            </w:r>
          </w:p>
        </w:tc>
      </w:tr>
      <w:tr w:rsidR="003E245D" w:rsidRPr="003E245D" w14:paraId="1A098DD9" w14:textId="77777777" w:rsidTr="00614C87">
        <w:trPr>
          <w:trHeight w:val="315"/>
          <w:jc w:val="center"/>
        </w:trPr>
        <w:tc>
          <w:tcPr>
            <w:tcW w:w="20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553E48A6" w14:textId="77777777" w:rsidR="003E245D" w:rsidRPr="003E245D" w:rsidRDefault="003E245D" w:rsidP="003E245D">
            <w:pPr>
              <w:spacing w:after="0" w:line="240" w:lineRule="auto"/>
              <w:jc w:val="left"/>
              <w:rPr>
                <w:rFonts w:eastAsia="Times New Roman" w:cstheme="minorHAnsi"/>
                <w:color w:val="000000"/>
                <w:sz w:val="20"/>
                <w:szCs w:val="20"/>
              </w:rPr>
            </w:pPr>
            <w:r w:rsidRPr="003E245D">
              <w:t>Lemie</w:t>
            </w:r>
          </w:p>
        </w:tc>
        <w:tc>
          <w:tcPr>
            <w:tcW w:w="10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5175F5A0" w14:textId="77777777" w:rsidR="003E245D" w:rsidRPr="003E245D" w:rsidRDefault="003E245D" w:rsidP="003E245D">
            <w:pPr>
              <w:spacing w:after="0" w:line="240" w:lineRule="auto"/>
              <w:jc w:val="right"/>
              <w:rPr>
                <w:rFonts w:eastAsia="Times New Roman" w:cstheme="minorHAnsi"/>
                <w:color w:val="000000"/>
              </w:rPr>
            </w:pPr>
            <w:r w:rsidRPr="003E245D">
              <w:t>950</w:t>
            </w:r>
          </w:p>
        </w:tc>
        <w:tc>
          <w:tcPr>
            <w:tcW w:w="9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355CD57D" w14:textId="77777777" w:rsidR="003E245D" w:rsidRPr="003E245D" w:rsidRDefault="003E245D" w:rsidP="003E245D">
            <w:pPr>
              <w:spacing w:after="0" w:line="240" w:lineRule="auto"/>
              <w:jc w:val="right"/>
              <w:rPr>
                <w:rFonts w:eastAsia="Times New Roman" w:cstheme="minorHAnsi"/>
                <w:color w:val="000000"/>
              </w:rPr>
            </w:pPr>
            <w:r w:rsidRPr="003E245D">
              <w:t>2.086</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4576F87F" w14:textId="77777777" w:rsidR="003E245D" w:rsidRPr="003E245D" w:rsidRDefault="003E245D" w:rsidP="003E245D">
            <w:pPr>
              <w:spacing w:after="0" w:line="240" w:lineRule="auto"/>
              <w:jc w:val="right"/>
              <w:rPr>
                <w:rFonts w:eastAsia="Times New Roman" w:cstheme="minorHAnsi"/>
                <w:color w:val="000000"/>
              </w:rPr>
            </w:pPr>
            <w:r w:rsidRPr="003E245D">
              <w:t>159</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0028030C" w14:textId="77777777" w:rsidR="003E245D" w:rsidRPr="003E245D" w:rsidRDefault="003E245D" w:rsidP="003E245D">
            <w:pPr>
              <w:spacing w:after="0" w:line="240" w:lineRule="auto"/>
              <w:jc w:val="right"/>
              <w:rPr>
                <w:rFonts w:eastAsia="Times New Roman" w:cstheme="minorHAnsi"/>
                <w:color w:val="000000"/>
              </w:rPr>
            </w:pPr>
            <w:r w:rsidRPr="003E245D">
              <w:t>140</w:t>
            </w:r>
          </w:p>
        </w:tc>
      </w:tr>
      <w:tr w:rsidR="003E245D" w:rsidRPr="003E245D" w14:paraId="0C90F5AB" w14:textId="77777777" w:rsidTr="00614C87">
        <w:trPr>
          <w:trHeight w:val="315"/>
          <w:jc w:val="center"/>
        </w:trPr>
        <w:tc>
          <w:tcPr>
            <w:tcW w:w="20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7B9370EE" w14:textId="77777777" w:rsidR="003E245D" w:rsidRPr="003E245D" w:rsidRDefault="003E245D" w:rsidP="003E245D">
            <w:pPr>
              <w:spacing w:after="0" w:line="240" w:lineRule="auto"/>
              <w:jc w:val="left"/>
              <w:rPr>
                <w:rFonts w:eastAsia="Times New Roman" w:cstheme="minorHAnsi"/>
                <w:color w:val="000000"/>
                <w:sz w:val="20"/>
                <w:szCs w:val="20"/>
              </w:rPr>
            </w:pPr>
            <w:r w:rsidRPr="003E245D">
              <w:t>Levone</w:t>
            </w:r>
          </w:p>
        </w:tc>
        <w:tc>
          <w:tcPr>
            <w:tcW w:w="10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62606462" w14:textId="77777777" w:rsidR="003E245D" w:rsidRPr="003E245D" w:rsidRDefault="003E245D" w:rsidP="003E245D">
            <w:pPr>
              <w:spacing w:after="0" w:line="240" w:lineRule="auto"/>
              <w:jc w:val="right"/>
              <w:rPr>
                <w:rFonts w:eastAsia="Times New Roman" w:cstheme="minorHAnsi"/>
                <w:color w:val="000000"/>
              </w:rPr>
            </w:pPr>
            <w:r w:rsidRPr="003E245D">
              <w:t>354</w:t>
            </w:r>
          </w:p>
        </w:tc>
        <w:tc>
          <w:tcPr>
            <w:tcW w:w="9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26F7F4AC" w14:textId="77777777" w:rsidR="003E245D" w:rsidRPr="003E245D" w:rsidRDefault="003E245D" w:rsidP="003E245D">
            <w:pPr>
              <w:spacing w:after="0" w:line="240" w:lineRule="auto"/>
              <w:jc w:val="right"/>
              <w:rPr>
                <w:rFonts w:eastAsia="Times New Roman" w:cstheme="minorHAnsi"/>
                <w:color w:val="000000"/>
              </w:rPr>
            </w:pPr>
            <w:r w:rsidRPr="003E245D">
              <w:t>613</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117221A3" w14:textId="77777777" w:rsidR="003E245D" w:rsidRPr="003E245D" w:rsidRDefault="003E245D" w:rsidP="003E245D">
            <w:pPr>
              <w:spacing w:after="0" w:line="240" w:lineRule="auto"/>
              <w:jc w:val="right"/>
              <w:rPr>
                <w:rFonts w:eastAsia="Times New Roman" w:cstheme="minorHAnsi"/>
                <w:color w:val="000000"/>
              </w:rPr>
            </w:pPr>
            <w:r w:rsidRPr="003E245D">
              <w:t>441</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628111B3" w14:textId="77777777" w:rsidR="003E245D" w:rsidRPr="003E245D" w:rsidRDefault="003E245D" w:rsidP="003E245D">
            <w:pPr>
              <w:spacing w:after="0" w:line="240" w:lineRule="auto"/>
              <w:jc w:val="right"/>
              <w:rPr>
                <w:rFonts w:eastAsia="Times New Roman" w:cstheme="minorHAnsi"/>
                <w:color w:val="000000"/>
              </w:rPr>
            </w:pPr>
            <w:r w:rsidRPr="003E245D">
              <w:t>382</w:t>
            </w:r>
          </w:p>
        </w:tc>
      </w:tr>
      <w:tr w:rsidR="003E245D" w:rsidRPr="003E245D" w14:paraId="0E6533B2" w14:textId="77777777" w:rsidTr="00614C87">
        <w:trPr>
          <w:trHeight w:val="315"/>
          <w:jc w:val="center"/>
        </w:trPr>
        <w:tc>
          <w:tcPr>
            <w:tcW w:w="20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302D5B57" w14:textId="77777777" w:rsidR="003E245D" w:rsidRPr="003E245D" w:rsidRDefault="003E245D" w:rsidP="003E245D">
            <w:pPr>
              <w:spacing w:after="0" w:line="240" w:lineRule="auto"/>
              <w:jc w:val="left"/>
              <w:rPr>
                <w:rFonts w:eastAsia="Times New Roman" w:cstheme="minorHAnsi"/>
                <w:color w:val="000000"/>
                <w:sz w:val="20"/>
                <w:szCs w:val="20"/>
              </w:rPr>
            </w:pPr>
            <w:r w:rsidRPr="003E245D">
              <w:t>Locana</w:t>
            </w:r>
          </w:p>
        </w:tc>
        <w:tc>
          <w:tcPr>
            <w:tcW w:w="10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5715F79D" w14:textId="77777777" w:rsidR="003E245D" w:rsidRPr="003E245D" w:rsidRDefault="003E245D" w:rsidP="003E245D">
            <w:pPr>
              <w:spacing w:after="0" w:line="240" w:lineRule="auto"/>
              <w:jc w:val="right"/>
              <w:rPr>
                <w:rFonts w:eastAsia="Times New Roman" w:cstheme="minorHAnsi"/>
                <w:color w:val="000000"/>
              </w:rPr>
            </w:pPr>
            <w:r w:rsidRPr="003E245D">
              <w:t>604</w:t>
            </w:r>
          </w:p>
        </w:tc>
        <w:tc>
          <w:tcPr>
            <w:tcW w:w="9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00C9282B" w14:textId="77777777" w:rsidR="003E245D" w:rsidRPr="003E245D" w:rsidRDefault="003E245D" w:rsidP="003E245D">
            <w:pPr>
              <w:spacing w:after="0" w:line="240" w:lineRule="auto"/>
              <w:jc w:val="right"/>
              <w:rPr>
                <w:rFonts w:eastAsia="Times New Roman" w:cstheme="minorHAnsi"/>
                <w:color w:val="000000"/>
              </w:rPr>
            </w:pPr>
            <w:r w:rsidRPr="003E245D">
              <w:t>3.147</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40169CD6" w14:textId="77777777" w:rsidR="003E245D" w:rsidRPr="003E245D" w:rsidRDefault="003E245D" w:rsidP="003E245D">
            <w:pPr>
              <w:spacing w:after="0" w:line="240" w:lineRule="auto"/>
              <w:jc w:val="right"/>
              <w:rPr>
                <w:rFonts w:eastAsia="Times New Roman" w:cstheme="minorHAnsi"/>
                <w:color w:val="000000"/>
              </w:rPr>
            </w:pPr>
            <w:r w:rsidRPr="003E245D">
              <w:t>1.317</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3E8BA5D2" w14:textId="77777777" w:rsidR="003E245D" w:rsidRPr="003E245D" w:rsidRDefault="003E245D" w:rsidP="003E245D">
            <w:pPr>
              <w:spacing w:after="0" w:line="240" w:lineRule="auto"/>
              <w:jc w:val="right"/>
              <w:rPr>
                <w:rFonts w:eastAsia="Times New Roman" w:cstheme="minorHAnsi"/>
                <w:color w:val="000000"/>
              </w:rPr>
            </w:pPr>
            <w:r w:rsidRPr="003E245D">
              <w:t>1.166</w:t>
            </w:r>
          </w:p>
        </w:tc>
      </w:tr>
      <w:tr w:rsidR="003E245D" w:rsidRPr="003E245D" w14:paraId="7BB6A684" w14:textId="77777777" w:rsidTr="00614C87">
        <w:trPr>
          <w:trHeight w:val="315"/>
          <w:jc w:val="center"/>
        </w:trPr>
        <w:tc>
          <w:tcPr>
            <w:tcW w:w="20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5B7CF54D" w14:textId="77777777" w:rsidR="003E245D" w:rsidRPr="003E245D" w:rsidRDefault="003E245D" w:rsidP="003E245D">
            <w:pPr>
              <w:spacing w:after="0" w:line="240" w:lineRule="auto"/>
              <w:jc w:val="left"/>
              <w:rPr>
                <w:rFonts w:eastAsia="Times New Roman" w:cstheme="minorHAnsi"/>
                <w:color w:val="000000"/>
                <w:sz w:val="20"/>
                <w:szCs w:val="20"/>
              </w:rPr>
            </w:pPr>
            <w:r w:rsidRPr="003E245D">
              <w:t>Massello</w:t>
            </w:r>
          </w:p>
        </w:tc>
        <w:tc>
          <w:tcPr>
            <w:tcW w:w="10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63DB694E" w14:textId="77777777" w:rsidR="003E245D" w:rsidRPr="003E245D" w:rsidRDefault="003E245D" w:rsidP="003E245D">
            <w:pPr>
              <w:spacing w:after="0" w:line="240" w:lineRule="auto"/>
              <w:jc w:val="right"/>
              <w:rPr>
                <w:rFonts w:eastAsia="Times New Roman" w:cstheme="minorHAnsi"/>
                <w:color w:val="000000"/>
              </w:rPr>
            </w:pPr>
            <w:r w:rsidRPr="003E245D">
              <w:t>1.190</w:t>
            </w:r>
          </w:p>
        </w:tc>
        <w:tc>
          <w:tcPr>
            <w:tcW w:w="9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7363C979" w14:textId="77777777" w:rsidR="003E245D" w:rsidRPr="003E245D" w:rsidRDefault="003E245D" w:rsidP="003E245D">
            <w:pPr>
              <w:spacing w:after="0" w:line="240" w:lineRule="auto"/>
              <w:jc w:val="right"/>
              <w:rPr>
                <w:rFonts w:eastAsia="Times New Roman" w:cstheme="minorHAnsi"/>
                <w:color w:val="000000"/>
              </w:rPr>
            </w:pPr>
            <w:r w:rsidRPr="003E245D">
              <w:t>1.974</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563515A0" w14:textId="77777777" w:rsidR="003E245D" w:rsidRPr="003E245D" w:rsidRDefault="003E245D" w:rsidP="003E245D">
            <w:pPr>
              <w:spacing w:after="0" w:line="240" w:lineRule="auto"/>
              <w:jc w:val="right"/>
              <w:rPr>
                <w:rFonts w:eastAsia="Times New Roman" w:cstheme="minorHAnsi"/>
                <w:color w:val="000000"/>
              </w:rPr>
            </w:pPr>
            <w:r w:rsidRPr="003E245D">
              <w:t>58</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4D8B7FE7" w14:textId="77777777" w:rsidR="003E245D" w:rsidRPr="003E245D" w:rsidRDefault="003E245D" w:rsidP="003E245D">
            <w:pPr>
              <w:spacing w:after="0" w:line="240" w:lineRule="auto"/>
              <w:jc w:val="right"/>
              <w:rPr>
                <w:rFonts w:eastAsia="Times New Roman" w:cstheme="minorHAnsi"/>
                <w:color w:val="000000"/>
              </w:rPr>
            </w:pPr>
            <w:r w:rsidRPr="003E245D">
              <w:t>51</w:t>
            </w:r>
          </w:p>
        </w:tc>
      </w:tr>
      <w:tr w:rsidR="003E245D" w:rsidRPr="003E245D" w14:paraId="1F8A74D0" w14:textId="77777777" w:rsidTr="00614C87">
        <w:trPr>
          <w:trHeight w:val="315"/>
          <w:jc w:val="center"/>
        </w:trPr>
        <w:tc>
          <w:tcPr>
            <w:tcW w:w="20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291F21D9" w14:textId="77777777" w:rsidR="003E245D" w:rsidRPr="003E245D" w:rsidRDefault="003E245D" w:rsidP="003E245D">
            <w:pPr>
              <w:spacing w:after="0" w:line="240" w:lineRule="auto"/>
              <w:jc w:val="left"/>
              <w:rPr>
                <w:rFonts w:eastAsia="Times New Roman" w:cstheme="minorHAnsi"/>
                <w:color w:val="000000"/>
                <w:sz w:val="20"/>
                <w:szCs w:val="20"/>
              </w:rPr>
            </w:pPr>
            <w:r w:rsidRPr="003E245D">
              <w:t>Mathi</w:t>
            </w:r>
          </w:p>
        </w:tc>
        <w:tc>
          <w:tcPr>
            <w:tcW w:w="10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2A623A1B" w14:textId="77777777" w:rsidR="003E245D" w:rsidRPr="003E245D" w:rsidRDefault="003E245D" w:rsidP="003E245D">
            <w:pPr>
              <w:spacing w:after="0" w:line="240" w:lineRule="auto"/>
              <w:jc w:val="right"/>
              <w:rPr>
                <w:rFonts w:eastAsia="Times New Roman" w:cstheme="minorHAnsi"/>
                <w:color w:val="000000"/>
              </w:rPr>
            </w:pPr>
            <w:r w:rsidRPr="003E245D">
              <w:t>406</w:t>
            </w:r>
          </w:p>
        </w:tc>
        <w:tc>
          <w:tcPr>
            <w:tcW w:w="9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155BE119" w14:textId="77777777" w:rsidR="003E245D" w:rsidRPr="003E245D" w:rsidRDefault="003E245D" w:rsidP="003E245D">
            <w:pPr>
              <w:spacing w:after="0" w:line="240" w:lineRule="auto"/>
              <w:jc w:val="right"/>
              <w:rPr>
                <w:rFonts w:eastAsia="Times New Roman" w:cstheme="minorHAnsi"/>
                <w:color w:val="000000"/>
              </w:rPr>
            </w:pPr>
            <w:r w:rsidRPr="003E245D">
              <w:t>518</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00D733E8" w14:textId="77777777" w:rsidR="003E245D" w:rsidRPr="003E245D" w:rsidRDefault="003E245D" w:rsidP="003E245D">
            <w:pPr>
              <w:spacing w:after="0" w:line="240" w:lineRule="auto"/>
              <w:jc w:val="right"/>
              <w:rPr>
                <w:rFonts w:eastAsia="Times New Roman" w:cstheme="minorHAnsi"/>
                <w:color w:val="000000"/>
              </w:rPr>
            </w:pPr>
            <w:r w:rsidRPr="003E245D">
              <w:t>3.763</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5AEF0B1E" w14:textId="77777777" w:rsidR="003E245D" w:rsidRPr="003E245D" w:rsidRDefault="003E245D" w:rsidP="003E245D">
            <w:pPr>
              <w:spacing w:after="0" w:line="240" w:lineRule="auto"/>
              <w:jc w:val="right"/>
              <w:rPr>
                <w:rFonts w:eastAsia="Times New Roman" w:cstheme="minorHAnsi"/>
                <w:color w:val="000000"/>
              </w:rPr>
            </w:pPr>
            <w:r w:rsidRPr="003E245D">
              <w:t>3.345</w:t>
            </w:r>
          </w:p>
        </w:tc>
      </w:tr>
      <w:tr w:rsidR="003E245D" w:rsidRPr="003E245D" w14:paraId="29616252" w14:textId="77777777" w:rsidTr="00614C87">
        <w:trPr>
          <w:trHeight w:val="315"/>
          <w:jc w:val="center"/>
        </w:trPr>
        <w:tc>
          <w:tcPr>
            <w:tcW w:w="20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1DB0189F" w14:textId="77777777" w:rsidR="003E245D" w:rsidRPr="003E245D" w:rsidRDefault="003E245D" w:rsidP="003E245D">
            <w:pPr>
              <w:spacing w:after="0" w:line="240" w:lineRule="auto"/>
              <w:jc w:val="left"/>
              <w:rPr>
                <w:rFonts w:eastAsia="Times New Roman" w:cstheme="minorHAnsi"/>
                <w:color w:val="000000"/>
                <w:sz w:val="20"/>
                <w:szCs w:val="20"/>
              </w:rPr>
            </w:pPr>
            <w:r w:rsidRPr="003E245D">
              <w:t>Mattie</w:t>
            </w:r>
          </w:p>
        </w:tc>
        <w:tc>
          <w:tcPr>
            <w:tcW w:w="10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07AD4310" w14:textId="77777777" w:rsidR="003E245D" w:rsidRPr="003E245D" w:rsidRDefault="003E245D" w:rsidP="003E245D">
            <w:pPr>
              <w:spacing w:after="0" w:line="240" w:lineRule="auto"/>
              <w:jc w:val="right"/>
              <w:rPr>
                <w:rFonts w:eastAsia="Times New Roman" w:cstheme="minorHAnsi"/>
                <w:color w:val="000000"/>
              </w:rPr>
            </w:pPr>
            <w:r w:rsidRPr="003E245D">
              <w:t>730</w:t>
            </w:r>
          </w:p>
        </w:tc>
        <w:tc>
          <w:tcPr>
            <w:tcW w:w="9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1CF2723D" w14:textId="77777777" w:rsidR="003E245D" w:rsidRPr="003E245D" w:rsidRDefault="003E245D" w:rsidP="003E245D">
            <w:pPr>
              <w:spacing w:after="0" w:line="240" w:lineRule="auto"/>
              <w:jc w:val="right"/>
              <w:rPr>
                <w:rFonts w:eastAsia="Times New Roman" w:cstheme="minorHAnsi"/>
                <w:color w:val="000000"/>
              </w:rPr>
            </w:pPr>
            <w:r w:rsidRPr="003E245D">
              <w:t>2.352</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1C155532" w14:textId="77777777" w:rsidR="003E245D" w:rsidRPr="003E245D" w:rsidRDefault="003E245D" w:rsidP="003E245D">
            <w:pPr>
              <w:spacing w:after="0" w:line="240" w:lineRule="auto"/>
              <w:jc w:val="right"/>
              <w:rPr>
                <w:rFonts w:eastAsia="Times New Roman" w:cstheme="minorHAnsi"/>
                <w:color w:val="000000"/>
              </w:rPr>
            </w:pPr>
            <w:r w:rsidRPr="003E245D">
              <w:t>670</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79721A21" w14:textId="77777777" w:rsidR="003E245D" w:rsidRPr="003E245D" w:rsidRDefault="003E245D" w:rsidP="003E245D">
            <w:pPr>
              <w:spacing w:after="0" w:line="240" w:lineRule="auto"/>
              <w:jc w:val="right"/>
              <w:rPr>
                <w:rFonts w:eastAsia="Times New Roman" w:cstheme="minorHAnsi"/>
                <w:color w:val="000000"/>
              </w:rPr>
            </w:pPr>
            <w:r w:rsidRPr="003E245D">
              <w:t>589</w:t>
            </w:r>
          </w:p>
        </w:tc>
      </w:tr>
      <w:tr w:rsidR="003E245D" w:rsidRPr="003E245D" w14:paraId="7CF862FB" w14:textId="77777777" w:rsidTr="00614C87">
        <w:trPr>
          <w:trHeight w:val="315"/>
          <w:jc w:val="center"/>
        </w:trPr>
        <w:tc>
          <w:tcPr>
            <w:tcW w:w="20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1805A0DC" w14:textId="77777777" w:rsidR="003E245D" w:rsidRPr="003E245D" w:rsidRDefault="003E245D" w:rsidP="003E245D">
            <w:pPr>
              <w:spacing w:after="0" w:line="240" w:lineRule="auto"/>
              <w:jc w:val="left"/>
              <w:rPr>
                <w:rFonts w:eastAsia="Times New Roman" w:cstheme="minorHAnsi"/>
                <w:color w:val="000000"/>
                <w:sz w:val="20"/>
                <w:szCs w:val="20"/>
              </w:rPr>
            </w:pPr>
            <w:r w:rsidRPr="003E245D">
              <w:t>Meana di Susa</w:t>
            </w:r>
          </w:p>
        </w:tc>
        <w:tc>
          <w:tcPr>
            <w:tcW w:w="10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2AF8CCD3" w14:textId="77777777" w:rsidR="003E245D" w:rsidRPr="003E245D" w:rsidRDefault="003E245D" w:rsidP="003E245D">
            <w:pPr>
              <w:spacing w:after="0" w:line="240" w:lineRule="auto"/>
              <w:jc w:val="right"/>
              <w:rPr>
                <w:rFonts w:eastAsia="Times New Roman" w:cstheme="minorHAnsi"/>
                <w:color w:val="000000"/>
              </w:rPr>
            </w:pPr>
            <w:r w:rsidRPr="003E245D">
              <w:t>679</w:t>
            </w:r>
          </w:p>
        </w:tc>
        <w:tc>
          <w:tcPr>
            <w:tcW w:w="9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25D67745" w14:textId="77777777" w:rsidR="003E245D" w:rsidRPr="003E245D" w:rsidRDefault="003E245D" w:rsidP="003E245D">
            <w:pPr>
              <w:spacing w:after="0" w:line="240" w:lineRule="auto"/>
              <w:jc w:val="right"/>
              <w:rPr>
                <w:rFonts w:eastAsia="Times New Roman" w:cstheme="minorHAnsi"/>
                <w:color w:val="000000"/>
              </w:rPr>
            </w:pPr>
            <w:r w:rsidRPr="003E245D">
              <w:t>2.261</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2FAA69E2" w14:textId="77777777" w:rsidR="003E245D" w:rsidRPr="003E245D" w:rsidRDefault="003E245D" w:rsidP="003E245D">
            <w:pPr>
              <w:spacing w:after="0" w:line="240" w:lineRule="auto"/>
              <w:jc w:val="right"/>
              <w:rPr>
                <w:rFonts w:eastAsia="Times New Roman" w:cstheme="minorHAnsi"/>
                <w:color w:val="000000"/>
              </w:rPr>
            </w:pPr>
            <w:r w:rsidRPr="003E245D">
              <w:t>807</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37ACD872" w14:textId="77777777" w:rsidR="003E245D" w:rsidRPr="003E245D" w:rsidRDefault="003E245D" w:rsidP="003E245D">
            <w:pPr>
              <w:spacing w:after="0" w:line="240" w:lineRule="auto"/>
              <w:jc w:val="right"/>
              <w:rPr>
                <w:rFonts w:eastAsia="Times New Roman" w:cstheme="minorHAnsi"/>
                <w:color w:val="000000"/>
              </w:rPr>
            </w:pPr>
            <w:r w:rsidRPr="003E245D">
              <w:t>739</w:t>
            </w:r>
          </w:p>
        </w:tc>
      </w:tr>
      <w:tr w:rsidR="003E245D" w:rsidRPr="003E245D" w14:paraId="43C0FC29" w14:textId="77777777" w:rsidTr="00614C87">
        <w:trPr>
          <w:trHeight w:val="315"/>
          <w:jc w:val="center"/>
        </w:trPr>
        <w:tc>
          <w:tcPr>
            <w:tcW w:w="20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5FFA21A8" w14:textId="77777777" w:rsidR="003E245D" w:rsidRPr="003E245D" w:rsidRDefault="003E245D" w:rsidP="003E245D">
            <w:pPr>
              <w:spacing w:after="0" w:line="240" w:lineRule="auto"/>
              <w:jc w:val="left"/>
              <w:rPr>
                <w:rFonts w:eastAsia="Times New Roman" w:cstheme="minorHAnsi"/>
                <w:color w:val="000000"/>
                <w:sz w:val="20"/>
                <w:szCs w:val="20"/>
              </w:rPr>
            </w:pPr>
            <w:r w:rsidRPr="003E245D">
              <w:t>Mezzenile</w:t>
            </w:r>
          </w:p>
        </w:tc>
        <w:tc>
          <w:tcPr>
            <w:tcW w:w="10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19EA0838" w14:textId="77777777" w:rsidR="003E245D" w:rsidRPr="003E245D" w:rsidRDefault="003E245D" w:rsidP="003E245D">
            <w:pPr>
              <w:spacing w:after="0" w:line="240" w:lineRule="auto"/>
              <w:jc w:val="right"/>
              <w:rPr>
                <w:rFonts w:eastAsia="Times New Roman" w:cstheme="minorHAnsi"/>
                <w:color w:val="000000"/>
              </w:rPr>
            </w:pPr>
            <w:r w:rsidRPr="003E245D">
              <w:t>655</w:t>
            </w:r>
          </w:p>
        </w:tc>
        <w:tc>
          <w:tcPr>
            <w:tcW w:w="9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424A0C2F" w14:textId="77777777" w:rsidR="003E245D" w:rsidRPr="003E245D" w:rsidRDefault="003E245D" w:rsidP="003E245D">
            <w:pPr>
              <w:spacing w:after="0" w:line="240" w:lineRule="auto"/>
              <w:jc w:val="right"/>
              <w:rPr>
                <w:rFonts w:eastAsia="Times New Roman" w:cstheme="minorHAnsi"/>
                <w:color w:val="000000"/>
              </w:rPr>
            </w:pPr>
            <w:r w:rsidRPr="003E245D">
              <w:t>1.773</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2DC237A0" w14:textId="77777777" w:rsidR="003E245D" w:rsidRPr="003E245D" w:rsidRDefault="003E245D" w:rsidP="003E245D">
            <w:pPr>
              <w:spacing w:after="0" w:line="240" w:lineRule="auto"/>
              <w:jc w:val="right"/>
              <w:rPr>
                <w:rFonts w:eastAsia="Times New Roman" w:cstheme="minorHAnsi"/>
                <w:color w:val="000000"/>
              </w:rPr>
            </w:pPr>
            <w:r w:rsidRPr="003E245D">
              <w:t>729</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0EDCB2B8" w14:textId="77777777" w:rsidR="003E245D" w:rsidRPr="003E245D" w:rsidRDefault="003E245D" w:rsidP="003E245D">
            <w:pPr>
              <w:spacing w:after="0" w:line="240" w:lineRule="auto"/>
              <w:jc w:val="right"/>
              <w:rPr>
                <w:rFonts w:eastAsia="Times New Roman" w:cstheme="minorHAnsi"/>
                <w:color w:val="000000"/>
              </w:rPr>
            </w:pPr>
            <w:r w:rsidRPr="003E245D">
              <w:t>664</w:t>
            </w:r>
          </w:p>
        </w:tc>
      </w:tr>
      <w:tr w:rsidR="003E245D" w:rsidRPr="003E245D" w14:paraId="12E28C71" w14:textId="77777777" w:rsidTr="00614C87">
        <w:trPr>
          <w:trHeight w:val="315"/>
          <w:jc w:val="center"/>
        </w:trPr>
        <w:tc>
          <w:tcPr>
            <w:tcW w:w="20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5D967707" w14:textId="77777777" w:rsidR="003E245D" w:rsidRPr="003E245D" w:rsidRDefault="003E245D" w:rsidP="003E245D">
            <w:pPr>
              <w:spacing w:after="0" w:line="240" w:lineRule="auto"/>
              <w:jc w:val="left"/>
              <w:rPr>
                <w:rFonts w:eastAsia="Times New Roman" w:cstheme="minorHAnsi"/>
                <w:color w:val="000000"/>
                <w:sz w:val="20"/>
                <w:szCs w:val="20"/>
              </w:rPr>
            </w:pPr>
            <w:r w:rsidRPr="003E245D">
              <w:t>Mompantero</w:t>
            </w:r>
          </w:p>
        </w:tc>
        <w:tc>
          <w:tcPr>
            <w:tcW w:w="10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706121FB" w14:textId="77777777" w:rsidR="003E245D" w:rsidRPr="003E245D" w:rsidRDefault="003E245D" w:rsidP="003E245D">
            <w:pPr>
              <w:spacing w:after="0" w:line="240" w:lineRule="auto"/>
              <w:jc w:val="right"/>
              <w:rPr>
                <w:rFonts w:eastAsia="Times New Roman" w:cstheme="minorHAnsi"/>
                <w:color w:val="000000"/>
              </w:rPr>
            </w:pPr>
            <w:r w:rsidRPr="003E245D">
              <w:t>493</w:t>
            </w:r>
          </w:p>
        </w:tc>
        <w:tc>
          <w:tcPr>
            <w:tcW w:w="9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59617D3D" w14:textId="77777777" w:rsidR="003E245D" w:rsidRPr="003E245D" w:rsidRDefault="003E245D" w:rsidP="003E245D">
            <w:pPr>
              <w:spacing w:after="0" w:line="240" w:lineRule="auto"/>
              <w:jc w:val="right"/>
              <w:rPr>
                <w:rFonts w:eastAsia="Times New Roman" w:cstheme="minorHAnsi"/>
                <w:color w:val="000000"/>
              </w:rPr>
            </w:pPr>
            <w:r w:rsidRPr="003E245D">
              <w:t>3.057</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0C0E6C19" w14:textId="77777777" w:rsidR="003E245D" w:rsidRPr="003E245D" w:rsidRDefault="003E245D" w:rsidP="003E245D">
            <w:pPr>
              <w:spacing w:after="0" w:line="240" w:lineRule="auto"/>
              <w:jc w:val="right"/>
              <w:rPr>
                <w:rFonts w:eastAsia="Times New Roman" w:cstheme="minorHAnsi"/>
                <w:color w:val="000000"/>
              </w:rPr>
            </w:pPr>
            <w:r w:rsidRPr="003E245D">
              <w:t>623</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2055B3E1" w14:textId="77777777" w:rsidR="003E245D" w:rsidRPr="003E245D" w:rsidRDefault="003E245D" w:rsidP="003E245D">
            <w:pPr>
              <w:spacing w:after="0" w:line="240" w:lineRule="auto"/>
              <w:jc w:val="right"/>
              <w:rPr>
                <w:rFonts w:eastAsia="Times New Roman" w:cstheme="minorHAnsi"/>
                <w:color w:val="000000"/>
              </w:rPr>
            </w:pPr>
            <w:r w:rsidRPr="003E245D">
              <w:t>543</w:t>
            </w:r>
          </w:p>
        </w:tc>
      </w:tr>
      <w:tr w:rsidR="003E245D" w:rsidRPr="003E245D" w14:paraId="71AE95AD" w14:textId="77777777" w:rsidTr="00614C87">
        <w:trPr>
          <w:trHeight w:val="315"/>
          <w:jc w:val="center"/>
        </w:trPr>
        <w:tc>
          <w:tcPr>
            <w:tcW w:w="20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18328C64" w14:textId="77777777" w:rsidR="003E245D" w:rsidRPr="003E245D" w:rsidRDefault="003E245D" w:rsidP="003E245D">
            <w:pPr>
              <w:spacing w:after="0" w:line="240" w:lineRule="auto"/>
              <w:jc w:val="left"/>
              <w:rPr>
                <w:rFonts w:eastAsia="Times New Roman" w:cstheme="minorHAnsi"/>
                <w:color w:val="000000"/>
                <w:sz w:val="20"/>
                <w:szCs w:val="20"/>
              </w:rPr>
            </w:pPr>
            <w:r w:rsidRPr="003E245D">
              <w:t>Monastero di Lanzo</w:t>
            </w:r>
          </w:p>
        </w:tc>
        <w:tc>
          <w:tcPr>
            <w:tcW w:w="10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66409ACA" w14:textId="77777777" w:rsidR="003E245D" w:rsidRPr="003E245D" w:rsidRDefault="003E245D" w:rsidP="003E245D">
            <w:pPr>
              <w:spacing w:after="0" w:line="240" w:lineRule="auto"/>
              <w:jc w:val="right"/>
              <w:rPr>
                <w:rFonts w:eastAsia="Times New Roman" w:cstheme="minorHAnsi"/>
                <w:color w:val="000000"/>
              </w:rPr>
            </w:pPr>
            <w:r w:rsidRPr="003E245D">
              <w:t>809</w:t>
            </w:r>
          </w:p>
        </w:tc>
        <w:tc>
          <w:tcPr>
            <w:tcW w:w="9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577F15A4" w14:textId="77777777" w:rsidR="003E245D" w:rsidRPr="003E245D" w:rsidRDefault="003E245D" w:rsidP="003E245D">
            <w:pPr>
              <w:spacing w:after="0" w:line="240" w:lineRule="auto"/>
              <w:jc w:val="right"/>
              <w:rPr>
                <w:rFonts w:eastAsia="Times New Roman" w:cstheme="minorHAnsi"/>
                <w:color w:val="000000"/>
              </w:rPr>
            </w:pPr>
            <w:r w:rsidRPr="003E245D">
              <w:t>1.693</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416E21C0" w14:textId="77777777" w:rsidR="003E245D" w:rsidRPr="003E245D" w:rsidRDefault="003E245D" w:rsidP="003E245D">
            <w:pPr>
              <w:spacing w:after="0" w:line="240" w:lineRule="auto"/>
              <w:jc w:val="right"/>
              <w:rPr>
                <w:rFonts w:eastAsia="Times New Roman" w:cstheme="minorHAnsi"/>
                <w:color w:val="000000"/>
              </w:rPr>
            </w:pPr>
            <w:r w:rsidRPr="003E245D">
              <w:t>334</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39118F2D" w14:textId="77777777" w:rsidR="003E245D" w:rsidRPr="003E245D" w:rsidRDefault="003E245D" w:rsidP="003E245D">
            <w:pPr>
              <w:spacing w:after="0" w:line="240" w:lineRule="auto"/>
              <w:jc w:val="right"/>
              <w:rPr>
                <w:rFonts w:eastAsia="Times New Roman" w:cstheme="minorHAnsi"/>
                <w:color w:val="000000"/>
              </w:rPr>
            </w:pPr>
            <w:r w:rsidRPr="003E245D">
              <w:t>298</w:t>
            </w:r>
          </w:p>
        </w:tc>
      </w:tr>
      <w:tr w:rsidR="003E245D" w:rsidRPr="003E245D" w14:paraId="0380644D" w14:textId="77777777" w:rsidTr="00614C87">
        <w:trPr>
          <w:trHeight w:val="315"/>
          <w:jc w:val="center"/>
        </w:trPr>
        <w:tc>
          <w:tcPr>
            <w:tcW w:w="20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51B0F001" w14:textId="77777777" w:rsidR="003E245D" w:rsidRPr="003E245D" w:rsidRDefault="003E245D" w:rsidP="003E245D">
            <w:pPr>
              <w:spacing w:after="0" w:line="240" w:lineRule="auto"/>
              <w:jc w:val="left"/>
              <w:rPr>
                <w:rFonts w:eastAsia="Times New Roman" w:cstheme="minorHAnsi"/>
                <w:color w:val="000000"/>
                <w:sz w:val="20"/>
                <w:szCs w:val="20"/>
              </w:rPr>
            </w:pPr>
            <w:r w:rsidRPr="003E245D">
              <w:t>Moncenisio</w:t>
            </w:r>
          </w:p>
        </w:tc>
        <w:tc>
          <w:tcPr>
            <w:tcW w:w="10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0BF42E68" w14:textId="77777777" w:rsidR="003E245D" w:rsidRPr="003E245D" w:rsidRDefault="003E245D" w:rsidP="003E245D">
            <w:pPr>
              <w:spacing w:after="0" w:line="240" w:lineRule="auto"/>
              <w:jc w:val="right"/>
              <w:rPr>
                <w:rFonts w:eastAsia="Times New Roman" w:cstheme="minorHAnsi"/>
                <w:color w:val="000000"/>
              </w:rPr>
            </w:pPr>
            <w:r w:rsidRPr="003E245D">
              <w:t>1.432</w:t>
            </w:r>
          </w:p>
        </w:tc>
        <w:tc>
          <w:tcPr>
            <w:tcW w:w="9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31A50FAB" w14:textId="77777777" w:rsidR="003E245D" w:rsidRPr="003E245D" w:rsidRDefault="003E245D" w:rsidP="003E245D">
            <w:pPr>
              <w:spacing w:after="0" w:line="240" w:lineRule="auto"/>
              <w:jc w:val="right"/>
              <w:rPr>
                <w:rFonts w:eastAsia="Times New Roman" w:cstheme="minorHAnsi"/>
                <w:color w:val="000000"/>
              </w:rPr>
            </w:pPr>
            <w:r w:rsidRPr="003E245D">
              <w:t>732</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2456DC54" w14:textId="77777777" w:rsidR="003E245D" w:rsidRPr="003E245D" w:rsidRDefault="003E245D" w:rsidP="003E245D">
            <w:pPr>
              <w:spacing w:after="0" w:line="240" w:lineRule="auto"/>
              <w:jc w:val="right"/>
              <w:rPr>
                <w:rFonts w:eastAsia="Times New Roman" w:cstheme="minorHAnsi"/>
                <w:color w:val="000000"/>
              </w:rPr>
            </w:pPr>
            <w:r w:rsidRPr="003E245D">
              <w:t>47</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334F47C0" w14:textId="77777777" w:rsidR="003E245D" w:rsidRPr="003E245D" w:rsidRDefault="003E245D" w:rsidP="003E245D">
            <w:pPr>
              <w:spacing w:after="0" w:line="240" w:lineRule="auto"/>
              <w:jc w:val="right"/>
              <w:rPr>
                <w:rFonts w:eastAsia="Times New Roman" w:cstheme="minorHAnsi"/>
                <w:color w:val="000000"/>
              </w:rPr>
            </w:pPr>
            <w:r w:rsidRPr="003E245D">
              <w:t>42</w:t>
            </w:r>
          </w:p>
        </w:tc>
      </w:tr>
      <w:tr w:rsidR="003E245D" w:rsidRPr="003E245D" w14:paraId="2EE86439" w14:textId="77777777" w:rsidTr="00614C87">
        <w:trPr>
          <w:trHeight w:val="315"/>
          <w:jc w:val="center"/>
        </w:trPr>
        <w:tc>
          <w:tcPr>
            <w:tcW w:w="20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6F947F63" w14:textId="77777777" w:rsidR="003E245D" w:rsidRPr="003E245D" w:rsidRDefault="003E245D" w:rsidP="003E245D">
            <w:pPr>
              <w:spacing w:after="0" w:line="240" w:lineRule="auto"/>
              <w:jc w:val="left"/>
              <w:rPr>
                <w:rFonts w:eastAsia="Times New Roman" w:cstheme="minorHAnsi"/>
                <w:color w:val="000000"/>
                <w:sz w:val="20"/>
                <w:szCs w:val="20"/>
              </w:rPr>
            </w:pPr>
            <w:r w:rsidRPr="003E245D">
              <w:t>Noasca</w:t>
            </w:r>
          </w:p>
        </w:tc>
        <w:tc>
          <w:tcPr>
            <w:tcW w:w="10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2EE7F99E" w14:textId="77777777" w:rsidR="003E245D" w:rsidRPr="003E245D" w:rsidRDefault="003E245D" w:rsidP="003E245D">
            <w:pPr>
              <w:spacing w:after="0" w:line="240" w:lineRule="auto"/>
              <w:jc w:val="right"/>
              <w:rPr>
                <w:rFonts w:eastAsia="Times New Roman" w:cstheme="minorHAnsi"/>
                <w:color w:val="000000"/>
              </w:rPr>
            </w:pPr>
            <w:r w:rsidRPr="003E245D">
              <w:t>1.055</w:t>
            </w:r>
          </w:p>
        </w:tc>
        <w:tc>
          <w:tcPr>
            <w:tcW w:w="9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145FF798" w14:textId="77777777" w:rsidR="003E245D" w:rsidRPr="003E245D" w:rsidRDefault="003E245D" w:rsidP="003E245D">
            <w:pPr>
              <w:spacing w:after="0" w:line="240" w:lineRule="auto"/>
              <w:jc w:val="right"/>
              <w:rPr>
                <w:rFonts w:eastAsia="Times New Roman" w:cstheme="minorHAnsi"/>
                <w:color w:val="000000"/>
              </w:rPr>
            </w:pPr>
            <w:r w:rsidRPr="003E245D">
              <w:t>3.185</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40AA49DA" w14:textId="77777777" w:rsidR="003E245D" w:rsidRPr="003E245D" w:rsidRDefault="003E245D" w:rsidP="003E245D">
            <w:pPr>
              <w:spacing w:after="0" w:line="240" w:lineRule="auto"/>
              <w:jc w:val="right"/>
              <w:rPr>
                <w:rFonts w:eastAsia="Times New Roman" w:cstheme="minorHAnsi"/>
                <w:color w:val="000000"/>
              </w:rPr>
            </w:pPr>
            <w:r w:rsidRPr="003E245D">
              <w:t>108</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5FDFFC8C" w14:textId="77777777" w:rsidR="003E245D" w:rsidRPr="003E245D" w:rsidRDefault="003E245D" w:rsidP="003E245D">
            <w:pPr>
              <w:spacing w:after="0" w:line="240" w:lineRule="auto"/>
              <w:jc w:val="right"/>
              <w:rPr>
                <w:rFonts w:eastAsia="Times New Roman" w:cstheme="minorHAnsi"/>
                <w:color w:val="000000"/>
              </w:rPr>
            </w:pPr>
            <w:r w:rsidRPr="003E245D">
              <w:t>101</w:t>
            </w:r>
          </w:p>
        </w:tc>
      </w:tr>
      <w:tr w:rsidR="003E245D" w:rsidRPr="003E245D" w14:paraId="08E9F0BB" w14:textId="77777777" w:rsidTr="00614C87">
        <w:trPr>
          <w:trHeight w:val="315"/>
          <w:jc w:val="center"/>
        </w:trPr>
        <w:tc>
          <w:tcPr>
            <w:tcW w:w="20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24599E9F" w14:textId="77777777" w:rsidR="003E245D" w:rsidRPr="003E245D" w:rsidRDefault="003E245D" w:rsidP="003E245D">
            <w:pPr>
              <w:spacing w:after="0" w:line="240" w:lineRule="auto"/>
              <w:jc w:val="left"/>
              <w:rPr>
                <w:rFonts w:eastAsia="Times New Roman" w:cstheme="minorHAnsi"/>
                <w:color w:val="000000"/>
                <w:sz w:val="20"/>
                <w:szCs w:val="20"/>
              </w:rPr>
            </w:pPr>
            <w:r w:rsidRPr="003E245D">
              <w:t>Novalesa</w:t>
            </w:r>
          </w:p>
        </w:tc>
        <w:tc>
          <w:tcPr>
            <w:tcW w:w="10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1D271148" w14:textId="77777777" w:rsidR="003E245D" w:rsidRPr="003E245D" w:rsidRDefault="003E245D" w:rsidP="003E245D">
            <w:pPr>
              <w:spacing w:after="0" w:line="240" w:lineRule="auto"/>
              <w:jc w:val="right"/>
              <w:rPr>
                <w:rFonts w:eastAsia="Times New Roman" w:cstheme="minorHAnsi"/>
                <w:color w:val="000000"/>
              </w:rPr>
            </w:pPr>
            <w:r w:rsidRPr="003E245D">
              <w:t>807</w:t>
            </w:r>
          </w:p>
        </w:tc>
        <w:tc>
          <w:tcPr>
            <w:tcW w:w="9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7ECEB09F" w14:textId="77777777" w:rsidR="003E245D" w:rsidRPr="003E245D" w:rsidRDefault="003E245D" w:rsidP="003E245D">
            <w:pPr>
              <w:spacing w:after="0" w:line="240" w:lineRule="auto"/>
              <w:jc w:val="right"/>
              <w:rPr>
                <w:rFonts w:eastAsia="Times New Roman" w:cstheme="minorHAnsi"/>
                <w:color w:val="000000"/>
              </w:rPr>
            </w:pPr>
            <w:r w:rsidRPr="003E245D">
              <w:t>2.856</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5A5AD02D" w14:textId="77777777" w:rsidR="003E245D" w:rsidRPr="003E245D" w:rsidRDefault="003E245D" w:rsidP="003E245D">
            <w:pPr>
              <w:spacing w:after="0" w:line="240" w:lineRule="auto"/>
              <w:jc w:val="right"/>
              <w:rPr>
                <w:rFonts w:eastAsia="Times New Roman" w:cstheme="minorHAnsi"/>
                <w:color w:val="000000"/>
              </w:rPr>
            </w:pPr>
            <w:r w:rsidRPr="003E245D">
              <w:t>514</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68F13778" w14:textId="77777777" w:rsidR="003E245D" w:rsidRPr="003E245D" w:rsidRDefault="003E245D" w:rsidP="003E245D">
            <w:pPr>
              <w:spacing w:after="0" w:line="240" w:lineRule="auto"/>
              <w:jc w:val="right"/>
              <w:rPr>
                <w:rFonts w:eastAsia="Times New Roman" w:cstheme="minorHAnsi"/>
                <w:color w:val="000000"/>
              </w:rPr>
            </w:pPr>
            <w:r w:rsidRPr="003E245D">
              <w:t>449</w:t>
            </w:r>
          </w:p>
        </w:tc>
      </w:tr>
      <w:tr w:rsidR="003E245D" w:rsidRPr="003E245D" w14:paraId="799D15A7" w14:textId="77777777" w:rsidTr="00614C87">
        <w:trPr>
          <w:trHeight w:val="315"/>
          <w:jc w:val="center"/>
        </w:trPr>
        <w:tc>
          <w:tcPr>
            <w:tcW w:w="20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11C4EC42" w14:textId="77777777" w:rsidR="003E245D" w:rsidRPr="003E245D" w:rsidRDefault="003E245D" w:rsidP="003E245D">
            <w:pPr>
              <w:spacing w:after="0" w:line="240" w:lineRule="auto"/>
              <w:jc w:val="left"/>
              <w:rPr>
                <w:rFonts w:eastAsia="Times New Roman" w:cstheme="minorHAnsi"/>
                <w:color w:val="000000"/>
                <w:sz w:val="20"/>
                <w:szCs w:val="20"/>
              </w:rPr>
            </w:pPr>
            <w:r w:rsidRPr="003E245D">
              <w:t>Oulx</w:t>
            </w:r>
          </w:p>
        </w:tc>
        <w:tc>
          <w:tcPr>
            <w:tcW w:w="10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4AA86DE7" w14:textId="77777777" w:rsidR="003E245D" w:rsidRPr="003E245D" w:rsidRDefault="003E245D" w:rsidP="003E245D">
            <w:pPr>
              <w:spacing w:after="0" w:line="240" w:lineRule="auto"/>
              <w:jc w:val="right"/>
              <w:rPr>
                <w:rFonts w:eastAsia="Times New Roman" w:cstheme="minorHAnsi"/>
                <w:color w:val="000000"/>
              </w:rPr>
            </w:pPr>
            <w:r w:rsidRPr="003E245D">
              <w:t>1.078</w:t>
            </w:r>
          </w:p>
        </w:tc>
        <w:tc>
          <w:tcPr>
            <w:tcW w:w="9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3A8D0D29" w14:textId="77777777" w:rsidR="003E245D" w:rsidRPr="003E245D" w:rsidRDefault="003E245D" w:rsidP="003E245D">
            <w:pPr>
              <w:spacing w:after="0" w:line="240" w:lineRule="auto"/>
              <w:jc w:val="right"/>
              <w:rPr>
                <w:rFonts w:eastAsia="Times New Roman" w:cstheme="minorHAnsi"/>
                <w:color w:val="000000"/>
              </w:rPr>
            </w:pPr>
            <w:r w:rsidRPr="003E245D">
              <w:t>2.192</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503EBA5B" w14:textId="77777777" w:rsidR="003E245D" w:rsidRPr="003E245D" w:rsidRDefault="003E245D" w:rsidP="003E245D">
            <w:pPr>
              <w:spacing w:after="0" w:line="240" w:lineRule="auto"/>
              <w:jc w:val="right"/>
              <w:rPr>
                <w:rFonts w:eastAsia="Times New Roman" w:cstheme="minorHAnsi"/>
                <w:color w:val="000000"/>
              </w:rPr>
            </w:pPr>
            <w:r w:rsidRPr="003E245D">
              <w:t>3.273</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11801472" w14:textId="77777777" w:rsidR="003E245D" w:rsidRPr="003E245D" w:rsidRDefault="003E245D" w:rsidP="003E245D">
            <w:pPr>
              <w:spacing w:after="0" w:line="240" w:lineRule="auto"/>
              <w:jc w:val="right"/>
              <w:rPr>
                <w:rFonts w:eastAsia="Times New Roman" w:cstheme="minorHAnsi"/>
                <w:color w:val="000000"/>
              </w:rPr>
            </w:pPr>
            <w:r w:rsidRPr="003E245D">
              <w:t>2.915</w:t>
            </w:r>
          </w:p>
        </w:tc>
      </w:tr>
      <w:tr w:rsidR="003E245D" w:rsidRPr="003E245D" w14:paraId="503333F3" w14:textId="77777777" w:rsidTr="00614C87">
        <w:trPr>
          <w:trHeight w:val="315"/>
          <w:jc w:val="center"/>
        </w:trPr>
        <w:tc>
          <w:tcPr>
            <w:tcW w:w="20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1A54A95F" w14:textId="77777777" w:rsidR="003E245D" w:rsidRPr="003E245D" w:rsidRDefault="003E245D" w:rsidP="003E245D">
            <w:pPr>
              <w:spacing w:after="0" w:line="240" w:lineRule="auto"/>
              <w:jc w:val="left"/>
              <w:rPr>
                <w:rFonts w:eastAsia="Times New Roman" w:cstheme="minorHAnsi"/>
                <w:color w:val="000000"/>
                <w:sz w:val="20"/>
                <w:szCs w:val="20"/>
              </w:rPr>
            </w:pPr>
            <w:r w:rsidRPr="003E245D">
              <w:t>Perrero</w:t>
            </w:r>
          </w:p>
        </w:tc>
        <w:tc>
          <w:tcPr>
            <w:tcW w:w="10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3CF2652C" w14:textId="77777777" w:rsidR="003E245D" w:rsidRPr="003E245D" w:rsidRDefault="003E245D" w:rsidP="003E245D">
            <w:pPr>
              <w:spacing w:after="0" w:line="240" w:lineRule="auto"/>
              <w:jc w:val="right"/>
              <w:rPr>
                <w:rFonts w:eastAsia="Times New Roman" w:cstheme="minorHAnsi"/>
                <w:color w:val="000000"/>
              </w:rPr>
            </w:pPr>
            <w:r w:rsidRPr="003E245D">
              <w:t>822</w:t>
            </w:r>
          </w:p>
        </w:tc>
        <w:tc>
          <w:tcPr>
            <w:tcW w:w="9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3A2023A6" w14:textId="77777777" w:rsidR="003E245D" w:rsidRPr="003E245D" w:rsidRDefault="003E245D" w:rsidP="003E245D">
            <w:pPr>
              <w:spacing w:after="0" w:line="240" w:lineRule="auto"/>
              <w:jc w:val="right"/>
              <w:rPr>
                <w:rFonts w:eastAsia="Times New Roman" w:cstheme="minorHAnsi"/>
                <w:color w:val="000000"/>
              </w:rPr>
            </w:pPr>
            <w:r w:rsidRPr="003E245D">
              <w:t>2.216</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7E0468E6" w14:textId="77777777" w:rsidR="003E245D" w:rsidRPr="003E245D" w:rsidRDefault="003E245D" w:rsidP="003E245D">
            <w:pPr>
              <w:spacing w:after="0" w:line="240" w:lineRule="auto"/>
              <w:jc w:val="right"/>
              <w:rPr>
                <w:rFonts w:eastAsia="Times New Roman" w:cstheme="minorHAnsi"/>
                <w:color w:val="000000"/>
              </w:rPr>
            </w:pPr>
            <w:r w:rsidRPr="003E245D">
              <w:t>570</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0A393858" w14:textId="77777777" w:rsidR="003E245D" w:rsidRPr="003E245D" w:rsidRDefault="003E245D" w:rsidP="003E245D">
            <w:pPr>
              <w:spacing w:after="0" w:line="240" w:lineRule="auto"/>
              <w:jc w:val="right"/>
              <w:rPr>
                <w:rFonts w:eastAsia="Times New Roman" w:cstheme="minorHAnsi"/>
                <w:color w:val="000000"/>
              </w:rPr>
            </w:pPr>
            <w:r w:rsidRPr="003E245D">
              <w:t>503</w:t>
            </w:r>
          </w:p>
        </w:tc>
      </w:tr>
      <w:tr w:rsidR="003E245D" w:rsidRPr="003E245D" w14:paraId="474246E1" w14:textId="77777777" w:rsidTr="00614C87">
        <w:trPr>
          <w:trHeight w:val="315"/>
          <w:jc w:val="center"/>
        </w:trPr>
        <w:tc>
          <w:tcPr>
            <w:tcW w:w="20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575CE304" w14:textId="77777777" w:rsidR="003E245D" w:rsidRPr="003E245D" w:rsidRDefault="003E245D" w:rsidP="003E245D">
            <w:pPr>
              <w:spacing w:after="0" w:line="240" w:lineRule="auto"/>
              <w:jc w:val="left"/>
              <w:rPr>
                <w:rFonts w:eastAsia="Times New Roman" w:cstheme="minorHAnsi"/>
                <w:color w:val="000000"/>
                <w:sz w:val="20"/>
                <w:szCs w:val="20"/>
              </w:rPr>
            </w:pPr>
            <w:r w:rsidRPr="003E245D">
              <w:t>Pessinetto</w:t>
            </w:r>
          </w:p>
        </w:tc>
        <w:tc>
          <w:tcPr>
            <w:tcW w:w="10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217E0651" w14:textId="77777777" w:rsidR="003E245D" w:rsidRPr="003E245D" w:rsidRDefault="003E245D" w:rsidP="003E245D">
            <w:pPr>
              <w:spacing w:after="0" w:line="240" w:lineRule="auto"/>
              <w:jc w:val="right"/>
              <w:rPr>
                <w:rFonts w:eastAsia="Times New Roman" w:cstheme="minorHAnsi"/>
                <w:color w:val="000000"/>
              </w:rPr>
            </w:pPr>
            <w:r w:rsidRPr="003E245D">
              <w:t>595</w:t>
            </w:r>
          </w:p>
        </w:tc>
        <w:tc>
          <w:tcPr>
            <w:tcW w:w="9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7AC5208C" w14:textId="77777777" w:rsidR="003E245D" w:rsidRPr="003E245D" w:rsidRDefault="003E245D" w:rsidP="003E245D">
            <w:pPr>
              <w:spacing w:after="0" w:line="240" w:lineRule="auto"/>
              <w:jc w:val="right"/>
              <w:rPr>
                <w:rFonts w:eastAsia="Times New Roman" w:cstheme="minorHAnsi"/>
                <w:color w:val="000000"/>
              </w:rPr>
            </w:pPr>
            <w:r w:rsidRPr="003E245D">
              <w:t>632</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777E93DE" w14:textId="77777777" w:rsidR="003E245D" w:rsidRPr="003E245D" w:rsidRDefault="003E245D" w:rsidP="003E245D">
            <w:pPr>
              <w:spacing w:after="0" w:line="240" w:lineRule="auto"/>
              <w:jc w:val="right"/>
              <w:rPr>
                <w:rFonts w:eastAsia="Times New Roman" w:cstheme="minorHAnsi"/>
                <w:color w:val="000000"/>
              </w:rPr>
            </w:pPr>
            <w:r w:rsidRPr="003E245D">
              <w:t>584</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4DFB92F9" w14:textId="77777777" w:rsidR="003E245D" w:rsidRPr="003E245D" w:rsidRDefault="003E245D" w:rsidP="003E245D">
            <w:pPr>
              <w:spacing w:after="0" w:line="240" w:lineRule="auto"/>
              <w:jc w:val="right"/>
              <w:rPr>
                <w:rFonts w:eastAsia="Times New Roman" w:cstheme="minorHAnsi"/>
                <w:color w:val="000000"/>
              </w:rPr>
            </w:pPr>
            <w:r w:rsidRPr="003E245D">
              <w:t>513</w:t>
            </w:r>
          </w:p>
        </w:tc>
      </w:tr>
      <w:tr w:rsidR="003E245D" w:rsidRPr="003E245D" w14:paraId="635E09F9" w14:textId="77777777" w:rsidTr="00614C87">
        <w:trPr>
          <w:trHeight w:val="315"/>
          <w:jc w:val="center"/>
        </w:trPr>
        <w:tc>
          <w:tcPr>
            <w:tcW w:w="20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54A5F935" w14:textId="77777777" w:rsidR="003E245D" w:rsidRPr="003E245D" w:rsidRDefault="003E245D" w:rsidP="003E245D">
            <w:pPr>
              <w:spacing w:after="0" w:line="240" w:lineRule="auto"/>
              <w:jc w:val="left"/>
              <w:rPr>
                <w:rFonts w:eastAsia="Times New Roman" w:cstheme="minorHAnsi"/>
                <w:color w:val="000000"/>
                <w:sz w:val="20"/>
                <w:szCs w:val="20"/>
              </w:rPr>
            </w:pPr>
            <w:r w:rsidRPr="003E245D">
              <w:t>Pont Canavese</w:t>
            </w:r>
          </w:p>
        </w:tc>
        <w:tc>
          <w:tcPr>
            <w:tcW w:w="10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7E564D6D" w14:textId="77777777" w:rsidR="003E245D" w:rsidRPr="003E245D" w:rsidRDefault="003E245D" w:rsidP="003E245D">
            <w:pPr>
              <w:spacing w:after="0" w:line="240" w:lineRule="auto"/>
              <w:jc w:val="right"/>
              <w:rPr>
                <w:rFonts w:eastAsia="Times New Roman" w:cstheme="minorHAnsi"/>
                <w:color w:val="000000"/>
              </w:rPr>
            </w:pPr>
            <w:r w:rsidRPr="003E245D">
              <w:t>465</w:t>
            </w:r>
          </w:p>
        </w:tc>
        <w:tc>
          <w:tcPr>
            <w:tcW w:w="9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4FE5535F" w14:textId="77777777" w:rsidR="003E245D" w:rsidRPr="003E245D" w:rsidRDefault="003E245D" w:rsidP="003E245D">
            <w:pPr>
              <w:spacing w:after="0" w:line="240" w:lineRule="auto"/>
              <w:jc w:val="right"/>
              <w:rPr>
                <w:rFonts w:eastAsia="Times New Roman" w:cstheme="minorHAnsi"/>
                <w:color w:val="000000"/>
              </w:rPr>
            </w:pPr>
            <w:r w:rsidRPr="003E245D">
              <w:t>1.496</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2BBC3842" w14:textId="77777777" w:rsidR="003E245D" w:rsidRPr="003E245D" w:rsidRDefault="003E245D" w:rsidP="003E245D">
            <w:pPr>
              <w:spacing w:after="0" w:line="240" w:lineRule="auto"/>
              <w:jc w:val="right"/>
              <w:rPr>
                <w:rFonts w:eastAsia="Times New Roman" w:cstheme="minorHAnsi"/>
                <w:color w:val="000000"/>
              </w:rPr>
            </w:pPr>
            <w:r w:rsidRPr="003E245D">
              <w:t>3.014</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6EC70029" w14:textId="77777777" w:rsidR="003E245D" w:rsidRPr="003E245D" w:rsidRDefault="003E245D" w:rsidP="003E245D">
            <w:pPr>
              <w:spacing w:after="0" w:line="240" w:lineRule="auto"/>
              <w:jc w:val="right"/>
              <w:rPr>
                <w:rFonts w:eastAsia="Times New Roman" w:cstheme="minorHAnsi"/>
                <w:color w:val="000000"/>
              </w:rPr>
            </w:pPr>
            <w:r w:rsidRPr="003E245D">
              <w:t>2.654</w:t>
            </w:r>
          </w:p>
        </w:tc>
      </w:tr>
      <w:tr w:rsidR="003E245D" w:rsidRPr="003E245D" w14:paraId="4D3482AE" w14:textId="77777777" w:rsidTr="00614C87">
        <w:trPr>
          <w:trHeight w:val="315"/>
          <w:jc w:val="center"/>
        </w:trPr>
        <w:tc>
          <w:tcPr>
            <w:tcW w:w="20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29B170A5" w14:textId="77777777" w:rsidR="003E245D" w:rsidRPr="003E245D" w:rsidRDefault="003E245D" w:rsidP="003E245D">
            <w:pPr>
              <w:spacing w:after="0" w:line="240" w:lineRule="auto"/>
              <w:jc w:val="left"/>
              <w:rPr>
                <w:rFonts w:eastAsia="Times New Roman" w:cstheme="minorHAnsi"/>
                <w:color w:val="000000"/>
                <w:sz w:val="20"/>
                <w:szCs w:val="20"/>
              </w:rPr>
            </w:pPr>
            <w:r w:rsidRPr="003E245D">
              <w:t>Pragelato</w:t>
            </w:r>
          </w:p>
        </w:tc>
        <w:tc>
          <w:tcPr>
            <w:tcW w:w="10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173B45F5" w14:textId="77777777" w:rsidR="003E245D" w:rsidRPr="003E245D" w:rsidRDefault="003E245D" w:rsidP="003E245D">
            <w:pPr>
              <w:spacing w:after="0" w:line="240" w:lineRule="auto"/>
              <w:jc w:val="right"/>
              <w:rPr>
                <w:rFonts w:eastAsia="Times New Roman" w:cstheme="minorHAnsi"/>
                <w:color w:val="000000"/>
              </w:rPr>
            </w:pPr>
            <w:r w:rsidRPr="003E245D">
              <w:t>1.511</w:t>
            </w:r>
          </w:p>
        </w:tc>
        <w:tc>
          <w:tcPr>
            <w:tcW w:w="9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57F77D94" w14:textId="77777777" w:rsidR="003E245D" w:rsidRPr="003E245D" w:rsidRDefault="003E245D" w:rsidP="003E245D">
            <w:pPr>
              <w:spacing w:after="0" w:line="240" w:lineRule="auto"/>
              <w:jc w:val="right"/>
              <w:rPr>
                <w:rFonts w:eastAsia="Times New Roman" w:cstheme="minorHAnsi"/>
                <w:color w:val="000000"/>
              </w:rPr>
            </w:pPr>
            <w:r w:rsidRPr="003E245D">
              <w:t>1.826</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4C996BBC" w14:textId="77777777" w:rsidR="003E245D" w:rsidRPr="003E245D" w:rsidRDefault="003E245D" w:rsidP="003E245D">
            <w:pPr>
              <w:spacing w:after="0" w:line="240" w:lineRule="auto"/>
              <w:jc w:val="right"/>
              <w:rPr>
                <w:rFonts w:eastAsia="Times New Roman" w:cstheme="minorHAnsi"/>
                <w:color w:val="000000"/>
              </w:rPr>
            </w:pPr>
            <w:r w:rsidRPr="003E245D">
              <w:t>741</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34C6E463" w14:textId="77777777" w:rsidR="003E245D" w:rsidRPr="003E245D" w:rsidRDefault="003E245D" w:rsidP="003E245D">
            <w:pPr>
              <w:spacing w:after="0" w:line="240" w:lineRule="auto"/>
              <w:jc w:val="right"/>
              <w:rPr>
                <w:rFonts w:eastAsia="Times New Roman" w:cstheme="minorHAnsi"/>
                <w:color w:val="000000"/>
              </w:rPr>
            </w:pPr>
            <w:r w:rsidRPr="003E245D">
              <w:t>656</w:t>
            </w:r>
          </w:p>
        </w:tc>
      </w:tr>
      <w:tr w:rsidR="003E245D" w:rsidRPr="003E245D" w14:paraId="53786531" w14:textId="77777777" w:rsidTr="00614C87">
        <w:trPr>
          <w:trHeight w:val="315"/>
          <w:jc w:val="center"/>
        </w:trPr>
        <w:tc>
          <w:tcPr>
            <w:tcW w:w="20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72862972" w14:textId="77777777" w:rsidR="003E245D" w:rsidRPr="003E245D" w:rsidRDefault="003E245D" w:rsidP="003E245D">
            <w:pPr>
              <w:spacing w:after="0" w:line="240" w:lineRule="auto"/>
              <w:jc w:val="left"/>
              <w:rPr>
                <w:rFonts w:eastAsia="Times New Roman" w:cstheme="minorHAnsi"/>
                <w:color w:val="000000"/>
                <w:sz w:val="20"/>
                <w:szCs w:val="20"/>
              </w:rPr>
            </w:pPr>
            <w:r w:rsidRPr="003E245D">
              <w:t>Prali</w:t>
            </w:r>
          </w:p>
        </w:tc>
        <w:tc>
          <w:tcPr>
            <w:tcW w:w="10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1FF0EB42" w14:textId="77777777" w:rsidR="003E245D" w:rsidRPr="003E245D" w:rsidRDefault="003E245D" w:rsidP="003E245D">
            <w:pPr>
              <w:spacing w:after="0" w:line="240" w:lineRule="auto"/>
              <w:jc w:val="right"/>
              <w:rPr>
                <w:rFonts w:eastAsia="Times New Roman" w:cstheme="minorHAnsi"/>
                <w:color w:val="000000"/>
              </w:rPr>
            </w:pPr>
            <w:r w:rsidRPr="003E245D">
              <w:t>1.451</w:t>
            </w:r>
          </w:p>
        </w:tc>
        <w:tc>
          <w:tcPr>
            <w:tcW w:w="9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787E0BBB" w14:textId="77777777" w:rsidR="003E245D" w:rsidRPr="003E245D" w:rsidRDefault="003E245D" w:rsidP="003E245D">
            <w:pPr>
              <w:spacing w:after="0" w:line="240" w:lineRule="auto"/>
              <w:jc w:val="right"/>
              <w:rPr>
                <w:rFonts w:eastAsia="Times New Roman" w:cstheme="minorHAnsi"/>
                <w:color w:val="000000"/>
              </w:rPr>
            </w:pPr>
            <w:r w:rsidRPr="003E245D">
              <w:t>2.100</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1694ED16" w14:textId="77777777" w:rsidR="003E245D" w:rsidRPr="003E245D" w:rsidRDefault="003E245D" w:rsidP="003E245D">
            <w:pPr>
              <w:spacing w:after="0" w:line="240" w:lineRule="auto"/>
              <w:jc w:val="right"/>
              <w:rPr>
                <w:rFonts w:eastAsia="Times New Roman" w:cstheme="minorHAnsi"/>
                <w:color w:val="000000"/>
              </w:rPr>
            </w:pPr>
            <w:r w:rsidRPr="003E245D">
              <w:t>255</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6A582B0C" w14:textId="77777777" w:rsidR="003E245D" w:rsidRPr="003E245D" w:rsidRDefault="003E245D" w:rsidP="003E245D">
            <w:pPr>
              <w:spacing w:after="0" w:line="240" w:lineRule="auto"/>
              <w:jc w:val="right"/>
              <w:rPr>
                <w:rFonts w:eastAsia="Times New Roman" w:cstheme="minorHAnsi"/>
                <w:color w:val="000000"/>
              </w:rPr>
            </w:pPr>
            <w:r w:rsidRPr="003E245D">
              <w:t>218</w:t>
            </w:r>
          </w:p>
        </w:tc>
      </w:tr>
      <w:tr w:rsidR="003E245D" w:rsidRPr="003E245D" w14:paraId="6DE6BC2D" w14:textId="77777777" w:rsidTr="00614C87">
        <w:trPr>
          <w:trHeight w:val="315"/>
          <w:jc w:val="center"/>
        </w:trPr>
        <w:tc>
          <w:tcPr>
            <w:tcW w:w="20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4CCEEFFA" w14:textId="77777777" w:rsidR="003E245D" w:rsidRPr="003E245D" w:rsidRDefault="003E245D" w:rsidP="003E245D">
            <w:pPr>
              <w:spacing w:after="0" w:line="240" w:lineRule="auto"/>
              <w:jc w:val="left"/>
            </w:pPr>
            <w:r w:rsidRPr="003E245D">
              <w:t>Pratiglione</w:t>
            </w:r>
          </w:p>
        </w:tc>
        <w:tc>
          <w:tcPr>
            <w:tcW w:w="10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39D9283B" w14:textId="77777777" w:rsidR="003E245D" w:rsidRPr="003E245D" w:rsidRDefault="003E245D" w:rsidP="003E245D">
            <w:pPr>
              <w:spacing w:after="0" w:line="240" w:lineRule="auto"/>
              <w:jc w:val="right"/>
            </w:pPr>
            <w:r w:rsidRPr="003E245D">
              <w:t>590</w:t>
            </w:r>
          </w:p>
        </w:tc>
        <w:tc>
          <w:tcPr>
            <w:tcW w:w="9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5AE9342D" w14:textId="77777777" w:rsidR="003E245D" w:rsidRPr="003E245D" w:rsidRDefault="003E245D" w:rsidP="003E245D">
            <w:pPr>
              <w:spacing w:after="0" w:line="240" w:lineRule="auto"/>
              <w:jc w:val="right"/>
            </w:pPr>
            <w:r w:rsidRPr="003E245D">
              <w:t>762</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3F838CE5" w14:textId="77777777" w:rsidR="003E245D" w:rsidRPr="003E245D" w:rsidRDefault="003E245D" w:rsidP="003E245D">
            <w:pPr>
              <w:spacing w:after="0" w:line="240" w:lineRule="auto"/>
              <w:jc w:val="right"/>
            </w:pPr>
            <w:r w:rsidRPr="003E245D">
              <w:t>714</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34C11245" w14:textId="77777777" w:rsidR="003E245D" w:rsidRPr="003E245D" w:rsidRDefault="003E245D" w:rsidP="003E245D">
            <w:pPr>
              <w:spacing w:after="0" w:line="240" w:lineRule="auto"/>
              <w:jc w:val="right"/>
            </w:pPr>
            <w:r w:rsidRPr="003E245D">
              <w:t>628</w:t>
            </w:r>
          </w:p>
        </w:tc>
      </w:tr>
      <w:tr w:rsidR="003E245D" w:rsidRPr="003E245D" w14:paraId="0CC162E6" w14:textId="77777777" w:rsidTr="00614C87">
        <w:trPr>
          <w:trHeight w:val="315"/>
          <w:jc w:val="center"/>
        </w:trPr>
        <w:tc>
          <w:tcPr>
            <w:tcW w:w="20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47CE05C1" w14:textId="77777777" w:rsidR="003E245D" w:rsidRPr="003E245D" w:rsidRDefault="003E245D" w:rsidP="003E245D">
            <w:pPr>
              <w:spacing w:after="0" w:line="240" w:lineRule="auto"/>
              <w:jc w:val="left"/>
            </w:pPr>
            <w:r w:rsidRPr="003E245D">
              <w:t>Ribordone</w:t>
            </w:r>
          </w:p>
        </w:tc>
        <w:tc>
          <w:tcPr>
            <w:tcW w:w="10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45BF9D3F" w14:textId="77777777" w:rsidR="003E245D" w:rsidRPr="003E245D" w:rsidRDefault="003E245D" w:rsidP="003E245D">
            <w:pPr>
              <w:spacing w:after="0" w:line="240" w:lineRule="auto"/>
              <w:jc w:val="right"/>
            </w:pPr>
            <w:r w:rsidRPr="003E245D">
              <w:t>604</w:t>
            </w:r>
          </w:p>
        </w:tc>
        <w:tc>
          <w:tcPr>
            <w:tcW w:w="9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63005573" w14:textId="77777777" w:rsidR="003E245D" w:rsidRPr="003E245D" w:rsidRDefault="003E245D" w:rsidP="003E245D">
            <w:pPr>
              <w:spacing w:after="0" w:line="240" w:lineRule="auto"/>
              <w:jc w:val="right"/>
            </w:pPr>
            <w:r w:rsidRPr="003E245D">
              <w:t>1.596</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1EDAF545" w14:textId="77777777" w:rsidR="003E245D" w:rsidRPr="003E245D" w:rsidRDefault="003E245D" w:rsidP="003E245D">
            <w:pPr>
              <w:spacing w:after="0" w:line="240" w:lineRule="auto"/>
              <w:jc w:val="right"/>
            </w:pPr>
            <w:r w:rsidRPr="003E245D">
              <w:t>460</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51001F66" w14:textId="77777777" w:rsidR="003E245D" w:rsidRPr="003E245D" w:rsidRDefault="003E245D" w:rsidP="003E245D">
            <w:pPr>
              <w:spacing w:after="0" w:line="240" w:lineRule="auto"/>
              <w:jc w:val="right"/>
            </w:pPr>
            <w:r w:rsidRPr="003E245D">
              <w:t>412</w:t>
            </w:r>
          </w:p>
        </w:tc>
      </w:tr>
      <w:tr w:rsidR="003E245D" w:rsidRPr="003E245D" w14:paraId="418755B5" w14:textId="77777777" w:rsidTr="00614C87">
        <w:trPr>
          <w:trHeight w:val="315"/>
          <w:jc w:val="center"/>
        </w:trPr>
        <w:tc>
          <w:tcPr>
            <w:tcW w:w="20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71FBD909" w14:textId="77777777" w:rsidR="003E245D" w:rsidRPr="003E245D" w:rsidRDefault="003E245D" w:rsidP="003E245D">
            <w:pPr>
              <w:spacing w:after="0" w:line="240" w:lineRule="auto"/>
              <w:jc w:val="left"/>
            </w:pPr>
            <w:r w:rsidRPr="003E245D">
              <w:t>Rivara</w:t>
            </w:r>
          </w:p>
        </w:tc>
        <w:tc>
          <w:tcPr>
            <w:tcW w:w="10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65C2130C" w14:textId="77777777" w:rsidR="003E245D" w:rsidRPr="003E245D" w:rsidRDefault="003E245D" w:rsidP="003E245D">
            <w:pPr>
              <w:spacing w:after="0" w:line="240" w:lineRule="auto"/>
              <w:jc w:val="right"/>
            </w:pPr>
            <w:r w:rsidRPr="003E245D">
              <w:t>1.011</w:t>
            </w:r>
          </w:p>
        </w:tc>
        <w:tc>
          <w:tcPr>
            <w:tcW w:w="9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61619909" w14:textId="77777777" w:rsidR="003E245D" w:rsidRPr="003E245D" w:rsidRDefault="003E245D" w:rsidP="003E245D">
            <w:pPr>
              <w:spacing w:after="0" w:line="240" w:lineRule="auto"/>
              <w:jc w:val="right"/>
            </w:pPr>
            <w:r w:rsidRPr="003E245D">
              <w:t>2.520</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7838DAC3" w14:textId="77777777" w:rsidR="003E245D" w:rsidRPr="003E245D" w:rsidRDefault="003E245D" w:rsidP="003E245D">
            <w:pPr>
              <w:spacing w:after="0" w:line="240" w:lineRule="auto"/>
              <w:jc w:val="right"/>
            </w:pPr>
            <w:r w:rsidRPr="003E245D">
              <w:t>50</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382D6BA4" w14:textId="77777777" w:rsidR="003E245D" w:rsidRPr="003E245D" w:rsidRDefault="003E245D" w:rsidP="003E245D">
            <w:pPr>
              <w:spacing w:after="0" w:line="240" w:lineRule="auto"/>
              <w:jc w:val="right"/>
            </w:pPr>
            <w:r w:rsidRPr="003E245D">
              <w:t>38</w:t>
            </w:r>
          </w:p>
        </w:tc>
      </w:tr>
      <w:tr w:rsidR="003E245D" w:rsidRPr="003E245D" w14:paraId="1910D20E" w14:textId="77777777" w:rsidTr="00614C87">
        <w:trPr>
          <w:trHeight w:val="315"/>
          <w:jc w:val="center"/>
        </w:trPr>
        <w:tc>
          <w:tcPr>
            <w:tcW w:w="20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7FEFE681" w14:textId="77777777" w:rsidR="003E245D" w:rsidRPr="003E245D" w:rsidRDefault="003E245D" w:rsidP="003E245D">
            <w:pPr>
              <w:spacing w:after="0" w:line="240" w:lineRule="auto"/>
              <w:jc w:val="left"/>
            </w:pPr>
            <w:r w:rsidRPr="003E245D">
              <w:t>Rocca Canavese</w:t>
            </w:r>
          </w:p>
        </w:tc>
        <w:tc>
          <w:tcPr>
            <w:tcW w:w="10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316AD654" w14:textId="77777777" w:rsidR="003E245D" w:rsidRPr="003E245D" w:rsidRDefault="003E245D" w:rsidP="003E245D">
            <w:pPr>
              <w:spacing w:after="0" w:line="240" w:lineRule="auto"/>
              <w:jc w:val="right"/>
            </w:pPr>
            <w:r w:rsidRPr="003E245D">
              <w:t>371</w:t>
            </w:r>
          </w:p>
        </w:tc>
        <w:tc>
          <w:tcPr>
            <w:tcW w:w="9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6AAD2AE8" w14:textId="77777777" w:rsidR="003E245D" w:rsidRPr="003E245D" w:rsidRDefault="003E245D" w:rsidP="003E245D">
            <w:pPr>
              <w:spacing w:after="0" w:line="240" w:lineRule="auto"/>
              <w:jc w:val="right"/>
            </w:pPr>
            <w:r w:rsidRPr="003E245D">
              <w:t>336</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1053F0AF" w14:textId="77777777" w:rsidR="003E245D" w:rsidRPr="003E245D" w:rsidRDefault="003E245D" w:rsidP="003E245D">
            <w:pPr>
              <w:spacing w:after="0" w:line="240" w:lineRule="auto"/>
              <w:jc w:val="right"/>
            </w:pPr>
            <w:r w:rsidRPr="003E245D">
              <w:t>2.490</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7F451A59" w14:textId="77777777" w:rsidR="003E245D" w:rsidRPr="003E245D" w:rsidRDefault="003E245D" w:rsidP="003E245D">
            <w:pPr>
              <w:spacing w:after="0" w:line="240" w:lineRule="auto"/>
              <w:jc w:val="right"/>
            </w:pPr>
            <w:r w:rsidRPr="003E245D">
              <w:t>2.173</w:t>
            </w:r>
          </w:p>
        </w:tc>
      </w:tr>
      <w:tr w:rsidR="003E245D" w:rsidRPr="003E245D" w14:paraId="3CAAC70E" w14:textId="77777777" w:rsidTr="00614C87">
        <w:trPr>
          <w:trHeight w:val="315"/>
          <w:jc w:val="center"/>
        </w:trPr>
        <w:tc>
          <w:tcPr>
            <w:tcW w:w="20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3557112B" w14:textId="77777777" w:rsidR="003E245D" w:rsidRPr="003E245D" w:rsidRDefault="003E245D" w:rsidP="003E245D">
            <w:pPr>
              <w:spacing w:after="0" w:line="240" w:lineRule="auto"/>
              <w:jc w:val="left"/>
            </w:pPr>
            <w:r w:rsidRPr="003E245D">
              <w:t>Ronco Canavese</w:t>
            </w:r>
          </w:p>
        </w:tc>
        <w:tc>
          <w:tcPr>
            <w:tcW w:w="10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683A6D4B" w14:textId="77777777" w:rsidR="003E245D" w:rsidRPr="003E245D" w:rsidRDefault="003E245D" w:rsidP="003E245D">
            <w:pPr>
              <w:spacing w:after="0" w:line="240" w:lineRule="auto"/>
              <w:jc w:val="right"/>
            </w:pPr>
            <w:r w:rsidRPr="003E245D">
              <w:t>412</w:t>
            </w:r>
          </w:p>
        </w:tc>
        <w:tc>
          <w:tcPr>
            <w:tcW w:w="9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247FCBD0" w14:textId="77777777" w:rsidR="003E245D" w:rsidRPr="003E245D" w:rsidRDefault="003E245D" w:rsidP="003E245D">
            <w:pPr>
              <w:spacing w:after="0" w:line="240" w:lineRule="auto"/>
              <w:jc w:val="right"/>
            </w:pPr>
            <w:r w:rsidRPr="003E245D">
              <w:t>1.002</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55BA9DD0" w14:textId="77777777" w:rsidR="003E245D" w:rsidRPr="003E245D" w:rsidRDefault="003E245D" w:rsidP="003E245D">
            <w:pPr>
              <w:spacing w:after="0" w:line="240" w:lineRule="auto"/>
              <w:jc w:val="right"/>
            </w:pPr>
            <w:r w:rsidRPr="003E245D">
              <w:t>1.698</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734517B1" w14:textId="77777777" w:rsidR="003E245D" w:rsidRPr="003E245D" w:rsidRDefault="003E245D" w:rsidP="003E245D">
            <w:pPr>
              <w:spacing w:after="0" w:line="240" w:lineRule="auto"/>
              <w:jc w:val="right"/>
            </w:pPr>
            <w:r w:rsidRPr="003E245D">
              <w:t>1.506</w:t>
            </w:r>
          </w:p>
        </w:tc>
      </w:tr>
      <w:tr w:rsidR="003E245D" w:rsidRPr="003E245D" w14:paraId="43890D8A" w14:textId="77777777" w:rsidTr="00614C87">
        <w:trPr>
          <w:trHeight w:val="315"/>
          <w:jc w:val="center"/>
        </w:trPr>
        <w:tc>
          <w:tcPr>
            <w:tcW w:w="20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7EA33155" w14:textId="77777777" w:rsidR="003E245D" w:rsidRPr="003E245D" w:rsidRDefault="003E245D" w:rsidP="003E245D">
            <w:pPr>
              <w:spacing w:after="0" w:line="240" w:lineRule="auto"/>
              <w:jc w:val="left"/>
            </w:pPr>
            <w:r w:rsidRPr="003E245D">
              <w:t>Rorà</w:t>
            </w:r>
          </w:p>
        </w:tc>
        <w:tc>
          <w:tcPr>
            <w:tcW w:w="10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55A8947F" w14:textId="77777777" w:rsidR="003E245D" w:rsidRPr="003E245D" w:rsidRDefault="003E245D" w:rsidP="003E245D">
            <w:pPr>
              <w:spacing w:after="0" w:line="240" w:lineRule="auto"/>
              <w:jc w:val="right"/>
            </w:pPr>
            <w:r w:rsidRPr="003E245D">
              <w:t>954</w:t>
            </w:r>
          </w:p>
        </w:tc>
        <w:tc>
          <w:tcPr>
            <w:tcW w:w="9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3F55A77A" w14:textId="77777777" w:rsidR="003E245D" w:rsidRPr="003E245D" w:rsidRDefault="003E245D" w:rsidP="003E245D">
            <w:pPr>
              <w:spacing w:after="0" w:line="240" w:lineRule="auto"/>
              <w:jc w:val="right"/>
            </w:pPr>
            <w:r w:rsidRPr="003E245D">
              <w:t>2.634</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5406B6E8" w14:textId="77777777" w:rsidR="003E245D" w:rsidRPr="003E245D" w:rsidRDefault="003E245D" w:rsidP="003E245D">
            <w:pPr>
              <w:spacing w:after="0" w:line="240" w:lineRule="auto"/>
              <w:jc w:val="right"/>
            </w:pPr>
            <w:r w:rsidRPr="003E245D">
              <w:t>271</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20A3B5FA" w14:textId="77777777" w:rsidR="003E245D" w:rsidRPr="003E245D" w:rsidRDefault="003E245D" w:rsidP="003E245D">
            <w:pPr>
              <w:spacing w:after="0" w:line="240" w:lineRule="auto"/>
              <w:jc w:val="right"/>
            </w:pPr>
            <w:r w:rsidRPr="003E245D">
              <w:t>227</w:t>
            </w:r>
          </w:p>
        </w:tc>
      </w:tr>
      <w:tr w:rsidR="003E245D" w:rsidRPr="003E245D" w14:paraId="107F80AB" w14:textId="77777777" w:rsidTr="00614C87">
        <w:trPr>
          <w:trHeight w:val="315"/>
          <w:jc w:val="center"/>
        </w:trPr>
        <w:tc>
          <w:tcPr>
            <w:tcW w:w="20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7BD9392D" w14:textId="77777777" w:rsidR="003E245D" w:rsidRPr="003E245D" w:rsidRDefault="003E245D" w:rsidP="003E245D">
            <w:pPr>
              <w:spacing w:after="0" w:line="240" w:lineRule="auto"/>
              <w:jc w:val="left"/>
            </w:pPr>
            <w:r w:rsidRPr="003E245D">
              <w:t>Roure</w:t>
            </w:r>
          </w:p>
        </w:tc>
        <w:tc>
          <w:tcPr>
            <w:tcW w:w="10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57736F94" w14:textId="77777777" w:rsidR="003E245D" w:rsidRPr="003E245D" w:rsidRDefault="003E245D" w:rsidP="003E245D">
            <w:pPr>
              <w:spacing w:after="0" w:line="240" w:lineRule="auto"/>
              <w:jc w:val="right"/>
            </w:pPr>
            <w:r w:rsidRPr="003E245D">
              <w:t>940</w:t>
            </w:r>
          </w:p>
        </w:tc>
        <w:tc>
          <w:tcPr>
            <w:tcW w:w="9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028C60E7" w14:textId="77777777" w:rsidR="003E245D" w:rsidRPr="003E245D" w:rsidRDefault="003E245D" w:rsidP="003E245D">
            <w:pPr>
              <w:spacing w:after="0" w:line="240" w:lineRule="auto"/>
              <w:jc w:val="right"/>
            </w:pPr>
            <w:r w:rsidRPr="003E245D">
              <w:t>1.549</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5E6E331E" w14:textId="77777777" w:rsidR="003E245D" w:rsidRPr="003E245D" w:rsidRDefault="003E245D" w:rsidP="003E245D">
            <w:pPr>
              <w:spacing w:after="0" w:line="240" w:lineRule="auto"/>
              <w:jc w:val="right"/>
            </w:pPr>
            <w:r w:rsidRPr="003E245D">
              <w:t>225</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44ABDE64" w14:textId="77777777" w:rsidR="003E245D" w:rsidRPr="003E245D" w:rsidRDefault="003E245D" w:rsidP="003E245D">
            <w:pPr>
              <w:spacing w:after="0" w:line="240" w:lineRule="auto"/>
              <w:jc w:val="right"/>
            </w:pPr>
            <w:r w:rsidRPr="003E245D">
              <w:t>202</w:t>
            </w:r>
          </w:p>
        </w:tc>
      </w:tr>
      <w:tr w:rsidR="003E245D" w:rsidRPr="003E245D" w14:paraId="7C5D21B5" w14:textId="77777777" w:rsidTr="00614C87">
        <w:trPr>
          <w:trHeight w:val="315"/>
          <w:jc w:val="center"/>
        </w:trPr>
        <w:tc>
          <w:tcPr>
            <w:tcW w:w="20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0677C78A" w14:textId="77777777" w:rsidR="003E245D" w:rsidRPr="003E245D" w:rsidRDefault="003E245D" w:rsidP="003E245D">
            <w:pPr>
              <w:spacing w:after="0" w:line="240" w:lineRule="auto"/>
              <w:jc w:val="left"/>
            </w:pPr>
            <w:r w:rsidRPr="003E245D">
              <w:t>Salbertrand</w:t>
            </w:r>
          </w:p>
        </w:tc>
        <w:tc>
          <w:tcPr>
            <w:tcW w:w="10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3C2E9B13" w14:textId="77777777" w:rsidR="003E245D" w:rsidRPr="003E245D" w:rsidRDefault="003E245D" w:rsidP="003E245D">
            <w:pPr>
              <w:spacing w:after="0" w:line="240" w:lineRule="auto"/>
              <w:jc w:val="right"/>
            </w:pPr>
            <w:r w:rsidRPr="003E245D">
              <w:t>858</w:t>
            </w:r>
          </w:p>
        </w:tc>
        <w:tc>
          <w:tcPr>
            <w:tcW w:w="9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63000C9B" w14:textId="77777777" w:rsidR="003E245D" w:rsidRPr="003E245D" w:rsidRDefault="003E245D" w:rsidP="003E245D">
            <w:pPr>
              <w:spacing w:after="0" w:line="240" w:lineRule="auto"/>
              <w:jc w:val="right"/>
            </w:pPr>
            <w:r w:rsidRPr="003E245D">
              <w:t>200</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13F074F2" w14:textId="77777777" w:rsidR="003E245D" w:rsidRPr="003E245D" w:rsidRDefault="003E245D" w:rsidP="003E245D">
            <w:pPr>
              <w:spacing w:after="0" w:line="240" w:lineRule="auto"/>
              <w:jc w:val="right"/>
            </w:pPr>
            <w:r w:rsidRPr="003E245D">
              <w:t>764</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0AC32B34" w14:textId="77777777" w:rsidR="003E245D" w:rsidRPr="003E245D" w:rsidRDefault="003E245D" w:rsidP="003E245D">
            <w:pPr>
              <w:spacing w:after="0" w:line="240" w:lineRule="auto"/>
              <w:jc w:val="right"/>
            </w:pPr>
            <w:r w:rsidRPr="003E245D">
              <w:t>671</w:t>
            </w:r>
          </w:p>
        </w:tc>
      </w:tr>
      <w:tr w:rsidR="003E245D" w:rsidRPr="003E245D" w14:paraId="61DDA32A" w14:textId="77777777" w:rsidTr="00614C87">
        <w:trPr>
          <w:trHeight w:val="315"/>
          <w:jc w:val="center"/>
        </w:trPr>
        <w:tc>
          <w:tcPr>
            <w:tcW w:w="20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1BE32952" w14:textId="77777777" w:rsidR="003E245D" w:rsidRPr="003E245D" w:rsidRDefault="003E245D" w:rsidP="003E245D">
            <w:pPr>
              <w:spacing w:after="0" w:line="240" w:lineRule="auto"/>
              <w:jc w:val="left"/>
            </w:pPr>
            <w:r w:rsidRPr="003E245D">
              <w:t>Salza di Pinerolo</w:t>
            </w:r>
          </w:p>
        </w:tc>
        <w:tc>
          <w:tcPr>
            <w:tcW w:w="10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74B4FF56" w14:textId="77777777" w:rsidR="003E245D" w:rsidRPr="003E245D" w:rsidRDefault="003E245D" w:rsidP="003E245D">
            <w:pPr>
              <w:spacing w:after="0" w:line="240" w:lineRule="auto"/>
              <w:jc w:val="right"/>
            </w:pPr>
            <w:r w:rsidRPr="003E245D">
              <w:t>1.029</w:t>
            </w:r>
          </w:p>
        </w:tc>
        <w:tc>
          <w:tcPr>
            <w:tcW w:w="9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5EB46A32" w14:textId="77777777" w:rsidR="003E245D" w:rsidRPr="003E245D" w:rsidRDefault="003E245D" w:rsidP="003E245D">
            <w:pPr>
              <w:spacing w:after="0" w:line="240" w:lineRule="auto"/>
              <w:jc w:val="right"/>
            </w:pPr>
            <w:r w:rsidRPr="003E245D">
              <w:t>2.223</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4A5AE5FE" w14:textId="77777777" w:rsidR="003E245D" w:rsidRPr="003E245D" w:rsidRDefault="003E245D" w:rsidP="003E245D">
            <w:pPr>
              <w:spacing w:after="0" w:line="240" w:lineRule="auto"/>
              <w:jc w:val="right"/>
            </w:pPr>
            <w:r w:rsidRPr="003E245D">
              <w:t>605</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1C361558" w14:textId="77777777" w:rsidR="003E245D" w:rsidRPr="003E245D" w:rsidRDefault="003E245D" w:rsidP="003E245D">
            <w:pPr>
              <w:spacing w:after="0" w:line="240" w:lineRule="auto"/>
              <w:jc w:val="right"/>
            </w:pPr>
            <w:r w:rsidRPr="003E245D">
              <w:t>535</w:t>
            </w:r>
          </w:p>
        </w:tc>
      </w:tr>
      <w:tr w:rsidR="003E245D" w:rsidRPr="003E245D" w14:paraId="7C8756B4" w14:textId="77777777" w:rsidTr="00614C87">
        <w:trPr>
          <w:trHeight w:val="315"/>
          <w:jc w:val="center"/>
        </w:trPr>
        <w:tc>
          <w:tcPr>
            <w:tcW w:w="20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0EC96611" w14:textId="77777777" w:rsidR="003E245D" w:rsidRPr="003E245D" w:rsidRDefault="003E245D" w:rsidP="003E245D">
            <w:pPr>
              <w:spacing w:after="0" w:line="240" w:lineRule="auto"/>
              <w:jc w:val="left"/>
            </w:pPr>
            <w:r w:rsidRPr="003E245D">
              <w:t>San Carlo Canavese</w:t>
            </w:r>
          </w:p>
        </w:tc>
        <w:tc>
          <w:tcPr>
            <w:tcW w:w="10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5F5D4B8D" w14:textId="77777777" w:rsidR="003E245D" w:rsidRPr="003E245D" w:rsidRDefault="003E245D" w:rsidP="003E245D">
            <w:pPr>
              <w:spacing w:after="0" w:line="240" w:lineRule="auto"/>
              <w:jc w:val="right"/>
            </w:pPr>
            <w:r w:rsidRPr="003E245D">
              <w:t>1.203</w:t>
            </w:r>
          </w:p>
        </w:tc>
        <w:tc>
          <w:tcPr>
            <w:tcW w:w="9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192854F7" w14:textId="77777777" w:rsidR="003E245D" w:rsidRPr="003E245D" w:rsidRDefault="003E245D" w:rsidP="003E245D">
            <w:pPr>
              <w:spacing w:after="0" w:line="240" w:lineRule="auto"/>
              <w:jc w:val="right"/>
            </w:pPr>
            <w:r w:rsidRPr="003E245D">
              <w:t>1.878</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3B503B0F" w14:textId="77777777" w:rsidR="003E245D" w:rsidRPr="003E245D" w:rsidRDefault="003E245D" w:rsidP="003E245D">
            <w:pPr>
              <w:spacing w:after="0" w:line="240" w:lineRule="auto"/>
              <w:jc w:val="right"/>
            </w:pPr>
            <w:r w:rsidRPr="003E245D">
              <w:t>67</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0FF67230" w14:textId="77777777" w:rsidR="003E245D" w:rsidRPr="003E245D" w:rsidRDefault="003E245D" w:rsidP="003E245D">
            <w:pPr>
              <w:spacing w:after="0" w:line="240" w:lineRule="auto"/>
              <w:jc w:val="right"/>
            </w:pPr>
            <w:r w:rsidRPr="003E245D">
              <w:t>63</w:t>
            </w:r>
          </w:p>
        </w:tc>
      </w:tr>
      <w:tr w:rsidR="003E245D" w:rsidRPr="003E245D" w14:paraId="4DB5EC1A" w14:textId="77777777" w:rsidTr="00614C87">
        <w:trPr>
          <w:trHeight w:val="315"/>
          <w:jc w:val="center"/>
        </w:trPr>
        <w:tc>
          <w:tcPr>
            <w:tcW w:w="20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6F162B3A" w14:textId="77777777" w:rsidR="003E245D" w:rsidRPr="003E245D" w:rsidRDefault="003E245D" w:rsidP="003E245D">
            <w:pPr>
              <w:spacing w:after="0" w:line="240" w:lineRule="auto"/>
              <w:jc w:val="left"/>
            </w:pPr>
            <w:r w:rsidRPr="003E245D">
              <w:t>San Colombano Belmonte</w:t>
            </w:r>
          </w:p>
        </w:tc>
        <w:tc>
          <w:tcPr>
            <w:tcW w:w="10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40854961" w14:textId="77777777" w:rsidR="003E245D" w:rsidRPr="003E245D" w:rsidRDefault="003E245D" w:rsidP="003E245D">
            <w:pPr>
              <w:spacing w:after="0" w:line="240" w:lineRule="auto"/>
              <w:jc w:val="right"/>
            </w:pPr>
            <w:r w:rsidRPr="003E245D">
              <w:t>369</w:t>
            </w:r>
          </w:p>
        </w:tc>
        <w:tc>
          <w:tcPr>
            <w:tcW w:w="9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545CEB13" w14:textId="77777777" w:rsidR="003E245D" w:rsidRPr="003E245D" w:rsidRDefault="003E245D" w:rsidP="003E245D">
            <w:pPr>
              <w:spacing w:after="0" w:line="240" w:lineRule="auto"/>
              <w:jc w:val="right"/>
            </w:pPr>
            <w:r w:rsidRPr="003E245D">
              <w:t>118</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0BB313C5" w14:textId="77777777" w:rsidR="003E245D" w:rsidRPr="003E245D" w:rsidRDefault="003E245D" w:rsidP="003E245D">
            <w:pPr>
              <w:spacing w:after="0" w:line="240" w:lineRule="auto"/>
              <w:jc w:val="right"/>
            </w:pPr>
            <w:r w:rsidRPr="003E245D">
              <w:t>4.030</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700A1433" w14:textId="77777777" w:rsidR="003E245D" w:rsidRPr="003E245D" w:rsidRDefault="003E245D" w:rsidP="003E245D">
            <w:pPr>
              <w:spacing w:after="0" w:line="240" w:lineRule="auto"/>
              <w:jc w:val="right"/>
            </w:pPr>
            <w:r w:rsidRPr="003E245D">
              <w:t>3.550</w:t>
            </w:r>
          </w:p>
        </w:tc>
      </w:tr>
      <w:tr w:rsidR="003E245D" w:rsidRPr="003E245D" w14:paraId="1F7B7976" w14:textId="77777777" w:rsidTr="00614C87">
        <w:trPr>
          <w:trHeight w:val="315"/>
          <w:jc w:val="center"/>
        </w:trPr>
        <w:tc>
          <w:tcPr>
            <w:tcW w:w="20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572F79C9" w14:textId="77777777" w:rsidR="003E245D" w:rsidRPr="003E245D" w:rsidRDefault="003E245D" w:rsidP="003E245D">
            <w:pPr>
              <w:spacing w:after="0" w:line="240" w:lineRule="auto"/>
              <w:jc w:val="left"/>
            </w:pPr>
            <w:r w:rsidRPr="003E245D">
              <w:lastRenderedPageBreak/>
              <w:t>Sant'Antonino di Susa</w:t>
            </w:r>
          </w:p>
        </w:tc>
        <w:tc>
          <w:tcPr>
            <w:tcW w:w="10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535FF3C7" w14:textId="77777777" w:rsidR="003E245D" w:rsidRPr="003E245D" w:rsidRDefault="003E245D" w:rsidP="003E245D">
            <w:pPr>
              <w:spacing w:after="0" w:line="240" w:lineRule="auto"/>
              <w:jc w:val="right"/>
            </w:pPr>
            <w:r w:rsidRPr="003E245D">
              <w:t>548</w:t>
            </w:r>
          </w:p>
        </w:tc>
        <w:tc>
          <w:tcPr>
            <w:tcW w:w="9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2317F861" w14:textId="77777777" w:rsidR="003E245D" w:rsidRPr="003E245D" w:rsidRDefault="003E245D" w:rsidP="003E245D">
            <w:pPr>
              <w:spacing w:after="0" w:line="240" w:lineRule="auto"/>
              <w:jc w:val="right"/>
            </w:pPr>
            <w:r w:rsidRPr="003E245D">
              <w:t>1.003</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69A067F8" w14:textId="77777777" w:rsidR="003E245D" w:rsidRPr="003E245D" w:rsidRDefault="003E245D" w:rsidP="003E245D">
            <w:pPr>
              <w:spacing w:after="0" w:line="240" w:lineRule="auto"/>
              <w:jc w:val="right"/>
            </w:pPr>
            <w:r w:rsidRPr="003E245D">
              <w:t>354</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49C180EA" w14:textId="77777777" w:rsidR="003E245D" w:rsidRPr="003E245D" w:rsidRDefault="003E245D" w:rsidP="003E245D">
            <w:pPr>
              <w:spacing w:after="0" w:line="240" w:lineRule="auto"/>
              <w:jc w:val="right"/>
            </w:pPr>
            <w:r w:rsidRPr="003E245D">
              <w:t>325</w:t>
            </w:r>
          </w:p>
        </w:tc>
      </w:tr>
      <w:tr w:rsidR="003E245D" w:rsidRPr="003E245D" w14:paraId="353C258F" w14:textId="77777777" w:rsidTr="00614C87">
        <w:trPr>
          <w:trHeight w:val="315"/>
          <w:jc w:val="center"/>
        </w:trPr>
        <w:tc>
          <w:tcPr>
            <w:tcW w:w="20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5EEF5F49" w14:textId="77777777" w:rsidR="003E245D" w:rsidRPr="003E245D" w:rsidRDefault="003E245D" w:rsidP="003E245D">
            <w:pPr>
              <w:spacing w:after="0" w:line="240" w:lineRule="auto"/>
              <w:jc w:val="left"/>
            </w:pPr>
            <w:r w:rsidRPr="003E245D">
              <w:t>Sauze di Cesana</w:t>
            </w:r>
          </w:p>
        </w:tc>
        <w:tc>
          <w:tcPr>
            <w:tcW w:w="10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20274EEF" w14:textId="77777777" w:rsidR="003E245D" w:rsidRPr="003E245D" w:rsidRDefault="003E245D" w:rsidP="003E245D">
            <w:pPr>
              <w:spacing w:after="0" w:line="240" w:lineRule="auto"/>
              <w:jc w:val="right"/>
            </w:pPr>
            <w:r w:rsidRPr="003E245D">
              <w:t>379</w:t>
            </w:r>
          </w:p>
        </w:tc>
        <w:tc>
          <w:tcPr>
            <w:tcW w:w="9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1F0BF161" w14:textId="77777777" w:rsidR="003E245D" w:rsidRPr="003E245D" w:rsidRDefault="003E245D" w:rsidP="003E245D">
            <w:pPr>
              <w:spacing w:after="0" w:line="240" w:lineRule="auto"/>
              <w:jc w:val="right"/>
            </w:pPr>
            <w:r w:rsidRPr="003E245D">
              <w:t>1.285</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2837E5D0" w14:textId="77777777" w:rsidR="003E245D" w:rsidRPr="003E245D" w:rsidRDefault="003E245D" w:rsidP="003E245D">
            <w:pPr>
              <w:spacing w:after="0" w:line="240" w:lineRule="auto"/>
              <w:jc w:val="right"/>
            </w:pPr>
            <w:r w:rsidRPr="003E245D">
              <w:t>4.071</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037832A9" w14:textId="77777777" w:rsidR="003E245D" w:rsidRPr="003E245D" w:rsidRDefault="003E245D" w:rsidP="003E245D">
            <w:pPr>
              <w:spacing w:after="0" w:line="240" w:lineRule="auto"/>
              <w:jc w:val="right"/>
            </w:pPr>
            <w:r w:rsidRPr="003E245D">
              <w:t>3.552</w:t>
            </w:r>
          </w:p>
        </w:tc>
      </w:tr>
      <w:tr w:rsidR="003E245D" w:rsidRPr="003E245D" w14:paraId="4506A6B3" w14:textId="77777777" w:rsidTr="00614C87">
        <w:trPr>
          <w:trHeight w:val="315"/>
          <w:jc w:val="center"/>
        </w:trPr>
        <w:tc>
          <w:tcPr>
            <w:tcW w:w="20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5F79A036" w14:textId="77777777" w:rsidR="003E245D" w:rsidRPr="003E245D" w:rsidRDefault="003E245D" w:rsidP="003E245D">
            <w:pPr>
              <w:spacing w:after="0" w:line="240" w:lineRule="auto"/>
              <w:jc w:val="left"/>
            </w:pPr>
            <w:r w:rsidRPr="003E245D">
              <w:t>Sauze d'Oulx</w:t>
            </w:r>
          </w:p>
        </w:tc>
        <w:tc>
          <w:tcPr>
            <w:tcW w:w="10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58041979" w14:textId="77777777" w:rsidR="003E245D" w:rsidRPr="003E245D" w:rsidRDefault="003E245D" w:rsidP="003E245D">
            <w:pPr>
              <w:spacing w:after="0" w:line="240" w:lineRule="auto"/>
              <w:jc w:val="right"/>
            </w:pPr>
            <w:r w:rsidRPr="003E245D">
              <w:t>1.559</w:t>
            </w:r>
          </w:p>
        </w:tc>
        <w:tc>
          <w:tcPr>
            <w:tcW w:w="9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30521957" w14:textId="77777777" w:rsidR="003E245D" w:rsidRPr="003E245D" w:rsidRDefault="003E245D" w:rsidP="003E245D">
            <w:pPr>
              <w:spacing w:after="0" w:line="240" w:lineRule="auto"/>
              <w:jc w:val="right"/>
            </w:pPr>
            <w:r w:rsidRPr="003E245D">
              <w:t>1.855</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58A2E509" w14:textId="77777777" w:rsidR="003E245D" w:rsidRPr="003E245D" w:rsidRDefault="003E245D" w:rsidP="003E245D">
            <w:pPr>
              <w:spacing w:after="0" w:line="240" w:lineRule="auto"/>
              <w:jc w:val="right"/>
            </w:pPr>
            <w:r w:rsidRPr="003E245D">
              <w:t>243</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7C398094" w14:textId="77777777" w:rsidR="003E245D" w:rsidRPr="003E245D" w:rsidRDefault="003E245D" w:rsidP="003E245D">
            <w:pPr>
              <w:spacing w:after="0" w:line="240" w:lineRule="auto"/>
              <w:jc w:val="right"/>
            </w:pPr>
            <w:r w:rsidRPr="003E245D">
              <w:t>217</w:t>
            </w:r>
          </w:p>
        </w:tc>
      </w:tr>
      <w:tr w:rsidR="003E245D" w:rsidRPr="003E245D" w14:paraId="469B3C4B" w14:textId="77777777" w:rsidTr="00614C87">
        <w:trPr>
          <w:trHeight w:val="315"/>
          <w:jc w:val="center"/>
        </w:trPr>
        <w:tc>
          <w:tcPr>
            <w:tcW w:w="20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2B360176" w14:textId="77777777" w:rsidR="003E245D" w:rsidRPr="003E245D" w:rsidRDefault="003E245D" w:rsidP="003E245D">
            <w:pPr>
              <w:spacing w:after="0" w:line="240" w:lineRule="auto"/>
              <w:jc w:val="left"/>
            </w:pPr>
            <w:r w:rsidRPr="003E245D">
              <w:t>Sestriere</w:t>
            </w:r>
          </w:p>
        </w:tc>
        <w:tc>
          <w:tcPr>
            <w:tcW w:w="10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51E2DCF0" w14:textId="77777777" w:rsidR="003E245D" w:rsidRPr="003E245D" w:rsidRDefault="003E245D" w:rsidP="003E245D">
            <w:pPr>
              <w:spacing w:after="0" w:line="240" w:lineRule="auto"/>
              <w:jc w:val="right"/>
            </w:pPr>
            <w:r w:rsidRPr="003E245D">
              <w:t>1.499</w:t>
            </w:r>
          </w:p>
        </w:tc>
        <w:tc>
          <w:tcPr>
            <w:tcW w:w="9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0742D190" w14:textId="77777777" w:rsidR="003E245D" w:rsidRPr="003E245D" w:rsidRDefault="003E245D" w:rsidP="003E245D">
            <w:pPr>
              <w:spacing w:after="0" w:line="240" w:lineRule="auto"/>
              <w:jc w:val="right"/>
            </w:pPr>
            <w:r w:rsidRPr="003E245D">
              <w:t>1.258</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296E23C8" w14:textId="77777777" w:rsidR="003E245D" w:rsidRPr="003E245D" w:rsidRDefault="003E245D" w:rsidP="003E245D">
            <w:pPr>
              <w:spacing w:after="0" w:line="240" w:lineRule="auto"/>
              <w:jc w:val="right"/>
            </w:pPr>
            <w:r w:rsidRPr="003E245D">
              <w:t>1.025</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015F786A" w14:textId="77777777" w:rsidR="003E245D" w:rsidRPr="003E245D" w:rsidRDefault="003E245D" w:rsidP="003E245D">
            <w:pPr>
              <w:spacing w:after="0" w:line="240" w:lineRule="auto"/>
              <w:jc w:val="right"/>
            </w:pPr>
            <w:r w:rsidRPr="003E245D">
              <w:t>936</w:t>
            </w:r>
          </w:p>
        </w:tc>
      </w:tr>
      <w:tr w:rsidR="003E245D" w:rsidRPr="003E245D" w14:paraId="24DF5AF7" w14:textId="77777777" w:rsidTr="00614C87">
        <w:trPr>
          <w:trHeight w:val="315"/>
          <w:jc w:val="center"/>
        </w:trPr>
        <w:tc>
          <w:tcPr>
            <w:tcW w:w="20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4C64F585" w14:textId="77777777" w:rsidR="003E245D" w:rsidRPr="003E245D" w:rsidRDefault="003E245D" w:rsidP="003E245D">
            <w:pPr>
              <w:spacing w:after="0" w:line="240" w:lineRule="auto"/>
              <w:jc w:val="left"/>
            </w:pPr>
            <w:r w:rsidRPr="003E245D">
              <w:t>Sparone</w:t>
            </w:r>
          </w:p>
        </w:tc>
        <w:tc>
          <w:tcPr>
            <w:tcW w:w="10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582BC050" w14:textId="77777777" w:rsidR="003E245D" w:rsidRPr="003E245D" w:rsidRDefault="003E245D" w:rsidP="003E245D">
            <w:pPr>
              <w:spacing w:after="0" w:line="240" w:lineRule="auto"/>
              <w:jc w:val="right"/>
            </w:pPr>
            <w:r w:rsidRPr="003E245D">
              <w:t>2.029</w:t>
            </w:r>
          </w:p>
        </w:tc>
        <w:tc>
          <w:tcPr>
            <w:tcW w:w="9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217DA477" w14:textId="77777777" w:rsidR="003E245D" w:rsidRPr="003E245D" w:rsidRDefault="003E245D" w:rsidP="003E245D">
            <w:pPr>
              <w:spacing w:after="0" w:line="240" w:lineRule="auto"/>
              <w:jc w:val="right"/>
            </w:pPr>
            <w:r w:rsidRPr="003E245D">
              <w:t>1.740</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6C1B362E" w14:textId="77777777" w:rsidR="003E245D" w:rsidRPr="003E245D" w:rsidRDefault="003E245D" w:rsidP="003E245D">
            <w:pPr>
              <w:spacing w:after="0" w:line="240" w:lineRule="auto"/>
              <w:jc w:val="right"/>
            </w:pPr>
            <w:r w:rsidRPr="003E245D">
              <w:t>929</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6AFA7174" w14:textId="77777777" w:rsidR="003E245D" w:rsidRPr="003E245D" w:rsidRDefault="003E245D" w:rsidP="003E245D">
            <w:pPr>
              <w:spacing w:after="0" w:line="240" w:lineRule="auto"/>
              <w:jc w:val="right"/>
            </w:pPr>
            <w:r w:rsidRPr="003E245D">
              <w:t>856</w:t>
            </w:r>
          </w:p>
        </w:tc>
      </w:tr>
      <w:tr w:rsidR="003E245D" w:rsidRPr="003E245D" w14:paraId="4B2E80CF" w14:textId="77777777" w:rsidTr="00614C87">
        <w:trPr>
          <w:trHeight w:val="315"/>
          <w:jc w:val="center"/>
        </w:trPr>
        <w:tc>
          <w:tcPr>
            <w:tcW w:w="20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27B177E5" w14:textId="77777777" w:rsidR="003E245D" w:rsidRPr="003E245D" w:rsidRDefault="003E245D" w:rsidP="003E245D">
            <w:pPr>
              <w:spacing w:after="0" w:line="240" w:lineRule="auto"/>
              <w:jc w:val="left"/>
            </w:pPr>
            <w:r w:rsidRPr="003E245D">
              <w:t>Torre Pellice</w:t>
            </w:r>
          </w:p>
        </w:tc>
        <w:tc>
          <w:tcPr>
            <w:tcW w:w="10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5E514E94" w14:textId="77777777" w:rsidR="003E245D" w:rsidRPr="003E245D" w:rsidRDefault="003E245D" w:rsidP="003E245D">
            <w:pPr>
              <w:spacing w:after="0" w:line="240" w:lineRule="auto"/>
              <w:jc w:val="right"/>
            </w:pPr>
            <w:r w:rsidRPr="003E245D">
              <w:t>535</w:t>
            </w:r>
          </w:p>
        </w:tc>
        <w:tc>
          <w:tcPr>
            <w:tcW w:w="9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70405B0E" w14:textId="77777777" w:rsidR="003E245D" w:rsidRPr="003E245D" w:rsidRDefault="003E245D" w:rsidP="003E245D">
            <w:pPr>
              <w:spacing w:after="0" w:line="240" w:lineRule="auto"/>
              <w:jc w:val="right"/>
            </w:pPr>
            <w:r w:rsidRPr="003E245D">
              <w:t>1.649</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6FF21960" w14:textId="77777777" w:rsidR="003E245D" w:rsidRPr="003E245D" w:rsidRDefault="003E245D" w:rsidP="003E245D">
            <w:pPr>
              <w:spacing w:after="0" w:line="240" w:lineRule="auto"/>
              <w:jc w:val="right"/>
            </w:pPr>
            <w:r w:rsidRPr="003E245D">
              <w:t>939</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35C46A4B" w14:textId="77777777" w:rsidR="003E245D" w:rsidRPr="003E245D" w:rsidRDefault="003E245D" w:rsidP="003E245D">
            <w:pPr>
              <w:spacing w:after="0" w:line="240" w:lineRule="auto"/>
              <w:jc w:val="right"/>
            </w:pPr>
            <w:r w:rsidRPr="003E245D">
              <w:t>817</w:t>
            </w:r>
          </w:p>
        </w:tc>
      </w:tr>
      <w:tr w:rsidR="003E245D" w:rsidRPr="003E245D" w14:paraId="29ECA95A" w14:textId="77777777" w:rsidTr="00614C87">
        <w:trPr>
          <w:trHeight w:val="315"/>
          <w:jc w:val="center"/>
        </w:trPr>
        <w:tc>
          <w:tcPr>
            <w:tcW w:w="20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52105C91" w14:textId="77777777" w:rsidR="003E245D" w:rsidRPr="003E245D" w:rsidRDefault="003E245D" w:rsidP="003E245D">
            <w:pPr>
              <w:spacing w:after="0" w:line="240" w:lineRule="auto"/>
              <w:jc w:val="left"/>
            </w:pPr>
            <w:r w:rsidRPr="003E245D">
              <w:t>Traversella</w:t>
            </w:r>
          </w:p>
        </w:tc>
        <w:tc>
          <w:tcPr>
            <w:tcW w:w="10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58BBF892" w14:textId="77777777" w:rsidR="003E245D" w:rsidRPr="003E245D" w:rsidRDefault="003E245D" w:rsidP="003E245D">
            <w:pPr>
              <w:spacing w:after="0" w:line="240" w:lineRule="auto"/>
              <w:jc w:val="right"/>
            </w:pPr>
            <w:r w:rsidRPr="003E245D">
              <w:t>519</w:t>
            </w:r>
          </w:p>
        </w:tc>
        <w:tc>
          <w:tcPr>
            <w:tcW w:w="9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3E3BE755" w14:textId="77777777" w:rsidR="003E245D" w:rsidRPr="003E245D" w:rsidRDefault="003E245D" w:rsidP="003E245D">
            <w:pPr>
              <w:spacing w:after="0" w:line="240" w:lineRule="auto"/>
              <w:jc w:val="right"/>
            </w:pPr>
            <w:r w:rsidRPr="003E245D">
              <w:t>1.769</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1B26901B" w14:textId="77777777" w:rsidR="003E245D" w:rsidRPr="003E245D" w:rsidRDefault="003E245D" w:rsidP="003E245D">
            <w:pPr>
              <w:spacing w:after="0" w:line="240" w:lineRule="auto"/>
              <w:jc w:val="right"/>
            </w:pPr>
            <w:r w:rsidRPr="003E245D">
              <w:t>4.575</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317328B0" w14:textId="77777777" w:rsidR="003E245D" w:rsidRPr="003E245D" w:rsidRDefault="003E245D" w:rsidP="003E245D">
            <w:pPr>
              <w:spacing w:after="0" w:line="240" w:lineRule="auto"/>
              <w:jc w:val="right"/>
            </w:pPr>
            <w:r w:rsidRPr="003E245D">
              <w:t>3.985</w:t>
            </w:r>
          </w:p>
        </w:tc>
      </w:tr>
      <w:tr w:rsidR="003E245D" w:rsidRPr="003E245D" w14:paraId="28AC0259" w14:textId="77777777" w:rsidTr="00614C87">
        <w:trPr>
          <w:trHeight w:val="315"/>
          <w:jc w:val="center"/>
        </w:trPr>
        <w:tc>
          <w:tcPr>
            <w:tcW w:w="20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7729AB1F" w14:textId="77777777" w:rsidR="003E245D" w:rsidRPr="003E245D" w:rsidRDefault="003E245D" w:rsidP="003E245D">
            <w:pPr>
              <w:spacing w:after="0" w:line="240" w:lineRule="auto"/>
              <w:jc w:val="left"/>
            </w:pPr>
            <w:r w:rsidRPr="003E245D">
              <w:t>Traves</w:t>
            </w:r>
          </w:p>
        </w:tc>
        <w:tc>
          <w:tcPr>
            <w:tcW w:w="10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1496C4C4" w14:textId="77777777" w:rsidR="003E245D" w:rsidRPr="003E245D" w:rsidRDefault="003E245D" w:rsidP="003E245D">
            <w:pPr>
              <w:spacing w:after="0" w:line="240" w:lineRule="auto"/>
              <w:jc w:val="right"/>
            </w:pPr>
            <w:r w:rsidRPr="003E245D">
              <w:t>820</w:t>
            </w:r>
          </w:p>
        </w:tc>
        <w:tc>
          <w:tcPr>
            <w:tcW w:w="9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77075A75" w14:textId="77777777" w:rsidR="003E245D" w:rsidRPr="003E245D" w:rsidRDefault="003E245D" w:rsidP="003E245D">
            <w:pPr>
              <w:spacing w:after="0" w:line="240" w:lineRule="auto"/>
              <w:jc w:val="right"/>
            </w:pPr>
            <w:r w:rsidRPr="003E245D">
              <w:t>2.136</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702630BD" w14:textId="77777777" w:rsidR="003E245D" w:rsidRPr="003E245D" w:rsidRDefault="003E245D" w:rsidP="003E245D">
            <w:pPr>
              <w:spacing w:after="0" w:line="240" w:lineRule="auto"/>
              <w:jc w:val="right"/>
            </w:pPr>
            <w:r w:rsidRPr="003E245D">
              <w:t>311</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0428B4C8" w14:textId="77777777" w:rsidR="003E245D" w:rsidRPr="003E245D" w:rsidRDefault="003E245D" w:rsidP="003E245D">
            <w:pPr>
              <w:spacing w:after="0" w:line="240" w:lineRule="auto"/>
              <w:jc w:val="right"/>
            </w:pPr>
            <w:r w:rsidRPr="003E245D">
              <w:t>273</w:t>
            </w:r>
          </w:p>
        </w:tc>
      </w:tr>
      <w:tr w:rsidR="003E245D" w:rsidRPr="003E245D" w14:paraId="747C1F25" w14:textId="77777777" w:rsidTr="00614C87">
        <w:trPr>
          <w:trHeight w:val="315"/>
          <w:jc w:val="center"/>
        </w:trPr>
        <w:tc>
          <w:tcPr>
            <w:tcW w:w="20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69E2D1D1" w14:textId="77777777" w:rsidR="003E245D" w:rsidRPr="003E245D" w:rsidRDefault="003E245D" w:rsidP="003E245D">
            <w:pPr>
              <w:spacing w:after="0" w:line="240" w:lineRule="auto"/>
              <w:jc w:val="left"/>
            </w:pPr>
            <w:r w:rsidRPr="003E245D">
              <w:t>Usseaux</w:t>
            </w:r>
          </w:p>
        </w:tc>
        <w:tc>
          <w:tcPr>
            <w:tcW w:w="10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3D9835B0" w14:textId="77777777" w:rsidR="003E245D" w:rsidRPr="003E245D" w:rsidRDefault="003E245D" w:rsidP="003E245D">
            <w:pPr>
              <w:spacing w:after="0" w:line="240" w:lineRule="auto"/>
              <w:jc w:val="right"/>
            </w:pPr>
            <w:r w:rsidRPr="003E245D">
              <w:t>625</w:t>
            </w:r>
          </w:p>
        </w:tc>
        <w:tc>
          <w:tcPr>
            <w:tcW w:w="9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135076F5" w14:textId="77777777" w:rsidR="003E245D" w:rsidRPr="003E245D" w:rsidRDefault="003E245D" w:rsidP="003E245D">
            <w:pPr>
              <w:spacing w:after="0" w:line="240" w:lineRule="auto"/>
              <w:jc w:val="right"/>
            </w:pPr>
            <w:r w:rsidRPr="003E245D">
              <w:t>1.108</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10F05C90" w14:textId="77777777" w:rsidR="003E245D" w:rsidRPr="003E245D" w:rsidRDefault="003E245D" w:rsidP="003E245D">
            <w:pPr>
              <w:spacing w:after="0" w:line="240" w:lineRule="auto"/>
              <w:jc w:val="right"/>
            </w:pPr>
            <w:r w:rsidRPr="003E245D">
              <w:t>503</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701BC5B2" w14:textId="77777777" w:rsidR="003E245D" w:rsidRPr="003E245D" w:rsidRDefault="003E245D" w:rsidP="003E245D">
            <w:pPr>
              <w:spacing w:after="0" w:line="240" w:lineRule="auto"/>
              <w:jc w:val="right"/>
            </w:pPr>
            <w:r w:rsidRPr="003E245D">
              <w:t>443</w:t>
            </w:r>
          </w:p>
        </w:tc>
      </w:tr>
      <w:tr w:rsidR="003E245D" w:rsidRPr="003E245D" w14:paraId="3A5ACDE0" w14:textId="77777777" w:rsidTr="00614C87">
        <w:trPr>
          <w:trHeight w:val="315"/>
          <w:jc w:val="center"/>
        </w:trPr>
        <w:tc>
          <w:tcPr>
            <w:tcW w:w="20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58C3B46B" w14:textId="77777777" w:rsidR="003E245D" w:rsidRPr="003E245D" w:rsidRDefault="003E245D" w:rsidP="003E245D">
            <w:pPr>
              <w:spacing w:after="0" w:line="240" w:lineRule="auto"/>
              <w:jc w:val="left"/>
            </w:pPr>
            <w:r w:rsidRPr="003E245D">
              <w:t>Usseglio</w:t>
            </w:r>
          </w:p>
        </w:tc>
        <w:tc>
          <w:tcPr>
            <w:tcW w:w="10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66ED4EF3" w14:textId="77777777" w:rsidR="003E245D" w:rsidRPr="003E245D" w:rsidRDefault="003E245D" w:rsidP="003E245D">
            <w:pPr>
              <w:spacing w:after="0" w:line="240" w:lineRule="auto"/>
              <w:jc w:val="right"/>
            </w:pPr>
            <w:r w:rsidRPr="003E245D">
              <w:t>1.439</w:t>
            </w:r>
          </w:p>
        </w:tc>
        <w:tc>
          <w:tcPr>
            <w:tcW w:w="9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38FAB790" w14:textId="77777777" w:rsidR="003E245D" w:rsidRPr="003E245D" w:rsidRDefault="003E245D" w:rsidP="003E245D">
            <w:pPr>
              <w:spacing w:after="0" w:line="240" w:lineRule="auto"/>
              <w:jc w:val="right"/>
            </w:pPr>
            <w:r w:rsidRPr="003E245D">
              <w:t>1.786</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0560EFC0" w14:textId="77777777" w:rsidR="003E245D" w:rsidRPr="003E245D" w:rsidRDefault="003E245D" w:rsidP="003E245D">
            <w:pPr>
              <w:spacing w:after="0" w:line="240" w:lineRule="auto"/>
              <w:jc w:val="right"/>
            </w:pPr>
            <w:r w:rsidRPr="003E245D">
              <w:t>175</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72DA4375" w14:textId="77777777" w:rsidR="003E245D" w:rsidRPr="003E245D" w:rsidRDefault="003E245D" w:rsidP="003E245D">
            <w:pPr>
              <w:spacing w:after="0" w:line="240" w:lineRule="auto"/>
              <w:jc w:val="right"/>
            </w:pPr>
            <w:r w:rsidRPr="003E245D">
              <w:t>153</w:t>
            </w:r>
          </w:p>
        </w:tc>
      </w:tr>
      <w:tr w:rsidR="003E245D" w:rsidRPr="003E245D" w14:paraId="049A8F25" w14:textId="77777777" w:rsidTr="00614C87">
        <w:trPr>
          <w:trHeight w:val="315"/>
          <w:jc w:val="center"/>
        </w:trPr>
        <w:tc>
          <w:tcPr>
            <w:tcW w:w="20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4898D348" w14:textId="77777777" w:rsidR="003E245D" w:rsidRPr="003E245D" w:rsidRDefault="003E245D" w:rsidP="003E245D">
            <w:pPr>
              <w:spacing w:after="0" w:line="240" w:lineRule="auto"/>
              <w:jc w:val="left"/>
            </w:pPr>
            <w:r w:rsidRPr="003E245D">
              <w:t>Valchiusa</w:t>
            </w:r>
          </w:p>
        </w:tc>
        <w:tc>
          <w:tcPr>
            <w:tcW w:w="10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29EE40E2" w14:textId="77777777" w:rsidR="003E245D" w:rsidRPr="003E245D" w:rsidRDefault="003E245D" w:rsidP="003E245D">
            <w:pPr>
              <w:spacing w:after="0" w:line="240" w:lineRule="auto"/>
              <w:jc w:val="right"/>
            </w:pPr>
            <w:r w:rsidRPr="003E245D">
              <w:t>1.267</w:t>
            </w:r>
          </w:p>
        </w:tc>
        <w:tc>
          <w:tcPr>
            <w:tcW w:w="9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343BDBC5" w14:textId="77777777" w:rsidR="003E245D" w:rsidRPr="003E245D" w:rsidRDefault="003E245D" w:rsidP="003E245D">
            <w:pPr>
              <w:spacing w:after="0" w:line="240" w:lineRule="auto"/>
              <w:jc w:val="right"/>
            </w:pPr>
            <w:r w:rsidRPr="003E245D">
              <w:t>2.366</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776ADAD9" w14:textId="77777777" w:rsidR="003E245D" w:rsidRPr="003E245D" w:rsidRDefault="003E245D" w:rsidP="003E245D">
            <w:pPr>
              <w:spacing w:after="0" w:line="240" w:lineRule="auto"/>
              <w:jc w:val="right"/>
            </w:pPr>
            <w:r w:rsidRPr="003E245D">
              <w:t>189</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595A9F35" w14:textId="77777777" w:rsidR="003E245D" w:rsidRPr="003E245D" w:rsidRDefault="003E245D" w:rsidP="003E245D">
            <w:pPr>
              <w:spacing w:after="0" w:line="240" w:lineRule="auto"/>
              <w:jc w:val="right"/>
            </w:pPr>
            <w:r w:rsidRPr="003E245D">
              <w:t>175</w:t>
            </w:r>
          </w:p>
        </w:tc>
      </w:tr>
      <w:tr w:rsidR="003E245D" w:rsidRPr="003E245D" w14:paraId="5FF8EAC0" w14:textId="77777777" w:rsidTr="00614C87">
        <w:trPr>
          <w:trHeight w:val="315"/>
          <w:jc w:val="center"/>
        </w:trPr>
        <w:tc>
          <w:tcPr>
            <w:tcW w:w="20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38723E95" w14:textId="77777777" w:rsidR="003E245D" w:rsidRPr="003E245D" w:rsidRDefault="003E245D" w:rsidP="003E245D">
            <w:pPr>
              <w:spacing w:after="0" w:line="240" w:lineRule="auto"/>
              <w:jc w:val="left"/>
            </w:pPr>
            <w:r w:rsidRPr="003E245D">
              <w:t>Valgioie</w:t>
            </w:r>
          </w:p>
        </w:tc>
        <w:tc>
          <w:tcPr>
            <w:tcW w:w="10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11D7A031" w14:textId="77777777" w:rsidR="003E245D" w:rsidRPr="003E245D" w:rsidRDefault="003E245D" w:rsidP="003E245D">
            <w:pPr>
              <w:spacing w:after="0" w:line="240" w:lineRule="auto"/>
              <w:jc w:val="right"/>
            </w:pPr>
            <w:r w:rsidRPr="003E245D">
              <w:t>733</w:t>
            </w:r>
          </w:p>
        </w:tc>
        <w:tc>
          <w:tcPr>
            <w:tcW w:w="9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182924E9" w14:textId="77777777" w:rsidR="003E245D" w:rsidRPr="003E245D" w:rsidRDefault="003E245D" w:rsidP="003E245D">
            <w:pPr>
              <w:spacing w:after="0" w:line="240" w:lineRule="auto"/>
              <w:jc w:val="right"/>
            </w:pPr>
            <w:r w:rsidRPr="003E245D">
              <w:t>2.278</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7D79BF74" w14:textId="77777777" w:rsidR="003E245D" w:rsidRPr="003E245D" w:rsidRDefault="003E245D" w:rsidP="003E245D">
            <w:pPr>
              <w:spacing w:after="0" w:line="240" w:lineRule="auto"/>
              <w:jc w:val="right"/>
            </w:pPr>
            <w:r w:rsidRPr="003E245D">
              <w:t>996</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42B2C9EA" w14:textId="77777777" w:rsidR="003E245D" w:rsidRPr="003E245D" w:rsidRDefault="003E245D" w:rsidP="003E245D">
            <w:pPr>
              <w:spacing w:after="0" w:line="240" w:lineRule="auto"/>
              <w:jc w:val="right"/>
            </w:pPr>
            <w:r w:rsidRPr="003E245D">
              <w:t>886</w:t>
            </w:r>
          </w:p>
        </w:tc>
      </w:tr>
      <w:tr w:rsidR="003E245D" w:rsidRPr="003E245D" w14:paraId="27890A23" w14:textId="77777777" w:rsidTr="00614C87">
        <w:trPr>
          <w:trHeight w:val="315"/>
          <w:jc w:val="center"/>
        </w:trPr>
        <w:tc>
          <w:tcPr>
            <w:tcW w:w="20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6B52B24C" w14:textId="77777777" w:rsidR="003E245D" w:rsidRPr="003E245D" w:rsidRDefault="003E245D" w:rsidP="003E245D">
            <w:pPr>
              <w:spacing w:after="0" w:line="240" w:lineRule="auto"/>
              <w:jc w:val="left"/>
            </w:pPr>
            <w:r w:rsidRPr="003E245D">
              <w:t>Vallo Torinese</w:t>
            </w:r>
          </w:p>
        </w:tc>
        <w:tc>
          <w:tcPr>
            <w:tcW w:w="10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5E8EF2B0" w14:textId="77777777" w:rsidR="003E245D" w:rsidRPr="003E245D" w:rsidRDefault="003E245D" w:rsidP="003E245D">
            <w:pPr>
              <w:spacing w:after="0" w:line="240" w:lineRule="auto"/>
              <w:jc w:val="right"/>
            </w:pPr>
            <w:r w:rsidRPr="003E245D">
              <w:t>866</w:t>
            </w:r>
          </w:p>
        </w:tc>
        <w:tc>
          <w:tcPr>
            <w:tcW w:w="9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2D012520" w14:textId="77777777" w:rsidR="003E245D" w:rsidRPr="003E245D" w:rsidRDefault="003E245D" w:rsidP="003E245D">
            <w:pPr>
              <w:spacing w:after="0" w:line="240" w:lineRule="auto"/>
              <w:jc w:val="right"/>
            </w:pPr>
            <w:r w:rsidRPr="003E245D">
              <w:t>1.012</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1FFA18A4" w14:textId="77777777" w:rsidR="003E245D" w:rsidRPr="003E245D" w:rsidRDefault="003E245D" w:rsidP="003E245D">
            <w:pPr>
              <w:spacing w:after="0" w:line="240" w:lineRule="auto"/>
              <w:jc w:val="right"/>
            </w:pPr>
            <w:r w:rsidRPr="003E245D">
              <w:t>957</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58900127" w14:textId="77777777" w:rsidR="003E245D" w:rsidRPr="003E245D" w:rsidRDefault="003E245D" w:rsidP="003E245D">
            <w:pPr>
              <w:spacing w:after="0" w:line="240" w:lineRule="auto"/>
              <w:jc w:val="right"/>
            </w:pPr>
            <w:r w:rsidRPr="003E245D">
              <w:t>864</w:t>
            </w:r>
          </w:p>
        </w:tc>
      </w:tr>
      <w:tr w:rsidR="003E245D" w:rsidRPr="003E245D" w14:paraId="082C557B" w14:textId="77777777" w:rsidTr="00614C87">
        <w:trPr>
          <w:trHeight w:val="315"/>
          <w:jc w:val="center"/>
        </w:trPr>
        <w:tc>
          <w:tcPr>
            <w:tcW w:w="20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4F56B9CE" w14:textId="77777777" w:rsidR="003E245D" w:rsidRPr="003E245D" w:rsidRDefault="003E245D" w:rsidP="003E245D">
            <w:pPr>
              <w:spacing w:after="0" w:line="240" w:lineRule="auto"/>
              <w:jc w:val="left"/>
            </w:pPr>
            <w:r w:rsidRPr="003E245D">
              <w:t>Valperga</w:t>
            </w:r>
          </w:p>
        </w:tc>
        <w:tc>
          <w:tcPr>
            <w:tcW w:w="10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4D22EC8D" w14:textId="77777777" w:rsidR="003E245D" w:rsidRPr="003E245D" w:rsidRDefault="003E245D" w:rsidP="003E245D">
            <w:pPr>
              <w:spacing w:after="0" w:line="240" w:lineRule="auto"/>
              <w:jc w:val="right"/>
            </w:pPr>
            <w:r w:rsidRPr="003E245D">
              <w:t>472</w:t>
            </w:r>
          </w:p>
        </w:tc>
        <w:tc>
          <w:tcPr>
            <w:tcW w:w="9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4FD9B975" w14:textId="77777777" w:rsidR="003E245D" w:rsidRPr="003E245D" w:rsidRDefault="003E245D" w:rsidP="003E245D">
            <w:pPr>
              <w:spacing w:after="0" w:line="240" w:lineRule="auto"/>
              <w:jc w:val="right"/>
            </w:pPr>
            <w:r w:rsidRPr="003E245D">
              <w:t>1.116</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6EACAE58" w14:textId="77777777" w:rsidR="003E245D" w:rsidRPr="003E245D" w:rsidRDefault="003E245D" w:rsidP="003E245D">
            <w:pPr>
              <w:spacing w:after="0" w:line="240" w:lineRule="auto"/>
              <w:jc w:val="right"/>
            </w:pPr>
            <w:r w:rsidRPr="003E245D">
              <w:t>784</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71A954EF" w14:textId="77777777" w:rsidR="003E245D" w:rsidRPr="003E245D" w:rsidRDefault="003E245D" w:rsidP="003E245D">
            <w:pPr>
              <w:spacing w:after="0" w:line="240" w:lineRule="auto"/>
              <w:jc w:val="right"/>
            </w:pPr>
            <w:r w:rsidRPr="003E245D">
              <w:t>670</w:t>
            </w:r>
          </w:p>
        </w:tc>
      </w:tr>
      <w:tr w:rsidR="003E245D" w:rsidRPr="003E245D" w14:paraId="68C2C9C3" w14:textId="77777777" w:rsidTr="00614C87">
        <w:trPr>
          <w:trHeight w:val="315"/>
          <w:jc w:val="center"/>
        </w:trPr>
        <w:tc>
          <w:tcPr>
            <w:tcW w:w="20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27D7FE84" w14:textId="77777777" w:rsidR="003E245D" w:rsidRPr="003E245D" w:rsidRDefault="003E245D" w:rsidP="003E245D">
            <w:pPr>
              <w:spacing w:after="0" w:line="240" w:lineRule="auto"/>
              <w:jc w:val="left"/>
            </w:pPr>
            <w:r w:rsidRPr="003E245D">
              <w:t>Valprato Soana</w:t>
            </w:r>
          </w:p>
        </w:tc>
        <w:tc>
          <w:tcPr>
            <w:tcW w:w="10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244BD596" w14:textId="77777777" w:rsidR="003E245D" w:rsidRPr="003E245D" w:rsidRDefault="003E245D" w:rsidP="003E245D">
            <w:pPr>
              <w:spacing w:after="0" w:line="240" w:lineRule="auto"/>
              <w:jc w:val="right"/>
            </w:pPr>
            <w:r w:rsidRPr="003E245D">
              <w:t>382</w:t>
            </w:r>
          </w:p>
        </w:tc>
        <w:tc>
          <w:tcPr>
            <w:tcW w:w="9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0C4DA7D9" w14:textId="77777777" w:rsidR="003E245D" w:rsidRPr="003E245D" w:rsidRDefault="003E245D" w:rsidP="003E245D">
            <w:pPr>
              <w:spacing w:after="0" w:line="240" w:lineRule="auto"/>
              <w:jc w:val="right"/>
            </w:pPr>
            <w:r w:rsidRPr="003E245D">
              <w:t>391</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1A2CE6D5" w14:textId="77777777" w:rsidR="003E245D" w:rsidRPr="003E245D" w:rsidRDefault="003E245D" w:rsidP="003E245D">
            <w:pPr>
              <w:spacing w:after="0" w:line="240" w:lineRule="auto"/>
              <w:jc w:val="right"/>
            </w:pPr>
            <w:r w:rsidRPr="003E245D">
              <w:t>2.970</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47A0394B" w14:textId="77777777" w:rsidR="003E245D" w:rsidRPr="003E245D" w:rsidRDefault="003E245D" w:rsidP="003E245D">
            <w:pPr>
              <w:spacing w:after="0" w:line="240" w:lineRule="auto"/>
              <w:jc w:val="right"/>
            </w:pPr>
            <w:r w:rsidRPr="003E245D">
              <w:t>2.594</w:t>
            </w:r>
          </w:p>
        </w:tc>
      </w:tr>
      <w:tr w:rsidR="003E245D" w:rsidRPr="003E245D" w14:paraId="5495919B" w14:textId="77777777" w:rsidTr="00614C87">
        <w:trPr>
          <w:trHeight w:val="315"/>
          <w:jc w:val="center"/>
        </w:trPr>
        <w:tc>
          <w:tcPr>
            <w:tcW w:w="20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13C31DAD" w14:textId="77777777" w:rsidR="003E245D" w:rsidRPr="003E245D" w:rsidRDefault="003E245D" w:rsidP="003E245D">
            <w:pPr>
              <w:spacing w:after="0" w:line="240" w:lineRule="auto"/>
              <w:jc w:val="left"/>
            </w:pPr>
            <w:r w:rsidRPr="003E245D">
              <w:t>Varisella</w:t>
            </w:r>
          </w:p>
        </w:tc>
        <w:tc>
          <w:tcPr>
            <w:tcW w:w="10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3F563589" w14:textId="77777777" w:rsidR="003E245D" w:rsidRPr="003E245D" w:rsidRDefault="003E245D" w:rsidP="003E245D">
            <w:pPr>
              <w:spacing w:after="0" w:line="240" w:lineRule="auto"/>
              <w:jc w:val="right"/>
            </w:pPr>
            <w:r w:rsidRPr="003E245D">
              <w:t>1.104</w:t>
            </w:r>
          </w:p>
        </w:tc>
        <w:tc>
          <w:tcPr>
            <w:tcW w:w="9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6950B1BE" w14:textId="77777777" w:rsidR="003E245D" w:rsidRPr="003E245D" w:rsidRDefault="003E245D" w:rsidP="003E245D">
            <w:pPr>
              <w:spacing w:after="0" w:line="240" w:lineRule="auto"/>
              <w:jc w:val="right"/>
            </w:pPr>
            <w:r w:rsidRPr="003E245D">
              <w:t>2.245</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57BFB238" w14:textId="77777777" w:rsidR="003E245D" w:rsidRPr="003E245D" w:rsidRDefault="003E245D" w:rsidP="003E245D">
            <w:pPr>
              <w:spacing w:after="0" w:line="240" w:lineRule="auto"/>
              <w:jc w:val="right"/>
            </w:pPr>
            <w:r w:rsidRPr="003E245D">
              <w:t>89</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7024F345" w14:textId="77777777" w:rsidR="003E245D" w:rsidRPr="003E245D" w:rsidRDefault="003E245D" w:rsidP="003E245D">
            <w:pPr>
              <w:spacing w:after="0" w:line="240" w:lineRule="auto"/>
              <w:jc w:val="right"/>
            </w:pPr>
            <w:r w:rsidRPr="003E245D">
              <w:t>77</w:t>
            </w:r>
          </w:p>
        </w:tc>
      </w:tr>
      <w:tr w:rsidR="003E245D" w:rsidRPr="003E245D" w14:paraId="04FA38B3" w14:textId="77777777" w:rsidTr="00614C87">
        <w:trPr>
          <w:trHeight w:val="315"/>
          <w:jc w:val="center"/>
        </w:trPr>
        <w:tc>
          <w:tcPr>
            <w:tcW w:w="20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08FFC4BF" w14:textId="77777777" w:rsidR="003E245D" w:rsidRPr="003E245D" w:rsidRDefault="003E245D" w:rsidP="003E245D">
            <w:pPr>
              <w:spacing w:after="0" w:line="240" w:lineRule="auto"/>
              <w:jc w:val="left"/>
            </w:pPr>
            <w:r w:rsidRPr="003E245D">
              <w:t>Vauda Canavese</w:t>
            </w:r>
          </w:p>
        </w:tc>
        <w:tc>
          <w:tcPr>
            <w:tcW w:w="10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572B9A45" w14:textId="77777777" w:rsidR="003E245D" w:rsidRPr="003E245D" w:rsidRDefault="003E245D" w:rsidP="003E245D">
            <w:pPr>
              <w:spacing w:after="0" w:line="240" w:lineRule="auto"/>
              <w:jc w:val="right"/>
            </w:pPr>
            <w:r w:rsidRPr="003E245D">
              <w:t>493</w:t>
            </w:r>
          </w:p>
        </w:tc>
        <w:tc>
          <w:tcPr>
            <w:tcW w:w="9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3ECA1C76" w14:textId="77777777" w:rsidR="003E245D" w:rsidRPr="003E245D" w:rsidRDefault="003E245D" w:rsidP="003E245D">
            <w:pPr>
              <w:spacing w:after="0" w:line="240" w:lineRule="auto"/>
              <w:jc w:val="right"/>
            </w:pPr>
            <w:r w:rsidRPr="003E245D">
              <w:t>1.320</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6AB2BB13" w14:textId="77777777" w:rsidR="003E245D" w:rsidRPr="003E245D" w:rsidRDefault="003E245D" w:rsidP="003E245D">
            <w:pPr>
              <w:spacing w:after="0" w:line="240" w:lineRule="auto"/>
              <w:jc w:val="right"/>
            </w:pPr>
            <w:r w:rsidRPr="003E245D">
              <w:t>825</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65BFAA6E" w14:textId="77777777" w:rsidR="003E245D" w:rsidRPr="003E245D" w:rsidRDefault="003E245D" w:rsidP="003E245D">
            <w:pPr>
              <w:spacing w:after="0" w:line="240" w:lineRule="auto"/>
              <w:jc w:val="right"/>
            </w:pPr>
            <w:r w:rsidRPr="003E245D">
              <w:t>724</w:t>
            </w:r>
          </w:p>
        </w:tc>
      </w:tr>
      <w:tr w:rsidR="003E245D" w:rsidRPr="003E245D" w14:paraId="25AC6F13" w14:textId="77777777" w:rsidTr="00614C87">
        <w:trPr>
          <w:trHeight w:val="315"/>
          <w:jc w:val="center"/>
        </w:trPr>
        <w:tc>
          <w:tcPr>
            <w:tcW w:w="20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0E5DCC60" w14:textId="77777777" w:rsidR="003E245D" w:rsidRPr="003E245D" w:rsidRDefault="003E245D" w:rsidP="003E245D">
            <w:pPr>
              <w:spacing w:after="0" w:line="240" w:lineRule="auto"/>
              <w:jc w:val="left"/>
            </w:pPr>
            <w:r w:rsidRPr="003E245D">
              <w:t>Venaus</w:t>
            </w:r>
          </w:p>
        </w:tc>
        <w:tc>
          <w:tcPr>
            <w:tcW w:w="10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3F762BD5" w14:textId="77777777" w:rsidR="003E245D" w:rsidRPr="003E245D" w:rsidRDefault="003E245D" w:rsidP="003E245D">
            <w:pPr>
              <w:spacing w:after="0" w:line="240" w:lineRule="auto"/>
              <w:jc w:val="right"/>
            </w:pPr>
            <w:r w:rsidRPr="003E245D">
              <w:t>396</w:t>
            </w:r>
          </w:p>
        </w:tc>
        <w:tc>
          <w:tcPr>
            <w:tcW w:w="9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337C639F" w14:textId="77777777" w:rsidR="003E245D" w:rsidRPr="003E245D" w:rsidRDefault="003E245D" w:rsidP="003E245D">
            <w:pPr>
              <w:spacing w:after="0" w:line="240" w:lineRule="auto"/>
              <w:jc w:val="right"/>
            </w:pPr>
            <w:r w:rsidRPr="003E245D">
              <w:t>165</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46068B0D" w14:textId="77777777" w:rsidR="003E245D" w:rsidRPr="003E245D" w:rsidRDefault="003E245D" w:rsidP="003E245D">
            <w:pPr>
              <w:spacing w:after="0" w:line="240" w:lineRule="auto"/>
              <w:jc w:val="right"/>
            </w:pPr>
            <w:r w:rsidRPr="003E245D">
              <w:t>1.428</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041145B9" w14:textId="77777777" w:rsidR="003E245D" w:rsidRPr="003E245D" w:rsidRDefault="003E245D" w:rsidP="003E245D">
            <w:pPr>
              <w:spacing w:after="0" w:line="240" w:lineRule="auto"/>
              <w:jc w:val="right"/>
            </w:pPr>
            <w:r w:rsidRPr="003E245D">
              <w:t>1.267</w:t>
            </w:r>
          </w:p>
        </w:tc>
      </w:tr>
      <w:tr w:rsidR="003E245D" w:rsidRPr="003E245D" w14:paraId="6D2C8A1B" w14:textId="77777777" w:rsidTr="00614C87">
        <w:trPr>
          <w:trHeight w:val="315"/>
          <w:jc w:val="center"/>
        </w:trPr>
        <w:tc>
          <w:tcPr>
            <w:tcW w:w="20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632DED76" w14:textId="77777777" w:rsidR="003E245D" w:rsidRPr="003E245D" w:rsidRDefault="003E245D" w:rsidP="003E245D">
            <w:pPr>
              <w:spacing w:after="0" w:line="240" w:lineRule="auto"/>
              <w:jc w:val="left"/>
            </w:pPr>
            <w:r w:rsidRPr="003E245D">
              <w:t>Villanova Canavese</w:t>
            </w:r>
          </w:p>
        </w:tc>
        <w:tc>
          <w:tcPr>
            <w:tcW w:w="10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73FBC598" w14:textId="77777777" w:rsidR="003E245D" w:rsidRPr="003E245D" w:rsidRDefault="003E245D" w:rsidP="003E245D">
            <w:pPr>
              <w:spacing w:after="0" w:line="240" w:lineRule="auto"/>
              <w:jc w:val="right"/>
            </w:pPr>
            <w:r w:rsidRPr="003E245D">
              <w:t>594</w:t>
            </w:r>
          </w:p>
        </w:tc>
        <w:tc>
          <w:tcPr>
            <w:tcW w:w="9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1CD8507B" w14:textId="77777777" w:rsidR="003E245D" w:rsidRPr="003E245D" w:rsidRDefault="003E245D" w:rsidP="003E245D">
            <w:pPr>
              <w:spacing w:after="0" w:line="240" w:lineRule="auto"/>
              <w:jc w:val="right"/>
            </w:pPr>
            <w:r w:rsidRPr="003E245D">
              <w:t>2.164</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319446B1" w14:textId="77777777" w:rsidR="003E245D" w:rsidRPr="003E245D" w:rsidRDefault="003E245D" w:rsidP="003E245D">
            <w:pPr>
              <w:spacing w:after="0" w:line="240" w:lineRule="auto"/>
              <w:jc w:val="right"/>
            </w:pPr>
            <w:r w:rsidRPr="003E245D">
              <w:t>875</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2068BD22" w14:textId="77777777" w:rsidR="003E245D" w:rsidRPr="003E245D" w:rsidRDefault="003E245D" w:rsidP="003E245D">
            <w:pPr>
              <w:spacing w:after="0" w:line="240" w:lineRule="auto"/>
              <w:jc w:val="right"/>
            </w:pPr>
            <w:r w:rsidRPr="003E245D">
              <w:t>777</w:t>
            </w:r>
          </w:p>
        </w:tc>
      </w:tr>
      <w:tr w:rsidR="003E245D" w:rsidRPr="003E245D" w14:paraId="2E818B8E" w14:textId="77777777" w:rsidTr="00614C87">
        <w:trPr>
          <w:trHeight w:val="315"/>
          <w:jc w:val="center"/>
        </w:trPr>
        <w:tc>
          <w:tcPr>
            <w:tcW w:w="20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60BB15F5" w14:textId="77777777" w:rsidR="003E245D" w:rsidRPr="003E245D" w:rsidRDefault="003E245D" w:rsidP="003E245D">
            <w:pPr>
              <w:spacing w:after="0" w:line="240" w:lineRule="auto"/>
              <w:jc w:val="left"/>
            </w:pPr>
            <w:r w:rsidRPr="003E245D">
              <w:t>Villar Focchiardo</w:t>
            </w:r>
          </w:p>
        </w:tc>
        <w:tc>
          <w:tcPr>
            <w:tcW w:w="10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0446446E" w14:textId="77777777" w:rsidR="003E245D" w:rsidRPr="003E245D" w:rsidRDefault="003E245D" w:rsidP="003E245D">
            <w:pPr>
              <w:spacing w:after="0" w:line="240" w:lineRule="auto"/>
              <w:jc w:val="right"/>
            </w:pPr>
            <w:r w:rsidRPr="003E245D">
              <w:t>384</w:t>
            </w:r>
          </w:p>
        </w:tc>
        <w:tc>
          <w:tcPr>
            <w:tcW w:w="9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16BBDD12" w14:textId="77777777" w:rsidR="003E245D" w:rsidRPr="003E245D" w:rsidRDefault="003E245D" w:rsidP="003E245D">
            <w:pPr>
              <w:spacing w:after="0" w:line="240" w:lineRule="auto"/>
              <w:jc w:val="right"/>
            </w:pPr>
            <w:r w:rsidRPr="003E245D">
              <w:t>23</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401CBC5A" w14:textId="77777777" w:rsidR="003E245D" w:rsidRPr="003E245D" w:rsidRDefault="003E245D" w:rsidP="003E245D">
            <w:pPr>
              <w:spacing w:after="0" w:line="240" w:lineRule="auto"/>
              <w:jc w:val="right"/>
            </w:pPr>
            <w:r w:rsidRPr="003E245D">
              <w:t>1.203</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2972A71B" w14:textId="77777777" w:rsidR="003E245D" w:rsidRPr="003E245D" w:rsidRDefault="003E245D" w:rsidP="003E245D">
            <w:pPr>
              <w:spacing w:after="0" w:line="240" w:lineRule="auto"/>
              <w:jc w:val="right"/>
            </w:pPr>
            <w:r w:rsidRPr="003E245D">
              <w:t>1.055</w:t>
            </w:r>
          </w:p>
        </w:tc>
      </w:tr>
      <w:tr w:rsidR="003E245D" w:rsidRPr="003E245D" w14:paraId="38BBFE1B" w14:textId="77777777" w:rsidTr="00614C87">
        <w:trPr>
          <w:trHeight w:val="315"/>
          <w:jc w:val="center"/>
        </w:trPr>
        <w:tc>
          <w:tcPr>
            <w:tcW w:w="20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3AD38AC5" w14:textId="77777777" w:rsidR="003E245D" w:rsidRPr="003E245D" w:rsidRDefault="003E245D" w:rsidP="003E245D">
            <w:pPr>
              <w:spacing w:after="0" w:line="240" w:lineRule="auto"/>
              <w:jc w:val="left"/>
            </w:pPr>
            <w:r w:rsidRPr="003E245D">
              <w:t>Villar Pellice</w:t>
            </w:r>
          </w:p>
        </w:tc>
        <w:tc>
          <w:tcPr>
            <w:tcW w:w="10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607F8CA5" w14:textId="77777777" w:rsidR="003E245D" w:rsidRPr="003E245D" w:rsidRDefault="003E245D" w:rsidP="003E245D">
            <w:pPr>
              <w:spacing w:after="0" w:line="240" w:lineRule="auto"/>
              <w:jc w:val="right"/>
            </w:pPr>
            <w:r w:rsidRPr="003E245D">
              <w:t>448</w:t>
            </w:r>
          </w:p>
        </w:tc>
        <w:tc>
          <w:tcPr>
            <w:tcW w:w="9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1843710F" w14:textId="77777777" w:rsidR="003E245D" w:rsidRPr="003E245D" w:rsidRDefault="003E245D" w:rsidP="003E245D">
            <w:pPr>
              <w:spacing w:after="0" w:line="240" w:lineRule="auto"/>
              <w:jc w:val="right"/>
            </w:pPr>
            <w:r w:rsidRPr="003E245D">
              <w:t>783</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6E54FB21" w14:textId="77777777" w:rsidR="003E245D" w:rsidRPr="003E245D" w:rsidRDefault="003E245D" w:rsidP="003E245D">
            <w:pPr>
              <w:spacing w:after="0" w:line="240" w:lineRule="auto"/>
              <w:jc w:val="right"/>
            </w:pPr>
            <w:r w:rsidRPr="003E245D">
              <w:t>1.953</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4D33010C" w14:textId="77777777" w:rsidR="003E245D" w:rsidRPr="003E245D" w:rsidRDefault="003E245D" w:rsidP="003E245D">
            <w:pPr>
              <w:spacing w:after="0" w:line="240" w:lineRule="auto"/>
              <w:jc w:val="right"/>
            </w:pPr>
            <w:r w:rsidRPr="003E245D">
              <w:t>1.763</w:t>
            </w:r>
          </w:p>
        </w:tc>
      </w:tr>
      <w:tr w:rsidR="003E245D" w:rsidRPr="003E245D" w14:paraId="14C79D99" w14:textId="77777777" w:rsidTr="00614C87">
        <w:trPr>
          <w:trHeight w:val="315"/>
          <w:jc w:val="center"/>
        </w:trPr>
        <w:tc>
          <w:tcPr>
            <w:tcW w:w="20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1F1015FF" w14:textId="77777777" w:rsidR="003E245D" w:rsidRPr="003E245D" w:rsidRDefault="003E245D" w:rsidP="003E245D">
            <w:pPr>
              <w:spacing w:after="0" w:line="240" w:lineRule="auto"/>
              <w:jc w:val="left"/>
            </w:pPr>
            <w:r w:rsidRPr="003E245D">
              <w:t>Viù</w:t>
            </w:r>
          </w:p>
        </w:tc>
        <w:tc>
          <w:tcPr>
            <w:tcW w:w="100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4728965A" w14:textId="77777777" w:rsidR="003E245D" w:rsidRPr="003E245D" w:rsidRDefault="003E245D" w:rsidP="003E245D">
            <w:pPr>
              <w:spacing w:after="0" w:line="240" w:lineRule="auto"/>
              <w:jc w:val="right"/>
            </w:pPr>
            <w:r w:rsidRPr="003E245D">
              <w:t>669</w:t>
            </w:r>
          </w:p>
        </w:tc>
        <w:tc>
          <w:tcPr>
            <w:tcW w:w="9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7B1CD5CE" w14:textId="77777777" w:rsidR="003E245D" w:rsidRPr="003E245D" w:rsidRDefault="003E245D" w:rsidP="003E245D">
            <w:pPr>
              <w:spacing w:after="0" w:line="240" w:lineRule="auto"/>
              <w:jc w:val="right"/>
            </w:pPr>
            <w:r w:rsidRPr="003E245D">
              <w:t>204</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1C433B3F" w14:textId="77777777" w:rsidR="003E245D" w:rsidRPr="003E245D" w:rsidRDefault="003E245D" w:rsidP="003E245D">
            <w:pPr>
              <w:spacing w:after="0" w:line="240" w:lineRule="auto"/>
              <w:jc w:val="right"/>
            </w:pPr>
            <w:r w:rsidRPr="003E245D">
              <w:t>1.059</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5A4499A8" w14:textId="77777777" w:rsidR="003E245D" w:rsidRPr="003E245D" w:rsidRDefault="003E245D" w:rsidP="003E245D">
            <w:pPr>
              <w:spacing w:after="0" w:line="240" w:lineRule="auto"/>
              <w:jc w:val="right"/>
            </w:pPr>
            <w:r w:rsidRPr="003E245D">
              <w:t>933</w:t>
            </w:r>
          </w:p>
        </w:tc>
      </w:tr>
      <w:tr w:rsidR="003E245D" w:rsidRPr="003E245D" w14:paraId="52D4A23E" w14:textId="77777777" w:rsidTr="00614C87">
        <w:trPr>
          <w:trHeight w:val="315"/>
          <w:jc w:val="center"/>
        </w:trPr>
        <w:tc>
          <w:tcPr>
            <w:tcW w:w="4056"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E3438"/>
            <w:noWrap/>
            <w:vAlign w:val="center"/>
          </w:tcPr>
          <w:p w14:paraId="48F5A8B5" w14:textId="77777777" w:rsidR="003E245D" w:rsidRPr="003E245D" w:rsidRDefault="003E245D" w:rsidP="003E245D">
            <w:pPr>
              <w:spacing w:after="0" w:line="240" w:lineRule="auto"/>
              <w:jc w:val="left"/>
              <w:rPr>
                <w:rFonts w:eastAsia="Times New Roman" w:cstheme="minorHAnsi"/>
                <w:b/>
                <w:bCs/>
                <w:color w:val="FFFFFF" w:themeColor="background1"/>
                <w:sz w:val="20"/>
                <w:szCs w:val="20"/>
              </w:rPr>
            </w:pPr>
            <w:r w:rsidRPr="003E245D">
              <w:rPr>
                <w:rFonts w:eastAsia="Times New Roman" w:cstheme="minorHAnsi"/>
                <w:b/>
                <w:bCs/>
                <w:color w:val="FFFFFF" w:themeColor="background1"/>
                <w:sz w:val="20"/>
                <w:szCs w:val="20"/>
              </w:rPr>
              <w:t>Totale popolazione in aree a domanda debole</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E3438"/>
          </w:tcPr>
          <w:p w14:paraId="13561574" w14:textId="77777777" w:rsidR="003E245D" w:rsidRPr="003E245D" w:rsidRDefault="003E245D" w:rsidP="003E245D">
            <w:pPr>
              <w:spacing w:after="0" w:line="240" w:lineRule="auto"/>
              <w:jc w:val="center"/>
              <w:rPr>
                <w:rFonts w:eastAsia="Times New Roman" w:cstheme="minorHAnsi"/>
                <w:b/>
                <w:bCs/>
                <w:color w:val="FFFFFF" w:themeColor="background1"/>
                <w:sz w:val="20"/>
                <w:szCs w:val="20"/>
              </w:rPr>
            </w:pPr>
            <w:r w:rsidRPr="003E245D">
              <w:rPr>
                <w:b/>
                <w:bCs/>
                <w:color w:val="FFFFFF" w:themeColor="background1"/>
              </w:rPr>
              <w:t>98.626</w:t>
            </w:r>
          </w:p>
        </w:tc>
        <w:tc>
          <w:tcPr>
            <w:tcW w:w="1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E3438"/>
          </w:tcPr>
          <w:p w14:paraId="6881B39E" w14:textId="77777777" w:rsidR="003E245D" w:rsidRPr="003E245D" w:rsidRDefault="003E245D" w:rsidP="003E245D">
            <w:pPr>
              <w:spacing w:after="0" w:line="240" w:lineRule="auto"/>
              <w:jc w:val="center"/>
              <w:rPr>
                <w:rFonts w:eastAsia="Times New Roman" w:cstheme="minorHAnsi"/>
                <w:b/>
                <w:bCs/>
                <w:color w:val="FFFFFF" w:themeColor="background1"/>
                <w:sz w:val="20"/>
                <w:szCs w:val="20"/>
              </w:rPr>
            </w:pPr>
            <w:r w:rsidRPr="003E245D">
              <w:rPr>
                <w:b/>
                <w:bCs/>
                <w:color w:val="FFFFFF" w:themeColor="background1"/>
              </w:rPr>
              <w:t>87.234</w:t>
            </w:r>
          </w:p>
        </w:tc>
      </w:tr>
    </w:tbl>
    <w:p w14:paraId="4261094D" w14:textId="2677D12E" w:rsidR="003E245D" w:rsidRPr="003E245D" w:rsidRDefault="003E245D" w:rsidP="003E245D">
      <w:pPr>
        <w:spacing w:after="200" w:line="240" w:lineRule="auto"/>
        <w:jc w:val="center"/>
        <w:rPr>
          <w:rFonts w:cstheme="minorHAnsi"/>
          <w:iCs/>
          <w:color w:val="003366"/>
          <w:sz w:val="18"/>
          <w:szCs w:val="18"/>
        </w:rPr>
      </w:pPr>
      <w:r w:rsidRPr="003E245D">
        <w:rPr>
          <w:rFonts w:cstheme="minorHAnsi"/>
          <w:i/>
          <w:iCs/>
          <w:color w:val="003366"/>
          <w:sz w:val="18"/>
          <w:szCs w:val="18"/>
        </w:rPr>
        <w:t xml:space="preserve">Tabella </w:t>
      </w:r>
      <w:r w:rsidRPr="003E245D">
        <w:rPr>
          <w:rFonts w:cstheme="minorHAnsi"/>
          <w:i/>
          <w:iCs/>
          <w:color w:val="003366"/>
          <w:sz w:val="18"/>
          <w:szCs w:val="18"/>
        </w:rPr>
        <w:fldChar w:fldCharType="begin"/>
      </w:r>
      <w:r w:rsidRPr="003E245D">
        <w:rPr>
          <w:rFonts w:cstheme="minorHAnsi"/>
          <w:i/>
          <w:iCs/>
          <w:color w:val="003366"/>
          <w:sz w:val="18"/>
          <w:szCs w:val="18"/>
        </w:rPr>
        <w:instrText xml:space="preserve"> SEQ Tabella \* ARABIC </w:instrText>
      </w:r>
      <w:r w:rsidRPr="003E245D">
        <w:rPr>
          <w:rFonts w:cstheme="minorHAnsi"/>
          <w:i/>
          <w:iCs/>
          <w:color w:val="003366"/>
          <w:sz w:val="18"/>
          <w:szCs w:val="18"/>
        </w:rPr>
        <w:fldChar w:fldCharType="separate"/>
      </w:r>
      <w:r w:rsidR="00073B6D">
        <w:rPr>
          <w:rFonts w:cstheme="minorHAnsi"/>
          <w:i/>
          <w:iCs/>
          <w:noProof/>
          <w:color w:val="003366"/>
          <w:sz w:val="18"/>
          <w:szCs w:val="18"/>
        </w:rPr>
        <w:t>5</w:t>
      </w:r>
      <w:r w:rsidRPr="003E245D">
        <w:rPr>
          <w:rFonts w:cstheme="minorHAnsi"/>
          <w:i/>
          <w:iCs/>
          <w:noProof/>
          <w:color w:val="003366"/>
          <w:sz w:val="18"/>
          <w:szCs w:val="18"/>
        </w:rPr>
        <w:fldChar w:fldCharType="end"/>
      </w:r>
      <w:r w:rsidRPr="003E245D">
        <w:rPr>
          <w:rFonts w:cstheme="minorHAnsi"/>
          <w:iCs/>
          <w:color w:val="003366"/>
          <w:sz w:val="18"/>
          <w:szCs w:val="18"/>
        </w:rPr>
        <w:t xml:space="preserve"> – </w:t>
      </w:r>
      <w:r w:rsidRPr="003E245D">
        <w:rPr>
          <w:rFonts w:cstheme="minorHAnsi"/>
          <w:i/>
          <w:color w:val="003366"/>
          <w:sz w:val="18"/>
          <w:szCs w:val="18"/>
        </w:rPr>
        <w:t>Classificazione dei comuni in area a domanda debole</w:t>
      </w:r>
      <w:r w:rsidRPr="003E245D">
        <w:rPr>
          <w:rFonts w:cstheme="minorHAnsi"/>
          <w:iCs/>
          <w:color w:val="003366"/>
          <w:sz w:val="18"/>
          <w:szCs w:val="18"/>
        </w:rPr>
        <w:t xml:space="preserve"> </w:t>
      </w:r>
    </w:p>
    <w:p w14:paraId="1FAEB494" w14:textId="77777777" w:rsidR="003E245D" w:rsidRPr="003E245D" w:rsidRDefault="003E245D" w:rsidP="003E245D">
      <w:pPr>
        <w:spacing w:before="120" w:after="0" w:line="240" w:lineRule="auto"/>
        <w:rPr>
          <w:rFonts w:cstheme="minorHAnsi"/>
        </w:rPr>
      </w:pPr>
      <w:r w:rsidRPr="003E245D">
        <w:rPr>
          <w:rFonts w:cstheme="minorHAnsi"/>
        </w:rPr>
        <w:t>I comuni definibili “a domanda debole” hanno una popolazione complessiva di 98.626 abitanti</w:t>
      </w:r>
      <w:r w:rsidRPr="003E245D">
        <w:rPr>
          <w:rFonts w:cstheme="minorHAnsi"/>
          <w:vertAlign w:val="superscript"/>
        </w:rPr>
        <w:footnoteReference w:id="10"/>
      </w:r>
      <w:r w:rsidRPr="003E245D">
        <w:rPr>
          <w:rFonts w:cstheme="minorHAnsi"/>
        </w:rPr>
        <w:t>, che costituisce il 4,5% della popolazione del Bacino ed è ripartita sul 29,2% dei comuni.</w:t>
      </w:r>
    </w:p>
    <w:p w14:paraId="0C5250EF" w14:textId="77777777" w:rsidR="003E245D" w:rsidRPr="003E245D" w:rsidRDefault="003E245D" w:rsidP="003E245D">
      <w:pPr>
        <w:spacing w:before="120" w:after="0" w:line="240" w:lineRule="auto"/>
        <w:rPr>
          <w:rFonts w:cstheme="minorHAnsi"/>
        </w:rPr>
      </w:pPr>
      <w:r w:rsidRPr="003E245D">
        <w:rPr>
          <w:rFonts w:cstheme="minorHAnsi"/>
        </w:rPr>
        <w:t xml:space="preserve">Per i servizi erogati in queste aree non sono ancora disponibili rilevazioni dei passeggeri trasportati, ma saranno previste nella stipula dei prossimi Contratti di Servizio come obbligo in capo all’operatore economico affidatario che dovrà impegnarsi anche in questi contesti a fornire i dati dei passeggeri trasportati, del load factor unitamente ai dati sui ricavi ed al coverage ratio.  </w:t>
      </w:r>
    </w:p>
    <w:p w14:paraId="4CF79905" w14:textId="77777777" w:rsidR="003E245D" w:rsidRPr="003E245D" w:rsidRDefault="003E245D" w:rsidP="003E245D">
      <w:pPr>
        <w:spacing w:before="120" w:after="0" w:line="240" w:lineRule="auto"/>
        <w:rPr>
          <w:rFonts w:cstheme="minorHAnsi"/>
        </w:rPr>
      </w:pPr>
      <w:r w:rsidRPr="003E245D">
        <w:rPr>
          <w:rFonts w:cstheme="minorHAnsi"/>
        </w:rPr>
        <w:t>Allo stato attuale, con le informazioni in nostro possesso, è possibile per tali aree assegnare rispetto alla popolazione 11-84 anni una quota di popolazione mobile (81,2%) e di mobilità (2,19 spostamenti/giorno/persona) in linea con quanto rilevato dall’indagine IMQ 2022 per il Bacino Metropolitano, e quindi stimare in una giornata feriale tipo una domanda potenziale costituita da circa 87.234 individui con una mobilità 191.042 spostamenti, indicatore questo che può essere espanso a livello annuale considerando un numero di giorni feriali pari a 250 ottenendo così una stima di circa 47,8 milioni di spostamenti generati dai comuni in area a domanda debole.</w:t>
      </w:r>
    </w:p>
    <w:p w14:paraId="51B6377F" w14:textId="1F2D8DBB" w:rsidR="003E245D" w:rsidRPr="003E245D" w:rsidRDefault="003E245D" w:rsidP="003E245D">
      <w:pPr>
        <w:spacing w:before="120" w:after="0" w:line="240" w:lineRule="auto"/>
        <w:rPr>
          <w:rFonts w:cstheme="minorHAnsi"/>
        </w:rPr>
      </w:pPr>
      <w:r w:rsidRPr="003E245D">
        <w:rPr>
          <w:rFonts w:cstheme="minorHAnsi"/>
        </w:rPr>
        <w:t>Di questi, se si mantiene la ripartizione modale individuata nel bacino Metropolitano con l’ultima indagine sulla mobilità, si può ricavare una domanda potenziale per il trasporto pubblico di circa 3,2 milioni di passeggeri/anno.</w:t>
      </w:r>
    </w:p>
    <w:p w14:paraId="567BE571" w14:textId="7597AC46" w:rsidR="003E245D" w:rsidRPr="003E245D" w:rsidRDefault="003E245D" w:rsidP="003E245D">
      <w:pPr>
        <w:spacing w:before="120" w:after="0" w:line="240" w:lineRule="auto"/>
        <w:rPr>
          <w:rFonts w:cstheme="minorHAnsi"/>
        </w:rPr>
      </w:pPr>
      <w:r w:rsidRPr="003E245D">
        <w:rPr>
          <w:rFonts w:cstheme="minorHAnsi"/>
        </w:rPr>
        <w:lastRenderedPageBreak/>
        <w:t xml:space="preserve">Tale dato può considerarsi lievemente sottostimato per la ragioni già espresse nel paragrafo </w:t>
      </w:r>
      <w:r w:rsidRPr="003E245D">
        <w:rPr>
          <w:rFonts w:cstheme="minorHAnsi"/>
        </w:rPr>
        <w:fldChar w:fldCharType="begin"/>
      </w:r>
      <w:r w:rsidRPr="003E245D">
        <w:rPr>
          <w:rFonts w:cstheme="minorHAnsi"/>
        </w:rPr>
        <w:instrText xml:space="preserve"> REF _Ref191387915 \r \h  \* MERGEFORMAT </w:instrText>
      </w:r>
      <w:r w:rsidRPr="003E245D">
        <w:rPr>
          <w:rFonts w:cstheme="minorHAnsi"/>
        </w:rPr>
      </w:r>
      <w:r w:rsidRPr="003E245D">
        <w:rPr>
          <w:rFonts w:cstheme="minorHAnsi"/>
        </w:rPr>
        <w:fldChar w:fldCharType="separate"/>
      </w:r>
      <w:r w:rsidR="00073B6D">
        <w:rPr>
          <w:rFonts w:cstheme="minorHAnsi"/>
        </w:rPr>
        <w:t>3.1</w:t>
      </w:r>
      <w:r w:rsidRPr="003E245D">
        <w:rPr>
          <w:rFonts w:cstheme="minorHAnsi"/>
        </w:rPr>
        <w:fldChar w:fldCharType="end"/>
      </w:r>
      <w:r w:rsidRPr="003E245D">
        <w:rPr>
          <w:rFonts w:cstheme="minorHAnsi"/>
        </w:rPr>
        <w:t xml:space="preserve"> relative al momento storico in cui è stata condotta l’indagine.</w:t>
      </w:r>
    </w:p>
    <w:p w14:paraId="6A1E05E0" w14:textId="77777777" w:rsidR="003E245D" w:rsidRPr="003E245D" w:rsidRDefault="003E245D" w:rsidP="003E245D">
      <w:pPr>
        <w:spacing w:before="120" w:after="0" w:line="240" w:lineRule="auto"/>
        <w:rPr>
          <w:rFonts w:cstheme="minorHAnsi"/>
        </w:rPr>
      </w:pPr>
      <w:r w:rsidRPr="003E245D">
        <w:rPr>
          <w:rFonts w:cstheme="minorHAnsi"/>
        </w:rPr>
        <w:t xml:space="preserve">I dati a nostra disposizione allo stato attuale non hanno un grado di dettaglio e accuratezza che permetta di fare valutazioni puntuali delle componenti temporale e socio-economica della domanda debole. </w:t>
      </w:r>
    </w:p>
    <w:p w14:paraId="1CD45CCF" w14:textId="77777777" w:rsidR="003E245D" w:rsidRPr="003E245D" w:rsidRDefault="003E245D" w:rsidP="003E245D">
      <w:pPr>
        <w:spacing w:before="120" w:after="0" w:line="240" w:lineRule="auto"/>
        <w:rPr>
          <w:rFonts w:cstheme="minorHAnsi"/>
        </w:rPr>
      </w:pPr>
      <w:r w:rsidRPr="003E245D">
        <w:rPr>
          <w:rFonts w:cstheme="minorHAnsi"/>
        </w:rPr>
        <w:t>Possiamo comunque definire in tema di domanda debole temporale una convergenza verso le fasce orarie serali e nei giorni festivi, per quest’ultima tipologia possono fare eccezione alcune località a valenza turistica che proprio nei giorni festivi e in alcuni periodi dell’anno possono avere un incremento di mobilità. Come si può ben comprendere sono situazioni molto puntuali e specifiche per tale ragione nelle offerte si chiederà agli operatori economici di proporre soluzioni specifiche lasciando anche la possibilità di prevedere eventuali proposte tariffarie per garantirne la sostenibilità. Le proposte potranno riguardare sia servizi convenzionali diversamente organizzati e gestiti, sia servizi non convenzionali come i servizi a conferma e/o a chiamata.</w:t>
      </w:r>
    </w:p>
    <w:p w14:paraId="19F94366" w14:textId="77777777" w:rsidR="003E245D" w:rsidRPr="003E245D" w:rsidRDefault="003E245D" w:rsidP="000C34FB">
      <w:pPr>
        <w:pStyle w:val="Titolo2"/>
        <w:ind w:left="567"/>
        <w:rPr>
          <w:rFonts w:cstheme="minorHAnsi"/>
          <w:b w:val="0"/>
        </w:rPr>
      </w:pPr>
      <w:bookmarkStart w:id="127" w:name="_Toc197695666"/>
      <w:bookmarkStart w:id="128" w:name="_Ref204090096"/>
      <w:bookmarkStart w:id="129" w:name="_Toc204616482"/>
      <w:bookmarkStart w:id="130" w:name="_Ref212806939"/>
      <w:bookmarkStart w:id="131" w:name="_Toc213078351"/>
      <w:r w:rsidRPr="000C34FB">
        <w:rPr>
          <w:rFonts w:asciiTheme="minorHAnsi" w:hAnsiTheme="minorHAnsi" w:cstheme="minorHAnsi"/>
        </w:rPr>
        <w:t>Analisi dell’autocontenimento della domanda</w:t>
      </w:r>
      <w:bookmarkEnd w:id="118"/>
      <w:bookmarkEnd w:id="119"/>
      <w:bookmarkEnd w:id="120"/>
      <w:bookmarkEnd w:id="121"/>
      <w:bookmarkEnd w:id="127"/>
      <w:bookmarkEnd w:id="128"/>
      <w:bookmarkEnd w:id="129"/>
      <w:bookmarkEnd w:id="130"/>
      <w:bookmarkEnd w:id="131"/>
      <w:r w:rsidRPr="000C34FB">
        <w:rPr>
          <w:rFonts w:asciiTheme="minorHAnsi" w:hAnsiTheme="minorHAnsi" w:cstheme="minorHAnsi"/>
        </w:rPr>
        <w:t xml:space="preserve"> </w:t>
      </w:r>
    </w:p>
    <w:p w14:paraId="0A9B5D80" w14:textId="77777777" w:rsidR="003E245D" w:rsidRPr="003E245D" w:rsidRDefault="003E245D" w:rsidP="003E245D">
      <w:pPr>
        <w:spacing w:before="120" w:after="0" w:line="240" w:lineRule="auto"/>
        <w:rPr>
          <w:rFonts w:cstheme="minorHAnsi"/>
        </w:rPr>
      </w:pPr>
      <w:r w:rsidRPr="003E245D">
        <w:rPr>
          <w:rFonts w:cstheme="minorHAnsi"/>
        </w:rPr>
        <w:t>L'autocontenimento della domanda di mobilità è un concetto che si riferisce alla capacità di un'area geografica di soddisfare internamente le esigenze di spostamento dei suoi residenti, riducendo la necessità di viaggi verso altre aree.</w:t>
      </w:r>
    </w:p>
    <w:p w14:paraId="055EA8E2" w14:textId="77777777" w:rsidR="003E245D" w:rsidRPr="003E245D" w:rsidRDefault="003E245D" w:rsidP="003E245D">
      <w:pPr>
        <w:spacing w:before="120" w:after="0" w:line="240" w:lineRule="auto"/>
        <w:rPr>
          <w:rFonts w:cstheme="minorHAnsi"/>
        </w:rPr>
      </w:pPr>
      <w:r w:rsidRPr="003E245D">
        <w:rPr>
          <w:rFonts w:cstheme="minorHAnsi"/>
        </w:rPr>
        <w:t>Per descrivere questa valutazione, verrà utilizzato l’indicatore specifico definito “Tasso di autocontenimento della domanda” che misura la percentuale di spostamenti che avvengono all'interno della stessa zona rispetto al totale degli spostamenti.</w:t>
      </w:r>
    </w:p>
    <w:p w14:paraId="1B818E1E" w14:textId="77777777" w:rsidR="003E245D" w:rsidRPr="003E245D" w:rsidRDefault="003E245D" w:rsidP="003E245D">
      <w:pPr>
        <w:spacing w:before="120" w:after="0" w:line="240" w:lineRule="auto"/>
        <w:rPr>
          <w:rFonts w:cstheme="minorHAnsi"/>
        </w:rPr>
      </w:pPr>
      <w:r w:rsidRPr="003E245D">
        <w:rPr>
          <w:rFonts w:cstheme="minorHAnsi"/>
        </w:rPr>
        <w:t>L'analisi dell'autocontenimento della domanda in Regione Piemonte riferita ai quattro bacini di mobilità, e basata sui dati IMQ, già trattata nella "Relazione sugli affidamenti di TPL - Anno 2022"</w:t>
      </w:r>
      <w:r w:rsidRPr="003E245D">
        <w:rPr>
          <w:rFonts w:cstheme="minorHAnsi"/>
          <w:vertAlign w:val="superscript"/>
        </w:rPr>
        <w:footnoteReference w:id="11"/>
      </w:r>
      <w:r w:rsidRPr="003E245D">
        <w:rPr>
          <w:rFonts w:cstheme="minorHAnsi"/>
        </w:rPr>
        <w:t>, viene qui aggiornata con i dati consolidati dell’indagine IMQ2022.</w:t>
      </w:r>
    </w:p>
    <w:p w14:paraId="5435C839" w14:textId="77777777" w:rsidR="003E245D" w:rsidRPr="003E245D" w:rsidRDefault="003E245D" w:rsidP="003E245D">
      <w:pPr>
        <w:spacing w:before="120" w:after="0" w:line="240" w:lineRule="auto"/>
        <w:rPr>
          <w:rFonts w:cstheme="minorHAnsi"/>
        </w:rPr>
      </w:pPr>
      <w:r w:rsidRPr="003E245D">
        <w:rPr>
          <w:rFonts w:cstheme="minorHAnsi"/>
        </w:rPr>
        <w:t>Per il Bacino Metropolitano, la mobilità motorizzata (pubblico + privato) in origine è pari a 1.478.158 spostamenti/giorno esclusi ritorni a casa e il tasso di autocontenimento si attesta al 97,3% mentre la mobilità con mezzo pubblico è di 160.936 spostamenti giorno in origine esclusi ritorni a casa e l'autocontenimento è al 97,2%.</w:t>
      </w:r>
    </w:p>
    <w:p w14:paraId="2E4F1CCF" w14:textId="77777777" w:rsidR="003E245D" w:rsidRPr="003E245D" w:rsidRDefault="003E245D" w:rsidP="003E245D">
      <w:pPr>
        <w:spacing w:before="120" w:after="0" w:line="240" w:lineRule="auto"/>
        <w:rPr>
          <w:rFonts w:cstheme="minorHAnsi"/>
        </w:rPr>
      </w:pPr>
    </w:p>
    <w:tbl>
      <w:tblPr>
        <w:tblW w:w="5000" w:type="pct"/>
        <w:tblCellMar>
          <w:left w:w="70" w:type="dxa"/>
          <w:right w:w="70" w:type="dxa"/>
        </w:tblCellMar>
        <w:tblLook w:val="04A0" w:firstRow="1" w:lastRow="0" w:firstColumn="1" w:lastColumn="0" w:noHBand="0" w:noVBand="1"/>
      </w:tblPr>
      <w:tblGrid>
        <w:gridCol w:w="2595"/>
        <w:gridCol w:w="676"/>
        <w:gridCol w:w="865"/>
        <w:gridCol w:w="957"/>
        <w:gridCol w:w="1032"/>
        <w:gridCol w:w="1025"/>
        <w:gridCol w:w="957"/>
        <w:gridCol w:w="953"/>
      </w:tblGrid>
      <w:tr w:rsidR="003E245D" w:rsidRPr="003E245D" w14:paraId="550FE36F" w14:textId="77777777" w:rsidTr="002102D4">
        <w:trPr>
          <w:trHeight w:val="315"/>
        </w:trPr>
        <w:tc>
          <w:tcPr>
            <w:tcW w:w="1450" w:type="pct"/>
            <w:tcBorders>
              <w:top w:val="nil"/>
              <w:left w:val="nil"/>
              <w:bottom w:val="nil"/>
              <w:right w:val="nil"/>
            </w:tcBorders>
            <w:vAlign w:val="center"/>
            <w:hideMark/>
          </w:tcPr>
          <w:p w14:paraId="2C10EC78" w14:textId="77777777" w:rsidR="003E245D" w:rsidRPr="003E245D" w:rsidRDefault="003E245D" w:rsidP="003E245D">
            <w:pPr>
              <w:spacing w:after="0" w:line="240" w:lineRule="auto"/>
              <w:rPr>
                <w:rFonts w:eastAsia="Times New Roman" w:cs="Calibri"/>
                <w:color w:val="000000"/>
              </w:rPr>
            </w:pPr>
            <w:r w:rsidRPr="003E245D">
              <w:rPr>
                <w:rFonts w:eastAsia="Times New Roman" w:cs="Calibri"/>
                <w:color w:val="000000"/>
              </w:rPr>
              <w:t>Bacino Metropolitano</w:t>
            </w:r>
          </w:p>
        </w:tc>
        <w:tc>
          <w:tcPr>
            <w:tcW w:w="391" w:type="pct"/>
            <w:tcBorders>
              <w:top w:val="nil"/>
              <w:left w:val="nil"/>
              <w:bottom w:val="single" w:sz="8" w:space="0" w:color="A6A6A6"/>
              <w:right w:val="single" w:sz="8" w:space="0" w:color="A6A6A6"/>
            </w:tcBorders>
            <w:vAlign w:val="center"/>
            <w:hideMark/>
          </w:tcPr>
          <w:p w14:paraId="204C8512" w14:textId="77777777" w:rsidR="003E245D" w:rsidRPr="003E245D" w:rsidRDefault="003E245D" w:rsidP="003E245D">
            <w:pPr>
              <w:spacing w:after="0" w:line="240" w:lineRule="auto"/>
              <w:rPr>
                <w:rFonts w:eastAsia="Times New Roman" w:cs="Calibri"/>
                <w:color w:val="000000"/>
              </w:rPr>
            </w:pPr>
          </w:p>
          <w:p w14:paraId="3299D656" w14:textId="77777777" w:rsidR="003E245D" w:rsidRPr="003E245D" w:rsidRDefault="003E245D" w:rsidP="003E245D">
            <w:pPr>
              <w:spacing w:after="0" w:line="240" w:lineRule="auto"/>
              <w:rPr>
                <w:rFonts w:eastAsia="Times New Roman" w:cs="Calibri"/>
                <w:color w:val="000000"/>
              </w:rPr>
            </w:pPr>
            <w:r w:rsidRPr="003E245D">
              <w:rPr>
                <w:rFonts w:eastAsia="Times New Roman" w:cs="Calibri"/>
                <w:color w:val="000000"/>
              </w:rPr>
              <w:t> </w:t>
            </w:r>
          </w:p>
        </w:tc>
        <w:tc>
          <w:tcPr>
            <w:tcW w:w="1523" w:type="pct"/>
            <w:gridSpan w:val="3"/>
            <w:tcBorders>
              <w:top w:val="single" w:sz="8" w:space="0" w:color="A6A6A6"/>
              <w:left w:val="nil"/>
              <w:bottom w:val="single" w:sz="8" w:space="0" w:color="A6A6A6"/>
              <w:right w:val="single" w:sz="8" w:space="0" w:color="A6A6A6"/>
            </w:tcBorders>
            <w:shd w:val="clear" w:color="auto" w:fill="EE3438"/>
            <w:vAlign w:val="center"/>
            <w:hideMark/>
          </w:tcPr>
          <w:p w14:paraId="52C07011" w14:textId="77777777" w:rsidR="003E245D" w:rsidRPr="002102D4" w:rsidRDefault="003E245D" w:rsidP="003E245D">
            <w:pPr>
              <w:spacing w:after="0" w:line="240" w:lineRule="auto"/>
              <w:jc w:val="center"/>
              <w:rPr>
                <w:rFonts w:eastAsia="Times New Roman" w:cs="Calibri"/>
                <w:b/>
                <w:color w:val="FFFFFF" w:themeColor="background1"/>
              </w:rPr>
            </w:pPr>
            <w:r w:rsidRPr="002102D4">
              <w:rPr>
                <w:rFonts w:eastAsia="Times New Roman" w:cs="Calibri"/>
                <w:b/>
                <w:color w:val="FFFFFF" w:themeColor="background1"/>
              </w:rPr>
              <w:t>% Autocontenimento</w:t>
            </w:r>
          </w:p>
        </w:tc>
        <w:tc>
          <w:tcPr>
            <w:tcW w:w="1637" w:type="pct"/>
            <w:gridSpan w:val="3"/>
            <w:tcBorders>
              <w:top w:val="single" w:sz="8" w:space="0" w:color="A6A6A6"/>
              <w:left w:val="nil"/>
              <w:bottom w:val="single" w:sz="8" w:space="0" w:color="A6A6A6"/>
              <w:right w:val="single" w:sz="8" w:space="0" w:color="A6A6A6"/>
            </w:tcBorders>
            <w:shd w:val="clear" w:color="auto" w:fill="EE3438"/>
            <w:vAlign w:val="center"/>
            <w:hideMark/>
          </w:tcPr>
          <w:p w14:paraId="3B981950" w14:textId="77777777" w:rsidR="003E245D" w:rsidRPr="002102D4" w:rsidRDefault="003E245D" w:rsidP="003E245D">
            <w:pPr>
              <w:spacing w:after="0" w:line="240" w:lineRule="auto"/>
              <w:jc w:val="center"/>
              <w:rPr>
                <w:rFonts w:eastAsia="Times New Roman" w:cs="Calibri"/>
                <w:b/>
                <w:color w:val="FFFFFF" w:themeColor="background1"/>
              </w:rPr>
            </w:pPr>
            <w:r w:rsidRPr="002102D4">
              <w:rPr>
                <w:rFonts w:eastAsia="Times New Roman" w:cs="Calibri"/>
                <w:b/>
                <w:color w:val="FFFFFF" w:themeColor="background1"/>
              </w:rPr>
              <w:t>% uscente</w:t>
            </w:r>
          </w:p>
        </w:tc>
      </w:tr>
      <w:tr w:rsidR="003E245D" w:rsidRPr="003E245D" w14:paraId="561D6ABF" w14:textId="77777777" w:rsidTr="002102D4">
        <w:trPr>
          <w:trHeight w:val="1035"/>
        </w:trPr>
        <w:tc>
          <w:tcPr>
            <w:tcW w:w="1450" w:type="pct"/>
            <w:tcBorders>
              <w:top w:val="nil"/>
              <w:left w:val="nil"/>
              <w:bottom w:val="single" w:sz="8" w:space="0" w:color="A6A6A6"/>
              <w:right w:val="single" w:sz="8" w:space="0" w:color="A6A6A6"/>
            </w:tcBorders>
            <w:vAlign w:val="center"/>
            <w:hideMark/>
          </w:tcPr>
          <w:p w14:paraId="5D94FD34" w14:textId="77777777" w:rsidR="003E245D" w:rsidRPr="003E245D" w:rsidRDefault="003E245D" w:rsidP="003E245D">
            <w:pPr>
              <w:spacing w:after="0" w:line="240" w:lineRule="auto"/>
              <w:rPr>
                <w:rFonts w:eastAsia="Times New Roman" w:cs="Calibri"/>
                <w:b/>
                <w:color w:val="000000"/>
              </w:rPr>
            </w:pPr>
            <w:r w:rsidRPr="003E245D">
              <w:rPr>
                <w:rFonts w:eastAsia="Times New Roman" w:cs="Calibri"/>
                <w:b/>
                <w:color w:val="000000"/>
              </w:rPr>
              <w:t xml:space="preserve">IMQ2022 </w:t>
            </w:r>
          </w:p>
        </w:tc>
        <w:tc>
          <w:tcPr>
            <w:tcW w:w="391" w:type="pct"/>
            <w:tcBorders>
              <w:top w:val="nil"/>
              <w:left w:val="nil"/>
              <w:bottom w:val="single" w:sz="8" w:space="0" w:color="A6A6A6"/>
              <w:right w:val="single" w:sz="8" w:space="0" w:color="A6A6A6"/>
            </w:tcBorders>
            <w:shd w:val="clear" w:color="auto" w:fill="EE3438"/>
            <w:vAlign w:val="center"/>
            <w:hideMark/>
          </w:tcPr>
          <w:p w14:paraId="37C2929A" w14:textId="77777777" w:rsidR="003E245D" w:rsidRPr="002102D4" w:rsidRDefault="003E245D" w:rsidP="003E245D">
            <w:pPr>
              <w:spacing w:after="0" w:line="240" w:lineRule="auto"/>
              <w:jc w:val="center"/>
              <w:rPr>
                <w:rFonts w:eastAsia="Times New Roman" w:cs="Calibri"/>
                <w:b/>
                <w:color w:val="FFFFFF" w:themeColor="background1"/>
              </w:rPr>
            </w:pPr>
            <w:r w:rsidRPr="002102D4">
              <w:rPr>
                <w:rFonts w:eastAsia="Times New Roman" w:cs="Calibri"/>
                <w:b/>
                <w:color w:val="FFFFFF" w:themeColor="background1"/>
              </w:rPr>
              <w:t xml:space="preserve">N° zone </w:t>
            </w:r>
          </w:p>
        </w:tc>
        <w:tc>
          <w:tcPr>
            <w:tcW w:w="432" w:type="pct"/>
            <w:tcBorders>
              <w:top w:val="nil"/>
              <w:left w:val="nil"/>
              <w:bottom w:val="single" w:sz="8" w:space="0" w:color="A6A6A6"/>
              <w:right w:val="single" w:sz="8" w:space="0" w:color="A6A6A6"/>
            </w:tcBorders>
            <w:shd w:val="clear" w:color="auto" w:fill="EE3438"/>
            <w:vAlign w:val="center"/>
            <w:hideMark/>
          </w:tcPr>
          <w:p w14:paraId="3E7EE833" w14:textId="77777777" w:rsidR="003E245D" w:rsidRPr="002102D4" w:rsidRDefault="003E245D" w:rsidP="003E245D">
            <w:pPr>
              <w:spacing w:after="0" w:line="240" w:lineRule="auto"/>
              <w:jc w:val="center"/>
              <w:rPr>
                <w:rFonts w:eastAsia="Times New Roman" w:cs="Calibri"/>
                <w:b/>
                <w:color w:val="FFFFFF" w:themeColor="background1"/>
              </w:rPr>
            </w:pPr>
            <w:r w:rsidRPr="002102D4">
              <w:rPr>
                <w:rFonts w:eastAsia="Times New Roman" w:cs="Calibri"/>
                <w:b/>
                <w:color w:val="FFFFFF" w:themeColor="background1"/>
              </w:rPr>
              <w:t>Interno stessa zona</w:t>
            </w:r>
          </w:p>
        </w:tc>
        <w:tc>
          <w:tcPr>
            <w:tcW w:w="546" w:type="pct"/>
            <w:tcBorders>
              <w:top w:val="nil"/>
              <w:left w:val="nil"/>
              <w:bottom w:val="single" w:sz="8" w:space="0" w:color="A6A6A6"/>
              <w:right w:val="single" w:sz="8" w:space="0" w:color="A6A6A6"/>
            </w:tcBorders>
            <w:shd w:val="clear" w:color="auto" w:fill="EE3438"/>
            <w:vAlign w:val="center"/>
            <w:hideMark/>
          </w:tcPr>
          <w:p w14:paraId="259EC698" w14:textId="77777777" w:rsidR="003E245D" w:rsidRPr="002102D4" w:rsidRDefault="003E245D" w:rsidP="003E245D">
            <w:pPr>
              <w:spacing w:after="0" w:line="240" w:lineRule="auto"/>
              <w:jc w:val="center"/>
              <w:rPr>
                <w:rFonts w:eastAsia="Times New Roman" w:cs="Calibri"/>
                <w:b/>
                <w:color w:val="FFFFFF" w:themeColor="background1"/>
              </w:rPr>
            </w:pPr>
            <w:r w:rsidRPr="002102D4">
              <w:rPr>
                <w:rFonts w:eastAsia="Times New Roman" w:cs="Calibri"/>
                <w:b/>
                <w:color w:val="FFFFFF" w:themeColor="background1"/>
              </w:rPr>
              <w:t>Vs altre zone del Bacino</w:t>
            </w:r>
          </w:p>
        </w:tc>
        <w:tc>
          <w:tcPr>
            <w:tcW w:w="546" w:type="pct"/>
            <w:tcBorders>
              <w:top w:val="nil"/>
              <w:left w:val="nil"/>
              <w:bottom w:val="single" w:sz="8" w:space="0" w:color="A6A6A6"/>
              <w:right w:val="single" w:sz="8" w:space="0" w:color="A6A6A6"/>
            </w:tcBorders>
            <w:shd w:val="clear" w:color="auto" w:fill="EE3438"/>
            <w:vAlign w:val="center"/>
            <w:hideMark/>
          </w:tcPr>
          <w:p w14:paraId="5735756E" w14:textId="77777777" w:rsidR="003E245D" w:rsidRPr="002102D4" w:rsidRDefault="003E245D" w:rsidP="003E245D">
            <w:pPr>
              <w:spacing w:after="0" w:line="240" w:lineRule="auto"/>
              <w:jc w:val="center"/>
              <w:rPr>
                <w:rFonts w:eastAsia="Times New Roman" w:cs="Calibri"/>
                <w:b/>
                <w:color w:val="FFFFFF" w:themeColor="background1"/>
              </w:rPr>
            </w:pPr>
            <w:r w:rsidRPr="002102D4">
              <w:rPr>
                <w:rFonts w:eastAsia="Times New Roman" w:cs="Calibri"/>
                <w:b/>
                <w:color w:val="FFFFFF" w:themeColor="background1"/>
              </w:rPr>
              <w:t>Totale</w:t>
            </w:r>
          </w:p>
        </w:tc>
        <w:tc>
          <w:tcPr>
            <w:tcW w:w="546" w:type="pct"/>
            <w:tcBorders>
              <w:top w:val="nil"/>
              <w:left w:val="nil"/>
              <w:bottom w:val="single" w:sz="8" w:space="0" w:color="A6A6A6"/>
              <w:right w:val="single" w:sz="8" w:space="0" w:color="A6A6A6"/>
            </w:tcBorders>
            <w:shd w:val="clear" w:color="auto" w:fill="EE3438"/>
            <w:vAlign w:val="center"/>
            <w:hideMark/>
          </w:tcPr>
          <w:p w14:paraId="38E6F05A" w14:textId="77777777" w:rsidR="003E245D" w:rsidRPr="002102D4" w:rsidRDefault="003E245D" w:rsidP="003E245D">
            <w:pPr>
              <w:spacing w:after="0" w:line="240" w:lineRule="auto"/>
              <w:jc w:val="center"/>
              <w:rPr>
                <w:rFonts w:eastAsia="Times New Roman" w:cs="Calibri"/>
                <w:b/>
                <w:color w:val="FFFFFF" w:themeColor="background1"/>
              </w:rPr>
            </w:pPr>
            <w:r w:rsidRPr="002102D4">
              <w:rPr>
                <w:rFonts w:eastAsia="Times New Roman" w:cs="Calibri"/>
                <w:b/>
                <w:color w:val="FFFFFF" w:themeColor="background1"/>
              </w:rPr>
              <w:t>Vs altra zona Piemonte</w:t>
            </w:r>
          </w:p>
        </w:tc>
        <w:tc>
          <w:tcPr>
            <w:tcW w:w="546" w:type="pct"/>
            <w:tcBorders>
              <w:top w:val="nil"/>
              <w:left w:val="nil"/>
              <w:bottom w:val="single" w:sz="8" w:space="0" w:color="A6A6A6"/>
              <w:right w:val="single" w:sz="8" w:space="0" w:color="A6A6A6"/>
            </w:tcBorders>
            <w:shd w:val="clear" w:color="auto" w:fill="EE3438"/>
            <w:vAlign w:val="center"/>
            <w:hideMark/>
          </w:tcPr>
          <w:p w14:paraId="0E9F7C0C" w14:textId="77777777" w:rsidR="003E245D" w:rsidRPr="002102D4" w:rsidRDefault="003E245D" w:rsidP="003E245D">
            <w:pPr>
              <w:spacing w:after="0" w:line="240" w:lineRule="auto"/>
              <w:jc w:val="center"/>
              <w:rPr>
                <w:rFonts w:eastAsia="Times New Roman" w:cs="Calibri"/>
                <w:b/>
                <w:color w:val="FFFFFF" w:themeColor="background1"/>
              </w:rPr>
            </w:pPr>
            <w:r w:rsidRPr="002102D4">
              <w:rPr>
                <w:rFonts w:eastAsia="Times New Roman" w:cs="Calibri"/>
                <w:b/>
                <w:color w:val="FFFFFF" w:themeColor="background1"/>
              </w:rPr>
              <w:t>Vs altre regioni</w:t>
            </w:r>
          </w:p>
        </w:tc>
        <w:tc>
          <w:tcPr>
            <w:tcW w:w="546" w:type="pct"/>
            <w:tcBorders>
              <w:top w:val="nil"/>
              <w:left w:val="nil"/>
              <w:bottom w:val="single" w:sz="8" w:space="0" w:color="A6A6A6"/>
              <w:right w:val="single" w:sz="8" w:space="0" w:color="A6A6A6"/>
            </w:tcBorders>
            <w:shd w:val="clear" w:color="auto" w:fill="EE3438"/>
            <w:vAlign w:val="center"/>
            <w:hideMark/>
          </w:tcPr>
          <w:p w14:paraId="1766998D" w14:textId="77777777" w:rsidR="003E245D" w:rsidRPr="002102D4" w:rsidRDefault="003E245D" w:rsidP="003E245D">
            <w:pPr>
              <w:spacing w:after="0" w:line="240" w:lineRule="auto"/>
              <w:jc w:val="center"/>
              <w:rPr>
                <w:rFonts w:eastAsia="Times New Roman" w:cs="Calibri"/>
                <w:b/>
                <w:color w:val="FFFFFF" w:themeColor="background1"/>
              </w:rPr>
            </w:pPr>
            <w:r w:rsidRPr="002102D4">
              <w:rPr>
                <w:rFonts w:eastAsia="Times New Roman" w:cs="Calibri"/>
                <w:b/>
                <w:color w:val="FFFFFF" w:themeColor="background1"/>
              </w:rPr>
              <w:t>Totale</w:t>
            </w:r>
          </w:p>
        </w:tc>
      </w:tr>
      <w:tr w:rsidR="003E245D" w:rsidRPr="003E245D" w14:paraId="4179D1A0" w14:textId="77777777">
        <w:trPr>
          <w:trHeight w:val="315"/>
        </w:trPr>
        <w:tc>
          <w:tcPr>
            <w:tcW w:w="1450" w:type="pct"/>
            <w:tcBorders>
              <w:top w:val="nil"/>
              <w:left w:val="single" w:sz="8" w:space="0" w:color="A6A6A6"/>
              <w:bottom w:val="single" w:sz="8" w:space="0" w:color="A6A6A6"/>
              <w:right w:val="single" w:sz="8" w:space="0" w:color="A6A6A6"/>
            </w:tcBorders>
            <w:vAlign w:val="center"/>
            <w:hideMark/>
          </w:tcPr>
          <w:p w14:paraId="419507E4" w14:textId="77777777" w:rsidR="003E245D" w:rsidRPr="003E245D" w:rsidRDefault="003E245D" w:rsidP="003E245D">
            <w:pPr>
              <w:spacing w:after="0" w:line="240" w:lineRule="auto"/>
              <w:rPr>
                <w:rFonts w:eastAsia="Times New Roman" w:cs="Calibri"/>
                <w:b/>
                <w:i/>
                <w:color w:val="000000"/>
              </w:rPr>
            </w:pPr>
            <w:r w:rsidRPr="003E245D">
              <w:rPr>
                <w:rFonts w:eastAsia="Times New Roman" w:cs="Calibri"/>
                <w:b/>
                <w:i/>
                <w:color w:val="000000"/>
              </w:rPr>
              <w:t>Domanda potenziale (motorizzata)</w:t>
            </w:r>
          </w:p>
        </w:tc>
        <w:tc>
          <w:tcPr>
            <w:tcW w:w="391" w:type="pct"/>
            <w:tcBorders>
              <w:top w:val="nil"/>
              <w:left w:val="nil"/>
              <w:bottom w:val="single" w:sz="8" w:space="0" w:color="A6A6A6"/>
              <w:right w:val="single" w:sz="8" w:space="0" w:color="A6A6A6"/>
            </w:tcBorders>
            <w:vAlign w:val="center"/>
            <w:hideMark/>
          </w:tcPr>
          <w:p w14:paraId="0D5C7BE4" w14:textId="77777777" w:rsidR="003E245D" w:rsidRPr="003E245D" w:rsidRDefault="003E245D" w:rsidP="003E245D">
            <w:pPr>
              <w:spacing w:after="0" w:line="240" w:lineRule="auto"/>
              <w:jc w:val="center"/>
              <w:rPr>
                <w:rFonts w:eastAsia="Times New Roman" w:cs="Calibri"/>
                <w:color w:val="000000"/>
              </w:rPr>
            </w:pPr>
            <w:r w:rsidRPr="003E245D">
              <w:rPr>
                <w:rFonts w:eastAsia="Times New Roman" w:cs="Calibri"/>
                <w:color w:val="000000"/>
              </w:rPr>
              <w:t>101</w:t>
            </w:r>
          </w:p>
        </w:tc>
        <w:tc>
          <w:tcPr>
            <w:tcW w:w="432" w:type="pct"/>
            <w:tcBorders>
              <w:top w:val="nil"/>
              <w:left w:val="nil"/>
              <w:bottom w:val="single" w:sz="8" w:space="0" w:color="A6A6A6"/>
              <w:right w:val="single" w:sz="8" w:space="0" w:color="A6A6A6"/>
            </w:tcBorders>
            <w:vAlign w:val="center"/>
            <w:hideMark/>
          </w:tcPr>
          <w:p w14:paraId="300986F0" w14:textId="77777777" w:rsidR="003E245D" w:rsidRPr="003E245D" w:rsidRDefault="003E245D" w:rsidP="003E245D">
            <w:pPr>
              <w:spacing w:after="0" w:line="240" w:lineRule="auto"/>
              <w:jc w:val="center"/>
              <w:rPr>
                <w:rFonts w:eastAsia="Times New Roman" w:cs="Calibri"/>
                <w:color w:val="000000"/>
              </w:rPr>
            </w:pPr>
            <w:r w:rsidRPr="003E245D">
              <w:rPr>
                <w:rFonts w:eastAsia="Times New Roman" w:cs="Calibri"/>
                <w:color w:val="000000"/>
              </w:rPr>
              <w:t>600.616</w:t>
            </w:r>
          </w:p>
        </w:tc>
        <w:tc>
          <w:tcPr>
            <w:tcW w:w="546" w:type="pct"/>
            <w:tcBorders>
              <w:top w:val="nil"/>
              <w:left w:val="nil"/>
              <w:bottom w:val="single" w:sz="8" w:space="0" w:color="A6A6A6"/>
              <w:right w:val="single" w:sz="8" w:space="0" w:color="A6A6A6"/>
            </w:tcBorders>
            <w:vAlign w:val="center"/>
            <w:hideMark/>
          </w:tcPr>
          <w:p w14:paraId="788A65FF" w14:textId="77777777" w:rsidR="003E245D" w:rsidRPr="003E245D" w:rsidRDefault="003E245D" w:rsidP="003E245D">
            <w:pPr>
              <w:spacing w:after="0" w:line="240" w:lineRule="auto"/>
              <w:jc w:val="center"/>
              <w:rPr>
                <w:rFonts w:eastAsia="Times New Roman" w:cs="Calibri"/>
                <w:color w:val="000000"/>
              </w:rPr>
            </w:pPr>
            <w:r w:rsidRPr="003E245D">
              <w:rPr>
                <w:rFonts w:eastAsia="Times New Roman" w:cs="Calibri"/>
                <w:color w:val="000000"/>
              </w:rPr>
              <w:t>838.138</w:t>
            </w:r>
          </w:p>
        </w:tc>
        <w:tc>
          <w:tcPr>
            <w:tcW w:w="546" w:type="pct"/>
            <w:tcBorders>
              <w:top w:val="nil"/>
              <w:left w:val="nil"/>
              <w:bottom w:val="single" w:sz="8" w:space="0" w:color="A6A6A6"/>
              <w:right w:val="single" w:sz="8" w:space="0" w:color="A6A6A6"/>
            </w:tcBorders>
            <w:vAlign w:val="center"/>
            <w:hideMark/>
          </w:tcPr>
          <w:p w14:paraId="7077EC68" w14:textId="77777777" w:rsidR="003E245D" w:rsidRPr="003E245D" w:rsidRDefault="003E245D" w:rsidP="003E245D">
            <w:pPr>
              <w:spacing w:after="0" w:line="240" w:lineRule="auto"/>
              <w:jc w:val="center"/>
              <w:rPr>
                <w:rFonts w:eastAsia="Times New Roman" w:cs="Calibri"/>
                <w:color w:val="000000"/>
              </w:rPr>
            </w:pPr>
            <w:r w:rsidRPr="003E245D">
              <w:rPr>
                <w:rFonts w:eastAsia="Times New Roman" w:cs="Calibri"/>
                <w:color w:val="000000"/>
              </w:rPr>
              <w:t>1.438.754</w:t>
            </w:r>
          </w:p>
        </w:tc>
        <w:tc>
          <w:tcPr>
            <w:tcW w:w="546" w:type="pct"/>
            <w:tcBorders>
              <w:top w:val="nil"/>
              <w:left w:val="nil"/>
              <w:bottom w:val="single" w:sz="8" w:space="0" w:color="A6A6A6"/>
              <w:right w:val="single" w:sz="8" w:space="0" w:color="A6A6A6"/>
            </w:tcBorders>
            <w:vAlign w:val="center"/>
            <w:hideMark/>
          </w:tcPr>
          <w:p w14:paraId="43B54CE3" w14:textId="77777777" w:rsidR="003E245D" w:rsidRPr="003E245D" w:rsidRDefault="003E245D" w:rsidP="003E245D">
            <w:pPr>
              <w:spacing w:after="0" w:line="240" w:lineRule="auto"/>
              <w:jc w:val="center"/>
              <w:rPr>
                <w:rFonts w:eastAsia="Times New Roman" w:cs="Calibri"/>
                <w:color w:val="000000"/>
              </w:rPr>
            </w:pPr>
            <w:r w:rsidRPr="003E245D">
              <w:rPr>
                <w:rFonts w:eastAsia="Times New Roman" w:cs="Calibri"/>
                <w:color w:val="000000"/>
              </w:rPr>
              <w:t>22.903</w:t>
            </w:r>
          </w:p>
        </w:tc>
        <w:tc>
          <w:tcPr>
            <w:tcW w:w="546" w:type="pct"/>
            <w:tcBorders>
              <w:top w:val="nil"/>
              <w:left w:val="nil"/>
              <w:bottom w:val="single" w:sz="8" w:space="0" w:color="A6A6A6"/>
              <w:right w:val="single" w:sz="8" w:space="0" w:color="A6A6A6"/>
            </w:tcBorders>
            <w:vAlign w:val="center"/>
            <w:hideMark/>
          </w:tcPr>
          <w:p w14:paraId="1D538B17" w14:textId="77777777" w:rsidR="003E245D" w:rsidRPr="003E245D" w:rsidRDefault="003E245D" w:rsidP="003E245D">
            <w:pPr>
              <w:spacing w:after="0" w:line="240" w:lineRule="auto"/>
              <w:jc w:val="center"/>
              <w:rPr>
                <w:rFonts w:eastAsia="Times New Roman" w:cs="Calibri"/>
                <w:color w:val="000000"/>
              </w:rPr>
            </w:pPr>
            <w:r w:rsidRPr="003E245D">
              <w:rPr>
                <w:rFonts w:eastAsia="Times New Roman" w:cs="Calibri"/>
                <w:color w:val="000000"/>
              </w:rPr>
              <w:t>16.502</w:t>
            </w:r>
          </w:p>
        </w:tc>
        <w:tc>
          <w:tcPr>
            <w:tcW w:w="546" w:type="pct"/>
            <w:tcBorders>
              <w:top w:val="nil"/>
              <w:left w:val="nil"/>
              <w:bottom w:val="single" w:sz="8" w:space="0" w:color="A6A6A6"/>
              <w:right w:val="single" w:sz="8" w:space="0" w:color="A6A6A6"/>
            </w:tcBorders>
            <w:vAlign w:val="center"/>
            <w:hideMark/>
          </w:tcPr>
          <w:p w14:paraId="290BB70A" w14:textId="77777777" w:rsidR="003E245D" w:rsidRPr="003E245D" w:rsidRDefault="003E245D" w:rsidP="003E245D">
            <w:pPr>
              <w:spacing w:after="0" w:line="240" w:lineRule="auto"/>
              <w:jc w:val="center"/>
              <w:rPr>
                <w:rFonts w:eastAsia="Times New Roman" w:cs="Calibri"/>
                <w:color w:val="000000"/>
              </w:rPr>
            </w:pPr>
            <w:r w:rsidRPr="003E245D">
              <w:rPr>
                <w:rFonts w:eastAsia="Times New Roman" w:cs="Calibri"/>
                <w:color w:val="000000"/>
              </w:rPr>
              <w:t>39.404</w:t>
            </w:r>
          </w:p>
        </w:tc>
      </w:tr>
      <w:tr w:rsidR="003E245D" w:rsidRPr="003E245D" w14:paraId="122A51DA" w14:textId="77777777">
        <w:trPr>
          <w:trHeight w:val="315"/>
        </w:trPr>
        <w:tc>
          <w:tcPr>
            <w:tcW w:w="1450" w:type="pct"/>
            <w:tcBorders>
              <w:top w:val="nil"/>
              <w:left w:val="single" w:sz="8" w:space="0" w:color="A6A6A6"/>
              <w:bottom w:val="single" w:sz="8" w:space="0" w:color="A6A6A6"/>
              <w:right w:val="single" w:sz="8" w:space="0" w:color="A6A6A6"/>
            </w:tcBorders>
            <w:vAlign w:val="center"/>
            <w:hideMark/>
          </w:tcPr>
          <w:p w14:paraId="796BBC8A" w14:textId="77777777" w:rsidR="003E245D" w:rsidRPr="003E245D" w:rsidRDefault="003E245D" w:rsidP="003E245D">
            <w:pPr>
              <w:spacing w:after="0" w:line="240" w:lineRule="auto"/>
              <w:rPr>
                <w:rFonts w:eastAsia="Times New Roman" w:cs="Calibri"/>
                <w:b/>
                <w:i/>
                <w:color w:val="000000"/>
              </w:rPr>
            </w:pPr>
            <w:r w:rsidRPr="003E245D">
              <w:rPr>
                <w:rFonts w:eastAsia="Times New Roman" w:cs="Calibri"/>
                <w:b/>
                <w:i/>
                <w:color w:val="000000"/>
              </w:rPr>
              <w:t xml:space="preserve">QUOTE % </w:t>
            </w:r>
          </w:p>
        </w:tc>
        <w:tc>
          <w:tcPr>
            <w:tcW w:w="391" w:type="pct"/>
            <w:tcBorders>
              <w:top w:val="nil"/>
              <w:left w:val="nil"/>
              <w:bottom w:val="single" w:sz="8" w:space="0" w:color="A6A6A6"/>
              <w:right w:val="single" w:sz="8" w:space="0" w:color="A6A6A6"/>
            </w:tcBorders>
            <w:vAlign w:val="center"/>
            <w:hideMark/>
          </w:tcPr>
          <w:p w14:paraId="352CFD09" w14:textId="77777777" w:rsidR="003E245D" w:rsidRPr="003E245D" w:rsidRDefault="003E245D" w:rsidP="003E245D">
            <w:pPr>
              <w:spacing w:after="0" w:line="240" w:lineRule="auto"/>
              <w:jc w:val="center"/>
              <w:rPr>
                <w:rFonts w:eastAsia="Times New Roman" w:cs="Calibri"/>
                <w:color w:val="000000"/>
              </w:rPr>
            </w:pPr>
          </w:p>
        </w:tc>
        <w:tc>
          <w:tcPr>
            <w:tcW w:w="432" w:type="pct"/>
            <w:tcBorders>
              <w:top w:val="nil"/>
              <w:left w:val="nil"/>
              <w:bottom w:val="single" w:sz="8" w:space="0" w:color="A6A6A6"/>
              <w:right w:val="single" w:sz="8" w:space="0" w:color="A6A6A6"/>
            </w:tcBorders>
            <w:vAlign w:val="center"/>
            <w:hideMark/>
          </w:tcPr>
          <w:p w14:paraId="19F40256" w14:textId="77777777" w:rsidR="003E245D" w:rsidRPr="003E245D" w:rsidRDefault="003E245D" w:rsidP="003E245D">
            <w:pPr>
              <w:spacing w:after="0" w:line="240" w:lineRule="auto"/>
              <w:jc w:val="center"/>
              <w:rPr>
                <w:rFonts w:eastAsia="Times New Roman" w:cs="Calibri"/>
                <w:color w:val="000000"/>
              </w:rPr>
            </w:pPr>
            <w:r w:rsidRPr="003E245D">
              <w:rPr>
                <w:rFonts w:eastAsia="Times New Roman" w:cs="Calibri"/>
                <w:color w:val="000000"/>
              </w:rPr>
              <w:t>40,6%</w:t>
            </w:r>
          </w:p>
        </w:tc>
        <w:tc>
          <w:tcPr>
            <w:tcW w:w="546" w:type="pct"/>
            <w:tcBorders>
              <w:top w:val="nil"/>
              <w:left w:val="nil"/>
              <w:bottom w:val="single" w:sz="8" w:space="0" w:color="A6A6A6"/>
              <w:right w:val="single" w:sz="8" w:space="0" w:color="A6A6A6"/>
            </w:tcBorders>
            <w:vAlign w:val="center"/>
            <w:hideMark/>
          </w:tcPr>
          <w:p w14:paraId="410A5C55" w14:textId="77777777" w:rsidR="003E245D" w:rsidRPr="003E245D" w:rsidRDefault="003E245D" w:rsidP="003E245D">
            <w:pPr>
              <w:spacing w:after="0" w:line="240" w:lineRule="auto"/>
              <w:jc w:val="center"/>
              <w:rPr>
                <w:rFonts w:eastAsia="Times New Roman" w:cs="Calibri"/>
                <w:color w:val="000000"/>
              </w:rPr>
            </w:pPr>
            <w:r w:rsidRPr="003E245D">
              <w:rPr>
                <w:rFonts w:eastAsia="Times New Roman" w:cs="Calibri"/>
                <w:color w:val="000000"/>
              </w:rPr>
              <w:t>56,7%</w:t>
            </w:r>
          </w:p>
        </w:tc>
        <w:tc>
          <w:tcPr>
            <w:tcW w:w="546" w:type="pct"/>
            <w:tcBorders>
              <w:top w:val="nil"/>
              <w:left w:val="nil"/>
              <w:bottom w:val="single" w:sz="8" w:space="0" w:color="A6A6A6"/>
              <w:right w:val="single" w:sz="8" w:space="0" w:color="A6A6A6"/>
            </w:tcBorders>
            <w:vAlign w:val="center"/>
            <w:hideMark/>
          </w:tcPr>
          <w:p w14:paraId="45850078" w14:textId="77777777" w:rsidR="003E245D" w:rsidRPr="003E245D" w:rsidRDefault="003E245D" w:rsidP="003E245D">
            <w:pPr>
              <w:spacing w:after="0" w:line="240" w:lineRule="auto"/>
              <w:jc w:val="center"/>
              <w:rPr>
                <w:rFonts w:eastAsia="Times New Roman" w:cs="Calibri"/>
                <w:color w:val="000000"/>
              </w:rPr>
            </w:pPr>
            <w:r w:rsidRPr="003E245D">
              <w:rPr>
                <w:rFonts w:eastAsia="Times New Roman" w:cs="Calibri"/>
                <w:color w:val="000000"/>
              </w:rPr>
              <w:t>97,3%</w:t>
            </w:r>
          </w:p>
        </w:tc>
        <w:tc>
          <w:tcPr>
            <w:tcW w:w="546" w:type="pct"/>
            <w:tcBorders>
              <w:top w:val="nil"/>
              <w:left w:val="nil"/>
              <w:bottom w:val="single" w:sz="8" w:space="0" w:color="A6A6A6"/>
              <w:right w:val="single" w:sz="8" w:space="0" w:color="A6A6A6"/>
            </w:tcBorders>
            <w:vAlign w:val="center"/>
            <w:hideMark/>
          </w:tcPr>
          <w:p w14:paraId="1A6FE266" w14:textId="77777777" w:rsidR="003E245D" w:rsidRPr="003E245D" w:rsidRDefault="003E245D" w:rsidP="003E245D">
            <w:pPr>
              <w:spacing w:after="0" w:line="240" w:lineRule="auto"/>
              <w:jc w:val="center"/>
              <w:rPr>
                <w:rFonts w:eastAsia="Times New Roman" w:cs="Calibri"/>
                <w:color w:val="000000"/>
              </w:rPr>
            </w:pPr>
            <w:r w:rsidRPr="003E245D">
              <w:rPr>
                <w:rFonts w:eastAsia="Times New Roman" w:cs="Calibri"/>
                <w:color w:val="000000"/>
              </w:rPr>
              <w:t>1,5%</w:t>
            </w:r>
          </w:p>
        </w:tc>
        <w:tc>
          <w:tcPr>
            <w:tcW w:w="546" w:type="pct"/>
            <w:tcBorders>
              <w:top w:val="nil"/>
              <w:left w:val="nil"/>
              <w:bottom w:val="single" w:sz="8" w:space="0" w:color="A6A6A6"/>
              <w:right w:val="single" w:sz="8" w:space="0" w:color="A6A6A6"/>
            </w:tcBorders>
            <w:vAlign w:val="center"/>
            <w:hideMark/>
          </w:tcPr>
          <w:p w14:paraId="514D1E9F" w14:textId="77777777" w:rsidR="003E245D" w:rsidRPr="003E245D" w:rsidRDefault="003E245D" w:rsidP="003E245D">
            <w:pPr>
              <w:spacing w:after="0" w:line="240" w:lineRule="auto"/>
              <w:jc w:val="center"/>
              <w:rPr>
                <w:rFonts w:eastAsia="Times New Roman" w:cs="Calibri"/>
                <w:color w:val="000000"/>
              </w:rPr>
            </w:pPr>
            <w:r w:rsidRPr="003E245D">
              <w:rPr>
                <w:rFonts w:eastAsia="Times New Roman" w:cs="Calibri"/>
                <w:color w:val="000000"/>
              </w:rPr>
              <w:t>1,1%</w:t>
            </w:r>
          </w:p>
        </w:tc>
        <w:tc>
          <w:tcPr>
            <w:tcW w:w="546" w:type="pct"/>
            <w:tcBorders>
              <w:top w:val="nil"/>
              <w:left w:val="nil"/>
              <w:bottom w:val="single" w:sz="8" w:space="0" w:color="A6A6A6"/>
              <w:right w:val="single" w:sz="8" w:space="0" w:color="A6A6A6"/>
            </w:tcBorders>
            <w:vAlign w:val="center"/>
            <w:hideMark/>
          </w:tcPr>
          <w:p w14:paraId="169CA31D" w14:textId="77777777" w:rsidR="003E245D" w:rsidRPr="003E245D" w:rsidRDefault="003E245D" w:rsidP="003E245D">
            <w:pPr>
              <w:spacing w:after="0" w:line="240" w:lineRule="auto"/>
              <w:jc w:val="center"/>
              <w:rPr>
                <w:rFonts w:eastAsia="Times New Roman" w:cs="Calibri"/>
                <w:color w:val="000000"/>
              </w:rPr>
            </w:pPr>
            <w:r w:rsidRPr="003E245D">
              <w:rPr>
                <w:rFonts w:eastAsia="Times New Roman" w:cs="Calibri"/>
                <w:color w:val="000000"/>
              </w:rPr>
              <w:t>2,7%</w:t>
            </w:r>
          </w:p>
        </w:tc>
      </w:tr>
      <w:tr w:rsidR="003E245D" w:rsidRPr="003E245D" w14:paraId="2A00BB94" w14:textId="77777777">
        <w:trPr>
          <w:trHeight w:val="315"/>
        </w:trPr>
        <w:tc>
          <w:tcPr>
            <w:tcW w:w="1450" w:type="pct"/>
            <w:tcBorders>
              <w:top w:val="nil"/>
              <w:left w:val="single" w:sz="8" w:space="0" w:color="A6A6A6"/>
              <w:bottom w:val="single" w:sz="8" w:space="0" w:color="A6A6A6"/>
              <w:right w:val="single" w:sz="8" w:space="0" w:color="A6A6A6"/>
            </w:tcBorders>
            <w:vAlign w:val="center"/>
            <w:hideMark/>
          </w:tcPr>
          <w:p w14:paraId="7C92C227" w14:textId="77777777" w:rsidR="003E245D" w:rsidRPr="003E245D" w:rsidRDefault="003E245D" w:rsidP="003E245D">
            <w:pPr>
              <w:spacing w:after="0" w:line="240" w:lineRule="auto"/>
              <w:rPr>
                <w:rFonts w:eastAsia="Times New Roman" w:cs="Calibri"/>
                <w:b/>
                <w:i/>
                <w:color w:val="000000"/>
              </w:rPr>
            </w:pPr>
            <w:r w:rsidRPr="003E245D">
              <w:rPr>
                <w:rFonts w:eastAsia="Times New Roman" w:cs="Calibri"/>
                <w:b/>
                <w:i/>
                <w:color w:val="000000"/>
              </w:rPr>
              <w:t>Domanda effettiva TPL (pubblica)</w:t>
            </w:r>
          </w:p>
        </w:tc>
        <w:tc>
          <w:tcPr>
            <w:tcW w:w="391" w:type="pct"/>
            <w:tcBorders>
              <w:top w:val="nil"/>
              <w:left w:val="nil"/>
              <w:bottom w:val="single" w:sz="8" w:space="0" w:color="A6A6A6"/>
              <w:right w:val="single" w:sz="8" w:space="0" w:color="A6A6A6"/>
            </w:tcBorders>
            <w:vAlign w:val="center"/>
            <w:hideMark/>
          </w:tcPr>
          <w:p w14:paraId="252F4795" w14:textId="77777777" w:rsidR="003E245D" w:rsidRPr="003E245D" w:rsidRDefault="003E245D" w:rsidP="003E245D">
            <w:pPr>
              <w:spacing w:after="0" w:line="240" w:lineRule="auto"/>
              <w:jc w:val="center"/>
              <w:rPr>
                <w:rFonts w:eastAsia="Times New Roman" w:cs="Calibri"/>
                <w:color w:val="000000"/>
              </w:rPr>
            </w:pPr>
            <w:r w:rsidRPr="003E245D">
              <w:rPr>
                <w:rFonts w:eastAsia="Times New Roman" w:cs="Calibri"/>
                <w:color w:val="000000"/>
              </w:rPr>
              <w:t>101</w:t>
            </w:r>
          </w:p>
        </w:tc>
        <w:tc>
          <w:tcPr>
            <w:tcW w:w="432" w:type="pct"/>
            <w:tcBorders>
              <w:top w:val="nil"/>
              <w:left w:val="nil"/>
              <w:bottom w:val="single" w:sz="8" w:space="0" w:color="A6A6A6"/>
              <w:right w:val="single" w:sz="8" w:space="0" w:color="A6A6A6"/>
            </w:tcBorders>
            <w:vAlign w:val="center"/>
            <w:hideMark/>
          </w:tcPr>
          <w:p w14:paraId="21D9EAE2" w14:textId="77777777" w:rsidR="003E245D" w:rsidRPr="003E245D" w:rsidRDefault="003E245D" w:rsidP="003E245D">
            <w:pPr>
              <w:spacing w:after="0" w:line="240" w:lineRule="auto"/>
              <w:jc w:val="center"/>
              <w:rPr>
                <w:rFonts w:eastAsia="Times New Roman" w:cs="Calibri"/>
                <w:color w:val="000000"/>
              </w:rPr>
            </w:pPr>
            <w:r w:rsidRPr="003E245D">
              <w:rPr>
                <w:rFonts w:eastAsia="Times New Roman" w:cs="Calibri"/>
                <w:color w:val="000000"/>
              </w:rPr>
              <w:t>21.446</w:t>
            </w:r>
          </w:p>
        </w:tc>
        <w:tc>
          <w:tcPr>
            <w:tcW w:w="546" w:type="pct"/>
            <w:tcBorders>
              <w:top w:val="nil"/>
              <w:left w:val="nil"/>
              <w:bottom w:val="single" w:sz="8" w:space="0" w:color="A6A6A6"/>
              <w:right w:val="single" w:sz="8" w:space="0" w:color="A6A6A6"/>
            </w:tcBorders>
            <w:vAlign w:val="center"/>
            <w:hideMark/>
          </w:tcPr>
          <w:p w14:paraId="4014AC14" w14:textId="77777777" w:rsidR="003E245D" w:rsidRPr="003E245D" w:rsidRDefault="003E245D" w:rsidP="003E245D">
            <w:pPr>
              <w:spacing w:after="0" w:line="240" w:lineRule="auto"/>
              <w:jc w:val="center"/>
              <w:rPr>
                <w:rFonts w:eastAsia="Times New Roman" w:cs="Calibri"/>
                <w:color w:val="000000"/>
              </w:rPr>
            </w:pPr>
            <w:r w:rsidRPr="003E245D">
              <w:rPr>
                <w:rFonts w:eastAsia="Times New Roman" w:cs="Calibri"/>
                <w:color w:val="000000"/>
              </w:rPr>
              <w:t>134.942</w:t>
            </w:r>
          </w:p>
        </w:tc>
        <w:tc>
          <w:tcPr>
            <w:tcW w:w="546" w:type="pct"/>
            <w:tcBorders>
              <w:top w:val="nil"/>
              <w:left w:val="nil"/>
              <w:bottom w:val="single" w:sz="8" w:space="0" w:color="A6A6A6"/>
              <w:right w:val="single" w:sz="8" w:space="0" w:color="A6A6A6"/>
            </w:tcBorders>
            <w:vAlign w:val="center"/>
            <w:hideMark/>
          </w:tcPr>
          <w:p w14:paraId="741A5C25" w14:textId="77777777" w:rsidR="003E245D" w:rsidRPr="003E245D" w:rsidRDefault="003E245D" w:rsidP="003E245D">
            <w:pPr>
              <w:spacing w:after="0" w:line="240" w:lineRule="auto"/>
              <w:jc w:val="center"/>
              <w:rPr>
                <w:rFonts w:eastAsia="Times New Roman" w:cs="Calibri"/>
                <w:color w:val="000000"/>
              </w:rPr>
            </w:pPr>
            <w:r w:rsidRPr="003E245D">
              <w:rPr>
                <w:rFonts w:eastAsia="Times New Roman" w:cs="Calibri"/>
                <w:color w:val="000000"/>
              </w:rPr>
              <w:t>156.388</w:t>
            </w:r>
          </w:p>
        </w:tc>
        <w:tc>
          <w:tcPr>
            <w:tcW w:w="546" w:type="pct"/>
            <w:tcBorders>
              <w:top w:val="nil"/>
              <w:left w:val="nil"/>
              <w:bottom w:val="single" w:sz="8" w:space="0" w:color="A6A6A6"/>
              <w:right w:val="single" w:sz="8" w:space="0" w:color="A6A6A6"/>
            </w:tcBorders>
            <w:vAlign w:val="center"/>
            <w:hideMark/>
          </w:tcPr>
          <w:p w14:paraId="324DF253" w14:textId="77777777" w:rsidR="003E245D" w:rsidRPr="003E245D" w:rsidRDefault="003E245D" w:rsidP="003E245D">
            <w:pPr>
              <w:spacing w:after="0" w:line="240" w:lineRule="auto"/>
              <w:jc w:val="center"/>
              <w:rPr>
                <w:rFonts w:eastAsia="Times New Roman" w:cs="Calibri"/>
                <w:color w:val="000000"/>
              </w:rPr>
            </w:pPr>
            <w:r w:rsidRPr="003E245D">
              <w:rPr>
                <w:rFonts w:eastAsia="Times New Roman" w:cs="Calibri"/>
                <w:color w:val="000000"/>
              </w:rPr>
              <w:t>3.749</w:t>
            </w:r>
          </w:p>
        </w:tc>
        <w:tc>
          <w:tcPr>
            <w:tcW w:w="546" w:type="pct"/>
            <w:tcBorders>
              <w:top w:val="nil"/>
              <w:left w:val="nil"/>
              <w:bottom w:val="single" w:sz="8" w:space="0" w:color="A6A6A6"/>
              <w:right w:val="single" w:sz="8" w:space="0" w:color="A6A6A6"/>
            </w:tcBorders>
            <w:vAlign w:val="center"/>
            <w:hideMark/>
          </w:tcPr>
          <w:p w14:paraId="73562FCB" w14:textId="77777777" w:rsidR="003E245D" w:rsidRPr="003E245D" w:rsidRDefault="003E245D" w:rsidP="003E245D">
            <w:pPr>
              <w:spacing w:after="0" w:line="240" w:lineRule="auto"/>
              <w:jc w:val="center"/>
              <w:rPr>
                <w:rFonts w:eastAsia="Times New Roman" w:cs="Calibri"/>
                <w:color w:val="000000"/>
              </w:rPr>
            </w:pPr>
            <w:r w:rsidRPr="003E245D">
              <w:rPr>
                <w:rFonts w:eastAsia="Times New Roman" w:cs="Calibri"/>
                <w:color w:val="000000"/>
              </w:rPr>
              <w:t>799</w:t>
            </w:r>
          </w:p>
        </w:tc>
        <w:tc>
          <w:tcPr>
            <w:tcW w:w="546" w:type="pct"/>
            <w:tcBorders>
              <w:top w:val="nil"/>
              <w:left w:val="nil"/>
              <w:bottom w:val="single" w:sz="8" w:space="0" w:color="A6A6A6"/>
              <w:right w:val="single" w:sz="8" w:space="0" w:color="A6A6A6"/>
            </w:tcBorders>
            <w:vAlign w:val="center"/>
            <w:hideMark/>
          </w:tcPr>
          <w:p w14:paraId="4C747030" w14:textId="77777777" w:rsidR="003E245D" w:rsidRPr="003E245D" w:rsidRDefault="003E245D" w:rsidP="003E245D">
            <w:pPr>
              <w:spacing w:after="0" w:line="240" w:lineRule="auto"/>
              <w:jc w:val="center"/>
              <w:rPr>
                <w:rFonts w:eastAsia="Times New Roman" w:cs="Calibri"/>
                <w:color w:val="000000"/>
              </w:rPr>
            </w:pPr>
            <w:r w:rsidRPr="003E245D">
              <w:rPr>
                <w:rFonts w:eastAsia="Times New Roman" w:cs="Calibri"/>
                <w:color w:val="000000"/>
              </w:rPr>
              <w:t>4.548</w:t>
            </w:r>
          </w:p>
        </w:tc>
      </w:tr>
      <w:tr w:rsidR="003E245D" w:rsidRPr="003E245D" w14:paraId="7A7CE066" w14:textId="77777777">
        <w:trPr>
          <w:trHeight w:val="315"/>
        </w:trPr>
        <w:tc>
          <w:tcPr>
            <w:tcW w:w="1450" w:type="pct"/>
            <w:tcBorders>
              <w:top w:val="nil"/>
              <w:left w:val="single" w:sz="8" w:space="0" w:color="A6A6A6"/>
              <w:bottom w:val="single" w:sz="8" w:space="0" w:color="A6A6A6"/>
              <w:right w:val="single" w:sz="8" w:space="0" w:color="A6A6A6"/>
            </w:tcBorders>
            <w:vAlign w:val="center"/>
            <w:hideMark/>
          </w:tcPr>
          <w:p w14:paraId="7928E3F2" w14:textId="77777777" w:rsidR="003E245D" w:rsidRPr="003E245D" w:rsidRDefault="003E245D" w:rsidP="003E245D">
            <w:pPr>
              <w:spacing w:after="0" w:line="240" w:lineRule="auto"/>
              <w:rPr>
                <w:rFonts w:eastAsia="Times New Roman" w:cs="Calibri"/>
                <w:b/>
                <w:i/>
                <w:color w:val="000000"/>
              </w:rPr>
            </w:pPr>
            <w:r w:rsidRPr="003E245D">
              <w:rPr>
                <w:rFonts w:eastAsia="Times New Roman" w:cs="Calibri"/>
                <w:b/>
                <w:i/>
                <w:color w:val="000000"/>
              </w:rPr>
              <w:t xml:space="preserve">QUOTE % </w:t>
            </w:r>
          </w:p>
        </w:tc>
        <w:tc>
          <w:tcPr>
            <w:tcW w:w="391" w:type="pct"/>
            <w:tcBorders>
              <w:top w:val="nil"/>
              <w:left w:val="nil"/>
              <w:bottom w:val="single" w:sz="8" w:space="0" w:color="A6A6A6"/>
              <w:right w:val="single" w:sz="8" w:space="0" w:color="A6A6A6"/>
            </w:tcBorders>
            <w:vAlign w:val="center"/>
            <w:hideMark/>
          </w:tcPr>
          <w:p w14:paraId="30BDAA2F" w14:textId="77777777" w:rsidR="003E245D" w:rsidRPr="003E245D" w:rsidRDefault="003E245D" w:rsidP="003E245D">
            <w:pPr>
              <w:spacing w:after="0" w:line="240" w:lineRule="auto"/>
              <w:jc w:val="center"/>
              <w:rPr>
                <w:rFonts w:eastAsia="Times New Roman" w:cs="Calibri"/>
                <w:color w:val="000000"/>
              </w:rPr>
            </w:pPr>
          </w:p>
        </w:tc>
        <w:tc>
          <w:tcPr>
            <w:tcW w:w="432" w:type="pct"/>
            <w:tcBorders>
              <w:top w:val="nil"/>
              <w:left w:val="nil"/>
              <w:bottom w:val="single" w:sz="8" w:space="0" w:color="A6A6A6"/>
              <w:right w:val="single" w:sz="8" w:space="0" w:color="A6A6A6"/>
            </w:tcBorders>
            <w:vAlign w:val="center"/>
            <w:hideMark/>
          </w:tcPr>
          <w:p w14:paraId="77369CDF" w14:textId="77777777" w:rsidR="003E245D" w:rsidRPr="003E245D" w:rsidRDefault="003E245D" w:rsidP="003E245D">
            <w:pPr>
              <w:spacing w:after="0" w:line="240" w:lineRule="auto"/>
              <w:jc w:val="center"/>
              <w:rPr>
                <w:rFonts w:eastAsia="Times New Roman" w:cs="Calibri"/>
                <w:color w:val="000000"/>
              </w:rPr>
            </w:pPr>
            <w:r w:rsidRPr="003E245D">
              <w:rPr>
                <w:rFonts w:eastAsia="Times New Roman" w:cs="Calibri"/>
                <w:color w:val="000000"/>
              </w:rPr>
              <w:t>13,3%</w:t>
            </w:r>
          </w:p>
        </w:tc>
        <w:tc>
          <w:tcPr>
            <w:tcW w:w="546" w:type="pct"/>
            <w:tcBorders>
              <w:top w:val="nil"/>
              <w:left w:val="nil"/>
              <w:bottom w:val="single" w:sz="8" w:space="0" w:color="A6A6A6"/>
              <w:right w:val="single" w:sz="8" w:space="0" w:color="A6A6A6"/>
            </w:tcBorders>
            <w:vAlign w:val="center"/>
            <w:hideMark/>
          </w:tcPr>
          <w:p w14:paraId="052D0203" w14:textId="77777777" w:rsidR="003E245D" w:rsidRPr="003E245D" w:rsidRDefault="003E245D" w:rsidP="003E245D">
            <w:pPr>
              <w:spacing w:after="0" w:line="240" w:lineRule="auto"/>
              <w:jc w:val="center"/>
              <w:rPr>
                <w:rFonts w:eastAsia="Times New Roman" w:cs="Calibri"/>
                <w:color w:val="000000"/>
              </w:rPr>
            </w:pPr>
            <w:r w:rsidRPr="003E245D">
              <w:rPr>
                <w:rFonts w:eastAsia="Times New Roman" w:cs="Calibri"/>
                <w:color w:val="000000"/>
              </w:rPr>
              <w:t>83,8%</w:t>
            </w:r>
          </w:p>
        </w:tc>
        <w:tc>
          <w:tcPr>
            <w:tcW w:w="546" w:type="pct"/>
            <w:tcBorders>
              <w:top w:val="nil"/>
              <w:left w:val="nil"/>
              <w:bottom w:val="single" w:sz="8" w:space="0" w:color="A6A6A6"/>
              <w:right w:val="single" w:sz="8" w:space="0" w:color="A6A6A6"/>
            </w:tcBorders>
            <w:vAlign w:val="center"/>
            <w:hideMark/>
          </w:tcPr>
          <w:p w14:paraId="2AB2EF41" w14:textId="77777777" w:rsidR="003E245D" w:rsidRPr="003E245D" w:rsidRDefault="003E245D" w:rsidP="003E245D">
            <w:pPr>
              <w:spacing w:after="0" w:line="240" w:lineRule="auto"/>
              <w:jc w:val="center"/>
              <w:rPr>
                <w:rFonts w:eastAsia="Times New Roman" w:cs="Calibri"/>
                <w:color w:val="000000"/>
              </w:rPr>
            </w:pPr>
            <w:r w:rsidRPr="003E245D">
              <w:rPr>
                <w:rFonts w:eastAsia="Times New Roman" w:cs="Calibri"/>
                <w:color w:val="000000"/>
              </w:rPr>
              <w:t>97,2%</w:t>
            </w:r>
          </w:p>
        </w:tc>
        <w:tc>
          <w:tcPr>
            <w:tcW w:w="546" w:type="pct"/>
            <w:tcBorders>
              <w:top w:val="nil"/>
              <w:left w:val="nil"/>
              <w:bottom w:val="single" w:sz="8" w:space="0" w:color="A6A6A6"/>
              <w:right w:val="single" w:sz="8" w:space="0" w:color="A6A6A6"/>
            </w:tcBorders>
            <w:vAlign w:val="center"/>
            <w:hideMark/>
          </w:tcPr>
          <w:p w14:paraId="2D915300" w14:textId="77777777" w:rsidR="003E245D" w:rsidRPr="003E245D" w:rsidRDefault="003E245D" w:rsidP="003E245D">
            <w:pPr>
              <w:spacing w:after="0" w:line="240" w:lineRule="auto"/>
              <w:jc w:val="center"/>
              <w:rPr>
                <w:rFonts w:eastAsia="Times New Roman" w:cs="Calibri"/>
                <w:color w:val="000000"/>
              </w:rPr>
            </w:pPr>
            <w:r w:rsidRPr="003E245D">
              <w:rPr>
                <w:rFonts w:eastAsia="Times New Roman" w:cs="Calibri"/>
                <w:color w:val="000000"/>
              </w:rPr>
              <w:t>2,3%</w:t>
            </w:r>
          </w:p>
        </w:tc>
        <w:tc>
          <w:tcPr>
            <w:tcW w:w="546" w:type="pct"/>
            <w:tcBorders>
              <w:top w:val="nil"/>
              <w:left w:val="nil"/>
              <w:bottom w:val="single" w:sz="8" w:space="0" w:color="A6A6A6"/>
              <w:right w:val="single" w:sz="8" w:space="0" w:color="A6A6A6"/>
            </w:tcBorders>
            <w:vAlign w:val="center"/>
            <w:hideMark/>
          </w:tcPr>
          <w:p w14:paraId="3B29FE4B" w14:textId="77777777" w:rsidR="003E245D" w:rsidRPr="003E245D" w:rsidRDefault="003E245D" w:rsidP="003E245D">
            <w:pPr>
              <w:spacing w:after="0" w:line="240" w:lineRule="auto"/>
              <w:jc w:val="center"/>
              <w:rPr>
                <w:rFonts w:eastAsia="Times New Roman" w:cs="Calibri"/>
                <w:color w:val="000000"/>
              </w:rPr>
            </w:pPr>
            <w:r w:rsidRPr="003E245D">
              <w:rPr>
                <w:rFonts w:eastAsia="Times New Roman" w:cs="Calibri"/>
                <w:color w:val="000000"/>
              </w:rPr>
              <w:t>0,5%</w:t>
            </w:r>
          </w:p>
        </w:tc>
        <w:tc>
          <w:tcPr>
            <w:tcW w:w="546" w:type="pct"/>
            <w:tcBorders>
              <w:top w:val="nil"/>
              <w:left w:val="nil"/>
              <w:bottom w:val="single" w:sz="8" w:space="0" w:color="A6A6A6"/>
              <w:right w:val="single" w:sz="8" w:space="0" w:color="A6A6A6"/>
            </w:tcBorders>
            <w:vAlign w:val="center"/>
            <w:hideMark/>
          </w:tcPr>
          <w:p w14:paraId="550D4E2C" w14:textId="77777777" w:rsidR="003E245D" w:rsidRPr="003E245D" w:rsidRDefault="003E245D" w:rsidP="003E245D">
            <w:pPr>
              <w:spacing w:after="0" w:line="240" w:lineRule="auto"/>
              <w:jc w:val="center"/>
              <w:rPr>
                <w:rFonts w:eastAsia="Times New Roman" w:cs="Calibri"/>
                <w:color w:val="000000"/>
              </w:rPr>
            </w:pPr>
            <w:r w:rsidRPr="003E245D">
              <w:rPr>
                <w:rFonts w:eastAsia="Times New Roman" w:cs="Calibri"/>
                <w:color w:val="000000"/>
              </w:rPr>
              <w:t>2,8%</w:t>
            </w:r>
          </w:p>
        </w:tc>
      </w:tr>
    </w:tbl>
    <w:p w14:paraId="23B990E8" w14:textId="3BBB4DAE" w:rsidR="003E245D" w:rsidRPr="003E245D" w:rsidRDefault="003E245D" w:rsidP="003E245D">
      <w:pPr>
        <w:spacing w:after="200" w:line="240" w:lineRule="auto"/>
        <w:jc w:val="center"/>
        <w:rPr>
          <w:rFonts w:cstheme="minorHAnsi"/>
          <w:color w:val="003366"/>
          <w:sz w:val="18"/>
          <w:szCs w:val="18"/>
        </w:rPr>
      </w:pPr>
      <w:r w:rsidRPr="003E245D">
        <w:rPr>
          <w:rFonts w:cstheme="minorHAnsi"/>
          <w:color w:val="003366"/>
          <w:sz w:val="18"/>
          <w:szCs w:val="18"/>
        </w:rPr>
        <w:t xml:space="preserve">Tabella </w:t>
      </w:r>
      <w:r w:rsidRPr="003E245D">
        <w:rPr>
          <w:rFonts w:cstheme="minorHAnsi"/>
          <w:color w:val="003366"/>
          <w:sz w:val="18"/>
          <w:szCs w:val="18"/>
        </w:rPr>
        <w:fldChar w:fldCharType="begin"/>
      </w:r>
      <w:r w:rsidRPr="003E245D">
        <w:rPr>
          <w:rFonts w:cstheme="minorHAnsi"/>
          <w:color w:val="003366"/>
          <w:sz w:val="18"/>
          <w:szCs w:val="18"/>
        </w:rPr>
        <w:instrText xml:space="preserve"> SEQ Tabella \* ARABIC </w:instrText>
      </w:r>
      <w:r w:rsidRPr="003E245D">
        <w:rPr>
          <w:rFonts w:cstheme="minorHAnsi"/>
          <w:color w:val="003366"/>
          <w:sz w:val="18"/>
          <w:szCs w:val="18"/>
        </w:rPr>
        <w:fldChar w:fldCharType="separate"/>
      </w:r>
      <w:r w:rsidR="00073B6D">
        <w:rPr>
          <w:rFonts w:cstheme="minorHAnsi"/>
          <w:noProof/>
          <w:color w:val="003366"/>
          <w:sz w:val="18"/>
          <w:szCs w:val="18"/>
        </w:rPr>
        <w:t>6</w:t>
      </w:r>
      <w:r w:rsidRPr="003E245D">
        <w:rPr>
          <w:rFonts w:cstheme="minorHAnsi"/>
          <w:noProof/>
          <w:color w:val="003366"/>
          <w:sz w:val="18"/>
          <w:szCs w:val="18"/>
        </w:rPr>
        <w:fldChar w:fldCharType="end"/>
      </w:r>
      <w:r w:rsidRPr="003E245D">
        <w:rPr>
          <w:rFonts w:cstheme="minorHAnsi"/>
          <w:color w:val="003366"/>
          <w:sz w:val="18"/>
          <w:szCs w:val="18"/>
        </w:rPr>
        <w:t xml:space="preserve"> – Indagine IMQ2022 - Autocontenimento dell’intero Bacino Metropolitano</w:t>
      </w:r>
    </w:p>
    <w:p w14:paraId="20F8E4D5" w14:textId="77777777" w:rsidR="003E245D" w:rsidRPr="003E245D" w:rsidRDefault="003E245D" w:rsidP="003E245D">
      <w:pPr>
        <w:spacing w:before="120" w:after="0" w:line="240" w:lineRule="auto"/>
        <w:rPr>
          <w:rFonts w:cstheme="minorHAnsi"/>
        </w:rPr>
      </w:pPr>
    </w:p>
    <w:p w14:paraId="076F7CF9" w14:textId="77777777" w:rsidR="003E245D" w:rsidRPr="003E245D" w:rsidRDefault="003E245D" w:rsidP="003E245D">
      <w:pPr>
        <w:spacing w:before="120" w:after="0" w:line="240" w:lineRule="auto"/>
        <w:rPr>
          <w:rFonts w:cstheme="minorHAnsi"/>
        </w:rPr>
      </w:pPr>
      <w:r w:rsidRPr="003E245D">
        <w:rPr>
          <w:rFonts w:cstheme="minorHAnsi"/>
        </w:rPr>
        <w:t xml:space="preserve">Si intende ora procedere a un'analisi dettagliata della distribuzione della domanda di mobilità all'interno del Bacino Metropolitano, con l'obiettivo di individuare eventuali sotto aree di autocontenimento. </w:t>
      </w:r>
    </w:p>
    <w:p w14:paraId="5B1A1BC5" w14:textId="77777777" w:rsidR="003E245D" w:rsidRPr="003E245D" w:rsidRDefault="003E245D" w:rsidP="003E245D">
      <w:pPr>
        <w:spacing w:before="120" w:after="0" w:line="240" w:lineRule="auto"/>
        <w:rPr>
          <w:rFonts w:cstheme="minorHAnsi"/>
        </w:rPr>
      </w:pPr>
      <w:r w:rsidRPr="003E245D">
        <w:rPr>
          <w:rFonts w:cstheme="minorHAnsi"/>
        </w:rPr>
        <w:t>Questa analisi prevede la suddivisione del bacino in zone più piccole e la valutazione della capacità di ciascuna zona di soddisfare internamente le esigenze di spostamento dei suoi residenti.</w:t>
      </w:r>
    </w:p>
    <w:p w14:paraId="13A84111" w14:textId="77777777" w:rsidR="003E245D" w:rsidRPr="003E245D" w:rsidRDefault="003E245D" w:rsidP="003E245D">
      <w:pPr>
        <w:spacing w:before="120" w:after="0" w:line="240" w:lineRule="auto"/>
        <w:rPr>
          <w:rFonts w:cstheme="minorHAnsi"/>
        </w:rPr>
      </w:pPr>
      <w:r w:rsidRPr="003E245D">
        <w:rPr>
          <w:rFonts w:cstheme="minorHAnsi"/>
        </w:rPr>
        <w:t>Vista la dinamicità delle zone in relazione alla domanda effettiva di trasporto pubblico locale (TPL), è necessario procedere alla definizione delle dinamiche di mobilità nel Bacino Metropolitano. La dinamicità si riferisce alla variabilità e ai cambiamenti nella domanda di TPL tra le diverse zone, influenzata da fattori come la densità di popolazione, le attività economiche e le infrastrutture disponibili.</w:t>
      </w:r>
    </w:p>
    <w:p w14:paraId="38D4DD40" w14:textId="77777777" w:rsidR="003E245D" w:rsidRPr="003E245D" w:rsidRDefault="003E245D" w:rsidP="003E245D">
      <w:pPr>
        <w:spacing w:before="120" w:after="0" w:line="240" w:lineRule="auto"/>
        <w:rPr>
          <w:rFonts w:cstheme="minorHAnsi"/>
        </w:rPr>
      </w:pPr>
      <w:r w:rsidRPr="003E245D">
        <w:rPr>
          <w:rFonts w:cstheme="minorHAnsi"/>
        </w:rPr>
        <w:t>Come attività propedeutica all’eventuale suddivisione del Bacino in più lotti, si presenta di seguito un’ipotesi di suddivisione in due aree, una a nord del capoluogo e l’altra a sud di esso, ciascuna comprendente un sottoinsieme delle linee di trasporto pubblico oggetto di gara.</w:t>
      </w:r>
    </w:p>
    <w:p w14:paraId="5938C34E" w14:textId="77777777" w:rsidR="003E245D" w:rsidRPr="003E245D" w:rsidRDefault="003E245D" w:rsidP="003E245D">
      <w:pPr>
        <w:spacing w:before="120" w:after="0" w:line="240" w:lineRule="auto"/>
        <w:rPr>
          <w:rFonts w:cstheme="minorHAnsi"/>
        </w:rPr>
      </w:pPr>
      <w:r w:rsidRPr="003E245D">
        <w:rPr>
          <w:rFonts w:cstheme="minorHAnsi"/>
        </w:rPr>
        <w:t xml:space="preserve">Avvalendosi dei dati dell’indagine IMQ 2022, si è provveduto ad individuare gli aggregati di zone campionarie dell’area nord e di quella sud per i quali valutare l’autocontenimento della domanda potenziale (mobilità motorizzata: auto + trasporto pubblico). </w:t>
      </w:r>
    </w:p>
    <w:p w14:paraId="71A9661E" w14:textId="77777777" w:rsidR="003E245D" w:rsidRPr="003E245D" w:rsidRDefault="003E245D" w:rsidP="003E245D">
      <w:pPr>
        <w:spacing w:before="120" w:after="0" w:line="240" w:lineRule="auto"/>
        <w:rPr>
          <w:rFonts w:cstheme="minorHAnsi"/>
        </w:rPr>
      </w:pPr>
      <w:r w:rsidRPr="003E245D">
        <w:rPr>
          <w:rFonts w:cstheme="minorHAnsi"/>
        </w:rPr>
        <w:t xml:space="preserve">Si evidenzia che, mentre la maggior parte delle zone IMQ è omogenea in quanto a offerta di trasporto e le linee sono interamente contenute nei rispettivi aggregati di zone, le seguenti sei zone campionarie poste nella cintura e nelle successive corone a ovest di Torino: </w:t>
      </w:r>
    </w:p>
    <w:p w14:paraId="0ABF847D" w14:textId="77777777" w:rsidR="003E245D" w:rsidRPr="003E245D" w:rsidRDefault="003E245D" w:rsidP="004B0DBE">
      <w:pPr>
        <w:numPr>
          <w:ilvl w:val="0"/>
          <w:numId w:val="34"/>
        </w:numPr>
        <w:spacing w:before="120" w:after="0" w:line="240" w:lineRule="auto"/>
        <w:contextualSpacing/>
        <w:rPr>
          <w:rFonts w:cstheme="minorHAnsi"/>
        </w:rPr>
      </w:pPr>
      <w:r w:rsidRPr="003E245D">
        <w:rPr>
          <w:rFonts w:cstheme="minorHAnsi"/>
        </w:rPr>
        <w:t>C016 (Rivoli)</w:t>
      </w:r>
    </w:p>
    <w:p w14:paraId="704A5EFD" w14:textId="77777777" w:rsidR="003E245D" w:rsidRPr="003E245D" w:rsidRDefault="003E245D" w:rsidP="004B0DBE">
      <w:pPr>
        <w:numPr>
          <w:ilvl w:val="0"/>
          <w:numId w:val="34"/>
        </w:numPr>
        <w:spacing w:before="120" w:after="0" w:line="240" w:lineRule="auto"/>
        <w:contextualSpacing/>
        <w:rPr>
          <w:rFonts w:cstheme="minorHAnsi"/>
        </w:rPr>
      </w:pPr>
      <w:r w:rsidRPr="003E245D">
        <w:rPr>
          <w:rFonts w:cstheme="minorHAnsi"/>
        </w:rPr>
        <w:t>C017 (Alpignano)</w:t>
      </w:r>
    </w:p>
    <w:p w14:paraId="702AF6DC" w14:textId="77777777" w:rsidR="003E245D" w:rsidRPr="003E245D" w:rsidRDefault="003E245D" w:rsidP="004B0DBE">
      <w:pPr>
        <w:numPr>
          <w:ilvl w:val="0"/>
          <w:numId w:val="34"/>
        </w:numPr>
        <w:spacing w:before="120" w:after="0" w:line="240" w:lineRule="auto"/>
        <w:contextualSpacing/>
        <w:rPr>
          <w:rFonts w:cstheme="minorHAnsi"/>
        </w:rPr>
      </w:pPr>
      <w:r w:rsidRPr="003E245D">
        <w:rPr>
          <w:rFonts w:cstheme="minorHAnsi"/>
        </w:rPr>
        <w:t>E029 (comuni di Coazze, Giaveno e Valgioie)</w:t>
      </w:r>
    </w:p>
    <w:p w14:paraId="3B4D45F1" w14:textId="77777777" w:rsidR="003E245D" w:rsidRPr="003E245D" w:rsidRDefault="003E245D" w:rsidP="004B0DBE">
      <w:pPr>
        <w:numPr>
          <w:ilvl w:val="0"/>
          <w:numId w:val="34"/>
        </w:numPr>
        <w:spacing w:before="120" w:after="0" w:line="240" w:lineRule="auto"/>
        <w:contextualSpacing/>
        <w:rPr>
          <w:rFonts w:cstheme="minorHAnsi"/>
        </w:rPr>
      </w:pPr>
      <w:r w:rsidRPr="003E245D">
        <w:rPr>
          <w:rFonts w:cstheme="minorHAnsi"/>
        </w:rPr>
        <w:t>E030 (comuni di Avigliana, Buttigliera Alta, Rosta)</w:t>
      </w:r>
    </w:p>
    <w:p w14:paraId="1E80F74F" w14:textId="77777777" w:rsidR="003E245D" w:rsidRPr="003E245D" w:rsidRDefault="003E245D" w:rsidP="004B0DBE">
      <w:pPr>
        <w:numPr>
          <w:ilvl w:val="0"/>
          <w:numId w:val="34"/>
        </w:numPr>
        <w:spacing w:before="120" w:after="0" w:line="240" w:lineRule="auto"/>
        <w:contextualSpacing/>
        <w:rPr>
          <w:rFonts w:cstheme="minorHAnsi"/>
        </w:rPr>
      </w:pPr>
      <w:r w:rsidRPr="003E245D">
        <w:rPr>
          <w:rFonts w:cstheme="minorHAnsi"/>
        </w:rPr>
        <w:t>E031 (comuni di Caselette, Givoletto, La Cassa, San Gillio, Valdellatorre)</w:t>
      </w:r>
    </w:p>
    <w:p w14:paraId="549C537C" w14:textId="77777777" w:rsidR="003E245D" w:rsidRPr="003E245D" w:rsidRDefault="003E245D" w:rsidP="004B0DBE">
      <w:pPr>
        <w:numPr>
          <w:ilvl w:val="0"/>
          <w:numId w:val="34"/>
        </w:numPr>
        <w:spacing w:before="120" w:after="0" w:line="240" w:lineRule="auto"/>
        <w:contextualSpacing/>
        <w:rPr>
          <w:rFonts w:cstheme="minorHAnsi"/>
        </w:rPr>
      </w:pPr>
      <w:r w:rsidRPr="003E245D">
        <w:rPr>
          <w:rFonts w:cstheme="minorHAnsi"/>
        </w:rPr>
        <w:t>E032 (comuni di Almese, Caprie, Chiusa di San Michele, Condove, Rubiana, Sant’Ambrogio di Torino, Sant’Antonino di Susa, Vaie, Villar Dora)</w:t>
      </w:r>
    </w:p>
    <w:p w14:paraId="0C3BA852" w14:textId="77777777" w:rsidR="003E245D" w:rsidRPr="003E245D" w:rsidRDefault="003E245D" w:rsidP="003E245D">
      <w:pPr>
        <w:spacing w:before="120" w:after="0" w:line="240" w:lineRule="auto"/>
        <w:rPr>
          <w:rFonts w:cstheme="minorHAnsi"/>
        </w:rPr>
      </w:pPr>
      <w:r w:rsidRPr="003E245D">
        <w:rPr>
          <w:rFonts w:cstheme="minorHAnsi"/>
        </w:rPr>
        <w:t>corrispondenti a un totale 22 comuni sono attraversate da servizi gravitanti sia sulle aree a nord che su quelle a sud del capoluogo.</w:t>
      </w:r>
    </w:p>
    <w:p w14:paraId="67B51752" w14:textId="77777777" w:rsidR="003E245D" w:rsidRPr="003E245D" w:rsidRDefault="003E245D" w:rsidP="003E245D">
      <w:pPr>
        <w:spacing w:before="120" w:after="0" w:line="240" w:lineRule="auto"/>
        <w:rPr>
          <w:rFonts w:cstheme="minorHAnsi"/>
        </w:rPr>
      </w:pPr>
      <w:r w:rsidRPr="003E245D">
        <w:rPr>
          <w:rFonts w:cstheme="minorHAnsi"/>
        </w:rPr>
        <w:t>Si veda l’immagine seguente dove le linee extraurbane appartenenti all’area nord sono evidenziate in azzurro o blu e quelle dell’area sud sono evidenziate in rosso o violetto.</w:t>
      </w:r>
    </w:p>
    <w:p w14:paraId="294C9436" w14:textId="77777777" w:rsidR="003E245D" w:rsidRPr="003E245D" w:rsidRDefault="003E245D" w:rsidP="003E245D">
      <w:pPr>
        <w:spacing w:before="120" w:after="0" w:line="240" w:lineRule="auto"/>
        <w:rPr>
          <w:rFonts w:cstheme="minorHAnsi"/>
        </w:rPr>
      </w:pPr>
    </w:p>
    <w:p w14:paraId="79DE92E9" w14:textId="77777777" w:rsidR="003E245D" w:rsidRPr="003E245D" w:rsidRDefault="003E245D" w:rsidP="003E245D">
      <w:pPr>
        <w:keepNext/>
        <w:spacing w:before="120" w:after="0" w:line="240" w:lineRule="auto"/>
      </w:pPr>
      <w:r w:rsidRPr="003E245D">
        <w:rPr>
          <w:noProof/>
        </w:rPr>
        <w:lastRenderedPageBreak/>
        <w:drawing>
          <wp:inline distT="0" distB="0" distL="0" distR="0" wp14:anchorId="3B850D60" wp14:editId="7A5EF4A9">
            <wp:extent cx="5759450" cy="4051300"/>
            <wp:effectExtent l="0" t="0" r="0" b="6350"/>
            <wp:docPr id="1054977684" name="Immagine 1" descr="Zone campionarie IMQ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977684" name="Immagine 1" descr="Zone campionarie IMQ2022"/>
                    <pic:cNvPicPr/>
                  </pic:nvPicPr>
                  <pic:blipFill>
                    <a:blip r:embed="rId40"/>
                    <a:stretch>
                      <a:fillRect/>
                    </a:stretch>
                  </pic:blipFill>
                  <pic:spPr>
                    <a:xfrm>
                      <a:off x="0" y="0"/>
                      <a:ext cx="5759450" cy="4051300"/>
                    </a:xfrm>
                    <a:prstGeom prst="rect">
                      <a:avLst/>
                    </a:prstGeom>
                  </pic:spPr>
                </pic:pic>
              </a:graphicData>
            </a:graphic>
          </wp:inline>
        </w:drawing>
      </w:r>
    </w:p>
    <w:p w14:paraId="6AB6F6CB" w14:textId="652E684E" w:rsidR="003E245D" w:rsidRPr="003E245D" w:rsidRDefault="003E245D" w:rsidP="006C2718">
      <w:pPr>
        <w:spacing w:after="200" w:line="240" w:lineRule="auto"/>
        <w:jc w:val="center"/>
        <w:rPr>
          <w:rFonts w:cstheme="minorHAnsi"/>
          <w:i/>
          <w:iCs/>
          <w:color w:val="003366"/>
          <w:sz w:val="18"/>
          <w:szCs w:val="18"/>
        </w:rPr>
      </w:pPr>
      <w:r w:rsidRPr="003E245D">
        <w:rPr>
          <w:i/>
          <w:iCs/>
          <w:color w:val="003366"/>
          <w:sz w:val="18"/>
          <w:szCs w:val="18"/>
        </w:rPr>
        <w:t xml:space="preserve">Figura </w:t>
      </w:r>
      <w:r w:rsidRPr="003E245D">
        <w:rPr>
          <w:i/>
          <w:iCs/>
          <w:color w:val="003366"/>
          <w:sz w:val="18"/>
          <w:szCs w:val="18"/>
        </w:rPr>
        <w:fldChar w:fldCharType="begin"/>
      </w:r>
      <w:r w:rsidRPr="003E245D">
        <w:rPr>
          <w:i/>
          <w:iCs/>
          <w:color w:val="003366"/>
          <w:sz w:val="18"/>
          <w:szCs w:val="18"/>
        </w:rPr>
        <w:instrText xml:space="preserve"> SEQ Figura \* ARABIC </w:instrText>
      </w:r>
      <w:r w:rsidRPr="003E245D">
        <w:rPr>
          <w:i/>
          <w:iCs/>
          <w:color w:val="003366"/>
          <w:sz w:val="18"/>
          <w:szCs w:val="18"/>
        </w:rPr>
        <w:fldChar w:fldCharType="separate"/>
      </w:r>
      <w:r w:rsidR="00073B6D">
        <w:rPr>
          <w:i/>
          <w:iCs/>
          <w:noProof/>
          <w:color w:val="003366"/>
          <w:sz w:val="18"/>
          <w:szCs w:val="18"/>
        </w:rPr>
        <w:t>18</w:t>
      </w:r>
      <w:r w:rsidRPr="003E245D">
        <w:rPr>
          <w:i/>
          <w:iCs/>
          <w:noProof/>
          <w:color w:val="003366"/>
          <w:sz w:val="18"/>
          <w:szCs w:val="18"/>
        </w:rPr>
        <w:fldChar w:fldCharType="end"/>
      </w:r>
      <w:r w:rsidRPr="003E245D">
        <w:rPr>
          <w:i/>
          <w:iCs/>
          <w:color w:val="003366"/>
          <w:sz w:val="18"/>
          <w:szCs w:val="18"/>
        </w:rPr>
        <w:t xml:space="preserve"> - Zone campionarie IMQ 2022 a ovest di Torino e servizi TPL</w:t>
      </w:r>
    </w:p>
    <w:p w14:paraId="504FA148" w14:textId="7AE7F4CD" w:rsidR="003E245D" w:rsidRPr="00F61BC8" w:rsidRDefault="003E245D" w:rsidP="003E245D">
      <w:pPr>
        <w:spacing w:before="120" w:after="0" w:line="240" w:lineRule="auto"/>
        <w:rPr>
          <w:rFonts w:cstheme="minorHAnsi"/>
        </w:rPr>
      </w:pPr>
      <w:r w:rsidRPr="003E245D">
        <w:rPr>
          <w:rFonts w:cstheme="minorHAnsi"/>
        </w:rPr>
        <w:t xml:space="preserve">In una prima elaborazione è stata estratta la mobilità motorizzata senza ritorni a casa originante nelle due aree (nord e sud) senza tenere conto delle sei zone di dubbia assegnazione. </w:t>
      </w:r>
    </w:p>
    <w:p w14:paraId="19EB1B01" w14:textId="43268A76" w:rsidR="003E245D" w:rsidRPr="003E245D" w:rsidRDefault="003E245D" w:rsidP="003E245D">
      <w:pPr>
        <w:keepNext/>
        <w:spacing w:after="200" w:line="240" w:lineRule="auto"/>
        <w:rPr>
          <w:i/>
          <w:iCs/>
          <w:color w:val="17406D" w:themeColor="text2"/>
          <w:sz w:val="18"/>
          <w:szCs w:val="18"/>
        </w:rPr>
      </w:pPr>
    </w:p>
    <w:tbl>
      <w:tblPr>
        <w:tblW w:w="5000" w:type="pct"/>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left w:w="70" w:type="dxa"/>
          <w:right w:w="70" w:type="dxa"/>
        </w:tblCellMar>
        <w:tblLook w:val="04A0" w:firstRow="1" w:lastRow="0" w:firstColumn="1" w:lastColumn="0" w:noHBand="0" w:noVBand="1"/>
      </w:tblPr>
      <w:tblGrid>
        <w:gridCol w:w="1089"/>
        <w:gridCol w:w="968"/>
        <w:gridCol w:w="990"/>
        <w:gridCol w:w="990"/>
        <w:gridCol w:w="990"/>
        <w:gridCol w:w="983"/>
        <w:gridCol w:w="983"/>
        <w:gridCol w:w="983"/>
        <w:gridCol w:w="1084"/>
      </w:tblGrid>
      <w:tr w:rsidR="003E245D" w:rsidRPr="003E245D" w14:paraId="58459929" w14:textId="77777777" w:rsidTr="001365BD">
        <w:trPr>
          <w:trHeight w:val="900"/>
        </w:trPr>
        <w:tc>
          <w:tcPr>
            <w:tcW w:w="601" w:type="pct"/>
            <w:shd w:val="clear" w:color="auto" w:fill="EE3438"/>
            <w:vAlign w:val="center"/>
            <w:hideMark/>
          </w:tcPr>
          <w:p w14:paraId="6B77B2A7" w14:textId="77777777" w:rsidR="003E245D" w:rsidRPr="00704720" w:rsidRDefault="003E245D" w:rsidP="00704720">
            <w:pPr>
              <w:spacing w:after="0" w:line="240" w:lineRule="auto"/>
              <w:jc w:val="center"/>
              <w:rPr>
                <w:rFonts w:eastAsia="Times New Roman" w:cs="Calibri"/>
                <w:color w:val="FFFFFF" w:themeColor="background1"/>
                <w:sz w:val="18"/>
                <w:szCs w:val="18"/>
              </w:rPr>
            </w:pPr>
            <w:r w:rsidRPr="00704720">
              <w:rPr>
                <w:rFonts w:eastAsia="Times New Roman" w:cs="Calibri"/>
                <w:color w:val="FFFFFF" w:themeColor="background1"/>
                <w:sz w:val="18"/>
                <w:szCs w:val="18"/>
              </w:rPr>
              <w:t>Zone con linee di una sola area</w:t>
            </w:r>
          </w:p>
        </w:tc>
        <w:tc>
          <w:tcPr>
            <w:tcW w:w="534" w:type="pct"/>
            <w:shd w:val="clear" w:color="auto" w:fill="EE3438"/>
            <w:vAlign w:val="center"/>
            <w:hideMark/>
          </w:tcPr>
          <w:p w14:paraId="6A0DA0D5" w14:textId="77777777" w:rsidR="003E245D" w:rsidRPr="00704720" w:rsidRDefault="003E245D" w:rsidP="00704720">
            <w:pPr>
              <w:spacing w:after="0" w:line="240" w:lineRule="auto"/>
              <w:jc w:val="center"/>
              <w:rPr>
                <w:rFonts w:eastAsia="Times New Roman" w:cs="Calibri"/>
                <w:color w:val="FFFFFF" w:themeColor="background1"/>
                <w:sz w:val="18"/>
                <w:szCs w:val="18"/>
              </w:rPr>
            </w:pPr>
            <w:r w:rsidRPr="00704720">
              <w:rPr>
                <w:rFonts w:eastAsia="Times New Roman" w:cs="Calibri"/>
                <w:color w:val="FFFFFF" w:themeColor="background1"/>
                <w:sz w:val="18"/>
                <w:szCs w:val="18"/>
              </w:rPr>
              <w:t>Interna alla stessa zona</w:t>
            </w:r>
          </w:p>
        </w:tc>
        <w:tc>
          <w:tcPr>
            <w:tcW w:w="546" w:type="pct"/>
            <w:shd w:val="clear" w:color="auto" w:fill="EE3438"/>
            <w:vAlign w:val="center"/>
            <w:hideMark/>
          </w:tcPr>
          <w:p w14:paraId="27E00870" w14:textId="77777777" w:rsidR="003E245D" w:rsidRPr="00704720" w:rsidRDefault="003E245D" w:rsidP="00704720">
            <w:pPr>
              <w:spacing w:after="0" w:line="240" w:lineRule="auto"/>
              <w:jc w:val="center"/>
              <w:rPr>
                <w:rFonts w:eastAsia="Times New Roman" w:cs="Calibri"/>
                <w:color w:val="FFFFFF" w:themeColor="background1"/>
                <w:sz w:val="18"/>
                <w:szCs w:val="18"/>
              </w:rPr>
            </w:pPr>
            <w:r w:rsidRPr="00704720">
              <w:rPr>
                <w:rFonts w:eastAsia="Times New Roman" w:cs="Calibri"/>
                <w:color w:val="FFFFFF" w:themeColor="background1"/>
                <w:sz w:val="18"/>
                <w:szCs w:val="18"/>
              </w:rPr>
              <w:t>Verso altre zone dell'area</w:t>
            </w:r>
          </w:p>
        </w:tc>
        <w:tc>
          <w:tcPr>
            <w:tcW w:w="546" w:type="pct"/>
            <w:shd w:val="clear" w:color="auto" w:fill="EE3438"/>
            <w:vAlign w:val="center"/>
            <w:hideMark/>
          </w:tcPr>
          <w:p w14:paraId="58B06A3B" w14:textId="77777777" w:rsidR="003E245D" w:rsidRPr="00704720" w:rsidRDefault="003E245D" w:rsidP="00704720">
            <w:pPr>
              <w:spacing w:after="0" w:line="240" w:lineRule="auto"/>
              <w:jc w:val="center"/>
              <w:rPr>
                <w:rFonts w:eastAsia="Times New Roman" w:cs="Calibri"/>
                <w:color w:val="FFFFFF" w:themeColor="background1"/>
                <w:sz w:val="18"/>
                <w:szCs w:val="18"/>
              </w:rPr>
            </w:pPr>
            <w:r w:rsidRPr="00704720">
              <w:rPr>
                <w:rFonts w:eastAsia="Times New Roman" w:cs="Calibri"/>
                <w:color w:val="FFFFFF" w:themeColor="background1"/>
                <w:sz w:val="18"/>
                <w:szCs w:val="18"/>
              </w:rPr>
              <w:t>Verso Torino</w:t>
            </w:r>
          </w:p>
        </w:tc>
        <w:tc>
          <w:tcPr>
            <w:tcW w:w="546" w:type="pct"/>
            <w:shd w:val="clear" w:color="auto" w:fill="EE3438"/>
            <w:vAlign w:val="center"/>
            <w:hideMark/>
          </w:tcPr>
          <w:p w14:paraId="02E84675" w14:textId="77777777" w:rsidR="003E245D" w:rsidRPr="00704720" w:rsidRDefault="003E245D" w:rsidP="00704720">
            <w:pPr>
              <w:spacing w:after="0" w:line="240" w:lineRule="auto"/>
              <w:jc w:val="center"/>
              <w:rPr>
                <w:rFonts w:eastAsia="Times New Roman" w:cs="Calibri"/>
                <w:color w:val="FFFFFF" w:themeColor="background1"/>
                <w:sz w:val="18"/>
                <w:szCs w:val="18"/>
              </w:rPr>
            </w:pPr>
            <w:r w:rsidRPr="00704720">
              <w:rPr>
                <w:rFonts w:eastAsia="Times New Roman" w:cs="Calibri"/>
                <w:color w:val="FFFFFF" w:themeColor="background1"/>
                <w:sz w:val="18"/>
                <w:szCs w:val="18"/>
              </w:rPr>
              <w:t>Verso zone dell'altra area</w:t>
            </w:r>
          </w:p>
        </w:tc>
        <w:tc>
          <w:tcPr>
            <w:tcW w:w="542" w:type="pct"/>
            <w:shd w:val="clear" w:color="auto" w:fill="EE3438"/>
            <w:vAlign w:val="center"/>
            <w:hideMark/>
          </w:tcPr>
          <w:p w14:paraId="23E3B4FF" w14:textId="77777777" w:rsidR="003E245D" w:rsidRPr="00704720" w:rsidRDefault="003E245D" w:rsidP="00704720">
            <w:pPr>
              <w:spacing w:after="0" w:line="240" w:lineRule="auto"/>
              <w:jc w:val="center"/>
              <w:rPr>
                <w:rFonts w:eastAsia="Times New Roman" w:cs="Calibri"/>
                <w:color w:val="FFFFFF" w:themeColor="background1"/>
                <w:sz w:val="18"/>
                <w:szCs w:val="18"/>
              </w:rPr>
            </w:pPr>
            <w:r w:rsidRPr="00704720">
              <w:rPr>
                <w:rFonts w:eastAsia="Times New Roman" w:cs="Calibri"/>
                <w:color w:val="FFFFFF" w:themeColor="background1"/>
                <w:sz w:val="18"/>
                <w:szCs w:val="18"/>
              </w:rPr>
              <w:t>Verso altri Bacini</w:t>
            </w:r>
          </w:p>
        </w:tc>
        <w:tc>
          <w:tcPr>
            <w:tcW w:w="542" w:type="pct"/>
            <w:shd w:val="clear" w:color="auto" w:fill="EE3438"/>
            <w:vAlign w:val="center"/>
            <w:hideMark/>
          </w:tcPr>
          <w:p w14:paraId="71A360D8" w14:textId="77777777" w:rsidR="003E245D" w:rsidRPr="00704720" w:rsidRDefault="003E245D" w:rsidP="00704720">
            <w:pPr>
              <w:spacing w:after="0" w:line="240" w:lineRule="auto"/>
              <w:jc w:val="center"/>
              <w:rPr>
                <w:rFonts w:eastAsia="Times New Roman" w:cs="Calibri"/>
                <w:color w:val="FFFFFF" w:themeColor="background1"/>
                <w:sz w:val="18"/>
                <w:szCs w:val="18"/>
              </w:rPr>
            </w:pPr>
            <w:r w:rsidRPr="00704720">
              <w:rPr>
                <w:rFonts w:eastAsia="Times New Roman" w:cs="Calibri"/>
                <w:color w:val="FFFFFF" w:themeColor="background1"/>
                <w:sz w:val="18"/>
                <w:szCs w:val="18"/>
              </w:rPr>
              <w:t>Fuori Regione</w:t>
            </w:r>
          </w:p>
        </w:tc>
        <w:tc>
          <w:tcPr>
            <w:tcW w:w="542" w:type="pct"/>
            <w:shd w:val="clear" w:color="auto" w:fill="EE3438"/>
            <w:vAlign w:val="center"/>
            <w:hideMark/>
          </w:tcPr>
          <w:p w14:paraId="23C736E1" w14:textId="77777777" w:rsidR="003E245D" w:rsidRPr="00704720" w:rsidRDefault="003E245D" w:rsidP="00704720">
            <w:pPr>
              <w:spacing w:after="0" w:line="240" w:lineRule="auto"/>
              <w:jc w:val="center"/>
              <w:rPr>
                <w:rFonts w:eastAsia="Times New Roman" w:cs="Calibri"/>
                <w:color w:val="FFFFFF" w:themeColor="background1"/>
                <w:sz w:val="18"/>
                <w:szCs w:val="18"/>
              </w:rPr>
            </w:pPr>
            <w:r w:rsidRPr="00704720">
              <w:rPr>
                <w:rFonts w:eastAsia="Times New Roman" w:cs="Calibri"/>
                <w:sz w:val="18"/>
                <w:szCs w:val="18"/>
              </w:rPr>
              <w:t>verso le zone di dubbia assegnazione</w:t>
            </w:r>
          </w:p>
        </w:tc>
        <w:tc>
          <w:tcPr>
            <w:tcW w:w="598" w:type="pct"/>
            <w:shd w:val="clear" w:color="auto" w:fill="EE3438"/>
            <w:vAlign w:val="center"/>
            <w:hideMark/>
          </w:tcPr>
          <w:p w14:paraId="2C912BAF" w14:textId="77777777" w:rsidR="003E245D" w:rsidRPr="00704720" w:rsidRDefault="003E245D" w:rsidP="00704720">
            <w:pPr>
              <w:spacing w:after="0" w:line="240" w:lineRule="auto"/>
              <w:jc w:val="center"/>
              <w:rPr>
                <w:rFonts w:eastAsia="Times New Roman" w:cs="Calibri"/>
                <w:color w:val="FFFFFF" w:themeColor="background1"/>
                <w:sz w:val="18"/>
                <w:szCs w:val="18"/>
              </w:rPr>
            </w:pPr>
            <w:r w:rsidRPr="00704720">
              <w:rPr>
                <w:rFonts w:eastAsia="Times New Roman" w:cs="Calibri"/>
                <w:color w:val="FFFFFF" w:themeColor="background1"/>
                <w:sz w:val="18"/>
                <w:szCs w:val="18"/>
              </w:rPr>
              <w:t>Totale spostamenti in origine</w:t>
            </w:r>
          </w:p>
        </w:tc>
      </w:tr>
      <w:tr w:rsidR="003E245D" w:rsidRPr="003E245D" w14:paraId="2ACE6602" w14:textId="77777777" w:rsidTr="001365BD">
        <w:trPr>
          <w:trHeight w:val="300"/>
        </w:trPr>
        <w:tc>
          <w:tcPr>
            <w:tcW w:w="601" w:type="pct"/>
            <w:noWrap/>
            <w:vAlign w:val="bottom"/>
            <w:hideMark/>
          </w:tcPr>
          <w:p w14:paraId="0111A9C4" w14:textId="77777777" w:rsidR="003E245D" w:rsidRPr="003E245D" w:rsidRDefault="003E245D" w:rsidP="003E245D">
            <w:pPr>
              <w:spacing w:after="0" w:line="240" w:lineRule="auto"/>
              <w:jc w:val="left"/>
              <w:rPr>
                <w:rFonts w:eastAsia="Times New Roman" w:cs="Calibri"/>
                <w:color w:val="000000"/>
                <w:sz w:val="18"/>
                <w:szCs w:val="18"/>
              </w:rPr>
            </w:pPr>
            <w:r w:rsidRPr="003E245D">
              <w:rPr>
                <w:rFonts w:eastAsia="Times New Roman" w:cs="Calibri"/>
                <w:color w:val="000000"/>
                <w:sz w:val="18"/>
                <w:szCs w:val="18"/>
              </w:rPr>
              <w:t>Area NORD</w:t>
            </w:r>
          </w:p>
        </w:tc>
        <w:tc>
          <w:tcPr>
            <w:tcW w:w="534" w:type="pct"/>
            <w:noWrap/>
            <w:vAlign w:val="center"/>
            <w:hideMark/>
          </w:tcPr>
          <w:p w14:paraId="1DAA7EF3"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eastAsia="Times New Roman" w:cs="Calibri"/>
                <w:color w:val="000000"/>
                <w:sz w:val="18"/>
                <w:szCs w:val="18"/>
              </w:rPr>
              <w:t xml:space="preserve">              248.471 </w:t>
            </w:r>
          </w:p>
        </w:tc>
        <w:tc>
          <w:tcPr>
            <w:tcW w:w="546" w:type="pct"/>
            <w:noWrap/>
            <w:vAlign w:val="center"/>
            <w:hideMark/>
          </w:tcPr>
          <w:p w14:paraId="30D4F357"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eastAsia="Times New Roman" w:cs="Calibri"/>
                <w:color w:val="000000"/>
                <w:sz w:val="18"/>
                <w:szCs w:val="18"/>
              </w:rPr>
              <w:t xml:space="preserve">                 78.486 </w:t>
            </w:r>
          </w:p>
        </w:tc>
        <w:tc>
          <w:tcPr>
            <w:tcW w:w="546" w:type="pct"/>
            <w:noWrap/>
            <w:vAlign w:val="center"/>
            <w:hideMark/>
          </w:tcPr>
          <w:p w14:paraId="74882562"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eastAsia="Times New Roman" w:cs="Calibri"/>
                <w:color w:val="000000"/>
                <w:sz w:val="18"/>
                <w:szCs w:val="18"/>
              </w:rPr>
              <w:t xml:space="preserve">                 79.026 </w:t>
            </w:r>
          </w:p>
        </w:tc>
        <w:tc>
          <w:tcPr>
            <w:tcW w:w="546" w:type="pct"/>
            <w:noWrap/>
            <w:vAlign w:val="center"/>
            <w:hideMark/>
          </w:tcPr>
          <w:p w14:paraId="260F21D1"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eastAsia="Times New Roman" w:cs="Calibri"/>
                <w:color w:val="000000"/>
                <w:sz w:val="18"/>
                <w:szCs w:val="18"/>
              </w:rPr>
              <w:t xml:space="preserve">                 10.956 </w:t>
            </w:r>
          </w:p>
        </w:tc>
        <w:tc>
          <w:tcPr>
            <w:tcW w:w="542" w:type="pct"/>
            <w:noWrap/>
            <w:vAlign w:val="center"/>
            <w:hideMark/>
          </w:tcPr>
          <w:p w14:paraId="2D911EE0"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eastAsia="Times New Roman" w:cs="Calibri"/>
                <w:color w:val="000000"/>
                <w:sz w:val="18"/>
                <w:szCs w:val="18"/>
              </w:rPr>
              <w:t xml:space="preserve">                   7.471 </w:t>
            </w:r>
          </w:p>
        </w:tc>
        <w:tc>
          <w:tcPr>
            <w:tcW w:w="542" w:type="pct"/>
            <w:noWrap/>
            <w:vAlign w:val="center"/>
            <w:hideMark/>
          </w:tcPr>
          <w:p w14:paraId="335A49F2"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eastAsia="Times New Roman" w:cs="Calibri"/>
                <w:color w:val="000000"/>
                <w:sz w:val="18"/>
                <w:szCs w:val="18"/>
              </w:rPr>
              <w:t xml:space="preserve">                   4.671 </w:t>
            </w:r>
          </w:p>
        </w:tc>
        <w:tc>
          <w:tcPr>
            <w:tcW w:w="542" w:type="pct"/>
            <w:noWrap/>
            <w:vAlign w:val="center"/>
            <w:hideMark/>
          </w:tcPr>
          <w:p w14:paraId="29D3A933" w14:textId="77777777" w:rsidR="003E245D" w:rsidRPr="003E245D" w:rsidRDefault="003E245D" w:rsidP="003E245D">
            <w:pPr>
              <w:spacing w:after="0" w:line="240" w:lineRule="auto"/>
              <w:jc w:val="right"/>
              <w:rPr>
                <w:rFonts w:eastAsia="Times New Roman" w:cs="Calibri"/>
                <w:color w:val="FF0000"/>
                <w:sz w:val="18"/>
                <w:szCs w:val="18"/>
              </w:rPr>
            </w:pPr>
            <w:r w:rsidRPr="003E245D">
              <w:rPr>
                <w:rFonts w:eastAsia="Times New Roman" w:cs="Calibri"/>
                <w:color w:val="FF0000"/>
                <w:sz w:val="18"/>
                <w:szCs w:val="18"/>
              </w:rPr>
              <w:t xml:space="preserve">                   8.585 </w:t>
            </w:r>
          </w:p>
        </w:tc>
        <w:tc>
          <w:tcPr>
            <w:tcW w:w="598" w:type="pct"/>
            <w:noWrap/>
            <w:vAlign w:val="center"/>
            <w:hideMark/>
          </w:tcPr>
          <w:p w14:paraId="380ECCAA"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eastAsia="Times New Roman" w:cs="Calibri"/>
                <w:color w:val="000000"/>
                <w:sz w:val="18"/>
                <w:szCs w:val="18"/>
              </w:rPr>
              <w:t xml:space="preserve">                  437.666 </w:t>
            </w:r>
          </w:p>
        </w:tc>
      </w:tr>
      <w:tr w:rsidR="003E245D" w:rsidRPr="003E245D" w14:paraId="1E15779B" w14:textId="77777777" w:rsidTr="001365BD">
        <w:trPr>
          <w:trHeight w:val="300"/>
        </w:trPr>
        <w:tc>
          <w:tcPr>
            <w:tcW w:w="601" w:type="pct"/>
            <w:noWrap/>
            <w:vAlign w:val="bottom"/>
            <w:hideMark/>
          </w:tcPr>
          <w:p w14:paraId="4B2C22CF" w14:textId="77777777" w:rsidR="003E245D" w:rsidRPr="003E245D" w:rsidRDefault="003E245D" w:rsidP="003E245D">
            <w:pPr>
              <w:spacing w:after="0" w:line="240" w:lineRule="auto"/>
              <w:jc w:val="left"/>
              <w:rPr>
                <w:rFonts w:eastAsia="Times New Roman" w:cs="Calibri"/>
                <w:color w:val="000000"/>
                <w:sz w:val="18"/>
                <w:szCs w:val="18"/>
              </w:rPr>
            </w:pPr>
            <w:r w:rsidRPr="003E245D">
              <w:rPr>
                <w:rFonts w:eastAsia="Times New Roman" w:cs="Calibri"/>
                <w:color w:val="000000"/>
                <w:sz w:val="18"/>
                <w:szCs w:val="18"/>
              </w:rPr>
              <w:t>Area SUD</w:t>
            </w:r>
          </w:p>
        </w:tc>
        <w:tc>
          <w:tcPr>
            <w:tcW w:w="534" w:type="pct"/>
            <w:noWrap/>
            <w:vAlign w:val="center"/>
            <w:hideMark/>
          </w:tcPr>
          <w:p w14:paraId="77402EFF"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eastAsia="Times New Roman" w:cs="Calibri"/>
                <w:color w:val="000000"/>
                <w:sz w:val="18"/>
                <w:szCs w:val="18"/>
              </w:rPr>
              <w:t xml:space="preserve">              202.394 </w:t>
            </w:r>
          </w:p>
        </w:tc>
        <w:tc>
          <w:tcPr>
            <w:tcW w:w="546" w:type="pct"/>
            <w:noWrap/>
            <w:vAlign w:val="center"/>
            <w:hideMark/>
          </w:tcPr>
          <w:p w14:paraId="7457D7A2"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eastAsia="Times New Roman" w:cs="Calibri"/>
                <w:color w:val="000000"/>
                <w:sz w:val="18"/>
                <w:szCs w:val="18"/>
              </w:rPr>
              <w:t xml:space="preserve">                 80.856 </w:t>
            </w:r>
          </w:p>
        </w:tc>
        <w:tc>
          <w:tcPr>
            <w:tcW w:w="546" w:type="pct"/>
            <w:noWrap/>
            <w:vAlign w:val="center"/>
            <w:hideMark/>
          </w:tcPr>
          <w:p w14:paraId="68F84A60"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eastAsia="Times New Roman" w:cs="Calibri"/>
                <w:color w:val="000000"/>
                <w:sz w:val="18"/>
                <w:szCs w:val="18"/>
              </w:rPr>
              <w:t xml:space="preserve">                 76.037 </w:t>
            </w:r>
          </w:p>
        </w:tc>
        <w:tc>
          <w:tcPr>
            <w:tcW w:w="546" w:type="pct"/>
            <w:noWrap/>
            <w:vAlign w:val="center"/>
            <w:hideMark/>
          </w:tcPr>
          <w:p w14:paraId="184A2DB4"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eastAsia="Times New Roman" w:cs="Calibri"/>
                <w:color w:val="000000"/>
                <w:sz w:val="18"/>
                <w:szCs w:val="18"/>
              </w:rPr>
              <w:t xml:space="preserve">                 13.872 </w:t>
            </w:r>
          </w:p>
        </w:tc>
        <w:tc>
          <w:tcPr>
            <w:tcW w:w="542" w:type="pct"/>
            <w:noWrap/>
            <w:vAlign w:val="center"/>
            <w:hideMark/>
          </w:tcPr>
          <w:p w14:paraId="70C80A49"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eastAsia="Times New Roman" w:cs="Calibri"/>
                <w:color w:val="000000"/>
                <w:sz w:val="18"/>
                <w:szCs w:val="18"/>
              </w:rPr>
              <w:t xml:space="preserve">                   6.443 </w:t>
            </w:r>
          </w:p>
        </w:tc>
        <w:tc>
          <w:tcPr>
            <w:tcW w:w="542" w:type="pct"/>
            <w:noWrap/>
            <w:vAlign w:val="center"/>
            <w:hideMark/>
          </w:tcPr>
          <w:p w14:paraId="453F7FB1"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eastAsia="Times New Roman" w:cs="Calibri"/>
                <w:color w:val="000000"/>
                <w:sz w:val="18"/>
                <w:szCs w:val="18"/>
              </w:rPr>
              <w:t xml:space="preserve">                   4.600 </w:t>
            </w:r>
          </w:p>
        </w:tc>
        <w:tc>
          <w:tcPr>
            <w:tcW w:w="542" w:type="pct"/>
            <w:noWrap/>
            <w:vAlign w:val="center"/>
            <w:hideMark/>
          </w:tcPr>
          <w:p w14:paraId="301275CE" w14:textId="77777777" w:rsidR="003E245D" w:rsidRPr="003E245D" w:rsidRDefault="003E245D" w:rsidP="003E245D">
            <w:pPr>
              <w:spacing w:after="0" w:line="240" w:lineRule="auto"/>
              <w:jc w:val="right"/>
              <w:rPr>
                <w:rFonts w:eastAsia="Times New Roman" w:cs="Calibri"/>
                <w:color w:val="FF0000"/>
                <w:sz w:val="18"/>
                <w:szCs w:val="18"/>
              </w:rPr>
            </w:pPr>
            <w:r w:rsidRPr="003E245D">
              <w:rPr>
                <w:rFonts w:eastAsia="Times New Roman" w:cs="Calibri"/>
                <w:color w:val="FF0000"/>
                <w:sz w:val="18"/>
                <w:szCs w:val="18"/>
              </w:rPr>
              <w:t xml:space="preserve">                   6.248 </w:t>
            </w:r>
          </w:p>
        </w:tc>
        <w:tc>
          <w:tcPr>
            <w:tcW w:w="598" w:type="pct"/>
            <w:noWrap/>
            <w:vAlign w:val="center"/>
            <w:hideMark/>
          </w:tcPr>
          <w:p w14:paraId="4F3E24C5"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eastAsia="Times New Roman" w:cs="Calibri"/>
                <w:color w:val="000000"/>
                <w:sz w:val="18"/>
                <w:szCs w:val="18"/>
              </w:rPr>
              <w:t xml:space="preserve">                  390.450 </w:t>
            </w:r>
          </w:p>
        </w:tc>
      </w:tr>
      <w:tr w:rsidR="003E245D" w:rsidRPr="003E245D" w14:paraId="00F6D0FE" w14:textId="77777777" w:rsidTr="001365BD">
        <w:trPr>
          <w:trHeight w:val="300"/>
        </w:trPr>
        <w:tc>
          <w:tcPr>
            <w:tcW w:w="601" w:type="pct"/>
            <w:shd w:val="clear" w:color="auto" w:fill="FF7C80"/>
            <w:noWrap/>
            <w:vAlign w:val="bottom"/>
            <w:hideMark/>
          </w:tcPr>
          <w:p w14:paraId="389A2736" w14:textId="77777777" w:rsidR="003E245D" w:rsidRPr="003E245D" w:rsidRDefault="003E245D" w:rsidP="003E245D">
            <w:pPr>
              <w:spacing w:after="0" w:line="240" w:lineRule="auto"/>
              <w:jc w:val="left"/>
              <w:rPr>
                <w:rFonts w:eastAsia="Times New Roman" w:cs="Calibri"/>
                <w:color w:val="000000"/>
                <w:sz w:val="18"/>
                <w:szCs w:val="18"/>
              </w:rPr>
            </w:pPr>
            <w:r w:rsidRPr="003E245D">
              <w:rPr>
                <w:rFonts w:eastAsia="Times New Roman" w:cs="Calibri"/>
                <w:color w:val="000000"/>
                <w:sz w:val="18"/>
                <w:szCs w:val="18"/>
              </w:rPr>
              <w:t>Quote percentuali</w:t>
            </w:r>
          </w:p>
        </w:tc>
        <w:tc>
          <w:tcPr>
            <w:tcW w:w="534" w:type="pct"/>
            <w:shd w:val="clear" w:color="auto" w:fill="FF7C80"/>
            <w:vAlign w:val="bottom"/>
            <w:hideMark/>
          </w:tcPr>
          <w:p w14:paraId="0CDF1B69" w14:textId="77777777" w:rsidR="003E245D" w:rsidRPr="003E245D" w:rsidRDefault="003E245D" w:rsidP="003E245D">
            <w:pPr>
              <w:spacing w:after="0" w:line="240" w:lineRule="auto"/>
              <w:jc w:val="left"/>
              <w:rPr>
                <w:rFonts w:eastAsia="Times New Roman" w:cs="Calibri"/>
                <w:color w:val="000000"/>
                <w:sz w:val="18"/>
                <w:szCs w:val="18"/>
              </w:rPr>
            </w:pPr>
            <w:r w:rsidRPr="003E245D">
              <w:rPr>
                <w:rFonts w:eastAsia="Times New Roman" w:cs="Calibri"/>
                <w:color w:val="000000"/>
                <w:sz w:val="18"/>
                <w:szCs w:val="18"/>
              </w:rPr>
              <w:t> </w:t>
            </w:r>
          </w:p>
        </w:tc>
        <w:tc>
          <w:tcPr>
            <w:tcW w:w="546" w:type="pct"/>
            <w:shd w:val="clear" w:color="auto" w:fill="FF7C80"/>
            <w:noWrap/>
            <w:vAlign w:val="bottom"/>
            <w:hideMark/>
          </w:tcPr>
          <w:p w14:paraId="662B47FC" w14:textId="77777777" w:rsidR="003E245D" w:rsidRPr="003E245D" w:rsidRDefault="003E245D" w:rsidP="003E245D">
            <w:pPr>
              <w:spacing w:after="0" w:line="240" w:lineRule="auto"/>
              <w:jc w:val="left"/>
              <w:rPr>
                <w:rFonts w:eastAsia="Times New Roman" w:cs="Calibri"/>
                <w:color w:val="000000"/>
                <w:sz w:val="18"/>
                <w:szCs w:val="18"/>
              </w:rPr>
            </w:pPr>
            <w:r w:rsidRPr="003E245D">
              <w:rPr>
                <w:rFonts w:eastAsia="Times New Roman" w:cs="Calibri"/>
                <w:color w:val="000000"/>
                <w:sz w:val="18"/>
                <w:szCs w:val="18"/>
              </w:rPr>
              <w:t> </w:t>
            </w:r>
          </w:p>
        </w:tc>
        <w:tc>
          <w:tcPr>
            <w:tcW w:w="546" w:type="pct"/>
            <w:shd w:val="clear" w:color="auto" w:fill="FF7C80"/>
            <w:noWrap/>
            <w:vAlign w:val="bottom"/>
            <w:hideMark/>
          </w:tcPr>
          <w:p w14:paraId="25757B45" w14:textId="77777777" w:rsidR="003E245D" w:rsidRPr="003E245D" w:rsidRDefault="003E245D" w:rsidP="003E245D">
            <w:pPr>
              <w:spacing w:after="0" w:line="240" w:lineRule="auto"/>
              <w:jc w:val="left"/>
              <w:rPr>
                <w:rFonts w:eastAsia="Times New Roman" w:cs="Calibri"/>
                <w:color w:val="000000"/>
                <w:sz w:val="18"/>
                <w:szCs w:val="18"/>
              </w:rPr>
            </w:pPr>
            <w:r w:rsidRPr="003E245D">
              <w:rPr>
                <w:rFonts w:eastAsia="Times New Roman" w:cs="Calibri"/>
                <w:color w:val="000000"/>
                <w:sz w:val="18"/>
                <w:szCs w:val="18"/>
              </w:rPr>
              <w:t> </w:t>
            </w:r>
          </w:p>
        </w:tc>
        <w:tc>
          <w:tcPr>
            <w:tcW w:w="546" w:type="pct"/>
            <w:shd w:val="clear" w:color="auto" w:fill="FF7C80"/>
            <w:noWrap/>
            <w:vAlign w:val="bottom"/>
            <w:hideMark/>
          </w:tcPr>
          <w:p w14:paraId="2706CF0C" w14:textId="77777777" w:rsidR="003E245D" w:rsidRPr="003E245D" w:rsidRDefault="003E245D" w:rsidP="003E245D">
            <w:pPr>
              <w:spacing w:after="0" w:line="240" w:lineRule="auto"/>
              <w:jc w:val="left"/>
              <w:rPr>
                <w:rFonts w:eastAsia="Times New Roman" w:cs="Calibri"/>
                <w:color w:val="000000"/>
                <w:sz w:val="18"/>
                <w:szCs w:val="18"/>
              </w:rPr>
            </w:pPr>
            <w:r w:rsidRPr="003E245D">
              <w:rPr>
                <w:rFonts w:eastAsia="Times New Roman" w:cs="Calibri"/>
                <w:color w:val="000000"/>
                <w:sz w:val="18"/>
                <w:szCs w:val="18"/>
              </w:rPr>
              <w:t> </w:t>
            </w:r>
          </w:p>
        </w:tc>
        <w:tc>
          <w:tcPr>
            <w:tcW w:w="542" w:type="pct"/>
            <w:shd w:val="clear" w:color="auto" w:fill="FF7C80"/>
            <w:noWrap/>
            <w:vAlign w:val="bottom"/>
            <w:hideMark/>
          </w:tcPr>
          <w:p w14:paraId="4B41D60D" w14:textId="77777777" w:rsidR="003E245D" w:rsidRPr="003E245D" w:rsidRDefault="003E245D" w:rsidP="003E245D">
            <w:pPr>
              <w:spacing w:after="0" w:line="240" w:lineRule="auto"/>
              <w:jc w:val="left"/>
              <w:rPr>
                <w:rFonts w:eastAsia="Times New Roman" w:cs="Calibri"/>
                <w:color w:val="000000"/>
                <w:sz w:val="18"/>
                <w:szCs w:val="18"/>
              </w:rPr>
            </w:pPr>
            <w:r w:rsidRPr="003E245D">
              <w:rPr>
                <w:rFonts w:eastAsia="Times New Roman" w:cs="Calibri"/>
                <w:color w:val="000000"/>
                <w:sz w:val="18"/>
                <w:szCs w:val="18"/>
              </w:rPr>
              <w:t> </w:t>
            </w:r>
          </w:p>
        </w:tc>
        <w:tc>
          <w:tcPr>
            <w:tcW w:w="542" w:type="pct"/>
            <w:shd w:val="clear" w:color="auto" w:fill="FF7C80"/>
            <w:noWrap/>
            <w:vAlign w:val="bottom"/>
            <w:hideMark/>
          </w:tcPr>
          <w:p w14:paraId="37BD90A2" w14:textId="77777777" w:rsidR="003E245D" w:rsidRPr="003E245D" w:rsidRDefault="003E245D" w:rsidP="003E245D">
            <w:pPr>
              <w:spacing w:after="0" w:line="240" w:lineRule="auto"/>
              <w:jc w:val="left"/>
              <w:rPr>
                <w:rFonts w:eastAsia="Times New Roman" w:cs="Calibri"/>
                <w:color w:val="000000"/>
                <w:sz w:val="18"/>
                <w:szCs w:val="18"/>
              </w:rPr>
            </w:pPr>
            <w:r w:rsidRPr="003E245D">
              <w:rPr>
                <w:rFonts w:eastAsia="Times New Roman" w:cs="Calibri"/>
                <w:color w:val="000000"/>
                <w:sz w:val="18"/>
                <w:szCs w:val="18"/>
              </w:rPr>
              <w:t> </w:t>
            </w:r>
          </w:p>
        </w:tc>
        <w:tc>
          <w:tcPr>
            <w:tcW w:w="542" w:type="pct"/>
            <w:shd w:val="clear" w:color="auto" w:fill="FF7C80"/>
            <w:noWrap/>
            <w:vAlign w:val="bottom"/>
            <w:hideMark/>
          </w:tcPr>
          <w:p w14:paraId="7E625D81" w14:textId="77777777" w:rsidR="003E245D" w:rsidRPr="003E245D" w:rsidRDefault="003E245D" w:rsidP="003E245D">
            <w:pPr>
              <w:spacing w:after="0" w:line="240" w:lineRule="auto"/>
              <w:jc w:val="left"/>
              <w:rPr>
                <w:rFonts w:eastAsia="Times New Roman" w:cs="Calibri"/>
                <w:color w:val="FF0000"/>
                <w:sz w:val="18"/>
                <w:szCs w:val="18"/>
              </w:rPr>
            </w:pPr>
            <w:r w:rsidRPr="003E245D">
              <w:rPr>
                <w:rFonts w:eastAsia="Times New Roman" w:cs="Calibri"/>
                <w:color w:val="FF0000"/>
                <w:sz w:val="18"/>
                <w:szCs w:val="18"/>
              </w:rPr>
              <w:t> </w:t>
            </w:r>
          </w:p>
        </w:tc>
        <w:tc>
          <w:tcPr>
            <w:tcW w:w="598" w:type="pct"/>
            <w:shd w:val="clear" w:color="auto" w:fill="FF7C80"/>
            <w:noWrap/>
            <w:vAlign w:val="bottom"/>
            <w:hideMark/>
          </w:tcPr>
          <w:p w14:paraId="1EAA2915" w14:textId="77777777" w:rsidR="003E245D" w:rsidRPr="003E245D" w:rsidRDefault="003E245D" w:rsidP="003E245D">
            <w:pPr>
              <w:spacing w:after="0" w:line="240" w:lineRule="auto"/>
              <w:jc w:val="left"/>
              <w:rPr>
                <w:rFonts w:eastAsia="Times New Roman" w:cs="Calibri"/>
                <w:color w:val="000000"/>
                <w:sz w:val="18"/>
                <w:szCs w:val="18"/>
              </w:rPr>
            </w:pPr>
            <w:r w:rsidRPr="003E245D">
              <w:rPr>
                <w:rFonts w:eastAsia="Times New Roman" w:cs="Calibri"/>
                <w:color w:val="000000"/>
                <w:sz w:val="18"/>
                <w:szCs w:val="18"/>
              </w:rPr>
              <w:t> </w:t>
            </w:r>
          </w:p>
        </w:tc>
      </w:tr>
      <w:tr w:rsidR="003E245D" w:rsidRPr="003E245D" w14:paraId="21F7D39C" w14:textId="77777777" w:rsidTr="001365BD">
        <w:trPr>
          <w:trHeight w:val="300"/>
        </w:trPr>
        <w:tc>
          <w:tcPr>
            <w:tcW w:w="601" w:type="pct"/>
            <w:noWrap/>
            <w:vAlign w:val="bottom"/>
            <w:hideMark/>
          </w:tcPr>
          <w:p w14:paraId="17BC42E5" w14:textId="77777777" w:rsidR="003E245D" w:rsidRPr="003E245D" w:rsidRDefault="003E245D" w:rsidP="003E245D">
            <w:pPr>
              <w:spacing w:after="0" w:line="240" w:lineRule="auto"/>
              <w:jc w:val="left"/>
              <w:rPr>
                <w:rFonts w:eastAsia="Times New Roman" w:cs="Calibri"/>
                <w:color w:val="000000"/>
                <w:sz w:val="18"/>
                <w:szCs w:val="18"/>
              </w:rPr>
            </w:pPr>
            <w:r w:rsidRPr="003E245D">
              <w:rPr>
                <w:rFonts w:eastAsia="Times New Roman" w:cs="Calibri"/>
                <w:color w:val="000000"/>
                <w:sz w:val="18"/>
                <w:szCs w:val="18"/>
              </w:rPr>
              <w:t>Area NORD</w:t>
            </w:r>
          </w:p>
        </w:tc>
        <w:tc>
          <w:tcPr>
            <w:tcW w:w="534" w:type="pct"/>
            <w:noWrap/>
            <w:vAlign w:val="bottom"/>
            <w:hideMark/>
          </w:tcPr>
          <w:p w14:paraId="2C5EFB86"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eastAsia="Times New Roman" w:cs="Calibri"/>
                <w:color w:val="000000"/>
                <w:sz w:val="18"/>
                <w:szCs w:val="18"/>
              </w:rPr>
              <w:t>56,8%</w:t>
            </w:r>
          </w:p>
        </w:tc>
        <w:tc>
          <w:tcPr>
            <w:tcW w:w="546" w:type="pct"/>
            <w:noWrap/>
            <w:vAlign w:val="bottom"/>
            <w:hideMark/>
          </w:tcPr>
          <w:p w14:paraId="52E408BA"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eastAsia="Times New Roman" w:cs="Calibri"/>
                <w:color w:val="000000"/>
                <w:sz w:val="18"/>
                <w:szCs w:val="18"/>
              </w:rPr>
              <w:t>17,9%</w:t>
            </w:r>
          </w:p>
        </w:tc>
        <w:tc>
          <w:tcPr>
            <w:tcW w:w="546" w:type="pct"/>
            <w:noWrap/>
            <w:vAlign w:val="bottom"/>
            <w:hideMark/>
          </w:tcPr>
          <w:p w14:paraId="112F9CE1"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eastAsia="Times New Roman" w:cs="Calibri"/>
                <w:color w:val="000000"/>
                <w:sz w:val="18"/>
                <w:szCs w:val="18"/>
              </w:rPr>
              <w:t>18,1%</w:t>
            </w:r>
          </w:p>
        </w:tc>
        <w:tc>
          <w:tcPr>
            <w:tcW w:w="546" w:type="pct"/>
            <w:noWrap/>
            <w:vAlign w:val="bottom"/>
            <w:hideMark/>
          </w:tcPr>
          <w:p w14:paraId="6AA222AD"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eastAsia="Times New Roman" w:cs="Calibri"/>
                <w:color w:val="000000"/>
                <w:sz w:val="18"/>
                <w:szCs w:val="18"/>
              </w:rPr>
              <w:t>2,5%</w:t>
            </w:r>
          </w:p>
        </w:tc>
        <w:tc>
          <w:tcPr>
            <w:tcW w:w="542" w:type="pct"/>
            <w:noWrap/>
            <w:vAlign w:val="bottom"/>
            <w:hideMark/>
          </w:tcPr>
          <w:p w14:paraId="691936DD"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eastAsia="Times New Roman" w:cs="Calibri"/>
                <w:color w:val="000000"/>
                <w:sz w:val="18"/>
                <w:szCs w:val="18"/>
              </w:rPr>
              <w:t>1,7%</w:t>
            </w:r>
          </w:p>
        </w:tc>
        <w:tc>
          <w:tcPr>
            <w:tcW w:w="542" w:type="pct"/>
            <w:noWrap/>
            <w:vAlign w:val="bottom"/>
            <w:hideMark/>
          </w:tcPr>
          <w:p w14:paraId="075AAB55"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eastAsia="Times New Roman" w:cs="Calibri"/>
                <w:color w:val="000000"/>
                <w:sz w:val="18"/>
                <w:szCs w:val="18"/>
              </w:rPr>
              <w:t>1,1%</w:t>
            </w:r>
          </w:p>
        </w:tc>
        <w:tc>
          <w:tcPr>
            <w:tcW w:w="542" w:type="pct"/>
            <w:noWrap/>
            <w:vAlign w:val="bottom"/>
            <w:hideMark/>
          </w:tcPr>
          <w:p w14:paraId="3C6B96B3"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eastAsia="Times New Roman" w:cs="Calibri"/>
                <w:color w:val="000000"/>
                <w:sz w:val="18"/>
                <w:szCs w:val="18"/>
              </w:rPr>
              <w:t>2,0%</w:t>
            </w:r>
          </w:p>
        </w:tc>
        <w:tc>
          <w:tcPr>
            <w:tcW w:w="598" w:type="pct"/>
            <w:noWrap/>
            <w:vAlign w:val="bottom"/>
            <w:hideMark/>
          </w:tcPr>
          <w:p w14:paraId="06811B0F" w14:textId="77777777" w:rsidR="003E245D" w:rsidRPr="003E245D" w:rsidRDefault="003E245D" w:rsidP="003E245D">
            <w:pPr>
              <w:spacing w:after="0" w:line="240" w:lineRule="auto"/>
              <w:jc w:val="right"/>
              <w:rPr>
                <w:rFonts w:eastAsia="Times New Roman" w:cs="Calibri"/>
                <w:color w:val="000000"/>
                <w:sz w:val="18"/>
                <w:szCs w:val="18"/>
              </w:rPr>
            </w:pPr>
          </w:p>
        </w:tc>
      </w:tr>
      <w:tr w:rsidR="003E245D" w:rsidRPr="003E245D" w14:paraId="2EB029B2" w14:textId="77777777" w:rsidTr="001365BD">
        <w:trPr>
          <w:trHeight w:val="300"/>
        </w:trPr>
        <w:tc>
          <w:tcPr>
            <w:tcW w:w="601" w:type="pct"/>
            <w:noWrap/>
            <w:vAlign w:val="bottom"/>
            <w:hideMark/>
          </w:tcPr>
          <w:p w14:paraId="3B7DD440" w14:textId="77777777" w:rsidR="003E245D" w:rsidRPr="003E245D" w:rsidRDefault="003E245D" w:rsidP="003E245D">
            <w:pPr>
              <w:spacing w:after="0" w:line="240" w:lineRule="auto"/>
              <w:jc w:val="left"/>
              <w:rPr>
                <w:rFonts w:eastAsia="Times New Roman" w:cs="Calibri"/>
                <w:color w:val="000000"/>
                <w:sz w:val="18"/>
                <w:szCs w:val="18"/>
              </w:rPr>
            </w:pPr>
            <w:r w:rsidRPr="003E245D">
              <w:rPr>
                <w:rFonts w:eastAsia="Times New Roman" w:cs="Calibri"/>
                <w:color w:val="000000"/>
                <w:sz w:val="18"/>
                <w:szCs w:val="18"/>
              </w:rPr>
              <w:t>Area SUD</w:t>
            </w:r>
          </w:p>
        </w:tc>
        <w:tc>
          <w:tcPr>
            <w:tcW w:w="534" w:type="pct"/>
            <w:noWrap/>
            <w:vAlign w:val="bottom"/>
            <w:hideMark/>
          </w:tcPr>
          <w:p w14:paraId="65446727"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eastAsia="Times New Roman" w:cs="Calibri"/>
                <w:color w:val="000000"/>
                <w:sz w:val="18"/>
                <w:szCs w:val="18"/>
              </w:rPr>
              <w:t>51,8%</w:t>
            </w:r>
          </w:p>
        </w:tc>
        <w:tc>
          <w:tcPr>
            <w:tcW w:w="546" w:type="pct"/>
            <w:noWrap/>
            <w:vAlign w:val="bottom"/>
            <w:hideMark/>
          </w:tcPr>
          <w:p w14:paraId="0C361D16"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eastAsia="Times New Roman" w:cs="Calibri"/>
                <w:color w:val="000000"/>
                <w:sz w:val="18"/>
                <w:szCs w:val="18"/>
              </w:rPr>
              <w:t>20,7%</w:t>
            </w:r>
          </w:p>
        </w:tc>
        <w:tc>
          <w:tcPr>
            <w:tcW w:w="546" w:type="pct"/>
            <w:noWrap/>
            <w:vAlign w:val="bottom"/>
            <w:hideMark/>
          </w:tcPr>
          <w:p w14:paraId="13068746"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eastAsia="Times New Roman" w:cs="Calibri"/>
                <w:color w:val="000000"/>
                <w:sz w:val="18"/>
                <w:szCs w:val="18"/>
              </w:rPr>
              <w:t>19,5%</w:t>
            </w:r>
          </w:p>
        </w:tc>
        <w:tc>
          <w:tcPr>
            <w:tcW w:w="546" w:type="pct"/>
            <w:noWrap/>
            <w:vAlign w:val="bottom"/>
            <w:hideMark/>
          </w:tcPr>
          <w:p w14:paraId="7C803755"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eastAsia="Times New Roman" w:cs="Calibri"/>
                <w:color w:val="000000"/>
                <w:sz w:val="18"/>
                <w:szCs w:val="18"/>
              </w:rPr>
              <w:t>3,6%</w:t>
            </w:r>
          </w:p>
        </w:tc>
        <w:tc>
          <w:tcPr>
            <w:tcW w:w="542" w:type="pct"/>
            <w:noWrap/>
            <w:vAlign w:val="bottom"/>
            <w:hideMark/>
          </w:tcPr>
          <w:p w14:paraId="5DD7ACD7"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eastAsia="Times New Roman" w:cs="Calibri"/>
                <w:color w:val="000000"/>
                <w:sz w:val="18"/>
                <w:szCs w:val="18"/>
              </w:rPr>
              <w:t>1,7%</w:t>
            </w:r>
          </w:p>
        </w:tc>
        <w:tc>
          <w:tcPr>
            <w:tcW w:w="542" w:type="pct"/>
            <w:noWrap/>
            <w:vAlign w:val="bottom"/>
            <w:hideMark/>
          </w:tcPr>
          <w:p w14:paraId="360EA2C7"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eastAsia="Times New Roman" w:cs="Calibri"/>
                <w:color w:val="000000"/>
                <w:sz w:val="18"/>
                <w:szCs w:val="18"/>
              </w:rPr>
              <w:t>1,2%</w:t>
            </w:r>
          </w:p>
        </w:tc>
        <w:tc>
          <w:tcPr>
            <w:tcW w:w="542" w:type="pct"/>
            <w:noWrap/>
            <w:vAlign w:val="bottom"/>
            <w:hideMark/>
          </w:tcPr>
          <w:p w14:paraId="6A876AA2"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eastAsia="Times New Roman" w:cs="Calibri"/>
                <w:color w:val="000000"/>
                <w:sz w:val="18"/>
                <w:szCs w:val="18"/>
              </w:rPr>
              <w:t>1,6%</w:t>
            </w:r>
          </w:p>
        </w:tc>
        <w:tc>
          <w:tcPr>
            <w:tcW w:w="598" w:type="pct"/>
            <w:noWrap/>
            <w:vAlign w:val="bottom"/>
            <w:hideMark/>
          </w:tcPr>
          <w:p w14:paraId="6812A77C" w14:textId="77777777" w:rsidR="003E245D" w:rsidRPr="003E245D" w:rsidRDefault="003E245D" w:rsidP="003E245D">
            <w:pPr>
              <w:spacing w:after="0" w:line="240" w:lineRule="auto"/>
              <w:jc w:val="right"/>
              <w:rPr>
                <w:rFonts w:eastAsia="Times New Roman" w:cs="Calibri"/>
                <w:color w:val="000000"/>
                <w:sz w:val="18"/>
                <w:szCs w:val="18"/>
              </w:rPr>
            </w:pPr>
          </w:p>
        </w:tc>
      </w:tr>
    </w:tbl>
    <w:p w14:paraId="373C6FDA" w14:textId="1FD4F32A" w:rsidR="003E245D" w:rsidRPr="00F61BC8" w:rsidRDefault="00F61BC8" w:rsidP="00F61BC8">
      <w:pPr>
        <w:spacing w:after="200" w:line="240" w:lineRule="auto"/>
        <w:jc w:val="center"/>
        <w:rPr>
          <w:i/>
          <w:color w:val="003366"/>
          <w:sz w:val="18"/>
          <w:szCs w:val="18"/>
        </w:rPr>
      </w:pPr>
      <w:r w:rsidRPr="00F61BC8">
        <w:rPr>
          <w:i/>
          <w:iCs/>
          <w:color w:val="003366"/>
          <w:sz w:val="18"/>
          <w:szCs w:val="18"/>
        </w:rPr>
        <w:t xml:space="preserve">Tabella </w:t>
      </w:r>
      <w:r w:rsidRPr="00F61BC8">
        <w:rPr>
          <w:i/>
          <w:iCs/>
          <w:color w:val="003366"/>
          <w:sz w:val="18"/>
          <w:szCs w:val="18"/>
        </w:rPr>
        <w:fldChar w:fldCharType="begin"/>
      </w:r>
      <w:r w:rsidRPr="00F61BC8">
        <w:rPr>
          <w:i/>
          <w:iCs/>
          <w:color w:val="003366"/>
          <w:sz w:val="18"/>
          <w:szCs w:val="18"/>
        </w:rPr>
        <w:instrText xml:space="preserve"> SEQ Tabella \* ARABIC </w:instrText>
      </w:r>
      <w:r w:rsidRPr="00F61BC8">
        <w:rPr>
          <w:i/>
          <w:iCs/>
          <w:color w:val="003366"/>
          <w:sz w:val="18"/>
          <w:szCs w:val="18"/>
        </w:rPr>
        <w:fldChar w:fldCharType="separate"/>
      </w:r>
      <w:r w:rsidR="00073B6D">
        <w:rPr>
          <w:i/>
          <w:iCs/>
          <w:noProof/>
          <w:color w:val="003366"/>
          <w:sz w:val="18"/>
          <w:szCs w:val="18"/>
        </w:rPr>
        <w:t>7</w:t>
      </w:r>
      <w:r w:rsidRPr="00F61BC8">
        <w:rPr>
          <w:i/>
          <w:iCs/>
          <w:color w:val="003366"/>
          <w:sz w:val="18"/>
          <w:szCs w:val="18"/>
        </w:rPr>
        <w:fldChar w:fldCharType="end"/>
      </w:r>
      <w:r w:rsidRPr="00F61BC8">
        <w:rPr>
          <w:i/>
          <w:iCs/>
          <w:color w:val="003366"/>
          <w:sz w:val="18"/>
          <w:szCs w:val="18"/>
        </w:rPr>
        <w:t xml:space="preserve"> – Valutazione autocontenimento aree nord e sud – fase iniziale</w:t>
      </w:r>
    </w:p>
    <w:p w14:paraId="249BBE09" w14:textId="77777777" w:rsidR="003E245D" w:rsidRPr="003E245D" w:rsidRDefault="003E245D" w:rsidP="003E245D">
      <w:pPr>
        <w:spacing w:before="120" w:after="0" w:line="240" w:lineRule="auto"/>
        <w:rPr>
          <w:rFonts w:cstheme="minorHAnsi"/>
        </w:rPr>
      </w:pPr>
      <w:r w:rsidRPr="003E245D">
        <w:rPr>
          <w:rFonts w:cstheme="minorHAnsi"/>
        </w:rPr>
        <w:t>Entrambe le aree (nord e sud) mostrano un autocontenimento della domanda simile, per l’area nord il 74,7% degli spostamenti è destinato all’interno dell’area mentre nell’area sud si registra un 72,5%. Entrambe hanno una gravitazione su Torino tra il 18% e il 20% e il resto della domanda che si rivolge verso il resto Regione e fuori Regione e verso le zone di dubbia assegnazione (caratteri di colore rosso).</w:t>
      </w:r>
    </w:p>
    <w:p w14:paraId="05D62FD2" w14:textId="77777777" w:rsidR="003E245D" w:rsidRPr="003E245D" w:rsidRDefault="003E245D" w:rsidP="003E245D">
      <w:pPr>
        <w:spacing w:before="120" w:after="0" w:line="240" w:lineRule="auto"/>
        <w:rPr>
          <w:rFonts w:cstheme="minorHAnsi"/>
        </w:rPr>
      </w:pPr>
    </w:p>
    <w:p w14:paraId="19176002" w14:textId="439CB5DD" w:rsidR="003E245D" w:rsidRPr="0079286B" w:rsidRDefault="003E245D" w:rsidP="0079286B">
      <w:pPr>
        <w:spacing w:before="120" w:line="240" w:lineRule="auto"/>
        <w:rPr>
          <w:rFonts w:cstheme="minorHAnsi"/>
        </w:rPr>
      </w:pPr>
      <w:r w:rsidRPr="003E245D">
        <w:rPr>
          <w:rFonts w:cstheme="minorHAnsi"/>
        </w:rPr>
        <w:t>Successivamente l’elaborazione è stata focalizzata sulle sei zone di dubbia assegnazione. Per ognuna di esse sono stati estratti gli spostamenti motorizzati senza ritorni a casa interni alla zona, verso l’area nord, l’area sud, Torino e il resto dei territori. Il risultato è evidenziato nella tabella seguente.</w:t>
      </w:r>
    </w:p>
    <w:tbl>
      <w:tblPr>
        <w:tblW w:w="5000" w:type="pct"/>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CellMar>
          <w:left w:w="70" w:type="dxa"/>
          <w:right w:w="70" w:type="dxa"/>
        </w:tblCellMar>
        <w:tblLook w:val="04A0" w:firstRow="1" w:lastRow="0" w:firstColumn="1" w:lastColumn="0" w:noHBand="0" w:noVBand="1"/>
      </w:tblPr>
      <w:tblGrid>
        <w:gridCol w:w="854"/>
        <w:gridCol w:w="1268"/>
        <w:gridCol w:w="850"/>
        <w:gridCol w:w="850"/>
        <w:gridCol w:w="850"/>
        <w:gridCol w:w="850"/>
        <w:gridCol w:w="850"/>
        <w:gridCol w:w="850"/>
        <w:gridCol w:w="852"/>
        <w:gridCol w:w="986"/>
      </w:tblGrid>
      <w:tr w:rsidR="003E245D" w:rsidRPr="003E245D" w14:paraId="42351123" w14:textId="77777777" w:rsidTr="001365BD">
        <w:trPr>
          <w:trHeight w:val="900"/>
        </w:trPr>
        <w:tc>
          <w:tcPr>
            <w:tcW w:w="471" w:type="pct"/>
            <w:shd w:val="clear" w:color="auto" w:fill="EE3438"/>
            <w:vAlign w:val="center"/>
            <w:hideMark/>
          </w:tcPr>
          <w:p w14:paraId="30CAE0CE" w14:textId="77777777" w:rsidR="003E245D" w:rsidRPr="00704720" w:rsidRDefault="003E245D" w:rsidP="00704720">
            <w:pPr>
              <w:spacing w:after="0" w:line="240" w:lineRule="auto"/>
              <w:jc w:val="center"/>
              <w:rPr>
                <w:rFonts w:eastAsia="Times New Roman" w:cs="Calibri"/>
                <w:b/>
                <w:bCs/>
                <w:color w:val="FFFFFF" w:themeColor="background1"/>
                <w:sz w:val="18"/>
                <w:szCs w:val="18"/>
              </w:rPr>
            </w:pPr>
            <w:r w:rsidRPr="00704720">
              <w:rPr>
                <w:rFonts w:eastAsia="Times New Roman" w:cs="Calibri"/>
                <w:b/>
                <w:bCs/>
                <w:color w:val="FFFFFF" w:themeColor="background1"/>
                <w:sz w:val="18"/>
                <w:szCs w:val="18"/>
              </w:rPr>
              <w:lastRenderedPageBreak/>
              <w:t>Codice IMQ 2022</w:t>
            </w:r>
          </w:p>
        </w:tc>
        <w:tc>
          <w:tcPr>
            <w:tcW w:w="700" w:type="pct"/>
            <w:shd w:val="clear" w:color="auto" w:fill="EE3438"/>
            <w:vAlign w:val="center"/>
            <w:hideMark/>
          </w:tcPr>
          <w:p w14:paraId="721EFB86" w14:textId="77777777" w:rsidR="003E245D" w:rsidRPr="00704720" w:rsidRDefault="003E245D" w:rsidP="00704720">
            <w:pPr>
              <w:spacing w:after="0" w:line="240" w:lineRule="auto"/>
              <w:jc w:val="center"/>
              <w:rPr>
                <w:rFonts w:eastAsia="Times New Roman" w:cs="Calibri"/>
                <w:b/>
                <w:bCs/>
                <w:color w:val="FFFFFF" w:themeColor="background1"/>
                <w:sz w:val="18"/>
                <w:szCs w:val="18"/>
              </w:rPr>
            </w:pPr>
            <w:r w:rsidRPr="00704720">
              <w:rPr>
                <w:rFonts w:eastAsia="Times New Roman" w:cs="Calibri"/>
                <w:b/>
                <w:bCs/>
                <w:color w:val="FFFFFF" w:themeColor="background1"/>
                <w:sz w:val="18"/>
                <w:szCs w:val="18"/>
              </w:rPr>
              <w:t>zone con linee di entrambe le aree</w:t>
            </w:r>
          </w:p>
        </w:tc>
        <w:tc>
          <w:tcPr>
            <w:tcW w:w="469" w:type="pct"/>
            <w:shd w:val="clear" w:color="auto" w:fill="EE3438"/>
            <w:vAlign w:val="center"/>
            <w:hideMark/>
          </w:tcPr>
          <w:p w14:paraId="29A448D4" w14:textId="77777777" w:rsidR="003E245D" w:rsidRPr="00704720" w:rsidRDefault="003E245D" w:rsidP="00704720">
            <w:pPr>
              <w:spacing w:after="0" w:line="240" w:lineRule="auto"/>
              <w:jc w:val="center"/>
              <w:rPr>
                <w:rFonts w:eastAsia="Times New Roman" w:cs="Calibri"/>
                <w:b/>
                <w:bCs/>
                <w:color w:val="FFFFFF" w:themeColor="background1"/>
                <w:sz w:val="18"/>
                <w:szCs w:val="18"/>
              </w:rPr>
            </w:pPr>
            <w:r w:rsidRPr="00704720">
              <w:rPr>
                <w:rFonts w:eastAsia="Times New Roman" w:cs="Calibri"/>
                <w:b/>
                <w:bCs/>
                <w:color w:val="FFFFFF" w:themeColor="background1"/>
                <w:sz w:val="18"/>
                <w:szCs w:val="18"/>
              </w:rPr>
              <w:t>Interna alla stessa zona</w:t>
            </w:r>
          </w:p>
        </w:tc>
        <w:tc>
          <w:tcPr>
            <w:tcW w:w="469" w:type="pct"/>
            <w:shd w:val="clear" w:color="auto" w:fill="EE3438"/>
            <w:vAlign w:val="center"/>
            <w:hideMark/>
          </w:tcPr>
          <w:p w14:paraId="1E8ABE51" w14:textId="77777777" w:rsidR="003E245D" w:rsidRPr="00704720" w:rsidRDefault="003E245D" w:rsidP="00704720">
            <w:pPr>
              <w:spacing w:after="0" w:line="240" w:lineRule="auto"/>
              <w:jc w:val="center"/>
              <w:rPr>
                <w:rFonts w:eastAsia="Times New Roman" w:cs="Calibri"/>
                <w:b/>
                <w:bCs/>
                <w:color w:val="FFFFFF" w:themeColor="background1"/>
                <w:sz w:val="18"/>
                <w:szCs w:val="18"/>
              </w:rPr>
            </w:pPr>
            <w:r w:rsidRPr="00704720">
              <w:rPr>
                <w:rFonts w:eastAsia="Times New Roman" w:cs="Calibri"/>
                <w:b/>
                <w:bCs/>
                <w:color w:val="FFFFFF" w:themeColor="background1"/>
                <w:sz w:val="18"/>
                <w:szCs w:val="18"/>
              </w:rPr>
              <w:t>Verso area N</w:t>
            </w:r>
          </w:p>
        </w:tc>
        <w:tc>
          <w:tcPr>
            <w:tcW w:w="469" w:type="pct"/>
            <w:shd w:val="clear" w:color="auto" w:fill="EE3438"/>
            <w:vAlign w:val="center"/>
            <w:hideMark/>
          </w:tcPr>
          <w:p w14:paraId="4BB3DFF9" w14:textId="77777777" w:rsidR="003E245D" w:rsidRPr="00704720" w:rsidRDefault="003E245D" w:rsidP="00704720">
            <w:pPr>
              <w:spacing w:after="0" w:line="240" w:lineRule="auto"/>
              <w:jc w:val="center"/>
              <w:rPr>
                <w:rFonts w:eastAsia="Times New Roman" w:cs="Calibri"/>
                <w:b/>
                <w:bCs/>
                <w:color w:val="FFFFFF" w:themeColor="background1"/>
                <w:sz w:val="18"/>
                <w:szCs w:val="18"/>
              </w:rPr>
            </w:pPr>
            <w:r w:rsidRPr="00704720">
              <w:rPr>
                <w:rFonts w:eastAsia="Times New Roman" w:cs="Calibri"/>
                <w:b/>
                <w:bCs/>
                <w:color w:val="FFFFFF" w:themeColor="background1"/>
                <w:sz w:val="18"/>
                <w:szCs w:val="18"/>
              </w:rPr>
              <w:t>Verso Torino</w:t>
            </w:r>
          </w:p>
        </w:tc>
        <w:tc>
          <w:tcPr>
            <w:tcW w:w="469" w:type="pct"/>
            <w:shd w:val="clear" w:color="auto" w:fill="EE3438"/>
            <w:vAlign w:val="center"/>
            <w:hideMark/>
          </w:tcPr>
          <w:p w14:paraId="4EA43649" w14:textId="77777777" w:rsidR="003E245D" w:rsidRPr="00704720" w:rsidRDefault="003E245D" w:rsidP="00704720">
            <w:pPr>
              <w:spacing w:after="0" w:line="240" w:lineRule="auto"/>
              <w:jc w:val="center"/>
              <w:rPr>
                <w:rFonts w:eastAsia="Times New Roman" w:cs="Calibri"/>
                <w:b/>
                <w:bCs/>
                <w:color w:val="FFFFFF" w:themeColor="background1"/>
                <w:sz w:val="18"/>
                <w:szCs w:val="18"/>
              </w:rPr>
            </w:pPr>
            <w:r w:rsidRPr="00704720">
              <w:rPr>
                <w:rFonts w:eastAsia="Times New Roman" w:cs="Calibri"/>
                <w:b/>
                <w:bCs/>
                <w:color w:val="FFFFFF" w:themeColor="background1"/>
                <w:sz w:val="18"/>
                <w:szCs w:val="18"/>
              </w:rPr>
              <w:t>Verso area S</w:t>
            </w:r>
          </w:p>
        </w:tc>
        <w:tc>
          <w:tcPr>
            <w:tcW w:w="469" w:type="pct"/>
            <w:shd w:val="clear" w:color="auto" w:fill="EE3438"/>
            <w:vAlign w:val="center"/>
            <w:hideMark/>
          </w:tcPr>
          <w:p w14:paraId="0CC37EC4" w14:textId="77777777" w:rsidR="003E245D" w:rsidRPr="00704720" w:rsidRDefault="003E245D" w:rsidP="00704720">
            <w:pPr>
              <w:spacing w:after="0" w:line="240" w:lineRule="auto"/>
              <w:jc w:val="center"/>
              <w:rPr>
                <w:rFonts w:eastAsia="Times New Roman" w:cs="Calibri"/>
                <w:b/>
                <w:bCs/>
                <w:color w:val="FFFFFF" w:themeColor="background1"/>
                <w:sz w:val="18"/>
                <w:szCs w:val="18"/>
              </w:rPr>
            </w:pPr>
            <w:r w:rsidRPr="00704720">
              <w:rPr>
                <w:rFonts w:eastAsia="Times New Roman" w:cs="Calibri"/>
                <w:b/>
                <w:bCs/>
                <w:color w:val="FFFFFF" w:themeColor="background1"/>
                <w:sz w:val="18"/>
                <w:szCs w:val="18"/>
              </w:rPr>
              <w:t>Verso altri Bacini</w:t>
            </w:r>
          </w:p>
        </w:tc>
        <w:tc>
          <w:tcPr>
            <w:tcW w:w="469" w:type="pct"/>
            <w:shd w:val="clear" w:color="auto" w:fill="EE3438"/>
            <w:vAlign w:val="center"/>
            <w:hideMark/>
          </w:tcPr>
          <w:p w14:paraId="42E2DC6D" w14:textId="77777777" w:rsidR="003E245D" w:rsidRPr="00704720" w:rsidRDefault="003E245D" w:rsidP="00704720">
            <w:pPr>
              <w:spacing w:after="0" w:line="240" w:lineRule="auto"/>
              <w:jc w:val="center"/>
              <w:rPr>
                <w:rFonts w:eastAsia="Times New Roman" w:cs="Calibri"/>
                <w:b/>
                <w:bCs/>
                <w:color w:val="FFFFFF" w:themeColor="background1"/>
                <w:sz w:val="18"/>
                <w:szCs w:val="18"/>
              </w:rPr>
            </w:pPr>
            <w:r w:rsidRPr="00704720">
              <w:rPr>
                <w:rFonts w:eastAsia="Times New Roman" w:cs="Calibri"/>
                <w:b/>
                <w:bCs/>
                <w:color w:val="FFFFFF" w:themeColor="background1"/>
                <w:sz w:val="18"/>
                <w:szCs w:val="18"/>
              </w:rPr>
              <w:t>Fuori Regione</w:t>
            </w:r>
          </w:p>
        </w:tc>
        <w:tc>
          <w:tcPr>
            <w:tcW w:w="470" w:type="pct"/>
            <w:shd w:val="clear" w:color="auto" w:fill="EE3438"/>
            <w:vAlign w:val="center"/>
            <w:hideMark/>
          </w:tcPr>
          <w:p w14:paraId="142F166B" w14:textId="77777777" w:rsidR="003E245D" w:rsidRPr="00704720" w:rsidRDefault="003E245D" w:rsidP="00704720">
            <w:pPr>
              <w:spacing w:after="0" w:line="240" w:lineRule="auto"/>
              <w:jc w:val="center"/>
              <w:rPr>
                <w:rFonts w:eastAsia="Times New Roman" w:cs="Calibri"/>
                <w:b/>
                <w:bCs/>
                <w:sz w:val="18"/>
                <w:szCs w:val="18"/>
              </w:rPr>
            </w:pPr>
            <w:r w:rsidRPr="00704720">
              <w:rPr>
                <w:rFonts w:eastAsia="Times New Roman" w:cs="Calibri"/>
                <w:b/>
                <w:bCs/>
                <w:sz w:val="18"/>
                <w:szCs w:val="18"/>
              </w:rPr>
              <w:t>verso le zone di dubbia assegnazione</w:t>
            </w:r>
          </w:p>
        </w:tc>
        <w:tc>
          <w:tcPr>
            <w:tcW w:w="544" w:type="pct"/>
            <w:shd w:val="clear" w:color="auto" w:fill="EE3438"/>
            <w:vAlign w:val="center"/>
            <w:hideMark/>
          </w:tcPr>
          <w:p w14:paraId="6D7BD206" w14:textId="77777777" w:rsidR="003E245D" w:rsidRPr="00704720" w:rsidRDefault="003E245D" w:rsidP="00704720">
            <w:pPr>
              <w:spacing w:after="0" w:line="240" w:lineRule="auto"/>
              <w:jc w:val="center"/>
              <w:rPr>
                <w:rFonts w:eastAsia="Times New Roman" w:cs="Calibri"/>
                <w:b/>
                <w:bCs/>
                <w:color w:val="FFFFFF" w:themeColor="background1"/>
                <w:sz w:val="18"/>
                <w:szCs w:val="18"/>
              </w:rPr>
            </w:pPr>
            <w:r w:rsidRPr="00704720">
              <w:rPr>
                <w:rFonts w:eastAsia="Times New Roman" w:cs="Calibri"/>
                <w:b/>
                <w:bCs/>
                <w:color w:val="FFFFFF" w:themeColor="background1"/>
                <w:sz w:val="18"/>
                <w:szCs w:val="18"/>
              </w:rPr>
              <w:t>Totale spostamenti in origine</w:t>
            </w:r>
          </w:p>
        </w:tc>
      </w:tr>
      <w:tr w:rsidR="003E245D" w:rsidRPr="003E245D" w14:paraId="356CA126" w14:textId="77777777" w:rsidTr="001365BD">
        <w:trPr>
          <w:trHeight w:val="300"/>
        </w:trPr>
        <w:tc>
          <w:tcPr>
            <w:tcW w:w="471" w:type="pct"/>
            <w:shd w:val="clear" w:color="auto" w:fill="C9FBED" w:themeFill="accent4" w:themeFillTint="33"/>
            <w:noWrap/>
            <w:vAlign w:val="bottom"/>
            <w:hideMark/>
          </w:tcPr>
          <w:p w14:paraId="08DF475B" w14:textId="77777777" w:rsidR="003E245D" w:rsidRPr="003E245D" w:rsidRDefault="003E245D" w:rsidP="003E245D">
            <w:pPr>
              <w:spacing w:after="0" w:line="240" w:lineRule="auto"/>
              <w:jc w:val="left"/>
              <w:rPr>
                <w:rFonts w:eastAsia="Times New Roman" w:cs="Calibri"/>
                <w:color w:val="000000"/>
                <w:sz w:val="18"/>
                <w:szCs w:val="18"/>
              </w:rPr>
            </w:pPr>
            <w:r w:rsidRPr="003E245D">
              <w:rPr>
                <w:rFonts w:eastAsia="Times New Roman" w:cs="Calibri"/>
                <w:color w:val="000000"/>
                <w:sz w:val="18"/>
                <w:szCs w:val="18"/>
              </w:rPr>
              <w:t>C016</w:t>
            </w:r>
          </w:p>
        </w:tc>
        <w:tc>
          <w:tcPr>
            <w:tcW w:w="700" w:type="pct"/>
            <w:noWrap/>
            <w:vAlign w:val="bottom"/>
            <w:hideMark/>
          </w:tcPr>
          <w:p w14:paraId="78C12727" w14:textId="77777777" w:rsidR="003E245D" w:rsidRPr="003E245D" w:rsidRDefault="003E245D" w:rsidP="003E245D">
            <w:pPr>
              <w:spacing w:after="0" w:line="240" w:lineRule="auto"/>
              <w:jc w:val="left"/>
              <w:rPr>
                <w:rFonts w:eastAsia="Times New Roman" w:cs="Calibri"/>
                <w:color w:val="000000"/>
                <w:sz w:val="18"/>
                <w:szCs w:val="18"/>
              </w:rPr>
            </w:pPr>
            <w:r w:rsidRPr="003E245D">
              <w:rPr>
                <w:rFonts w:eastAsia="Times New Roman" w:cs="Calibri"/>
                <w:color w:val="000000"/>
                <w:sz w:val="18"/>
                <w:szCs w:val="18"/>
              </w:rPr>
              <w:t>RIVOLI</w:t>
            </w:r>
          </w:p>
        </w:tc>
        <w:tc>
          <w:tcPr>
            <w:tcW w:w="469" w:type="pct"/>
            <w:noWrap/>
            <w:vAlign w:val="center"/>
            <w:hideMark/>
          </w:tcPr>
          <w:p w14:paraId="2507ECBE"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cs="Calibri"/>
                <w:color w:val="000000"/>
                <w:sz w:val="18"/>
                <w:szCs w:val="18"/>
              </w:rPr>
              <w:t>17.213</w:t>
            </w:r>
          </w:p>
        </w:tc>
        <w:tc>
          <w:tcPr>
            <w:tcW w:w="469" w:type="pct"/>
            <w:noWrap/>
            <w:vAlign w:val="center"/>
            <w:hideMark/>
          </w:tcPr>
          <w:p w14:paraId="3C120C51"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cs="Calibri"/>
                <w:color w:val="000000"/>
                <w:sz w:val="18"/>
                <w:szCs w:val="18"/>
              </w:rPr>
              <w:t>5.464</w:t>
            </w:r>
          </w:p>
        </w:tc>
        <w:tc>
          <w:tcPr>
            <w:tcW w:w="469" w:type="pct"/>
            <w:vAlign w:val="center"/>
            <w:hideMark/>
          </w:tcPr>
          <w:p w14:paraId="1B6F4A5B"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cs="Calibri"/>
                <w:color w:val="000000"/>
                <w:sz w:val="18"/>
                <w:szCs w:val="18"/>
              </w:rPr>
              <w:t>10.678</w:t>
            </w:r>
          </w:p>
        </w:tc>
        <w:tc>
          <w:tcPr>
            <w:tcW w:w="469" w:type="pct"/>
            <w:vAlign w:val="center"/>
            <w:hideMark/>
          </w:tcPr>
          <w:p w14:paraId="1784511D"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cs="Calibri"/>
                <w:color w:val="000000"/>
                <w:sz w:val="18"/>
                <w:szCs w:val="18"/>
              </w:rPr>
              <w:t>2.971</w:t>
            </w:r>
          </w:p>
        </w:tc>
        <w:tc>
          <w:tcPr>
            <w:tcW w:w="469" w:type="pct"/>
            <w:vAlign w:val="center"/>
            <w:hideMark/>
          </w:tcPr>
          <w:p w14:paraId="4A288706"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cs="Calibri"/>
                <w:color w:val="000000"/>
                <w:sz w:val="18"/>
                <w:szCs w:val="18"/>
              </w:rPr>
              <w:t>690</w:t>
            </w:r>
          </w:p>
        </w:tc>
        <w:tc>
          <w:tcPr>
            <w:tcW w:w="469" w:type="pct"/>
            <w:vAlign w:val="center"/>
            <w:hideMark/>
          </w:tcPr>
          <w:p w14:paraId="0FD0C195"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cs="Calibri"/>
                <w:color w:val="000000"/>
                <w:sz w:val="18"/>
                <w:szCs w:val="18"/>
              </w:rPr>
              <w:t>1.061</w:t>
            </w:r>
          </w:p>
        </w:tc>
        <w:tc>
          <w:tcPr>
            <w:tcW w:w="470" w:type="pct"/>
            <w:noWrap/>
            <w:vAlign w:val="center"/>
            <w:hideMark/>
          </w:tcPr>
          <w:p w14:paraId="569F20C8" w14:textId="77777777" w:rsidR="003E245D" w:rsidRPr="003E245D" w:rsidRDefault="003E245D" w:rsidP="003E245D">
            <w:pPr>
              <w:spacing w:after="0" w:line="240" w:lineRule="auto"/>
              <w:jc w:val="right"/>
              <w:rPr>
                <w:rFonts w:eastAsia="Times New Roman" w:cs="Calibri"/>
                <w:color w:val="FF0000"/>
                <w:sz w:val="18"/>
                <w:szCs w:val="18"/>
              </w:rPr>
            </w:pPr>
            <w:r w:rsidRPr="003E245D">
              <w:rPr>
                <w:rFonts w:cs="Calibri"/>
                <w:color w:val="FF0000"/>
                <w:sz w:val="18"/>
                <w:szCs w:val="18"/>
              </w:rPr>
              <w:t>1.530</w:t>
            </w:r>
          </w:p>
        </w:tc>
        <w:tc>
          <w:tcPr>
            <w:tcW w:w="544" w:type="pct"/>
            <w:vAlign w:val="center"/>
            <w:hideMark/>
          </w:tcPr>
          <w:p w14:paraId="31B98694"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cs="Calibri"/>
                <w:color w:val="000000"/>
                <w:sz w:val="18"/>
                <w:szCs w:val="18"/>
              </w:rPr>
              <w:t>39.608</w:t>
            </w:r>
          </w:p>
        </w:tc>
      </w:tr>
      <w:tr w:rsidR="003E245D" w:rsidRPr="003E245D" w14:paraId="59AC1EE0" w14:textId="77777777" w:rsidTr="001365BD">
        <w:trPr>
          <w:trHeight w:val="300"/>
        </w:trPr>
        <w:tc>
          <w:tcPr>
            <w:tcW w:w="471" w:type="pct"/>
            <w:shd w:val="clear" w:color="auto" w:fill="90C5F6" w:themeFill="accent1" w:themeFillTint="66"/>
            <w:noWrap/>
            <w:vAlign w:val="bottom"/>
            <w:hideMark/>
          </w:tcPr>
          <w:p w14:paraId="236F104A" w14:textId="77777777" w:rsidR="003E245D" w:rsidRPr="003E245D" w:rsidRDefault="003E245D" w:rsidP="003E245D">
            <w:pPr>
              <w:spacing w:after="0" w:line="240" w:lineRule="auto"/>
              <w:jc w:val="left"/>
              <w:rPr>
                <w:rFonts w:eastAsia="Times New Roman" w:cs="Calibri"/>
                <w:color w:val="000000"/>
                <w:sz w:val="18"/>
                <w:szCs w:val="18"/>
              </w:rPr>
            </w:pPr>
            <w:r w:rsidRPr="003E245D">
              <w:rPr>
                <w:rFonts w:eastAsia="Times New Roman" w:cs="Calibri"/>
                <w:color w:val="000000"/>
                <w:sz w:val="18"/>
                <w:szCs w:val="18"/>
              </w:rPr>
              <w:t>C017</w:t>
            </w:r>
          </w:p>
        </w:tc>
        <w:tc>
          <w:tcPr>
            <w:tcW w:w="700" w:type="pct"/>
            <w:noWrap/>
            <w:vAlign w:val="bottom"/>
            <w:hideMark/>
          </w:tcPr>
          <w:p w14:paraId="76D0A66B" w14:textId="77777777" w:rsidR="003E245D" w:rsidRPr="003E245D" w:rsidRDefault="003E245D" w:rsidP="003E245D">
            <w:pPr>
              <w:spacing w:after="0" w:line="240" w:lineRule="auto"/>
              <w:jc w:val="left"/>
              <w:rPr>
                <w:rFonts w:eastAsia="Times New Roman" w:cs="Calibri"/>
                <w:color w:val="000000"/>
                <w:sz w:val="18"/>
                <w:szCs w:val="18"/>
              </w:rPr>
            </w:pPr>
            <w:r w:rsidRPr="003E245D">
              <w:rPr>
                <w:rFonts w:eastAsia="Times New Roman" w:cs="Calibri"/>
                <w:color w:val="000000"/>
                <w:sz w:val="18"/>
                <w:szCs w:val="18"/>
              </w:rPr>
              <w:t>ALPIGNANO</w:t>
            </w:r>
          </w:p>
        </w:tc>
        <w:tc>
          <w:tcPr>
            <w:tcW w:w="469" w:type="pct"/>
            <w:noWrap/>
            <w:vAlign w:val="center"/>
            <w:hideMark/>
          </w:tcPr>
          <w:p w14:paraId="3D8D5846"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cs="Calibri"/>
                <w:color w:val="000000"/>
                <w:sz w:val="18"/>
                <w:szCs w:val="18"/>
              </w:rPr>
              <w:t>4.783</w:t>
            </w:r>
          </w:p>
        </w:tc>
        <w:tc>
          <w:tcPr>
            <w:tcW w:w="469" w:type="pct"/>
            <w:noWrap/>
            <w:vAlign w:val="center"/>
            <w:hideMark/>
          </w:tcPr>
          <w:p w14:paraId="72804394"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cs="Calibri"/>
                <w:color w:val="000000"/>
                <w:sz w:val="18"/>
                <w:szCs w:val="18"/>
              </w:rPr>
              <w:t>2.693</w:t>
            </w:r>
          </w:p>
        </w:tc>
        <w:tc>
          <w:tcPr>
            <w:tcW w:w="469" w:type="pct"/>
            <w:vAlign w:val="center"/>
            <w:hideMark/>
          </w:tcPr>
          <w:p w14:paraId="3DAD6FEA"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cs="Calibri"/>
                <w:color w:val="000000"/>
                <w:sz w:val="18"/>
                <w:szCs w:val="18"/>
              </w:rPr>
              <w:t>2.689</w:t>
            </w:r>
          </w:p>
        </w:tc>
        <w:tc>
          <w:tcPr>
            <w:tcW w:w="469" w:type="pct"/>
            <w:vAlign w:val="center"/>
            <w:hideMark/>
          </w:tcPr>
          <w:p w14:paraId="41AB3442"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cs="Calibri"/>
                <w:color w:val="000000"/>
                <w:sz w:val="18"/>
                <w:szCs w:val="18"/>
              </w:rPr>
              <w:t>1.109</w:t>
            </w:r>
          </w:p>
        </w:tc>
        <w:tc>
          <w:tcPr>
            <w:tcW w:w="469" w:type="pct"/>
            <w:vAlign w:val="center"/>
            <w:hideMark/>
          </w:tcPr>
          <w:p w14:paraId="6000900E"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cs="Calibri"/>
                <w:color w:val="000000"/>
                <w:sz w:val="18"/>
                <w:szCs w:val="18"/>
              </w:rPr>
              <w:t>173</w:t>
            </w:r>
          </w:p>
        </w:tc>
        <w:tc>
          <w:tcPr>
            <w:tcW w:w="469" w:type="pct"/>
            <w:vAlign w:val="center"/>
            <w:hideMark/>
          </w:tcPr>
          <w:p w14:paraId="10A35F40"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cs="Calibri"/>
                <w:color w:val="000000"/>
                <w:sz w:val="18"/>
                <w:szCs w:val="18"/>
              </w:rPr>
              <w:t>311</w:t>
            </w:r>
          </w:p>
        </w:tc>
        <w:tc>
          <w:tcPr>
            <w:tcW w:w="470" w:type="pct"/>
            <w:noWrap/>
            <w:vAlign w:val="center"/>
            <w:hideMark/>
          </w:tcPr>
          <w:p w14:paraId="6689DEE2" w14:textId="77777777" w:rsidR="003E245D" w:rsidRPr="003E245D" w:rsidRDefault="003E245D" w:rsidP="003E245D">
            <w:pPr>
              <w:spacing w:after="0" w:line="240" w:lineRule="auto"/>
              <w:jc w:val="right"/>
              <w:rPr>
                <w:rFonts w:eastAsia="Times New Roman" w:cs="Calibri"/>
                <w:color w:val="FF0000"/>
                <w:sz w:val="18"/>
                <w:szCs w:val="18"/>
              </w:rPr>
            </w:pPr>
            <w:r w:rsidRPr="003E245D">
              <w:rPr>
                <w:rFonts w:cs="Calibri"/>
                <w:color w:val="FF0000"/>
                <w:sz w:val="18"/>
                <w:szCs w:val="18"/>
              </w:rPr>
              <w:t>2.176</w:t>
            </w:r>
          </w:p>
        </w:tc>
        <w:tc>
          <w:tcPr>
            <w:tcW w:w="544" w:type="pct"/>
            <w:vAlign w:val="center"/>
            <w:hideMark/>
          </w:tcPr>
          <w:p w14:paraId="52386CA0"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cs="Calibri"/>
                <w:color w:val="000000"/>
                <w:sz w:val="18"/>
                <w:szCs w:val="18"/>
              </w:rPr>
              <w:t>13.935</w:t>
            </w:r>
          </w:p>
        </w:tc>
      </w:tr>
      <w:tr w:rsidR="003E245D" w:rsidRPr="003E245D" w14:paraId="2D82FD30" w14:textId="77777777" w:rsidTr="001365BD">
        <w:trPr>
          <w:trHeight w:val="300"/>
        </w:trPr>
        <w:tc>
          <w:tcPr>
            <w:tcW w:w="471" w:type="pct"/>
            <w:shd w:val="clear" w:color="auto" w:fill="FFCC99"/>
            <w:noWrap/>
            <w:vAlign w:val="bottom"/>
            <w:hideMark/>
          </w:tcPr>
          <w:p w14:paraId="3B294EAB" w14:textId="77777777" w:rsidR="003E245D" w:rsidRPr="003E245D" w:rsidRDefault="003E245D" w:rsidP="003E245D">
            <w:pPr>
              <w:spacing w:after="0" w:line="240" w:lineRule="auto"/>
              <w:jc w:val="left"/>
              <w:rPr>
                <w:rFonts w:eastAsia="Times New Roman" w:cs="Calibri"/>
                <w:color w:val="000000"/>
                <w:sz w:val="18"/>
                <w:szCs w:val="18"/>
              </w:rPr>
            </w:pPr>
            <w:r w:rsidRPr="003E245D">
              <w:rPr>
                <w:rFonts w:eastAsia="Times New Roman" w:cs="Calibri"/>
                <w:color w:val="000000"/>
                <w:sz w:val="18"/>
                <w:szCs w:val="18"/>
              </w:rPr>
              <w:t>E029</w:t>
            </w:r>
          </w:p>
        </w:tc>
        <w:tc>
          <w:tcPr>
            <w:tcW w:w="700" w:type="pct"/>
            <w:noWrap/>
            <w:vAlign w:val="bottom"/>
            <w:hideMark/>
          </w:tcPr>
          <w:p w14:paraId="3ABBC10D" w14:textId="77777777" w:rsidR="003E245D" w:rsidRPr="003E245D" w:rsidRDefault="003E245D" w:rsidP="003E245D">
            <w:pPr>
              <w:spacing w:after="0" w:line="240" w:lineRule="auto"/>
              <w:jc w:val="left"/>
              <w:rPr>
                <w:rFonts w:eastAsia="Times New Roman" w:cs="Calibri"/>
                <w:color w:val="000000"/>
                <w:sz w:val="18"/>
                <w:szCs w:val="18"/>
              </w:rPr>
            </w:pPr>
            <w:r w:rsidRPr="003E245D">
              <w:rPr>
                <w:rFonts w:eastAsia="Times New Roman" w:cs="Calibri"/>
                <w:color w:val="000000"/>
                <w:sz w:val="18"/>
                <w:szCs w:val="18"/>
              </w:rPr>
              <w:t>GIAVENO E LIMITROFI</w:t>
            </w:r>
          </w:p>
        </w:tc>
        <w:tc>
          <w:tcPr>
            <w:tcW w:w="469" w:type="pct"/>
            <w:noWrap/>
            <w:vAlign w:val="center"/>
            <w:hideMark/>
          </w:tcPr>
          <w:p w14:paraId="4FE9DBC6"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cs="Calibri"/>
                <w:color w:val="000000"/>
                <w:sz w:val="18"/>
                <w:szCs w:val="18"/>
              </w:rPr>
              <w:t>9.413</w:t>
            </w:r>
          </w:p>
        </w:tc>
        <w:tc>
          <w:tcPr>
            <w:tcW w:w="469" w:type="pct"/>
            <w:noWrap/>
            <w:vAlign w:val="center"/>
            <w:hideMark/>
          </w:tcPr>
          <w:p w14:paraId="59A122C7"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cs="Calibri"/>
                <w:color w:val="000000"/>
                <w:sz w:val="18"/>
                <w:szCs w:val="18"/>
              </w:rPr>
              <w:t>104</w:t>
            </w:r>
          </w:p>
        </w:tc>
        <w:tc>
          <w:tcPr>
            <w:tcW w:w="469" w:type="pct"/>
            <w:vAlign w:val="center"/>
            <w:hideMark/>
          </w:tcPr>
          <w:p w14:paraId="15C0230F"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cs="Calibri"/>
                <w:color w:val="000000"/>
                <w:sz w:val="18"/>
                <w:szCs w:val="18"/>
              </w:rPr>
              <w:t>775</w:t>
            </w:r>
          </w:p>
        </w:tc>
        <w:tc>
          <w:tcPr>
            <w:tcW w:w="469" w:type="pct"/>
            <w:vAlign w:val="center"/>
            <w:hideMark/>
          </w:tcPr>
          <w:p w14:paraId="070DA61B"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cs="Calibri"/>
                <w:color w:val="000000"/>
                <w:sz w:val="18"/>
                <w:szCs w:val="18"/>
              </w:rPr>
              <w:t>292</w:t>
            </w:r>
          </w:p>
        </w:tc>
        <w:tc>
          <w:tcPr>
            <w:tcW w:w="469" w:type="pct"/>
            <w:vAlign w:val="center"/>
            <w:hideMark/>
          </w:tcPr>
          <w:p w14:paraId="31AA215E"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cs="Calibri"/>
                <w:color w:val="000000"/>
                <w:sz w:val="18"/>
                <w:szCs w:val="18"/>
              </w:rPr>
              <w:t>104</w:t>
            </w:r>
          </w:p>
        </w:tc>
        <w:tc>
          <w:tcPr>
            <w:tcW w:w="469" w:type="pct"/>
            <w:vAlign w:val="center"/>
            <w:hideMark/>
          </w:tcPr>
          <w:p w14:paraId="66CED888"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cs="Calibri"/>
                <w:color w:val="000000"/>
                <w:sz w:val="18"/>
                <w:szCs w:val="18"/>
              </w:rPr>
              <w:t>104</w:t>
            </w:r>
          </w:p>
        </w:tc>
        <w:tc>
          <w:tcPr>
            <w:tcW w:w="470" w:type="pct"/>
            <w:noWrap/>
            <w:vAlign w:val="center"/>
            <w:hideMark/>
          </w:tcPr>
          <w:p w14:paraId="2855BAE4" w14:textId="77777777" w:rsidR="003E245D" w:rsidRPr="003E245D" w:rsidRDefault="003E245D" w:rsidP="003E245D">
            <w:pPr>
              <w:spacing w:after="0" w:line="240" w:lineRule="auto"/>
              <w:jc w:val="right"/>
              <w:rPr>
                <w:rFonts w:eastAsia="Times New Roman" w:cs="Calibri"/>
                <w:color w:val="FF0000"/>
                <w:sz w:val="18"/>
                <w:szCs w:val="18"/>
              </w:rPr>
            </w:pPr>
            <w:r w:rsidRPr="003E245D">
              <w:rPr>
                <w:rFonts w:cs="Calibri"/>
                <w:color w:val="FF0000"/>
                <w:sz w:val="18"/>
                <w:szCs w:val="18"/>
              </w:rPr>
              <w:t>580</w:t>
            </w:r>
          </w:p>
        </w:tc>
        <w:tc>
          <w:tcPr>
            <w:tcW w:w="544" w:type="pct"/>
            <w:vAlign w:val="center"/>
            <w:hideMark/>
          </w:tcPr>
          <w:p w14:paraId="7BEF7C5D"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cs="Calibri"/>
                <w:color w:val="000000"/>
                <w:sz w:val="18"/>
                <w:szCs w:val="18"/>
              </w:rPr>
              <w:t>11.372</w:t>
            </w:r>
          </w:p>
        </w:tc>
      </w:tr>
      <w:tr w:rsidR="003E245D" w:rsidRPr="003E245D" w14:paraId="1553A401" w14:textId="77777777" w:rsidTr="001365BD">
        <w:trPr>
          <w:trHeight w:val="300"/>
        </w:trPr>
        <w:tc>
          <w:tcPr>
            <w:tcW w:w="471" w:type="pct"/>
            <w:shd w:val="clear" w:color="auto" w:fill="FF99FF"/>
            <w:noWrap/>
            <w:vAlign w:val="bottom"/>
            <w:hideMark/>
          </w:tcPr>
          <w:p w14:paraId="1537E897" w14:textId="77777777" w:rsidR="003E245D" w:rsidRPr="003E245D" w:rsidRDefault="003E245D" w:rsidP="003E245D">
            <w:pPr>
              <w:spacing w:after="0" w:line="240" w:lineRule="auto"/>
              <w:jc w:val="left"/>
              <w:rPr>
                <w:rFonts w:eastAsia="Times New Roman" w:cs="Calibri"/>
                <w:color w:val="000000"/>
                <w:sz w:val="18"/>
                <w:szCs w:val="18"/>
              </w:rPr>
            </w:pPr>
            <w:r w:rsidRPr="003E245D">
              <w:rPr>
                <w:rFonts w:eastAsia="Times New Roman" w:cs="Calibri"/>
                <w:color w:val="000000"/>
                <w:sz w:val="18"/>
                <w:szCs w:val="18"/>
              </w:rPr>
              <w:t>E030</w:t>
            </w:r>
          </w:p>
        </w:tc>
        <w:tc>
          <w:tcPr>
            <w:tcW w:w="700" w:type="pct"/>
            <w:noWrap/>
            <w:vAlign w:val="bottom"/>
            <w:hideMark/>
          </w:tcPr>
          <w:p w14:paraId="1CE2ADA4" w14:textId="77777777" w:rsidR="003E245D" w:rsidRPr="003E245D" w:rsidRDefault="003E245D" w:rsidP="003E245D">
            <w:pPr>
              <w:spacing w:after="0" w:line="240" w:lineRule="auto"/>
              <w:jc w:val="left"/>
              <w:rPr>
                <w:rFonts w:eastAsia="Times New Roman" w:cs="Calibri"/>
                <w:color w:val="000000"/>
                <w:sz w:val="18"/>
                <w:szCs w:val="18"/>
              </w:rPr>
            </w:pPr>
            <w:r w:rsidRPr="003E245D">
              <w:rPr>
                <w:rFonts w:eastAsia="Times New Roman" w:cs="Calibri"/>
                <w:color w:val="000000"/>
                <w:sz w:val="18"/>
                <w:szCs w:val="18"/>
              </w:rPr>
              <w:t>AVIGLIANA E LIMITROFI</w:t>
            </w:r>
          </w:p>
        </w:tc>
        <w:tc>
          <w:tcPr>
            <w:tcW w:w="469" w:type="pct"/>
            <w:noWrap/>
            <w:vAlign w:val="center"/>
            <w:hideMark/>
          </w:tcPr>
          <w:p w14:paraId="3F2C3CAD"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cs="Calibri"/>
                <w:color w:val="000000"/>
                <w:sz w:val="18"/>
                <w:szCs w:val="18"/>
              </w:rPr>
              <w:t>9.723</w:t>
            </w:r>
          </w:p>
        </w:tc>
        <w:tc>
          <w:tcPr>
            <w:tcW w:w="469" w:type="pct"/>
            <w:noWrap/>
            <w:vAlign w:val="center"/>
            <w:hideMark/>
          </w:tcPr>
          <w:p w14:paraId="1F20995C"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cs="Calibri"/>
                <w:color w:val="000000"/>
                <w:sz w:val="18"/>
                <w:szCs w:val="18"/>
              </w:rPr>
              <w:t>188</w:t>
            </w:r>
          </w:p>
        </w:tc>
        <w:tc>
          <w:tcPr>
            <w:tcW w:w="469" w:type="pct"/>
            <w:vAlign w:val="center"/>
            <w:hideMark/>
          </w:tcPr>
          <w:p w14:paraId="40A8101A"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cs="Calibri"/>
                <w:color w:val="000000"/>
                <w:sz w:val="18"/>
                <w:szCs w:val="18"/>
              </w:rPr>
              <w:t>1.788</w:t>
            </w:r>
          </w:p>
        </w:tc>
        <w:tc>
          <w:tcPr>
            <w:tcW w:w="469" w:type="pct"/>
            <w:vAlign w:val="center"/>
            <w:hideMark/>
          </w:tcPr>
          <w:p w14:paraId="0A7E7955"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cs="Calibri"/>
                <w:color w:val="000000"/>
                <w:sz w:val="18"/>
                <w:szCs w:val="18"/>
              </w:rPr>
              <w:t>189</w:t>
            </w:r>
          </w:p>
        </w:tc>
        <w:tc>
          <w:tcPr>
            <w:tcW w:w="469" w:type="pct"/>
            <w:vAlign w:val="center"/>
            <w:hideMark/>
          </w:tcPr>
          <w:p w14:paraId="31017B16"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cs="Calibri"/>
                <w:color w:val="000000"/>
                <w:sz w:val="18"/>
                <w:szCs w:val="18"/>
              </w:rPr>
              <w:t>277</w:t>
            </w:r>
          </w:p>
        </w:tc>
        <w:tc>
          <w:tcPr>
            <w:tcW w:w="469" w:type="pct"/>
            <w:vAlign w:val="center"/>
            <w:hideMark/>
          </w:tcPr>
          <w:p w14:paraId="20DBC03A"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cs="Calibri"/>
                <w:color w:val="000000"/>
                <w:sz w:val="18"/>
                <w:szCs w:val="18"/>
              </w:rPr>
              <w:t>0</w:t>
            </w:r>
          </w:p>
        </w:tc>
        <w:tc>
          <w:tcPr>
            <w:tcW w:w="470" w:type="pct"/>
            <w:noWrap/>
            <w:vAlign w:val="center"/>
            <w:hideMark/>
          </w:tcPr>
          <w:p w14:paraId="296A449E" w14:textId="77777777" w:rsidR="003E245D" w:rsidRPr="003E245D" w:rsidRDefault="003E245D" w:rsidP="003E245D">
            <w:pPr>
              <w:spacing w:after="0" w:line="240" w:lineRule="auto"/>
              <w:jc w:val="right"/>
              <w:rPr>
                <w:rFonts w:eastAsia="Times New Roman" w:cs="Calibri"/>
                <w:color w:val="FF0000"/>
                <w:sz w:val="18"/>
                <w:szCs w:val="18"/>
              </w:rPr>
            </w:pPr>
            <w:r w:rsidRPr="003E245D">
              <w:rPr>
                <w:rFonts w:cs="Calibri"/>
                <w:color w:val="FF0000"/>
                <w:sz w:val="18"/>
                <w:szCs w:val="18"/>
              </w:rPr>
              <w:t>747</w:t>
            </w:r>
          </w:p>
        </w:tc>
        <w:tc>
          <w:tcPr>
            <w:tcW w:w="544" w:type="pct"/>
            <w:vAlign w:val="center"/>
            <w:hideMark/>
          </w:tcPr>
          <w:p w14:paraId="6CD7292D"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cs="Calibri"/>
                <w:color w:val="000000"/>
                <w:sz w:val="18"/>
                <w:szCs w:val="18"/>
              </w:rPr>
              <w:t>12.912</w:t>
            </w:r>
          </w:p>
        </w:tc>
      </w:tr>
      <w:tr w:rsidR="003E245D" w:rsidRPr="003E245D" w14:paraId="4D5D56F0" w14:textId="77777777" w:rsidTr="001365BD">
        <w:trPr>
          <w:trHeight w:val="300"/>
        </w:trPr>
        <w:tc>
          <w:tcPr>
            <w:tcW w:w="471" w:type="pct"/>
            <w:shd w:val="clear" w:color="auto" w:fill="CCCCFF"/>
            <w:noWrap/>
            <w:vAlign w:val="bottom"/>
            <w:hideMark/>
          </w:tcPr>
          <w:p w14:paraId="44C76932" w14:textId="77777777" w:rsidR="003E245D" w:rsidRPr="003E245D" w:rsidRDefault="003E245D" w:rsidP="003E245D">
            <w:pPr>
              <w:spacing w:after="0" w:line="240" w:lineRule="auto"/>
              <w:jc w:val="left"/>
              <w:rPr>
                <w:rFonts w:eastAsia="Times New Roman" w:cs="Calibri"/>
                <w:color w:val="000000"/>
                <w:sz w:val="18"/>
                <w:szCs w:val="18"/>
              </w:rPr>
            </w:pPr>
            <w:r w:rsidRPr="003E245D">
              <w:rPr>
                <w:rFonts w:eastAsia="Times New Roman" w:cs="Calibri"/>
                <w:color w:val="000000"/>
                <w:sz w:val="18"/>
                <w:szCs w:val="18"/>
              </w:rPr>
              <w:t>E031</w:t>
            </w:r>
          </w:p>
        </w:tc>
        <w:tc>
          <w:tcPr>
            <w:tcW w:w="700" w:type="pct"/>
            <w:noWrap/>
            <w:vAlign w:val="bottom"/>
            <w:hideMark/>
          </w:tcPr>
          <w:p w14:paraId="311B6ACC" w14:textId="77777777" w:rsidR="003E245D" w:rsidRPr="003E245D" w:rsidRDefault="003E245D" w:rsidP="003E245D">
            <w:pPr>
              <w:spacing w:after="0" w:line="240" w:lineRule="auto"/>
              <w:jc w:val="left"/>
              <w:rPr>
                <w:rFonts w:eastAsia="Times New Roman" w:cs="Calibri"/>
                <w:color w:val="000000"/>
                <w:sz w:val="18"/>
                <w:szCs w:val="18"/>
              </w:rPr>
            </w:pPr>
            <w:r w:rsidRPr="003E245D">
              <w:rPr>
                <w:rFonts w:eastAsia="Times New Roman" w:cs="Calibri"/>
                <w:color w:val="000000"/>
                <w:sz w:val="18"/>
                <w:szCs w:val="18"/>
              </w:rPr>
              <w:t>GIVOLETTO E LIMITROFI</w:t>
            </w:r>
          </w:p>
        </w:tc>
        <w:tc>
          <w:tcPr>
            <w:tcW w:w="469" w:type="pct"/>
            <w:noWrap/>
            <w:vAlign w:val="center"/>
            <w:hideMark/>
          </w:tcPr>
          <w:p w14:paraId="03DCE077"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cs="Calibri"/>
                <w:color w:val="000000"/>
                <w:sz w:val="18"/>
                <w:szCs w:val="18"/>
              </w:rPr>
              <w:t>5.677</w:t>
            </w:r>
          </w:p>
        </w:tc>
        <w:tc>
          <w:tcPr>
            <w:tcW w:w="469" w:type="pct"/>
            <w:noWrap/>
            <w:vAlign w:val="center"/>
            <w:hideMark/>
          </w:tcPr>
          <w:p w14:paraId="4B9BEC3A"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cs="Calibri"/>
                <w:color w:val="000000"/>
                <w:sz w:val="18"/>
                <w:szCs w:val="18"/>
              </w:rPr>
              <w:t>1.158</w:t>
            </w:r>
          </w:p>
        </w:tc>
        <w:tc>
          <w:tcPr>
            <w:tcW w:w="469" w:type="pct"/>
            <w:vAlign w:val="center"/>
            <w:hideMark/>
          </w:tcPr>
          <w:p w14:paraId="37C25359"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cs="Calibri"/>
                <w:color w:val="000000"/>
                <w:sz w:val="18"/>
                <w:szCs w:val="18"/>
              </w:rPr>
              <w:t>1.225</w:t>
            </w:r>
          </w:p>
        </w:tc>
        <w:tc>
          <w:tcPr>
            <w:tcW w:w="469" w:type="pct"/>
            <w:vAlign w:val="center"/>
            <w:hideMark/>
          </w:tcPr>
          <w:p w14:paraId="350454D9"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cs="Calibri"/>
                <w:color w:val="000000"/>
                <w:sz w:val="18"/>
                <w:szCs w:val="18"/>
              </w:rPr>
              <w:t>98</w:t>
            </w:r>
          </w:p>
        </w:tc>
        <w:tc>
          <w:tcPr>
            <w:tcW w:w="469" w:type="pct"/>
            <w:vAlign w:val="center"/>
            <w:hideMark/>
          </w:tcPr>
          <w:p w14:paraId="0237E8AB"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cs="Calibri"/>
                <w:color w:val="000000"/>
                <w:sz w:val="18"/>
                <w:szCs w:val="18"/>
              </w:rPr>
              <w:t>0</w:t>
            </w:r>
          </w:p>
        </w:tc>
        <w:tc>
          <w:tcPr>
            <w:tcW w:w="469" w:type="pct"/>
            <w:vAlign w:val="center"/>
            <w:hideMark/>
          </w:tcPr>
          <w:p w14:paraId="35E5A7D0"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cs="Calibri"/>
                <w:color w:val="000000"/>
                <w:sz w:val="18"/>
                <w:szCs w:val="18"/>
              </w:rPr>
              <w:t>98</w:t>
            </w:r>
          </w:p>
        </w:tc>
        <w:tc>
          <w:tcPr>
            <w:tcW w:w="470" w:type="pct"/>
            <w:noWrap/>
            <w:vAlign w:val="center"/>
            <w:hideMark/>
          </w:tcPr>
          <w:p w14:paraId="4663992D" w14:textId="77777777" w:rsidR="003E245D" w:rsidRPr="003E245D" w:rsidRDefault="003E245D" w:rsidP="003E245D">
            <w:pPr>
              <w:spacing w:after="0" w:line="240" w:lineRule="auto"/>
              <w:jc w:val="right"/>
              <w:rPr>
                <w:rFonts w:eastAsia="Times New Roman" w:cs="Calibri"/>
                <w:color w:val="FF0000"/>
                <w:sz w:val="18"/>
                <w:szCs w:val="18"/>
              </w:rPr>
            </w:pPr>
            <w:r w:rsidRPr="003E245D">
              <w:rPr>
                <w:rFonts w:cs="Calibri"/>
                <w:color w:val="FF0000"/>
                <w:sz w:val="18"/>
                <w:szCs w:val="18"/>
              </w:rPr>
              <w:t>1.131</w:t>
            </w:r>
          </w:p>
        </w:tc>
        <w:tc>
          <w:tcPr>
            <w:tcW w:w="544" w:type="pct"/>
            <w:vAlign w:val="center"/>
            <w:hideMark/>
          </w:tcPr>
          <w:p w14:paraId="75F8302E"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cs="Calibri"/>
                <w:color w:val="000000"/>
                <w:sz w:val="18"/>
                <w:szCs w:val="18"/>
              </w:rPr>
              <w:t>9.388</w:t>
            </w:r>
          </w:p>
        </w:tc>
      </w:tr>
      <w:tr w:rsidR="003E245D" w:rsidRPr="003E245D" w14:paraId="266FDCC0" w14:textId="77777777" w:rsidTr="001365BD">
        <w:trPr>
          <w:trHeight w:val="300"/>
        </w:trPr>
        <w:tc>
          <w:tcPr>
            <w:tcW w:w="471" w:type="pct"/>
            <w:shd w:val="clear" w:color="auto" w:fill="FFCCFF"/>
            <w:noWrap/>
            <w:vAlign w:val="bottom"/>
            <w:hideMark/>
          </w:tcPr>
          <w:p w14:paraId="10DD0357" w14:textId="77777777" w:rsidR="003E245D" w:rsidRPr="003E245D" w:rsidRDefault="003E245D" w:rsidP="003E245D">
            <w:pPr>
              <w:spacing w:after="0" w:line="240" w:lineRule="auto"/>
              <w:jc w:val="left"/>
              <w:rPr>
                <w:rFonts w:eastAsia="Times New Roman" w:cs="Calibri"/>
                <w:color w:val="000000"/>
                <w:sz w:val="18"/>
                <w:szCs w:val="18"/>
              </w:rPr>
            </w:pPr>
            <w:r w:rsidRPr="003E245D">
              <w:rPr>
                <w:rFonts w:eastAsia="Times New Roman" w:cs="Calibri"/>
                <w:color w:val="000000"/>
                <w:sz w:val="18"/>
                <w:szCs w:val="18"/>
              </w:rPr>
              <w:t>E032</w:t>
            </w:r>
          </w:p>
        </w:tc>
        <w:tc>
          <w:tcPr>
            <w:tcW w:w="700" w:type="pct"/>
            <w:noWrap/>
            <w:vAlign w:val="bottom"/>
            <w:hideMark/>
          </w:tcPr>
          <w:p w14:paraId="09D5E565" w14:textId="77777777" w:rsidR="003E245D" w:rsidRPr="003E245D" w:rsidRDefault="003E245D" w:rsidP="003E245D">
            <w:pPr>
              <w:spacing w:after="0" w:line="240" w:lineRule="auto"/>
              <w:jc w:val="left"/>
              <w:rPr>
                <w:rFonts w:eastAsia="Times New Roman" w:cs="Calibri"/>
                <w:color w:val="000000"/>
                <w:sz w:val="18"/>
                <w:szCs w:val="18"/>
              </w:rPr>
            </w:pPr>
            <w:r w:rsidRPr="003E245D">
              <w:rPr>
                <w:rFonts w:eastAsia="Times New Roman" w:cs="Calibri"/>
                <w:color w:val="000000"/>
                <w:sz w:val="18"/>
                <w:szCs w:val="18"/>
              </w:rPr>
              <w:t>ALMESE E LIMITROFI</w:t>
            </w:r>
          </w:p>
        </w:tc>
        <w:tc>
          <w:tcPr>
            <w:tcW w:w="469" w:type="pct"/>
            <w:noWrap/>
            <w:vAlign w:val="center"/>
            <w:hideMark/>
          </w:tcPr>
          <w:p w14:paraId="6DCDFD6D"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cs="Calibri"/>
                <w:color w:val="000000"/>
                <w:sz w:val="18"/>
                <w:szCs w:val="18"/>
              </w:rPr>
              <w:t>12.781</w:t>
            </w:r>
          </w:p>
        </w:tc>
        <w:tc>
          <w:tcPr>
            <w:tcW w:w="469" w:type="pct"/>
            <w:noWrap/>
            <w:vAlign w:val="center"/>
            <w:hideMark/>
          </w:tcPr>
          <w:p w14:paraId="12801F1C"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cs="Calibri"/>
                <w:color w:val="000000"/>
                <w:sz w:val="18"/>
                <w:szCs w:val="18"/>
              </w:rPr>
              <w:t>562</w:t>
            </w:r>
          </w:p>
        </w:tc>
        <w:tc>
          <w:tcPr>
            <w:tcW w:w="469" w:type="pct"/>
            <w:vAlign w:val="center"/>
            <w:hideMark/>
          </w:tcPr>
          <w:p w14:paraId="583626D9"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cs="Calibri"/>
                <w:color w:val="000000"/>
                <w:sz w:val="18"/>
                <w:szCs w:val="18"/>
              </w:rPr>
              <w:t>658</w:t>
            </w:r>
          </w:p>
        </w:tc>
        <w:tc>
          <w:tcPr>
            <w:tcW w:w="469" w:type="pct"/>
            <w:vAlign w:val="center"/>
            <w:hideMark/>
          </w:tcPr>
          <w:p w14:paraId="307D3D15"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cs="Calibri"/>
                <w:color w:val="000000"/>
                <w:sz w:val="18"/>
                <w:szCs w:val="18"/>
              </w:rPr>
              <w:t>280</w:t>
            </w:r>
          </w:p>
        </w:tc>
        <w:tc>
          <w:tcPr>
            <w:tcW w:w="469" w:type="pct"/>
            <w:vAlign w:val="center"/>
            <w:hideMark/>
          </w:tcPr>
          <w:p w14:paraId="4F9D17D5"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cs="Calibri"/>
                <w:color w:val="000000"/>
                <w:sz w:val="18"/>
                <w:szCs w:val="18"/>
              </w:rPr>
              <w:t>0</w:t>
            </w:r>
          </w:p>
        </w:tc>
        <w:tc>
          <w:tcPr>
            <w:tcW w:w="469" w:type="pct"/>
            <w:vAlign w:val="center"/>
            <w:hideMark/>
          </w:tcPr>
          <w:p w14:paraId="58A831FA"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cs="Calibri"/>
                <w:color w:val="000000"/>
                <w:sz w:val="18"/>
                <w:szCs w:val="18"/>
              </w:rPr>
              <w:t>0</w:t>
            </w:r>
          </w:p>
        </w:tc>
        <w:tc>
          <w:tcPr>
            <w:tcW w:w="470" w:type="pct"/>
            <w:noWrap/>
            <w:vAlign w:val="center"/>
            <w:hideMark/>
          </w:tcPr>
          <w:p w14:paraId="4792175D" w14:textId="77777777" w:rsidR="003E245D" w:rsidRPr="003E245D" w:rsidRDefault="003E245D" w:rsidP="003E245D">
            <w:pPr>
              <w:spacing w:after="0" w:line="240" w:lineRule="auto"/>
              <w:jc w:val="right"/>
              <w:rPr>
                <w:rFonts w:eastAsia="Times New Roman" w:cs="Calibri"/>
                <w:color w:val="FF0000"/>
                <w:sz w:val="18"/>
                <w:szCs w:val="18"/>
              </w:rPr>
            </w:pPr>
            <w:r w:rsidRPr="003E245D">
              <w:rPr>
                <w:rFonts w:cs="Calibri"/>
                <w:color w:val="FF0000"/>
                <w:sz w:val="18"/>
                <w:szCs w:val="18"/>
              </w:rPr>
              <w:t>1.867</w:t>
            </w:r>
          </w:p>
        </w:tc>
        <w:tc>
          <w:tcPr>
            <w:tcW w:w="544" w:type="pct"/>
            <w:vAlign w:val="center"/>
            <w:hideMark/>
          </w:tcPr>
          <w:p w14:paraId="4A9738EE"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cs="Calibri"/>
                <w:color w:val="000000"/>
                <w:sz w:val="18"/>
                <w:szCs w:val="18"/>
              </w:rPr>
              <w:t>16.148</w:t>
            </w:r>
          </w:p>
        </w:tc>
      </w:tr>
      <w:tr w:rsidR="003E245D" w:rsidRPr="003E245D" w14:paraId="2469D5B1" w14:textId="77777777" w:rsidTr="001365BD">
        <w:trPr>
          <w:trHeight w:val="300"/>
        </w:trPr>
        <w:tc>
          <w:tcPr>
            <w:tcW w:w="471" w:type="pct"/>
            <w:shd w:val="clear" w:color="auto" w:fill="FF7C80"/>
            <w:noWrap/>
            <w:vAlign w:val="center"/>
            <w:hideMark/>
          </w:tcPr>
          <w:p w14:paraId="2C7486DF" w14:textId="77777777" w:rsidR="003E245D" w:rsidRPr="003E245D" w:rsidRDefault="003E245D" w:rsidP="003E245D">
            <w:pPr>
              <w:spacing w:after="0" w:line="240" w:lineRule="auto"/>
              <w:jc w:val="right"/>
              <w:rPr>
                <w:rFonts w:eastAsia="Times New Roman" w:cs="Calibri"/>
                <w:color w:val="000000"/>
                <w:sz w:val="18"/>
                <w:szCs w:val="18"/>
              </w:rPr>
            </w:pPr>
          </w:p>
        </w:tc>
        <w:tc>
          <w:tcPr>
            <w:tcW w:w="700" w:type="pct"/>
            <w:shd w:val="clear" w:color="auto" w:fill="FF7C80"/>
            <w:noWrap/>
            <w:vAlign w:val="center"/>
            <w:hideMark/>
          </w:tcPr>
          <w:p w14:paraId="0D66D9AE" w14:textId="77777777" w:rsidR="003E245D" w:rsidRPr="003E245D" w:rsidRDefault="003E245D" w:rsidP="003E245D">
            <w:pPr>
              <w:spacing w:after="0" w:line="240" w:lineRule="auto"/>
              <w:jc w:val="left"/>
              <w:rPr>
                <w:rFonts w:eastAsia="Times New Roman" w:cs="Calibri"/>
                <w:color w:val="000000"/>
                <w:sz w:val="18"/>
                <w:szCs w:val="18"/>
              </w:rPr>
            </w:pPr>
            <w:r w:rsidRPr="003E245D">
              <w:rPr>
                <w:rFonts w:eastAsia="Times New Roman" w:cs="Calibri"/>
                <w:color w:val="000000"/>
                <w:sz w:val="18"/>
                <w:szCs w:val="18"/>
              </w:rPr>
              <w:t>Quote percentuali</w:t>
            </w:r>
          </w:p>
        </w:tc>
        <w:tc>
          <w:tcPr>
            <w:tcW w:w="469" w:type="pct"/>
            <w:shd w:val="clear" w:color="auto" w:fill="FF7C80"/>
            <w:vAlign w:val="center"/>
            <w:hideMark/>
          </w:tcPr>
          <w:p w14:paraId="3DB99252" w14:textId="77777777" w:rsidR="003E245D" w:rsidRPr="003E245D" w:rsidRDefault="003E245D" w:rsidP="003E245D">
            <w:pPr>
              <w:spacing w:after="0" w:line="240" w:lineRule="auto"/>
              <w:jc w:val="left"/>
              <w:rPr>
                <w:rFonts w:eastAsia="Times New Roman" w:cs="Calibri"/>
                <w:color w:val="000000"/>
                <w:sz w:val="18"/>
                <w:szCs w:val="18"/>
              </w:rPr>
            </w:pPr>
            <w:r w:rsidRPr="003E245D">
              <w:rPr>
                <w:rFonts w:eastAsia="Times New Roman" w:cs="Calibri"/>
                <w:color w:val="000000"/>
                <w:sz w:val="18"/>
                <w:szCs w:val="18"/>
              </w:rPr>
              <w:t> </w:t>
            </w:r>
          </w:p>
        </w:tc>
        <w:tc>
          <w:tcPr>
            <w:tcW w:w="469" w:type="pct"/>
            <w:shd w:val="clear" w:color="auto" w:fill="FF7C80"/>
            <w:vAlign w:val="center"/>
            <w:hideMark/>
          </w:tcPr>
          <w:p w14:paraId="132F30C7" w14:textId="77777777" w:rsidR="003E245D" w:rsidRPr="003E245D" w:rsidRDefault="003E245D" w:rsidP="003E245D">
            <w:pPr>
              <w:spacing w:after="0" w:line="240" w:lineRule="auto"/>
              <w:jc w:val="left"/>
              <w:rPr>
                <w:rFonts w:eastAsia="Times New Roman" w:cs="Calibri"/>
                <w:color w:val="000000"/>
                <w:sz w:val="18"/>
                <w:szCs w:val="18"/>
              </w:rPr>
            </w:pPr>
            <w:r w:rsidRPr="003E245D">
              <w:rPr>
                <w:rFonts w:eastAsia="Times New Roman" w:cs="Calibri"/>
                <w:color w:val="000000"/>
                <w:sz w:val="18"/>
                <w:szCs w:val="18"/>
              </w:rPr>
              <w:t> </w:t>
            </w:r>
          </w:p>
        </w:tc>
        <w:tc>
          <w:tcPr>
            <w:tcW w:w="469" w:type="pct"/>
            <w:shd w:val="clear" w:color="auto" w:fill="FF7C80"/>
            <w:vAlign w:val="center"/>
            <w:hideMark/>
          </w:tcPr>
          <w:p w14:paraId="146F05BB" w14:textId="77777777" w:rsidR="003E245D" w:rsidRPr="003E245D" w:rsidRDefault="003E245D" w:rsidP="003E245D">
            <w:pPr>
              <w:spacing w:after="0" w:line="240" w:lineRule="auto"/>
              <w:jc w:val="left"/>
              <w:rPr>
                <w:rFonts w:eastAsia="Times New Roman" w:cs="Calibri"/>
                <w:color w:val="000000"/>
                <w:sz w:val="18"/>
                <w:szCs w:val="18"/>
              </w:rPr>
            </w:pPr>
            <w:r w:rsidRPr="003E245D">
              <w:rPr>
                <w:rFonts w:eastAsia="Times New Roman" w:cs="Calibri"/>
                <w:color w:val="000000"/>
                <w:sz w:val="18"/>
                <w:szCs w:val="18"/>
              </w:rPr>
              <w:t> </w:t>
            </w:r>
          </w:p>
        </w:tc>
        <w:tc>
          <w:tcPr>
            <w:tcW w:w="469" w:type="pct"/>
            <w:shd w:val="clear" w:color="auto" w:fill="FF7C80"/>
            <w:vAlign w:val="center"/>
            <w:hideMark/>
          </w:tcPr>
          <w:p w14:paraId="023B9CB2" w14:textId="77777777" w:rsidR="003E245D" w:rsidRPr="003E245D" w:rsidRDefault="003E245D" w:rsidP="003E245D">
            <w:pPr>
              <w:spacing w:after="0" w:line="240" w:lineRule="auto"/>
              <w:jc w:val="left"/>
              <w:rPr>
                <w:rFonts w:eastAsia="Times New Roman" w:cs="Calibri"/>
                <w:color w:val="000000"/>
                <w:sz w:val="18"/>
                <w:szCs w:val="18"/>
              </w:rPr>
            </w:pPr>
            <w:r w:rsidRPr="003E245D">
              <w:rPr>
                <w:rFonts w:eastAsia="Times New Roman" w:cs="Calibri"/>
                <w:color w:val="000000"/>
                <w:sz w:val="18"/>
                <w:szCs w:val="18"/>
              </w:rPr>
              <w:t> </w:t>
            </w:r>
          </w:p>
        </w:tc>
        <w:tc>
          <w:tcPr>
            <w:tcW w:w="469" w:type="pct"/>
            <w:shd w:val="clear" w:color="auto" w:fill="FF7C80"/>
            <w:noWrap/>
            <w:vAlign w:val="center"/>
            <w:hideMark/>
          </w:tcPr>
          <w:p w14:paraId="43F71043" w14:textId="77777777" w:rsidR="003E245D" w:rsidRPr="003E245D" w:rsidRDefault="003E245D" w:rsidP="003E245D">
            <w:pPr>
              <w:spacing w:after="0" w:line="240" w:lineRule="auto"/>
              <w:jc w:val="left"/>
              <w:rPr>
                <w:rFonts w:eastAsia="Times New Roman" w:cs="Calibri"/>
                <w:color w:val="000000"/>
                <w:sz w:val="18"/>
                <w:szCs w:val="18"/>
              </w:rPr>
            </w:pPr>
            <w:r w:rsidRPr="003E245D">
              <w:rPr>
                <w:rFonts w:eastAsia="Times New Roman" w:cs="Calibri"/>
                <w:color w:val="000000"/>
                <w:sz w:val="18"/>
                <w:szCs w:val="18"/>
              </w:rPr>
              <w:t> </w:t>
            </w:r>
          </w:p>
        </w:tc>
        <w:tc>
          <w:tcPr>
            <w:tcW w:w="469" w:type="pct"/>
            <w:shd w:val="clear" w:color="auto" w:fill="FF7C80"/>
            <w:noWrap/>
            <w:vAlign w:val="center"/>
            <w:hideMark/>
          </w:tcPr>
          <w:p w14:paraId="7837ABA3" w14:textId="77777777" w:rsidR="003E245D" w:rsidRPr="003E245D" w:rsidRDefault="003E245D" w:rsidP="003E245D">
            <w:pPr>
              <w:spacing w:after="0" w:line="240" w:lineRule="auto"/>
              <w:jc w:val="left"/>
              <w:rPr>
                <w:rFonts w:eastAsia="Times New Roman" w:cs="Calibri"/>
                <w:color w:val="000000"/>
                <w:sz w:val="18"/>
                <w:szCs w:val="18"/>
              </w:rPr>
            </w:pPr>
            <w:r w:rsidRPr="003E245D">
              <w:rPr>
                <w:rFonts w:eastAsia="Times New Roman" w:cs="Calibri"/>
                <w:color w:val="000000"/>
                <w:sz w:val="18"/>
                <w:szCs w:val="18"/>
              </w:rPr>
              <w:t> </w:t>
            </w:r>
          </w:p>
        </w:tc>
        <w:tc>
          <w:tcPr>
            <w:tcW w:w="470" w:type="pct"/>
            <w:shd w:val="clear" w:color="auto" w:fill="FF7C80"/>
            <w:noWrap/>
            <w:vAlign w:val="center"/>
            <w:hideMark/>
          </w:tcPr>
          <w:p w14:paraId="0AC08022" w14:textId="77777777" w:rsidR="003E245D" w:rsidRPr="003E245D" w:rsidRDefault="003E245D" w:rsidP="003E245D">
            <w:pPr>
              <w:spacing w:after="0" w:line="240" w:lineRule="auto"/>
              <w:jc w:val="left"/>
              <w:rPr>
                <w:rFonts w:eastAsia="Times New Roman" w:cs="Calibri"/>
                <w:color w:val="000000"/>
                <w:sz w:val="18"/>
                <w:szCs w:val="18"/>
              </w:rPr>
            </w:pPr>
            <w:r w:rsidRPr="003E245D">
              <w:rPr>
                <w:rFonts w:eastAsia="Times New Roman" w:cs="Calibri"/>
                <w:color w:val="000000"/>
                <w:sz w:val="18"/>
                <w:szCs w:val="18"/>
              </w:rPr>
              <w:t> </w:t>
            </w:r>
          </w:p>
        </w:tc>
        <w:tc>
          <w:tcPr>
            <w:tcW w:w="544" w:type="pct"/>
            <w:shd w:val="clear" w:color="auto" w:fill="FF7C80"/>
            <w:vAlign w:val="center"/>
            <w:hideMark/>
          </w:tcPr>
          <w:p w14:paraId="16004BD5" w14:textId="77777777" w:rsidR="003E245D" w:rsidRPr="003E245D" w:rsidRDefault="003E245D" w:rsidP="003E245D">
            <w:pPr>
              <w:spacing w:after="0" w:line="240" w:lineRule="auto"/>
              <w:jc w:val="center"/>
              <w:rPr>
                <w:rFonts w:eastAsia="Times New Roman" w:cs="Calibri"/>
                <w:color w:val="000000"/>
                <w:sz w:val="18"/>
                <w:szCs w:val="18"/>
              </w:rPr>
            </w:pPr>
            <w:r w:rsidRPr="003E245D">
              <w:rPr>
                <w:rFonts w:eastAsia="Times New Roman" w:cs="Calibri"/>
                <w:color w:val="000000"/>
                <w:sz w:val="18"/>
                <w:szCs w:val="18"/>
              </w:rPr>
              <w:t>Prevalenza</w:t>
            </w:r>
          </w:p>
        </w:tc>
      </w:tr>
      <w:tr w:rsidR="003E245D" w:rsidRPr="003E245D" w14:paraId="4077E25F" w14:textId="77777777" w:rsidTr="001365BD">
        <w:trPr>
          <w:trHeight w:val="300"/>
        </w:trPr>
        <w:tc>
          <w:tcPr>
            <w:tcW w:w="471" w:type="pct"/>
            <w:shd w:val="clear" w:color="auto" w:fill="C9FBED" w:themeFill="accent4" w:themeFillTint="33"/>
            <w:noWrap/>
            <w:vAlign w:val="center"/>
            <w:hideMark/>
          </w:tcPr>
          <w:p w14:paraId="0B379A55" w14:textId="77777777" w:rsidR="003E245D" w:rsidRPr="003E245D" w:rsidRDefault="003E245D" w:rsidP="003E245D">
            <w:pPr>
              <w:spacing w:after="0" w:line="240" w:lineRule="auto"/>
              <w:jc w:val="left"/>
              <w:rPr>
                <w:rFonts w:eastAsia="Times New Roman" w:cs="Calibri"/>
                <w:color w:val="000000"/>
                <w:sz w:val="18"/>
                <w:szCs w:val="18"/>
              </w:rPr>
            </w:pPr>
            <w:r w:rsidRPr="003E245D">
              <w:rPr>
                <w:rFonts w:cs="Calibri"/>
                <w:color w:val="000000"/>
                <w:sz w:val="18"/>
                <w:szCs w:val="18"/>
              </w:rPr>
              <w:t>C016</w:t>
            </w:r>
          </w:p>
        </w:tc>
        <w:tc>
          <w:tcPr>
            <w:tcW w:w="700" w:type="pct"/>
            <w:noWrap/>
            <w:vAlign w:val="bottom"/>
            <w:hideMark/>
          </w:tcPr>
          <w:p w14:paraId="6F2856BD" w14:textId="77777777" w:rsidR="003E245D" w:rsidRPr="003E245D" w:rsidRDefault="003E245D" w:rsidP="003E245D">
            <w:pPr>
              <w:spacing w:after="0" w:line="240" w:lineRule="auto"/>
              <w:jc w:val="left"/>
              <w:rPr>
                <w:rFonts w:eastAsia="Times New Roman" w:cs="Calibri"/>
                <w:color w:val="000000"/>
                <w:sz w:val="18"/>
                <w:szCs w:val="18"/>
              </w:rPr>
            </w:pPr>
            <w:r w:rsidRPr="003E245D">
              <w:rPr>
                <w:rFonts w:eastAsia="Times New Roman" w:cs="Calibri"/>
                <w:color w:val="000000"/>
                <w:sz w:val="18"/>
                <w:szCs w:val="18"/>
              </w:rPr>
              <w:t>RIVOLI</w:t>
            </w:r>
          </w:p>
        </w:tc>
        <w:tc>
          <w:tcPr>
            <w:tcW w:w="469" w:type="pct"/>
            <w:noWrap/>
            <w:vAlign w:val="center"/>
            <w:hideMark/>
          </w:tcPr>
          <w:p w14:paraId="799482C6"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eastAsia="Times New Roman" w:cs="Calibri"/>
                <w:color w:val="000000"/>
                <w:sz w:val="18"/>
                <w:szCs w:val="18"/>
              </w:rPr>
              <w:t>43,5%</w:t>
            </w:r>
          </w:p>
        </w:tc>
        <w:tc>
          <w:tcPr>
            <w:tcW w:w="469" w:type="pct"/>
            <w:shd w:val="clear" w:color="000000" w:fill="E2EFDA"/>
            <w:vAlign w:val="center"/>
            <w:hideMark/>
          </w:tcPr>
          <w:p w14:paraId="5169D858"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eastAsia="Times New Roman" w:cs="Calibri"/>
                <w:color w:val="000000"/>
                <w:sz w:val="18"/>
                <w:szCs w:val="18"/>
              </w:rPr>
              <w:t>13,8%</w:t>
            </w:r>
          </w:p>
        </w:tc>
        <w:tc>
          <w:tcPr>
            <w:tcW w:w="469" w:type="pct"/>
            <w:noWrap/>
            <w:vAlign w:val="center"/>
            <w:hideMark/>
          </w:tcPr>
          <w:p w14:paraId="649D8FE4"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eastAsia="Times New Roman" w:cs="Calibri"/>
                <w:color w:val="000000"/>
                <w:sz w:val="18"/>
                <w:szCs w:val="18"/>
              </w:rPr>
              <w:t>27,0%</w:t>
            </w:r>
          </w:p>
        </w:tc>
        <w:tc>
          <w:tcPr>
            <w:tcW w:w="469" w:type="pct"/>
            <w:vAlign w:val="center"/>
            <w:hideMark/>
          </w:tcPr>
          <w:p w14:paraId="0BA61B90"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eastAsia="Times New Roman" w:cs="Calibri"/>
                <w:color w:val="000000"/>
                <w:sz w:val="18"/>
                <w:szCs w:val="18"/>
              </w:rPr>
              <w:t>7,5%</w:t>
            </w:r>
          </w:p>
        </w:tc>
        <w:tc>
          <w:tcPr>
            <w:tcW w:w="469" w:type="pct"/>
            <w:vAlign w:val="center"/>
            <w:hideMark/>
          </w:tcPr>
          <w:p w14:paraId="7E7C0ED8"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eastAsia="Times New Roman" w:cs="Calibri"/>
                <w:color w:val="000000"/>
                <w:sz w:val="18"/>
                <w:szCs w:val="18"/>
              </w:rPr>
              <w:t>1,7%</w:t>
            </w:r>
          </w:p>
        </w:tc>
        <w:tc>
          <w:tcPr>
            <w:tcW w:w="469" w:type="pct"/>
            <w:vAlign w:val="center"/>
            <w:hideMark/>
          </w:tcPr>
          <w:p w14:paraId="785262C3"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eastAsia="Times New Roman" w:cs="Calibri"/>
                <w:color w:val="000000"/>
                <w:sz w:val="18"/>
                <w:szCs w:val="18"/>
              </w:rPr>
              <w:t>2,7%</w:t>
            </w:r>
          </w:p>
        </w:tc>
        <w:tc>
          <w:tcPr>
            <w:tcW w:w="470" w:type="pct"/>
            <w:vAlign w:val="center"/>
            <w:hideMark/>
          </w:tcPr>
          <w:p w14:paraId="0BA3BB12"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eastAsia="Times New Roman" w:cs="Calibri"/>
                <w:color w:val="000000"/>
                <w:sz w:val="18"/>
                <w:szCs w:val="18"/>
              </w:rPr>
              <w:t>3,9%</w:t>
            </w:r>
          </w:p>
        </w:tc>
        <w:tc>
          <w:tcPr>
            <w:tcW w:w="544" w:type="pct"/>
            <w:noWrap/>
            <w:vAlign w:val="center"/>
            <w:hideMark/>
          </w:tcPr>
          <w:p w14:paraId="234C4821"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eastAsia="Times New Roman" w:cs="Calibri"/>
                <w:color w:val="000000"/>
                <w:sz w:val="18"/>
                <w:szCs w:val="18"/>
              </w:rPr>
              <w:t>N</w:t>
            </w:r>
          </w:p>
        </w:tc>
      </w:tr>
      <w:tr w:rsidR="003E245D" w:rsidRPr="003E245D" w14:paraId="346E29F1" w14:textId="77777777" w:rsidTr="001365BD">
        <w:trPr>
          <w:trHeight w:val="300"/>
        </w:trPr>
        <w:tc>
          <w:tcPr>
            <w:tcW w:w="471" w:type="pct"/>
            <w:shd w:val="clear" w:color="auto" w:fill="90C5F6" w:themeFill="accent1" w:themeFillTint="66"/>
            <w:noWrap/>
            <w:vAlign w:val="center"/>
            <w:hideMark/>
          </w:tcPr>
          <w:p w14:paraId="52341BD2" w14:textId="77777777" w:rsidR="003E245D" w:rsidRPr="003E245D" w:rsidRDefault="003E245D" w:rsidP="003E245D">
            <w:pPr>
              <w:spacing w:after="0" w:line="240" w:lineRule="auto"/>
              <w:jc w:val="left"/>
              <w:rPr>
                <w:rFonts w:eastAsia="Times New Roman" w:cs="Calibri"/>
                <w:color w:val="000000"/>
                <w:sz w:val="18"/>
                <w:szCs w:val="18"/>
              </w:rPr>
            </w:pPr>
            <w:r w:rsidRPr="003E245D">
              <w:rPr>
                <w:rFonts w:cs="Calibri"/>
                <w:color w:val="000000"/>
                <w:sz w:val="18"/>
                <w:szCs w:val="18"/>
              </w:rPr>
              <w:t>C017</w:t>
            </w:r>
          </w:p>
        </w:tc>
        <w:tc>
          <w:tcPr>
            <w:tcW w:w="700" w:type="pct"/>
            <w:noWrap/>
            <w:vAlign w:val="bottom"/>
            <w:hideMark/>
          </w:tcPr>
          <w:p w14:paraId="341C21CE" w14:textId="77777777" w:rsidR="003E245D" w:rsidRPr="003E245D" w:rsidRDefault="003E245D" w:rsidP="003E245D">
            <w:pPr>
              <w:spacing w:after="0" w:line="240" w:lineRule="auto"/>
              <w:jc w:val="left"/>
              <w:rPr>
                <w:rFonts w:eastAsia="Times New Roman" w:cs="Calibri"/>
                <w:color w:val="000000"/>
                <w:sz w:val="18"/>
                <w:szCs w:val="18"/>
              </w:rPr>
            </w:pPr>
            <w:r w:rsidRPr="003E245D">
              <w:rPr>
                <w:rFonts w:eastAsia="Times New Roman" w:cs="Calibri"/>
                <w:color w:val="000000"/>
                <w:sz w:val="18"/>
                <w:szCs w:val="18"/>
              </w:rPr>
              <w:t>ALPIGNANO</w:t>
            </w:r>
          </w:p>
        </w:tc>
        <w:tc>
          <w:tcPr>
            <w:tcW w:w="469" w:type="pct"/>
            <w:noWrap/>
            <w:vAlign w:val="center"/>
            <w:hideMark/>
          </w:tcPr>
          <w:p w14:paraId="36499F7F"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eastAsia="Times New Roman" w:cs="Calibri"/>
                <w:color w:val="000000"/>
                <w:sz w:val="18"/>
                <w:szCs w:val="18"/>
              </w:rPr>
              <w:t>34,3%</w:t>
            </w:r>
          </w:p>
        </w:tc>
        <w:tc>
          <w:tcPr>
            <w:tcW w:w="469" w:type="pct"/>
            <w:shd w:val="clear" w:color="000000" w:fill="E2EFDA"/>
            <w:vAlign w:val="center"/>
            <w:hideMark/>
          </w:tcPr>
          <w:p w14:paraId="4178A5CD"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eastAsia="Times New Roman" w:cs="Calibri"/>
                <w:color w:val="000000"/>
                <w:sz w:val="18"/>
                <w:szCs w:val="18"/>
              </w:rPr>
              <w:t>19,3%</w:t>
            </w:r>
          </w:p>
        </w:tc>
        <w:tc>
          <w:tcPr>
            <w:tcW w:w="469" w:type="pct"/>
            <w:noWrap/>
            <w:vAlign w:val="center"/>
            <w:hideMark/>
          </w:tcPr>
          <w:p w14:paraId="4C7D7B12"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eastAsia="Times New Roman" w:cs="Calibri"/>
                <w:color w:val="000000"/>
                <w:sz w:val="18"/>
                <w:szCs w:val="18"/>
              </w:rPr>
              <w:t>19,3%</w:t>
            </w:r>
          </w:p>
        </w:tc>
        <w:tc>
          <w:tcPr>
            <w:tcW w:w="469" w:type="pct"/>
            <w:vAlign w:val="center"/>
            <w:hideMark/>
          </w:tcPr>
          <w:p w14:paraId="04E733F7"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eastAsia="Times New Roman" w:cs="Calibri"/>
                <w:color w:val="000000"/>
                <w:sz w:val="18"/>
                <w:szCs w:val="18"/>
              </w:rPr>
              <w:t>8,0%</w:t>
            </w:r>
          </w:p>
        </w:tc>
        <w:tc>
          <w:tcPr>
            <w:tcW w:w="469" w:type="pct"/>
            <w:vAlign w:val="center"/>
            <w:hideMark/>
          </w:tcPr>
          <w:p w14:paraId="34C136B7"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eastAsia="Times New Roman" w:cs="Calibri"/>
                <w:color w:val="000000"/>
                <w:sz w:val="18"/>
                <w:szCs w:val="18"/>
              </w:rPr>
              <w:t>1,2%</w:t>
            </w:r>
          </w:p>
        </w:tc>
        <w:tc>
          <w:tcPr>
            <w:tcW w:w="469" w:type="pct"/>
            <w:vAlign w:val="center"/>
            <w:hideMark/>
          </w:tcPr>
          <w:p w14:paraId="735CD5DB"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eastAsia="Times New Roman" w:cs="Calibri"/>
                <w:color w:val="000000"/>
                <w:sz w:val="18"/>
                <w:szCs w:val="18"/>
              </w:rPr>
              <w:t>2,2%</w:t>
            </w:r>
          </w:p>
        </w:tc>
        <w:tc>
          <w:tcPr>
            <w:tcW w:w="470" w:type="pct"/>
            <w:vAlign w:val="center"/>
            <w:hideMark/>
          </w:tcPr>
          <w:p w14:paraId="4B85286C"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eastAsia="Times New Roman" w:cs="Calibri"/>
                <w:color w:val="000000"/>
                <w:sz w:val="18"/>
                <w:szCs w:val="18"/>
              </w:rPr>
              <w:t>15,6%</w:t>
            </w:r>
          </w:p>
        </w:tc>
        <w:tc>
          <w:tcPr>
            <w:tcW w:w="544" w:type="pct"/>
            <w:noWrap/>
            <w:vAlign w:val="center"/>
            <w:hideMark/>
          </w:tcPr>
          <w:p w14:paraId="4E6C866F"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eastAsia="Times New Roman" w:cs="Calibri"/>
                <w:color w:val="000000"/>
                <w:sz w:val="18"/>
                <w:szCs w:val="18"/>
              </w:rPr>
              <w:t>N</w:t>
            </w:r>
          </w:p>
        </w:tc>
      </w:tr>
      <w:tr w:rsidR="003E245D" w:rsidRPr="003E245D" w14:paraId="30DF0EB5" w14:textId="77777777" w:rsidTr="001365BD">
        <w:trPr>
          <w:trHeight w:val="300"/>
        </w:trPr>
        <w:tc>
          <w:tcPr>
            <w:tcW w:w="471" w:type="pct"/>
            <w:shd w:val="clear" w:color="auto" w:fill="FFCC99"/>
            <w:noWrap/>
            <w:vAlign w:val="center"/>
            <w:hideMark/>
          </w:tcPr>
          <w:p w14:paraId="014BBF52" w14:textId="77777777" w:rsidR="003E245D" w:rsidRPr="003E245D" w:rsidRDefault="003E245D" w:rsidP="003E245D">
            <w:pPr>
              <w:spacing w:after="0" w:line="240" w:lineRule="auto"/>
              <w:jc w:val="left"/>
              <w:rPr>
                <w:rFonts w:eastAsia="Times New Roman" w:cs="Calibri"/>
                <w:color w:val="000000"/>
                <w:sz w:val="18"/>
                <w:szCs w:val="18"/>
              </w:rPr>
            </w:pPr>
            <w:r w:rsidRPr="003E245D">
              <w:rPr>
                <w:rFonts w:cs="Calibri"/>
                <w:color w:val="000000"/>
                <w:sz w:val="18"/>
                <w:szCs w:val="18"/>
              </w:rPr>
              <w:t>E029</w:t>
            </w:r>
          </w:p>
        </w:tc>
        <w:tc>
          <w:tcPr>
            <w:tcW w:w="700" w:type="pct"/>
            <w:noWrap/>
            <w:vAlign w:val="bottom"/>
            <w:hideMark/>
          </w:tcPr>
          <w:p w14:paraId="51F76C2D" w14:textId="77777777" w:rsidR="003E245D" w:rsidRPr="003E245D" w:rsidRDefault="003E245D" w:rsidP="003E245D">
            <w:pPr>
              <w:spacing w:after="0" w:line="240" w:lineRule="auto"/>
              <w:jc w:val="left"/>
              <w:rPr>
                <w:rFonts w:eastAsia="Times New Roman" w:cs="Calibri"/>
                <w:color w:val="000000"/>
                <w:sz w:val="18"/>
                <w:szCs w:val="18"/>
              </w:rPr>
            </w:pPr>
            <w:r w:rsidRPr="003E245D">
              <w:rPr>
                <w:rFonts w:eastAsia="Times New Roman" w:cs="Calibri"/>
                <w:color w:val="000000"/>
                <w:sz w:val="18"/>
                <w:szCs w:val="18"/>
              </w:rPr>
              <w:t>GIAVENO E LIMITROFI</w:t>
            </w:r>
          </w:p>
        </w:tc>
        <w:tc>
          <w:tcPr>
            <w:tcW w:w="469" w:type="pct"/>
            <w:noWrap/>
            <w:vAlign w:val="center"/>
            <w:hideMark/>
          </w:tcPr>
          <w:p w14:paraId="1BFDEDD1"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eastAsia="Times New Roman" w:cs="Calibri"/>
                <w:color w:val="000000"/>
                <w:sz w:val="18"/>
                <w:szCs w:val="18"/>
              </w:rPr>
              <w:t>82,8%</w:t>
            </w:r>
          </w:p>
        </w:tc>
        <w:tc>
          <w:tcPr>
            <w:tcW w:w="469" w:type="pct"/>
            <w:vAlign w:val="center"/>
            <w:hideMark/>
          </w:tcPr>
          <w:p w14:paraId="77992657"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eastAsia="Times New Roman" w:cs="Calibri"/>
                <w:color w:val="000000"/>
                <w:sz w:val="18"/>
                <w:szCs w:val="18"/>
              </w:rPr>
              <w:t>0,9%</w:t>
            </w:r>
          </w:p>
        </w:tc>
        <w:tc>
          <w:tcPr>
            <w:tcW w:w="469" w:type="pct"/>
            <w:noWrap/>
            <w:vAlign w:val="center"/>
            <w:hideMark/>
          </w:tcPr>
          <w:p w14:paraId="4960D962"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eastAsia="Times New Roman" w:cs="Calibri"/>
                <w:color w:val="000000"/>
                <w:sz w:val="18"/>
                <w:szCs w:val="18"/>
              </w:rPr>
              <w:t>6,8%</w:t>
            </w:r>
          </w:p>
        </w:tc>
        <w:tc>
          <w:tcPr>
            <w:tcW w:w="469" w:type="pct"/>
            <w:shd w:val="clear" w:color="000000" w:fill="E2EFDA"/>
            <w:vAlign w:val="center"/>
            <w:hideMark/>
          </w:tcPr>
          <w:p w14:paraId="23804F28"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eastAsia="Times New Roman" w:cs="Calibri"/>
                <w:color w:val="000000"/>
                <w:sz w:val="18"/>
                <w:szCs w:val="18"/>
              </w:rPr>
              <w:t>2,6%</w:t>
            </w:r>
          </w:p>
        </w:tc>
        <w:tc>
          <w:tcPr>
            <w:tcW w:w="469" w:type="pct"/>
            <w:vAlign w:val="center"/>
            <w:hideMark/>
          </w:tcPr>
          <w:p w14:paraId="0C69811C"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eastAsia="Times New Roman" w:cs="Calibri"/>
                <w:color w:val="000000"/>
                <w:sz w:val="18"/>
                <w:szCs w:val="18"/>
              </w:rPr>
              <w:t>0,9%</w:t>
            </w:r>
          </w:p>
        </w:tc>
        <w:tc>
          <w:tcPr>
            <w:tcW w:w="469" w:type="pct"/>
            <w:vAlign w:val="center"/>
            <w:hideMark/>
          </w:tcPr>
          <w:p w14:paraId="468ABEE7"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eastAsia="Times New Roman" w:cs="Calibri"/>
                <w:color w:val="000000"/>
                <w:sz w:val="18"/>
                <w:szCs w:val="18"/>
              </w:rPr>
              <w:t>0,9%</w:t>
            </w:r>
          </w:p>
        </w:tc>
        <w:tc>
          <w:tcPr>
            <w:tcW w:w="470" w:type="pct"/>
            <w:vAlign w:val="center"/>
            <w:hideMark/>
          </w:tcPr>
          <w:p w14:paraId="53CA7271"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eastAsia="Times New Roman" w:cs="Calibri"/>
                <w:color w:val="000000"/>
                <w:sz w:val="18"/>
                <w:szCs w:val="18"/>
              </w:rPr>
              <w:t>5,1%</w:t>
            </w:r>
          </w:p>
        </w:tc>
        <w:tc>
          <w:tcPr>
            <w:tcW w:w="544" w:type="pct"/>
            <w:noWrap/>
            <w:vAlign w:val="center"/>
            <w:hideMark/>
          </w:tcPr>
          <w:p w14:paraId="189540AE"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eastAsia="Times New Roman" w:cs="Calibri"/>
                <w:color w:val="000000"/>
                <w:sz w:val="18"/>
                <w:szCs w:val="18"/>
              </w:rPr>
              <w:t>S</w:t>
            </w:r>
          </w:p>
        </w:tc>
      </w:tr>
      <w:tr w:rsidR="003E245D" w:rsidRPr="003E245D" w14:paraId="43C697BC" w14:textId="77777777" w:rsidTr="001365BD">
        <w:trPr>
          <w:trHeight w:val="300"/>
        </w:trPr>
        <w:tc>
          <w:tcPr>
            <w:tcW w:w="471" w:type="pct"/>
            <w:shd w:val="clear" w:color="auto" w:fill="FF99FF"/>
            <w:noWrap/>
            <w:vAlign w:val="center"/>
            <w:hideMark/>
          </w:tcPr>
          <w:p w14:paraId="7843F1C5" w14:textId="77777777" w:rsidR="003E245D" w:rsidRPr="003E245D" w:rsidRDefault="003E245D" w:rsidP="003E245D">
            <w:pPr>
              <w:spacing w:after="0" w:line="240" w:lineRule="auto"/>
              <w:jc w:val="left"/>
              <w:rPr>
                <w:rFonts w:eastAsia="Times New Roman" w:cs="Calibri"/>
                <w:color w:val="000000"/>
                <w:sz w:val="18"/>
                <w:szCs w:val="18"/>
              </w:rPr>
            </w:pPr>
            <w:r w:rsidRPr="003E245D">
              <w:rPr>
                <w:rFonts w:cs="Calibri"/>
                <w:color w:val="000000"/>
                <w:sz w:val="18"/>
                <w:szCs w:val="18"/>
              </w:rPr>
              <w:t>E030</w:t>
            </w:r>
          </w:p>
        </w:tc>
        <w:tc>
          <w:tcPr>
            <w:tcW w:w="700" w:type="pct"/>
            <w:noWrap/>
            <w:vAlign w:val="bottom"/>
            <w:hideMark/>
          </w:tcPr>
          <w:p w14:paraId="619EFF5C" w14:textId="77777777" w:rsidR="003E245D" w:rsidRPr="003E245D" w:rsidRDefault="003E245D" w:rsidP="003E245D">
            <w:pPr>
              <w:spacing w:after="0" w:line="240" w:lineRule="auto"/>
              <w:jc w:val="left"/>
              <w:rPr>
                <w:rFonts w:eastAsia="Times New Roman" w:cs="Calibri"/>
                <w:color w:val="000000"/>
                <w:sz w:val="18"/>
                <w:szCs w:val="18"/>
              </w:rPr>
            </w:pPr>
            <w:r w:rsidRPr="003E245D">
              <w:rPr>
                <w:rFonts w:eastAsia="Times New Roman" w:cs="Calibri"/>
                <w:color w:val="000000"/>
                <w:sz w:val="18"/>
                <w:szCs w:val="18"/>
              </w:rPr>
              <w:t>AVIGLIANA E LIMITROFI</w:t>
            </w:r>
          </w:p>
        </w:tc>
        <w:tc>
          <w:tcPr>
            <w:tcW w:w="469" w:type="pct"/>
            <w:noWrap/>
            <w:vAlign w:val="center"/>
            <w:hideMark/>
          </w:tcPr>
          <w:p w14:paraId="2BB762BC"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eastAsia="Times New Roman" w:cs="Calibri"/>
                <w:color w:val="000000"/>
                <w:sz w:val="18"/>
                <w:szCs w:val="18"/>
              </w:rPr>
              <w:t>75,3%</w:t>
            </w:r>
          </w:p>
        </w:tc>
        <w:tc>
          <w:tcPr>
            <w:tcW w:w="469" w:type="pct"/>
            <w:shd w:val="clear" w:color="000000" w:fill="FFF2CC"/>
            <w:vAlign w:val="center"/>
            <w:hideMark/>
          </w:tcPr>
          <w:p w14:paraId="355398DE"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eastAsia="Times New Roman" w:cs="Calibri"/>
                <w:color w:val="000000"/>
                <w:sz w:val="18"/>
                <w:szCs w:val="18"/>
              </w:rPr>
              <w:t>1,5%</w:t>
            </w:r>
          </w:p>
        </w:tc>
        <w:tc>
          <w:tcPr>
            <w:tcW w:w="469" w:type="pct"/>
            <w:noWrap/>
            <w:vAlign w:val="center"/>
            <w:hideMark/>
          </w:tcPr>
          <w:p w14:paraId="631C5CEE"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eastAsia="Times New Roman" w:cs="Calibri"/>
                <w:color w:val="000000"/>
                <w:sz w:val="18"/>
                <w:szCs w:val="18"/>
              </w:rPr>
              <w:t>13,9%</w:t>
            </w:r>
          </w:p>
        </w:tc>
        <w:tc>
          <w:tcPr>
            <w:tcW w:w="469" w:type="pct"/>
            <w:shd w:val="clear" w:color="000000" w:fill="FFF2CC"/>
            <w:vAlign w:val="center"/>
            <w:hideMark/>
          </w:tcPr>
          <w:p w14:paraId="5225FFF6"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eastAsia="Times New Roman" w:cs="Calibri"/>
                <w:color w:val="000000"/>
                <w:sz w:val="18"/>
                <w:szCs w:val="18"/>
              </w:rPr>
              <w:t>1,5%</w:t>
            </w:r>
          </w:p>
        </w:tc>
        <w:tc>
          <w:tcPr>
            <w:tcW w:w="469" w:type="pct"/>
            <w:vAlign w:val="center"/>
            <w:hideMark/>
          </w:tcPr>
          <w:p w14:paraId="16D9509E"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eastAsia="Times New Roman" w:cs="Calibri"/>
                <w:color w:val="000000"/>
                <w:sz w:val="18"/>
                <w:szCs w:val="18"/>
              </w:rPr>
              <w:t>2,1%</w:t>
            </w:r>
          </w:p>
        </w:tc>
        <w:tc>
          <w:tcPr>
            <w:tcW w:w="469" w:type="pct"/>
            <w:vAlign w:val="center"/>
            <w:hideMark/>
          </w:tcPr>
          <w:p w14:paraId="29F6857B"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eastAsia="Times New Roman" w:cs="Calibri"/>
                <w:color w:val="000000"/>
                <w:sz w:val="18"/>
                <w:szCs w:val="18"/>
              </w:rPr>
              <w:t>0,0%</w:t>
            </w:r>
          </w:p>
        </w:tc>
        <w:tc>
          <w:tcPr>
            <w:tcW w:w="470" w:type="pct"/>
            <w:vAlign w:val="center"/>
            <w:hideMark/>
          </w:tcPr>
          <w:p w14:paraId="716B8F7B"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eastAsia="Times New Roman" w:cs="Calibri"/>
                <w:color w:val="000000"/>
                <w:sz w:val="18"/>
                <w:szCs w:val="18"/>
              </w:rPr>
              <w:t>5,8%</w:t>
            </w:r>
          </w:p>
        </w:tc>
        <w:tc>
          <w:tcPr>
            <w:tcW w:w="544" w:type="pct"/>
            <w:noWrap/>
            <w:vAlign w:val="center"/>
            <w:hideMark/>
          </w:tcPr>
          <w:p w14:paraId="466C4CAE"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eastAsia="Times New Roman" w:cs="Calibri"/>
                <w:color w:val="000000"/>
                <w:sz w:val="18"/>
                <w:szCs w:val="18"/>
              </w:rPr>
              <w:t>N</w:t>
            </w:r>
          </w:p>
        </w:tc>
      </w:tr>
      <w:tr w:rsidR="003E245D" w:rsidRPr="003E245D" w14:paraId="317ACB28" w14:textId="77777777" w:rsidTr="001365BD">
        <w:trPr>
          <w:trHeight w:val="300"/>
        </w:trPr>
        <w:tc>
          <w:tcPr>
            <w:tcW w:w="471" w:type="pct"/>
            <w:shd w:val="clear" w:color="auto" w:fill="CCCCFF"/>
            <w:noWrap/>
            <w:vAlign w:val="center"/>
            <w:hideMark/>
          </w:tcPr>
          <w:p w14:paraId="34B7F00C" w14:textId="77777777" w:rsidR="003E245D" w:rsidRPr="003E245D" w:rsidRDefault="003E245D" w:rsidP="003E245D">
            <w:pPr>
              <w:spacing w:after="0" w:line="240" w:lineRule="auto"/>
              <w:jc w:val="left"/>
              <w:rPr>
                <w:rFonts w:eastAsia="Times New Roman" w:cs="Calibri"/>
                <w:color w:val="000000"/>
                <w:sz w:val="18"/>
                <w:szCs w:val="18"/>
              </w:rPr>
            </w:pPr>
            <w:r w:rsidRPr="003E245D">
              <w:rPr>
                <w:rFonts w:cs="Calibri"/>
                <w:color w:val="000000"/>
                <w:sz w:val="18"/>
                <w:szCs w:val="18"/>
              </w:rPr>
              <w:t>E031</w:t>
            </w:r>
          </w:p>
        </w:tc>
        <w:tc>
          <w:tcPr>
            <w:tcW w:w="700" w:type="pct"/>
            <w:noWrap/>
            <w:vAlign w:val="bottom"/>
            <w:hideMark/>
          </w:tcPr>
          <w:p w14:paraId="0F80D3A7" w14:textId="77777777" w:rsidR="003E245D" w:rsidRPr="003E245D" w:rsidRDefault="003E245D" w:rsidP="003E245D">
            <w:pPr>
              <w:spacing w:after="0" w:line="240" w:lineRule="auto"/>
              <w:jc w:val="left"/>
              <w:rPr>
                <w:rFonts w:eastAsia="Times New Roman" w:cs="Calibri"/>
                <w:color w:val="000000"/>
                <w:sz w:val="18"/>
                <w:szCs w:val="18"/>
              </w:rPr>
            </w:pPr>
            <w:r w:rsidRPr="003E245D">
              <w:rPr>
                <w:rFonts w:eastAsia="Times New Roman" w:cs="Calibri"/>
                <w:color w:val="000000"/>
                <w:sz w:val="18"/>
                <w:szCs w:val="18"/>
              </w:rPr>
              <w:t>GIVOLETTO E LIMITROFI</w:t>
            </w:r>
          </w:p>
        </w:tc>
        <w:tc>
          <w:tcPr>
            <w:tcW w:w="469" w:type="pct"/>
            <w:noWrap/>
            <w:vAlign w:val="center"/>
            <w:hideMark/>
          </w:tcPr>
          <w:p w14:paraId="5C447898"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eastAsia="Times New Roman" w:cs="Calibri"/>
                <w:color w:val="000000"/>
                <w:sz w:val="18"/>
                <w:szCs w:val="18"/>
              </w:rPr>
              <w:t>60,5%</w:t>
            </w:r>
          </w:p>
        </w:tc>
        <w:tc>
          <w:tcPr>
            <w:tcW w:w="469" w:type="pct"/>
            <w:shd w:val="clear" w:color="000000" w:fill="E2EFDA"/>
            <w:vAlign w:val="center"/>
            <w:hideMark/>
          </w:tcPr>
          <w:p w14:paraId="49D351A2"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eastAsia="Times New Roman" w:cs="Calibri"/>
                <w:color w:val="000000"/>
                <w:sz w:val="18"/>
                <w:szCs w:val="18"/>
              </w:rPr>
              <w:t>12,3%</w:t>
            </w:r>
          </w:p>
        </w:tc>
        <w:tc>
          <w:tcPr>
            <w:tcW w:w="469" w:type="pct"/>
            <w:noWrap/>
            <w:vAlign w:val="center"/>
            <w:hideMark/>
          </w:tcPr>
          <w:p w14:paraId="4AEF9BB4"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eastAsia="Times New Roman" w:cs="Calibri"/>
                <w:color w:val="000000"/>
                <w:sz w:val="18"/>
                <w:szCs w:val="18"/>
              </w:rPr>
              <w:t>13,1%</w:t>
            </w:r>
          </w:p>
        </w:tc>
        <w:tc>
          <w:tcPr>
            <w:tcW w:w="469" w:type="pct"/>
            <w:vAlign w:val="center"/>
            <w:hideMark/>
          </w:tcPr>
          <w:p w14:paraId="653518C9"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eastAsia="Times New Roman" w:cs="Calibri"/>
                <w:color w:val="000000"/>
                <w:sz w:val="18"/>
                <w:szCs w:val="18"/>
              </w:rPr>
              <w:t>1,0%</w:t>
            </w:r>
          </w:p>
        </w:tc>
        <w:tc>
          <w:tcPr>
            <w:tcW w:w="469" w:type="pct"/>
            <w:vAlign w:val="center"/>
            <w:hideMark/>
          </w:tcPr>
          <w:p w14:paraId="4104D367"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eastAsia="Times New Roman" w:cs="Calibri"/>
                <w:color w:val="000000"/>
                <w:sz w:val="18"/>
                <w:szCs w:val="18"/>
              </w:rPr>
              <w:t>0,0%</w:t>
            </w:r>
          </w:p>
        </w:tc>
        <w:tc>
          <w:tcPr>
            <w:tcW w:w="469" w:type="pct"/>
            <w:vAlign w:val="center"/>
            <w:hideMark/>
          </w:tcPr>
          <w:p w14:paraId="712EDDF9"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eastAsia="Times New Roman" w:cs="Calibri"/>
                <w:color w:val="000000"/>
                <w:sz w:val="18"/>
                <w:szCs w:val="18"/>
              </w:rPr>
              <w:t>1,0%</w:t>
            </w:r>
          </w:p>
        </w:tc>
        <w:tc>
          <w:tcPr>
            <w:tcW w:w="470" w:type="pct"/>
            <w:vAlign w:val="center"/>
            <w:hideMark/>
          </w:tcPr>
          <w:p w14:paraId="2E068535"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eastAsia="Times New Roman" w:cs="Calibri"/>
                <w:color w:val="000000"/>
                <w:sz w:val="18"/>
                <w:szCs w:val="18"/>
              </w:rPr>
              <w:t>12,1%</w:t>
            </w:r>
          </w:p>
        </w:tc>
        <w:tc>
          <w:tcPr>
            <w:tcW w:w="544" w:type="pct"/>
            <w:noWrap/>
            <w:vAlign w:val="center"/>
            <w:hideMark/>
          </w:tcPr>
          <w:p w14:paraId="4B30FD86"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eastAsia="Times New Roman" w:cs="Calibri"/>
                <w:color w:val="000000"/>
                <w:sz w:val="18"/>
                <w:szCs w:val="18"/>
              </w:rPr>
              <w:t>N</w:t>
            </w:r>
          </w:p>
        </w:tc>
      </w:tr>
      <w:tr w:rsidR="003E245D" w:rsidRPr="003E245D" w14:paraId="06009952" w14:textId="77777777" w:rsidTr="001365BD">
        <w:trPr>
          <w:trHeight w:val="300"/>
        </w:trPr>
        <w:tc>
          <w:tcPr>
            <w:tcW w:w="471" w:type="pct"/>
            <w:shd w:val="clear" w:color="auto" w:fill="FFCCFF"/>
            <w:noWrap/>
            <w:vAlign w:val="center"/>
            <w:hideMark/>
          </w:tcPr>
          <w:p w14:paraId="4ED09054" w14:textId="77777777" w:rsidR="003E245D" w:rsidRPr="003E245D" w:rsidRDefault="003E245D" w:rsidP="003E245D">
            <w:pPr>
              <w:spacing w:after="0" w:line="240" w:lineRule="auto"/>
              <w:jc w:val="left"/>
              <w:rPr>
                <w:rFonts w:eastAsia="Times New Roman" w:cs="Calibri"/>
                <w:color w:val="000000"/>
                <w:sz w:val="18"/>
                <w:szCs w:val="18"/>
              </w:rPr>
            </w:pPr>
            <w:r w:rsidRPr="003E245D">
              <w:rPr>
                <w:rFonts w:cs="Calibri"/>
                <w:color w:val="000000"/>
                <w:sz w:val="18"/>
                <w:szCs w:val="18"/>
              </w:rPr>
              <w:t>E032</w:t>
            </w:r>
          </w:p>
        </w:tc>
        <w:tc>
          <w:tcPr>
            <w:tcW w:w="700" w:type="pct"/>
            <w:noWrap/>
            <w:vAlign w:val="bottom"/>
            <w:hideMark/>
          </w:tcPr>
          <w:p w14:paraId="323DB557" w14:textId="77777777" w:rsidR="003E245D" w:rsidRPr="003E245D" w:rsidRDefault="003E245D" w:rsidP="003E245D">
            <w:pPr>
              <w:spacing w:after="0" w:line="240" w:lineRule="auto"/>
              <w:jc w:val="left"/>
              <w:rPr>
                <w:rFonts w:eastAsia="Times New Roman" w:cs="Calibri"/>
                <w:color w:val="000000"/>
                <w:sz w:val="18"/>
                <w:szCs w:val="18"/>
              </w:rPr>
            </w:pPr>
            <w:r w:rsidRPr="003E245D">
              <w:rPr>
                <w:rFonts w:eastAsia="Times New Roman" w:cs="Calibri"/>
                <w:color w:val="000000"/>
                <w:sz w:val="18"/>
                <w:szCs w:val="18"/>
              </w:rPr>
              <w:t>ALMESE E LIMITROFI</w:t>
            </w:r>
          </w:p>
        </w:tc>
        <w:tc>
          <w:tcPr>
            <w:tcW w:w="469" w:type="pct"/>
            <w:noWrap/>
            <w:vAlign w:val="center"/>
            <w:hideMark/>
          </w:tcPr>
          <w:p w14:paraId="0462A7BF"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eastAsia="Times New Roman" w:cs="Calibri"/>
                <w:color w:val="000000"/>
                <w:sz w:val="18"/>
                <w:szCs w:val="18"/>
              </w:rPr>
              <w:t>79,2%</w:t>
            </w:r>
          </w:p>
        </w:tc>
        <w:tc>
          <w:tcPr>
            <w:tcW w:w="469" w:type="pct"/>
            <w:shd w:val="clear" w:color="000000" w:fill="E2EFDA"/>
            <w:vAlign w:val="center"/>
            <w:hideMark/>
          </w:tcPr>
          <w:p w14:paraId="57C9F565"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eastAsia="Times New Roman" w:cs="Calibri"/>
                <w:color w:val="000000"/>
                <w:sz w:val="18"/>
                <w:szCs w:val="18"/>
              </w:rPr>
              <w:t>3,5%</w:t>
            </w:r>
          </w:p>
        </w:tc>
        <w:tc>
          <w:tcPr>
            <w:tcW w:w="469" w:type="pct"/>
            <w:noWrap/>
            <w:vAlign w:val="center"/>
            <w:hideMark/>
          </w:tcPr>
          <w:p w14:paraId="79D80791"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eastAsia="Times New Roman" w:cs="Calibri"/>
                <w:color w:val="000000"/>
                <w:sz w:val="18"/>
                <w:szCs w:val="18"/>
              </w:rPr>
              <w:t>4,1%</w:t>
            </w:r>
          </w:p>
        </w:tc>
        <w:tc>
          <w:tcPr>
            <w:tcW w:w="469" w:type="pct"/>
            <w:vAlign w:val="center"/>
            <w:hideMark/>
          </w:tcPr>
          <w:p w14:paraId="6FA74ABF"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eastAsia="Times New Roman" w:cs="Calibri"/>
                <w:color w:val="000000"/>
                <w:sz w:val="18"/>
                <w:szCs w:val="18"/>
              </w:rPr>
              <w:t>1,7%</w:t>
            </w:r>
          </w:p>
        </w:tc>
        <w:tc>
          <w:tcPr>
            <w:tcW w:w="469" w:type="pct"/>
            <w:vAlign w:val="center"/>
            <w:hideMark/>
          </w:tcPr>
          <w:p w14:paraId="7FEB7200"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eastAsia="Times New Roman" w:cs="Calibri"/>
                <w:color w:val="000000"/>
                <w:sz w:val="18"/>
                <w:szCs w:val="18"/>
              </w:rPr>
              <w:t>0,0%</w:t>
            </w:r>
          </w:p>
        </w:tc>
        <w:tc>
          <w:tcPr>
            <w:tcW w:w="469" w:type="pct"/>
            <w:vAlign w:val="center"/>
            <w:hideMark/>
          </w:tcPr>
          <w:p w14:paraId="06816A81"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eastAsia="Times New Roman" w:cs="Calibri"/>
                <w:color w:val="000000"/>
                <w:sz w:val="18"/>
                <w:szCs w:val="18"/>
              </w:rPr>
              <w:t>0,0%</w:t>
            </w:r>
          </w:p>
        </w:tc>
        <w:tc>
          <w:tcPr>
            <w:tcW w:w="470" w:type="pct"/>
            <w:vAlign w:val="center"/>
            <w:hideMark/>
          </w:tcPr>
          <w:p w14:paraId="2DDF9E1F"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eastAsia="Times New Roman" w:cs="Calibri"/>
                <w:color w:val="000000"/>
                <w:sz w:val="18"/>
                <w:szCs w:val="18"/>
              </w:rPr>
              <w:t>11,6%</w:t>
            </w:r>
          </w:p>
        </w:tc>
        <w:tc>
          <w:tcPr>
            <w:tcW w:w="544" w:type="pct"/>
            <w:noWrap/>
            <w:vAlign w:val="center"/>
            <w:hideMark/>
          </w:tcPr>
          <w:p w14:paraId="76C1DB22"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eastAsia="Times New Roman" w:cs="Calibri"/>
                <w:color w:val="000000"/>
                <w:sz w:val="18"/>
                <w:szCs w:val="18"/>
              </w:rPr>
              <w:t>N</w:t>
            </w:r>
          </w:p>
        </w:tc>
      </w:tr>
    </w:tbl>
    <w:p w14:paraId="60069CE7" w14:textId="4B45B441" w:rsidR="003E245D" w:rsidRPr="00F61BC8" w:rsidRDefault="00F61BC8" w:rsidP="00F61BC8">
      <w:pPr>
        <w:spacing w:after="200" w:line="240" w:lineRule="auto"/>
        <w:jc w:val="center"/>
        <w:rPr>
          <w:i/>
          <w:color w:val="003366"/>
          <w:sz w:val="18"/>
          <w:szCs w:val="18"/>
        </w:rPr>
      </w:pPr>
      <w:r w:rsidRPr="00F61BC8">
        <w:rPr>
          <w:i/>
          <w:iCs/>
          <w:color w:val="003366"/>
          <w:sz w:val="18"/>
          <w:szCs w:val="18"/>
        </w:rPr>
        <w:t xml:space="preserve">Tabella </w:t>
      </w:r>
      <w:r w:rsidRPr="00F61BC8">
        <w:rPr>
          <w:i/>
          <w:iCs/>
          <w:color w:val="003366"/>
          <w:sz w:val="18"/>
          <w:szCs w:val="18"/>
        </w:rPr>
        <w:fldChar w:fldCharType="begin"/>
      </w:r>
      <w:r w:rsidRPr="00F61BC8">
        <w:rPr>
          <w:i/>
          <w:iCs/>
          <w:color w:val="003366"/>
          <w:sz w:val="18"/>
          <w:szCs w:val="18"/>
        </w:rPr>
        <w:instrText xml:space="preserve"> SEQ Tabella \* ARABIC </w:instrText>
      </w:r>
      <w:r w:rsidRPr="00F61BC8">
        <w:rPr>
          <w:i/>
          <w:iCs/>
          <w:color w:val="003366"/>
          <w:sz w:val="18"/>
          <w:szCs w:val="18"/>
        </w:rPr>
        <w:fldChar w:fldCharType="separate"/>
      </w:r>
      <w:r w:rsidR="00073B6D">
        <w:rPr>
          <w:i/>
          <w:iCs/>
          <w:noProof/>
          <w:color w:val="003366"/>
          <w:sz w:val="18"/>
          <w:szCs w:val="18"/>
        </w:rPr>
        <w:t>8</w:t>
      </w:r>
      <w:r w:rsidRPr="00F61BC8">
        <w:rPr>
          <w:i/>
          <w:iCs/>
          <w:color w:val="003366"/>
          <w:sz w:val="18"/>
          <w:szCs w:val="18"/>
        </w:rPr>
        <w:fldChar w:fldCharType="end"/>
      </w:r>
      <w:r w:rsidRPr="00F61BC8">
        <w:rPr>
          <w:i/>
          <w:iCs/>
          <w:color w:val="003366"/>
          <w:sz w:val="18"/>
          <w:szCs w:val="18"/>
        </w:rPr>
        <w:t xml:space="preserve"> – Valutazione autocontenimento aree nord e sud – focus su zone di dubbia assegnazione</w:t>
      </w:r>
    </w:p>
    <w:p w14:paraId="78BE3A02" w14:textId="77777777" w:rsidR="003E245D" w:rsidRPr="003E245D" w:rsidRDefault="003E245D" w:rsidP="003E245D">
      <w:pPr>
        <w:spacing w:before="120" w:after="0" w:line="240" w:lineRule="auto"/>
        <w:rPr>
          <w:rFonts w:cstheme="minorHAnsi"/>
        </w:rPr>
      </w:pPr>
      <w:r w:rsidRPr="003E245D">
        <w:rPr>
          <w:rFonts w:cstheme="minorHAnsi"/>
        </w:rPr>
        <w:t>Per tutte le sei zone è stata individuate la prevalenza negli spostamenti in base a dove tra nord e sud si concentrava il maggior numero di spostamenti in percentuale sul totale originato. Come si vede dalla tabella, quattro zone risultano gravitanti più verso nord (</w:t>
      </w:r>
      <w:r w:rsidRPr="003E245D">
        <w:rPr>
          <w:rFonts w:cstheme="minorHAnsi"/>
          <w:i/>
        </w:rPr>
        <w:t>Rivoli, Alpignano, Givoletto e limitrofi, Almese e limitrofi</w:t>
      </w:r>
      <w:r w:rsidRPr="003E245D">
        <w:rPr>
          <w:rFonts w:cstheme="minorHAnsi"/>
        </w:rPr>
        <w:t xml:space="preserve">) mentre la zona </w:t>
      </w:r>
      <w:r w:rsidRPr="003E245D">
        <w:rPr>
          <w:rFonts w:cstheme="minorHAnsi"/>
          <w:i/>
        </w:rPr>
        <w:t>Giaveno e limitrofi</w:t>
      </w:r>
      <w:r w:rsidRPr="003E245D">
        <w:rPr>
          <w:rFonts w:cstheme="minorHAnsi"/>
        </w:rPr>
        <w:t xml:space="preserve"> appare più decisamente gravitante verso l’area sud. Risulta di egual peso percentuale la gravitazione della zona </w:t>
      </w:r>
      <w:r w:rsidRPr="003E245D">
        <w:rPr>
          <w:rFonts w:cstheme="minorHAnsi"/>
          <w:i/>
        </w:rPr>
        <w:t>Avigliana e limitrofi</w:t>
      </w:r>
      <w:r w:rsidRPr="003E245D">
        <w:rPr>
          <w:rFonts w:cstheme="minorHAnsi"/>
        </w:rPr>
        <w:t xml:space="preserve"> verso nord e sud, tuttavia, in ragione della sua ubicazione nella Valle di Susa che è interamente assegnata a nord, si è ritenuto di attribuire tale zona all’area nord.</w:t>
      </w:r>
    </w:p>
    <w:p w14:paraId="22456A7C" w14:textId="34F4A049" w:rsidR="003E245D" w:rsidRPr="0079286B" w:rsidRDefault="003E245D" w:rsidP="0079286B">
      <w:pPr>
        <w:spacing w:before="120" w:line="240" w:lineRule="auto"/>
        <w:rPr>
          <w:rFonts w:cstheme="minorHAnsi"/>
        </w:rPr>
      </w:pPr>
      <w:r w:rsidRPr="003E245D">
        <w:rPr>
          <w:rFonts w:cstheme="minorHAnsi"/>
        </w:rPr>
        <w:t>Si è infine proceduto a ripetere la valutazione dell’autocontenimento delle aree nord e sud a valle dell’assegnazione delle zone dubbie. Il risultato è evidenziato nella tabella seguente.</w:t>
      </w:r>
    </w:p>
    <w:tbl>
      <w:tblPr>
        <w:tblW w:w="5000" w:type="pct"/>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left w:w="70" w:type="dxa"/>
          <w:right w:w="70" w:type="dxa"/>
        </w:tblCellMar>
        <w:tblLook w:val="04A0" w:firstRow="1" w:lastRow="0" w:firstColumn="1" w:lastColumn="0" w:noHBand="0" w:noVBand="1"/>
      </w:tblPr>
      <w:tblGrid>
        <w:gridCol w:w="1472"/>
        <w:gridCol w:w="1072"/>
        <w:gridCol w:w="1072"/>
        <w:gridCol w:w="1065"/>
        <w:gridCol w:w="1065"/>
        <w:gridCol w:w="1059"/>
        <w:gridCol w:w="1059"/>
        <w:gridCol w:w="1196"/>
      </w:tblGrid>
      <w:tr w:rsidR="003E245D" w:rsidRPr="003E245D" w14:paraId="44AD4734" w14:textId="77777777" w:rsidTr="001365BD">
        <w:trPr>
          <w:trHeight w:val="735"/>
        </w:trPr>
        <w:tc>
          <w:tcPr>
            <w:tcW w:w="637" w:type="pct"/>
            <w:shd w:val="clear" w:color="auto" w:fill="EE3438"/>
            <w:vAlign w:val="center"/>
            <w:hideMark/>
          </w:tcPr>
          <w:p w14:paraId="5C12D4B6" w14:textId="77777777" w:rsidR="003E245D" w:rsidRPr="001365BD" w:rsidRDefault="003E245D" w:rsidP="001365BD">
            <w:pPr>
              <w:spacing w:after="0" w:line="240" w:lineRule="auto"/>
              <w:jc w:val="center"/>
              <w:rPr>
                <w:rFonts w:eastAsia="Times New Roman" w:cs="Calibri"/>
                <w:b/>
                <w:bCs/>
                <w:color w:val="FFFFFF" w:themeColor="background1"/>
                <w:sz w:val="18"/>
                <w:szCs w:val="18"/>
              </w:rPr>
            </w:pPr>
            <w:r w:rsidRPr="001365BD">
              <w:rPr>
                <w:rFonts w:eastAsia="Times New Roman" w:cs="Calibri"/>
                <w:b/>
                <w:bCs/>
                <w:color w:val="FFFFFF" w:themeColor="background1"/>
                <w:sz w:val="18"/>
                <w:szCs w:val="18"/>
              </w:rPr>
              <w:t>Zone con linee di una sola area</w:t>
            </w:r>
          </w:p>
        </w:tc>
        <w:tc>
          <w:tcPr>
            <w:tcW w:w="617" w:type="pct"/>
            <w:shd w:val="clear" w:color="auto" w:fill="EE3438"/>
            <w:vAlign w:val="center"/>
            <w:hideMark/>
          </w:tcPr>
          <w:p w14:paraId="597736C3" w14:textId="77777777" w:rsidR="003E245D" w:rsidRPr="001365BD" w:rsidRDefault="003E245D" w:rsidP="001365BD">
            <w:pPr>
              <w:spacing w:after="0" w:line="240" w:lineRule="auto"/>
              <w:jc w:val="center"/>
              <w:rPr>
                <w:rFonts w:eastAsia="Times New Roman" w:cs="Calibri"/>
                <w:b/>
                <w:bCs/>
                <w:color w:val="FFFFFF" w:themeColor="background1"/>
                <w:sz w:val="18"/>
                <w:szCs w:val="18"/>
              </w:rPr>
            </w:pPr>
            <w:r w:rsidRPr="001365BD">
              <w:rPr>
                <w:rFonts w:eastAsia="Times New Roman" w:cs="Calibri"/>
                <w:b/>
                <w:bCs/>
                <w:color w:val="FFFFFF" w:themeColor="background1"/>
                <w:sz w:val="18"/>
                <w:szCs w:val="18"/>
              </w:rPr>
              <w:t>Interna alla stessa zona</w:t>
            </w:r>
          </w:p>
        </w:tc>
        <w:tc>
          <w:tcPr>
            <w:tcW w:w="617" w:type="pct"/>
            <w:shd w:val="clear" w:color="auto" w:fill="EE3438"/>
            <w:vAlign w:val="center"/>
            <w:hideMark/>
          </w:tcPr>
          <w:p w14:paraId="4D7CBF37" w14:textId="77777777" w:rsidR="003E245D" w:rsidRPr="001365BD" w:rsidRDefault="003E245D" w:rsidP="001365BD">
            <w:pPr>
              <w:spacing w:after="0" w:line="240" w:lineRule="auto"/>
              <w:jc w:val="center"/>
              <w:rPr>
                <w:rFonts w:eastAsia="Times New Roman" w:cs="Calibri"/>
                <w:b/>
                <w:bCs/>
                <w:color w:val="FFFFFF" w:themeColor="background1"/>
                <w:sz w:val="18"/>
                <w:szCs w:val="18"/>
              </w:rPr>
            </w:pPr>
            <w:r w:rsidRPr="001365BD">
              <w:rPr>
                <w:rFonts w:eastAsia="Times New Roman" w:cs="Calibri"/>
                <w:b/>
                <w:bCs/>
                <w:color w:val="FFFFFF" w:themeColor="background1"/>
                <w:sz w:val="18"/>
                <w:szCs w:val="18"/>
              </w:rPr>
              <w:t>Verso altre zone dell'area</w:t>
            </w:r>
          </w:p>
        </w:tc>
        <w:tc>
          <w:tcPr>
            <w:tcW w:w="613" w:type="pct"/>
            <w:shd w:val="clear" w:color="auto" w:fill="EE3438"/>
            <w:vAlign w:val="center"/>
            <w:hideMark/>
          </w:tcPr>
          <w:p w14:paraId="45C07BCB" w14:textId="77777777" w:rsidR="003E245D" w:rsidRPr="001365BD" w:rsidRDefault="003E245D" w:rsidP="001365BD">
            <w:pPr>
              <w:spacing w:after="0" w:line="240" w:lineRule="auto"/>
              <w:jc w:val="center"/>
              <w:rPr>
                <w:rFonts w:eastAsia="Times New Roman" w:cs="Calibri"/>
                <w:b/>
                <w:bCs/>
                <w:color w:val="FFFFFF" w:themeColor="background1"/>
                <w:sz w:val="18"/>
                <w:szCs w:val="18"/>
              </w:rPr>
            </w:pPr>
            <w:r w:rsidRPr="001365BD">
              <w:rPr>
                <w:rFonts w:eastAsia="Times New Roman" w:cs="Calibri"/>
                <w:b/>
                <w:bCs/>
                <w:color w:val="FFFFFF" w:themeColor="background1"/>
                <w:sz w:val="18"/>
                <w:szCs w:val="18"/>
              </w:rPr>
              <w:t>Verso Torino</w:t>
            </w:r>
          </w:p>
        </w:tc>
        <w:tc>
          <w:tcPr>
            <w:tcW w:w="613" w:type="pct"/>
            <w:shd w:val="clear" w:color="auto" w:fill="EE3438"/>
            <w:vAlign w:val="center"/>
            <w:hideMark/>
          </w:tcPr>
          <w:p w14:paraId="0459FA49" w14:textId="77777777" w:rsidR="003E245D" w:rsidRPr="001365BD" w:rsidRDefault="003E245D" w:rsidP="001365BD">
            <w:pPr>
              <w:spacing w:after="0" w:line="240" w:lineRule="auto"/>
              <w:jc w:val="center"/>
              <w:rPr>
                <w:rFonts w:eastAsia="Times New Roman" w:cs="Calibri"/>
                <w:b/>
                <w:bCs/>
                <w:color w:val="FFFFFF" w:themeColor="background1"/>
                <w:sz w:val="18"/>
                <w:szCs w:val="18"/>
              </w:rPr>
            </w:pPr>
            <w:r w:rsidRPr="001365BD">
              <w:rPr>
                <w:rFonts w:eastAsia="Times New Roman" w:cs="Calibri"/>
                <w:b/>
                <w:bCs/>
                <w:color w:val="FFFFFF" w:themeColor="background1"/>
                <w:sz w:val="18"/>
                <w:szCs w:val="18"/>
              </w:rPr>
              <w:t>Verso zone dell'altra area</w:t>
            </w:r>
          </w:p>
        </w:tc>
        <w:tc>
          <w:tcPr>
            <w:tcW w:w="609" w:type="pct"/>
            <w:shd w:val="clear" w:color="auto" w:fill="EE3438"/>
            <w:vAlign w:val="center"/>
            <w:hideMark/>
          </w:tcPr>
          <w:p w14:paraId="0AE36657" w14:textId="77777777" w:rsidR="003E245D" w:rsidRPr="001365BD" w:rsidRDefault="003E245D" w:rsidP="001365BD">
            <w:pPr>
              <w:spacing w:after="0" w:line="240" w:lineRule="auto"/>
              <w:jc w:val="center"/>
              <w:rPr>
                <w:rFonts w:eastAsia="Times New Roman" w:cs="Calibri"/>
                <w:b/>
                <w:bCs/>
                <w:color w:val="FFFFFF" w:themeColor="background1"/>
                <w:sz w:val="18"/>
                <w:szCs w:val="18"/>
              </w:rPr>
            </w:pPr>
            <w:r w:rsidRPr="001365BD">
              <w:rPr>
                <w:rFonts w:eastAsia="Times New Roman" w:cs="Calibri"/>
                <w:b/>
                <w:bCs/>
                <w:color w:val="FFFFFF" w:themeColor="background1"/>
                <w:sz w:val="18"/>
                <w:szCs w:val="18"/>
              </w:rPr>
              <w:t>Verso altri Bacini</w:t>
            </w:r>
          </w:p>
        </w:tc>
        <w:tc>
          <w:tcPr>
            <w:tcW w:w="609" w:type="pct"/>
            <w:shd w:val="clear" w:color="auto" w:fill="EE3438"/>
            <w:vAlign w:val="center"/>
            <w:hideMark/>
          </w:tcPr>
          <w:p w14:paraId="50D9C456" w14:textId="77777777" w:rsidR="003E245D" w:rsidRPr="001365BD" w:rsidRDefault="003E245D" w:rsidP="001365BD">
            <w:pPr>
              <w:spacing w:after="0" w:line="240" w:lineRule="auto"/>
              <w:jc w:val="center"/>
              <w:rPr>
                <w:rFonts w:eastAsia="Times New Roman" w:cs="Calibri"/>
                <w:b/>
                <w:bCs/>
                <w:color w:val="FFFFFF" w:themeColor="background1"/>
                <w:sz w:val="18"/>
                <w:szCs w:val="18"/>
              </w:rPr>
            </w:pPr>
            <w:r w:rsidRPr="001365BD">
              <w:rPr>
                <w:rFonts w:eastAsia="Times New Roman" w:cs="Calibri"/>
                <w:b/>
                <w:bCs/>
                <w:color w:val="FFFFFF" w:themeColor="background1"/>
                <w:sz w:val="18"/>
                <w:szCs w:val="18"/>
              </w:rPr>
              <w:t>Fuori Regione</w:t>
            </w:r>
          </w:p>
        </w:tc>
        <w:tc>
          <w:tcPr>
            <w:tcW w:w="686" w:type="pct"/>
            <w:shd w:val="clear" w:color="auto" w:fill="EE3438"/>
            <w:vAlign w:val="center"/>
            <w:hideMark/>
          </w:tcPr>
          <w:p w14:paraId="4D4E01F1" w14:textId="77777777" w:rsidR="003E245D" w:rsidRPr="001365BD" w:rsidRDefault="003E245D" w:rsidP="001365BD">
            <w:pPr>
              <w:spacing w:after="0" w:line="240" w:lineRule="auto"/>
              <w:jc w:val="center"/>
              <w:rPr>
                <w:rFonts w:eastAsia="Times New Roman" w:cs="Calibri"/>
                <w:b/>
                <w:bCs/>
                <w:color w:val="FFFFFF" w:themeColor="background1"/>
                <w:sz w:val="18"/>
                <w:szCs w:val="18"/>
              </w:rPr>
            </w:pPr>
            <w:r w:rsidRPr="001365BD">
              <w:rPr>
                <w:rFonts w:eastAsia="Times New Roman" w:cs="Calibri"/>
                <w:b/>
                <w:bCs/>
                <w:color w:val="FFFFFF" w:themeColor="background1"/>
                <w:sz w:val="18"/>
                <w:szCs w:val="18"/>
              </w:rPr>
              <w:t>Totale spostamenti in origine</w:t>
            </w:r>
          </w:p>
        </w:tc>
      </w:tr>
      <w:tr w:rsidR="003E245D" w:rsidRPr="003E245D" w14:paraId="2FA3F63D" w14:textId="77777777" w:rsidTr="001365BD">
        <w:trPr>
          <w:trHeight w:val="300"/>
        </w:trPr>
        <w:tc>
          <w:tcPr>
            <w:tcW w:w="637" w:type="pct"/>
            <w:noWrap/>
            <w:vAlign w:val="bottom"/>
            <w:hideMark/>
          </w:tcPr>
          <w:p w14:paraId="469168C3" w14:textId="77777777" w:rsidR="003E245D" w:rsidRPr="003E245D" w:rsidRDefault="003E245D" w:rsidP="003E245D">
            <w:pPr>
              <w:spacing w:after="0" w:line="240" w:lineRule="auto"/>
              <w:jc w:val="left"/>
              <w:rPr>
                <w:rFonts w:eastAsia="Times New Roman" w:cs="Calibri"/>
                <w:color w:val="000000"/>
                <w:sz w:val="18"/>
                <w:szCs w:val="18"/>
              </w:rPr>
            </w:pPr>
            <w:r w:rsidRPr="003E245D">
              <w:rPr>
                <w:rFonts w:eastAsia="Times New Roman" w:cs="Calibri"/>
                <w:color w:val="000000"/>
                <w:sz w:val="18"/>
                <w:szCs w:val="18"/>
              </w:rPr>
              <w:t>Area NORD</w:t>
            </w:r>
          </w:p>
        </w:tc>
        <w:tc>
          <w:tcPr>
            <w:tcW w:w="617" w:type="pct"/>
            <w:noWrap/>
            <w:vAlign w:val="bottom"/>
            <w:hideMark/>
          </w:tcPr>
          <w:p w14:paraId="536CD6A2" w14:textId="3F72B862" w:rsidR="003E245D" w:rsidRPr="003E245D" w:rsidRDefault="003E245D" w:rsidP="00532AE5">
            <w:pPr>
              <w:spacing w:after="0" w:line="240" w:lineRule="auto"/>
              <w:jc w:val="right"/>
              <w:rPr>
                <w:rFonts w:eastAsia="Times New Roman" w:cs="Calibri"/>
                <w:color w:val="000000"/>
                <w:sz w:val="18"/>
                <w:szCs w:val="18"/>
              </w:rPr>
            </w:pPr>
            <w:r w:rsidRPr="003E245D">
              <w:rPr>
                <w:rFonts w:eastAsia="Times New Roman" w:cs="Calibri"/>
                <w:color w:val="000000"/>
                <w:sz w:val="18"/>
                <w:szCs w:val="18"/>
              </w:rPr>
              <w:t xml:space="preserve">298.649 </w:t>
            </w:r>
          </w:p>
        </w:tc>
        <w:tc>
          <w:tcPr>
            <w:tcW w:w="617" w:type="pct"/>
            <w:noWrap/>
            <w:vAlign w:val="bottom"/>
            <w:hideMark/>
          </w:tcPr>
          <w:p w14:paraId="1172DDDF" w14:textId="2F185621" w:rsidR="003E245D" w:rsidRPr="003E245D" w:rsidRDefault="003E245D" w:rsidP="00532AE5">
            <w:pPr>
              <w:spacing w:after="0" w:line="240" w:lineRule="auto"/>
              <w:jc w:val="right"/>
              <w:rPr>
                <w:rFonts w:eastAsia="Times New Roman" w:cs="Calibri"/>
                <w:color w:val="000000"/>
                <w:sz w:val="18"/>
                <w:szCs w:val="18"/>
              </w:rPr>
            </w:pPr>
            <w:r w:rsidRPr="003E245D">
              <w:rPr>
                <w:rFonts w:eastAsia="Times New Roman" w:cs="Calibri"/>
                <w:color w:val="000000"/>
                <w:sz w:val="18"/>
                <w:szCs w:val="18"/>
              </w:rPr>
              <w:t xml:space="preserve">104.310 </w:t>
            </w:r>
          </w:p>
        </w:tc>
        <w:tc>
          <w:tcPr>
            <w:tcW w:w="613" w:type="pct"/>
            <w:noWrap/>
            <w:vAlign w:val="bottom"/>
            <w:hideMark/>
          </w:tcPr>
          <w:p w14:paraId="7EB65F64" w14:textId="53ACF140" w:rsidR="003E245D" w:rsidRPr="003E245D" w:rsidRDefault="003E245D" w:rsidP="00532AE5">
            <w:pPr>
              <w:spacing w:after="0" w:line="240" w:lineRule="auto"/>
              <w:jc w:val="right"/>
              <w:rPr>
                <w:rFonts w:eastAsia="Times New Roman" w:cs="Calibri"/>
                <w:color w:val="000000"/>
                <w:sz w:val="18"/>
                <w:szCs w:val="18"/>
              </w:rPr>
            </w:pPr>
            <w:r w:rsidRPr="003E245D">
              <w:rPr>
                <w:rFonts w:eastAsia="Times New Roman" w:cs="Calibri"/>
                <w:color w:val="000000"/>
                <w:sz w:val="18"/>
                <w:szCs w:val="18"/>
              </w:rPr>
              <w:t xml:space="preserve">96.064 </w:t>
            </w:r>
          </w:p>
        </w:tc>
        <w:tc>
          <w:tcPr>
            <w:tcW w:w="613" w:type="pct"/>
            <w:noWrap/>
            <w:vAlign w:val="bottom"/>
            <w:hideMark/>
          </w:tcPr>
          <w:p w14:paraId="3576860D" w14:textId="2CB0061C" w:rsidR="003E245D" w:rsidRPr="003E245D" w:rsidRDefault="003E245D" w:rsidP="00532AE5">
            <w:pPr>
              <w:spacing w:after="0" w:line="240" w:lineRule="auto"/>
              <w:jc w:val="right"/>
              <w:rPr>
                <w:rFonts w:eastAsia="Times New Roman" w:cs="Calibri"/>
                <w:color w:val="000000"/>
                <w:sz w:val="18"/>
                <w:szCs w:val="18"/>
              </w:rPr>
            </w:pPr>
            <w:r w:rsidRPr="003E245D">
              <w:rPr>
                <w:rFonts w:eastAsia="Times New Roman" w:cs="Calibri"/>
                <w:color w:val="000000"/>
                <w:sz w:val="18"/>
                <w:szCs w:val="18"/>
              </w:rPr>
              <w:t xml:space="preserve">15.882 </w:t>
            </w:r>
          </w:p>
        </w:tc>
        <w:tc>
          <w:tcPr>
            <w:tcW w:w="609" w:type="pct"/>
            <w:noWrap/>
            <w:vAlign w:val="bottom"/>
            <w:hideMark/>
          </w:tcPr>
          <w:p w14:paraId="1F016AFB" w14:textId="78314A3B" w:rsidR="003E245D" w:rsidRPr="003E245D" w:rsidRDefault="003E245D" w:rsidP="00532AE5">
            <w:pPr>
              <w:spacing w:after="0" w:line="240" w:lineRule="auto"/>
              <w:jc w:val="right"/>
              <w:rPr>
                <w:rFonts w:eastAsia="Times New Roman" w:cs="Calibri"/>
                <w:color w:val="000000"/>
                <w:sz w:val="18"/>
                <w:szCs w:val="18"/>
              </w:rPr>
            </w:pPr>
            <w:r w:rsidRPr="003E245D">
              <w:rPr>
                <w:rFonts w:eastAsia="Times New Roman" w:cs="Calibri"/>
                <w:color w:val="000000"/>
                <w:sz w:val="18"/>
                <w:szCs w:val="18"/>
              </w:rPr>
              <w:t xml:space="preserve">8.611 </w:t>
            </w:r>
          </w:p>
        </w:tc>
        <w:tc>
          <w:tcPr>
            <w:tcW w:w="609" w:type="pct"/>
            <w:noWrap/>
            <w:vAlign w:val="bottom"/>
            <w:hideMark/>
          </w:tcPr>
          <w:p w14:paraId="1471D2E3" w14:textId="26D80509" w:rsidR="003E245D" w:rsidRPr="003E245D" w:rsidRDefault="003E245D" w:rsidP="00532AE5">
            <w:pPr>
              <w:spacing w:after="0" w:line="240" w:lineRule="auto"/>
              <w:jc w:val="right"/>
              <w:rPr>
                <w:rFonts w:eastAsia="Times New Roman" w:cs="Calibri"/>
                <w:color w:val="000000"/>
                <w:sz w:val="18"/>
                <w:szCs w:val="18"/>
              </w:rPr>
            </w:pPr>
            <w:r w:rsidRPr="003E245D">
              <w:rPr>
                <w:rFonts w:eastAsia="Times New Roman" w:cs="Calibri"/>
                <w:color w:val="000000"/>
                <w:sz w:val="18"/>
                <w:szCs w:val="18"/>
              </w:rPr>
              <w:t xml:space="preserve">6.141 </w:t>
            </w:r>
          </w:p>
        </w:tc>
        <w:tc>
          <w:tcPr>
            <w:tcW w:w="686" w:type="pct"/>
            <w:noWrap/>
            <w:vAlign w:val="bottom"/>
            <w:hideMark/>
          </w:tcPr>
          <w:p w14:paraId="6DB40EAD" w14:textId="4845EB28" w:rsidR="003E245D" w:rsidRPr="003E245D" w:rsidRDefault="003E245D" w:rsidP="00532AE5">
            <w:pPr>
              <w:spacing w:after="0" w:line="240" w:lineRule="auto"/>
              <w:jc w:val="right"/>
              <w:rPr>
                <w:rFonts w:eastAsia="Times New Roman" w:cs="Calibri"/>
                <w:color w:val="000000"/>
                <w:sz w:val="18"/>
                <w:szCs w:val="18"/>
              </w:rPr>
            </w:pPr>
            <w:r w:rsidRPr="003E245D">
              <w:rPr>
                <w:rFonts w:eastAsia="Times New Roman" w:cs="Calibri"/>
                <w:color w:val="000000"/>
                <w:sz w:val="18"/>
                <w:szCs w:val="18"/>
              </w:rPr>
              <w:t xml:space="preserve">529.656 </w:t>
            </w:r>
          </w:p>
        </w:tc>
      </w:tr>
      <w:tr w:rsidR="003E245D" w:rsidRPr="003E245D" w14:paraId="0C0DC883" w14:textId="77777777" w:rsidTr="001365BD">
        <w:trPr>
          <w:trHeight w:val="300"/>
        </w:trPr>
        <w:tc>
          <w:tcPr>
            <w:tcW w:w="637" w:type="pct"/>
            <w:noWrap/>
            <w:vAlign w:val="bottom"/>
            <w:hideMark/>
          </w:tcPr>
          <w:p w14:paraId="402A5182" w14:textId="77777777" w:rsidR="003E245D" w:rsidRPr="003E245D" w:rsidRDefault="003E245D" w:rsidP="003E245D">
            <w:pPr>
              <w:spacing w:after="0" w:line="240" w:lineRule="auto"/>
              <w:jc w:val="left"/>
              <w:rPr>
                <w:rFonts w:eastAsia="Times New Roman" w:cs="Calibri"/>
                <w:color w:val="000000"/>
                <w:sz w:val="18"/>
                <w:szCs w:val="18"/>
              </w:rPr>
            </w:pPr>
            <w:r w:rsidRPr="003E245D">
              <w:rPr>
                <w:rFonts w:eastAsia="Times New Roman" w:cs="Calibri"/>
                <w:color w:val="000000"/>
                <w:sz w:val="18"/>
                <w:szCs w:val="18"/>
              </w:rPr>
              <w:t>Area SUD</w:t>
            </w:r>
          </w:p>
        </w:tc>
        <w:tc>
          <w:tcPr>
            <w:tcW w:w="617" w:type="pct"/>
            <w:noWrap/>
            <w:vAlign w:val="bottom"/>
            <w:hideMark/>
          </w:tcPr>
          <w:p w14:paraId="3285CFC7" w14:textId="6C77D7A1" w:rsidR="003E245D" w:rsidRPr="003E245D" w:rsidRDefault="003E245D" w:rsidP="00532AE5">
            <w:pPr>
              <w:spacing w:after="0" w:line="240" w:lineRule="auto"/>
              <w:jc w:val="right"/>
              <w:rPr>
                <w:rFonts w:eastAsia="Times New Roman" w:cs="Calibri"/>
                <w:color w:val="000000"/>
                <w:sz w:val="18"/>
                <w:szCs w:val="18"/>
              </w:rPr>
            </w:pPr>
            <w:r w:rsidRPr="003E245D">
              <w:rPr>
                <w:rFonts w:eastAsia="Times New Roman" w:cs="Calibri"/>
                <w:color w:val="000000"/>
                <w:sz w:val="18"/>
                <w:szCs w:val="18"/>
              </w:rPr>
              <w:t xml:space="preserve">211.807 </w:t>
            </w:r>
          </w:p>
        </w:tc>
        <w:tc>
          <w:tcPr>
            <w:tcW w:w="617" w:type="pct"/>
            <w:noWrap/>
            <w:vAlign w:val="bottom"/>
            <w:hideMark/>
          </w:tcPr>
          <w:p w14:paraId="5280E02E" w14:textId="1D13C699" w:rsidR="003E245D" w:rsidRPr="003E245D" w:rsidRDefault="003E245D" w:rsidP="00532AE5">
            <w:pPr>
              <w:spacing w:after="0" w:line="240" w:lineRule="auto"/>
              <w:jc w:val="right"/>
              <w:rPr>
                <w:rFonts w:eastAsia="Times New Roman" w:cs="Calibri"/>
                <w:color w:val="000000"/>
                <w:sz w:val="18"/>
                <w:szCs w:val="18"/>
              </w:rPr>
            </w:pPr>
            <w:r w:rsidRPr="003E245D">
              <w:rPr>
                <w:rFonts w:eastAsia="Times New Roman" w:cs="Calibri"/>
                <w:color w:val="000000"/>
                <w:sz w:val="18"/>
                <w:szCs w:val="18"/>
              </w:rPr>
              <w:t xml:space="preserve">81.618 </w:t>
            </w:r>
          </w:p>
        </w:tc>
        <w:tc>
          <w:tcPr>
            <w:tcW w:w="613" w:type="pct"/>
            <w:noWrap/>
            <w:vAlign w:val="bottom"/>
            <w:hideMark/>
          </w:tcPr>
          <w:p w14:paraId="35252B37" w14:textId="6B382AF3" w:rsidR="003E245D" w:rsidRPr="003E245D" w:rsidRDefault="003E245D" w:rsidP="00532AE5">
            <w:pPr>
              <w:spacing w:after="0" w:line="240" w:lineRule="auto"/>
              <w:jc w:val="right"/>
              <w:rPr>
                <w:rFonts w:eastAsia="Times New Roman" w:cs="Calibri"/>
                <w:color w:val="000000"/>
                <w:sz w:val="18"/>
                <w:szCs w:val="18"/>
              </w:rPr>
            </w:pPr>
            <w:r w:rsidRPr="003E245D">
              <w:rPr>
                <w:rFonts w:eastAsia="Times New Roman" w:cs="Calibri"/>
                <w:color w:val="000000"/>
                <w:sz w:val="18"/>
                <w:szCs w:val="18"/>
              </w:rPr>
              <w:t xml:space="preserve">76.812 </w:t>
            </w:r>
          </w:p>
        </w:tc>
        <w:tc>
          <w:tcPr>
            <w:tcW w:w="613" w:type="pct"/>
            <w:noWrap/>
            <w:vAlign w:val="bottom"/>
            <w:hideMark/>
          </w:tcPr>
          <w:p w14:paraId="6DF7A309" w14:textId="5F6CC7C1" w:rsidR="003E245D" w:rsidRPr="003E245D" w:rsidRDefault="003E245D" w:rsidP="00532AE5">
            <w:pPr>
              <w:spacing w:after="0" w:line="240" w:lineRule="auto"/>
              <w:jc w:val="right"/>
              <w:rPr>
                <w:rFonts w:eastAsia="Times New Roman" w:cs="Calibri"/>
                <w:color w:val="000000"/>
                <w:sz w:val="18"/>
                <w:szCs w:val="18"/>
              </w:rPr>
            </w:pPr>
            <w:r w:rsidRPr="003E245D">
              <w:rPr>
                <w:rFonts w:eastAsia="Times New Roman" w:cs="Calibri"/>
                <w:color w:val="000000"/>
                <w:sz w:val="18"/>
                <w:szCs w:val="18"/>
              </w:rPr>
              <w:t xml:space="preserve">20.383 </w:t>
            </w:r>
          </w:p>
        </w:tc>
        <w:tc>
          <w:tcPr>
            <w:tcW w:w="609" w:type="pct"/>
            <w:noWrap/>
            <w:vAlign w:val="bottom"/>
            <w:hideMark/>
          </w:tcPr>
          <w:p w14:paraId="50368A1A" w14:textId="5B90DCA0" w:rsidR="003E245D" w:rsidRPr="003E245D" w:rsidRDefault="003E245D" w:rsidP="00532AE5">
            <w:pPr>
              <w:spacing w:after="0" w:line="240" w:lineRule="auto"/>
              <w:jc w:val="right"/>
              <w:rPr>
                <w:rFonts w:eastAsia="Times New Roman" w:cs="Calibri"/>
                <w:color w:val="000000"/>
                <w:sz w:val="18"/>
                <w:szCs w:val="18"/>
              </w:rPr>
            </w:pPr>
            <w:r w:rsidRPr="003E245D">
              <w:rPr>
                <w:rFonts w:eastAsia="Times New Roman" w:cs="Calibri"/>
                <w:color w:val="000000"/>
                <w:sz w:val="18"/>
                <w:szCs w:val="18"/>
              </w:rPr>
              <w:t xml:space="preserve">6.547 </w:t>
            </w:r>
          </w:p>
        </w:tc>
        <w:tc>
          <w:tcPr>
            <w:tcW w:w="609" w:type="pct"/>
            <w:noWrap/>
            <w:vAlign w:val="bottom"/>
            <w:hideMark/>
          </w:tcPr>
          <w:p w14:paraId="575CEEC5" w14:textId="7122B544" w:rsidR="003E245D" w:rsidRPr="003E245D" w:rsidRDefault="003E245D" w:rsidP="00532AE5">
            <w:pPr>
              <w:spacing w:after="0" w:line="240" w:lineRule="auto"/>
              <w:jc w:val="right"/>
              <w:rPr>
                <w:rFonts w:eastAsia="Times New Roman" w:cs="Calibri"/>
                <w:color w:val="000000"/>
                <w:sz w:val="18"/>
                <w:szCs w:val="18"/>
              </w:rPr>
            </w:pPr>
            <w:r w:rsidRPr="003E245D">
              <w:rPr>
                <w:rFonts w:eastAsia="Times New Roman" w:cs="Calibri"/>
                <w:color w:val="000000"/>
                <w:sz w:val="18"/>
                <w:szCs w:val="18"/>
              </w:rPr>
              <w:t xml:space="preserve">4.704 </w:t>
            </w:r>
          </w:p>
        </w:tc>
        <w:tc>
          <w:tcPr>
            <w:tcW w:w="686" w:type="pct"/>
            <w:noWrap/>
            <w:vAlign w:val="bottom"/>
            <w:hideMark/>
          </w:tcPr>
          <w:p w14:paraId="2340E7EA" w14:textId="3D5B42E9" w:rsidR="003E245D" w:rsidRPr="003E245D" w:rsidRDefault="003E245D" w:rsidP="00532AE5">
            <w:pPr>
              <w:spacing w:after="0" w:line="240" w:lineRule="auto"/>
              <w:jc w:val="right"/>
              <w:rPr>
                <w:rFonts w:eastAsia="Times New Roman" w:cs="Calibri"/>
                <w:color w:val="000000"/>
                <w:sz w:val="18"/>
                <w:szCs w:val="18"/>
              </w:rPr>
            </w:pPr>
            <w:r w:rsidRPr="003E245D">
              <w:rPr>
                <w:rFonts w:eastAsia="Times New Roman" w:cs="Calibri"/>
                <w:color w:val="000000"/>
                <w:sz w:val="18"/>
                <w:szCs w:val="18"/>
              </w:rPr>
              <w:t xml:space="preserve">401.871 </w:t>
            </w:r>
          </w:p>
        </w:tc>
      </w:tr>
      <w:tr w:rsidR="003E245D" w:rsidRPr="003E245D" w14:paraId="3D176B03" w14:textId="77777777" w:rsidTr="001365BD">
        <w:trPr>
          <w:trHeight w:val="300"/>
        </w:trPr>
        <w:tc>
          <w:tcPr>
            <w:tcW w:w="637" w:type="pct"/>
            <w:shd w:val="clear" w:color="auto" w:fill="FF7C80"/>
            <w:noWrap/>
            <w:vAlign w:val="bottom"/>
            <w:hideMark/>
          </w:tcPr>
          <w:p w14:paraId="07D20E87" w14:textId="77777777" w:rsidR="003E245D" w:rsidRPr="003E245D" w:rsidRDefault="003E245D" w:rsidP="003E245D">
            <w:pPr>
              <w:spacing w:after="0" w:line="240" w:lineRule="auto"/>
              <w:jc w:val="left"/>
              <w:rPr>
                <w:rFonts w:eastAsia="Times New Roman" w:cs="Calibri"/>
                <w:color w:val="000000"/>
                <w:sz w:val="18"/>
                <w:szCs w:val="18"/>
              </w:rPr>
            </w:pPr>
            <w:r w:rsidRPr="003E245D">
              <w:rPr>
                <w:rFonts w:eastAsia="Times New Roman" w:cs="Calibri"/>
                <w:color w:val="000000"/>
                <w:sz w:val="18"/>
                <w:szCs w:val="18"/>
              </w:rPr>
              <w:t>Quote percentuali</w:t>
            </w:r>
          </w:p>
        </w:tc>
        <w:tc>
          <w:tcPr>
            <w:tcW w:w="617" w:type="pct"/>
            <w:shd w:val="clear" w:color="auto" w:fill="FF7C80"/>
            <w:vAlign w:val="bottom"/>
            <w:hideMark/>
          </w:tcPr>
          <w:p w14:paraId="208408B8" w14:textId="77777777" w:rsidR="003E245D" w:rsidRPr="003E245D" w:rsidRDefault="003E245D" w:rsidP="003E245D">
            <w:pPr>
              <w:spacing w:after="0" w:line="240" w:lineRule="auto"/>
              <w:jc w:val="left"/>
              <w:rPr>
                <w:rFonts w:eastAsia="Times New Roman" w:cs="Calibri"/>
                <w:color w:val="000000"/>
                <w:sz w:val="18"/>
                <w:szCs w:val="18"/>
              </w:rPr>
            </w:pPr>
            <w:r w:rsidRPr="003E245D">
              <w:rPr>
                <w:rFonts w:eastAsia="Times New Roman" w:cs="Calibri"/>
                <w:color w:val="000000"/>
                <w:sz w:val="18"/>
                <w:szCs w:val="18"/>
              </w:rPr>
              <w:t> </w:t>
            </w:r>
          </w:p>
        </w:tc>
        <w:tc>
          <w:tcPr>
            <w:tcW w:w="617" w:type="pct"/>
            <w:shd w:val="clear" w:color="auto" w:fill="FF7C80"/>
            <w:noWrap/>
            <w:vAlign w:val="bottom"/>
            <w:hideMark/>
          </w:tcPr>
          <w:p w14:paraId="044F2CC0" w14:textId="77777777" w:rsidR="003E245D" w:rsidRPr="003E245D" w:rsidRDefault="003E245D" w:rsidP="003E245D">
            <w:pPr>
              <w:spacing w:after="0" w:line="240" w:lineRule="auto"/>
              <w:jc w:val="left"/>
              <w:rPr>
                <w:rFonts w:eastAsia="Times New Roman" w:cs="Calibri"/>
                <w:color w:val="000000"/>
                <w:sz w:val="18"/>
                <w:szCs w:val="18"/>
              </w:rPr>
            </w:pPr>
            <w:r w:rsidRPr="003E245D">
              <w:rPr>
                <w:rFonts w:eastAsia="Times New Roman" w:cs="Calibri"/>
                <w:color w:val="000000"/>
                <w:sz w:val="18"/>
                <w:szCs w:val="18"/>
              </w:rPr>
              <w:t> </w:t>
            </w:r>
          </w:p>
        </w:tc>
        <w:tc>
          <w:tcPr>
            <w:tcW w:w="613" w:type="pct"/>
            <w:shd w:val="clear" w:color="auto" w:fill="FF7C80"/>
            <w:noWrap/>
            <w:vAlign w:val="bottom"/>
            <w:hideMark/>
          </w:tcPr>
          <w:p w14:paraId="6C74742D" w14:textId="77777777" w:rsidR="003E245D" w:rsidRPr="003E245D" w:rsidRDefault="003E245D" w:rsidP="003E245D">
            <w:pPr>
              <w:spacing w:after="0" w:line="240" w:lineRule="auto"/>
              <w:jc w:val="left"/>
              <w:rPr>
                <w:rFonts w:eastAsia="Times New Roman" w:cs="Calibri"/>
                <w:color w:val="000000"/>
                <w:sz w:val="18"/>
                <w:szCs w:val="18"/>
              </w:rPr>
            </w:pPr>
            <w:r w:rsidRPr="003E245D">
              <w:rPr>
                <w:rFonts w:eastAsia="Times New Roman" w:cs="Calibri"/>
                <w:color w:val="000000"/>
                <w:sz w:val="18"/>
                <w:szCs w:val="18"/>
              </w:rPr>
              <w:t> </w:t>
            </w:r>
          </w:p>
        </w:tc>
        <w:tc>
          <w:tcPr>
            <w:tcW w:w="613" w:type="pct"/>
            <w:shd w:val="clear" w:color="auto" w:fill="FF7C80"/>
            <w:noWrap/>
            <w:vAlign w:val="bottom"/>
            <w:hideMark/>
          </w:tcPr>
          <w:p w14:paraId="4A99C58D" w14:textId="77777777" w:rsidR="003E245D" w:rsidRPr="003E245D" w:rsidRDefault="003E245D" w:rsidP="003E245D">
            <w:pPr>
              <w:spacing w:after="0" w:line="240" w:lineRule="auto"/>
              <w:jc w:val="left"/>
              <w:rPr>
                <w:rFonts w:eastAsia="Times New Roman" w:cs="Calibri"/>
                <w:color w:val="000000"/>
                <w:sz w:val="18"/>
                <w:szCs w:val="18"/>
              </w:rPr>
            </w:pPr>
            <w:r w:rsidRPr="003E245D">
              <w:rPr>
                <w:rFonts w:eastAsia="Times New Roman" w:cs="Calibri"/>
                <w:color w:val="000000"/>
                <w:sz w:val="18"/>
                <w:szCs w:val="18"/>
              </w:rPr>
              <w:t> </w:t>
            </w:r>
          </w:p>
        </w:tc>
        <w:tc>
          <w:tcPr>
            <w:tcW w:w="609" w:type="pct"/>
            <w:shd w:val="clear" w:color="auto" w:fill="FF7C80"/>
            <w:noWrap/>
            <w:vAlign w:val="bottom"/>
            <w:hideMark/>
          </w:tcPr>
          <w:p w14:paraId="083C9EF3" w14:textId="77777777" w:rsidR="003E245D" w:rsidRPr="003E245D" w:rsidRDefault="003E245D" w:rsidP="003E245D">
            <w:pPr>
              <w:spacing w:after="0" w:line="240" w:lineRule="auto"/>
              <w:jc w:val="left"/>
              <w:rPr>
                <w:rFonts w:eastAsia="Times New Roman" w:cs="Calibri"/>
                <w:color w:val="000000"/>
                <w:sz w:val="18"/>
                <w:szCs w:val="18"/>
              </w:rPr>
            </w:pPr>
            <w:r w:rsidRPr="003E245D">
              <w:rPr>
                <w:rFonts w:eastAsia="Times New Roman" w:cs="Calibri"/>
                <w:color w:val="000000"/>
                <w:sz w:val="18"/>
                <w:szCs w:val="18"/>
              </w:rPr>
              <w:t> </w:t>
            </w:r>
          </w:p>
        </w:tc>
        <w:tc>
          <w:tcPr>
            <w:tcW w:w="609" w:type="pct"/>
            <w:shd w:val="clear" w:color="auto" w:fill="FF7C80"/>
            <w:noWrap/>
            <w:vAlign w:val="bottom"/>
            <w:hideMark/>
          </w:tcPr>
          <w:p w14:paraId="18AA72E6" w14:textId="77777777" w:rsidR="003E245D" w:rsidRPr="003E245D" w:rsidRDefault="003E245D" w:rsidP="003E245D">
            <w:pPr>
              <w:spacing w:after="0" w:line="240" w:lineRule="auto"/>
              <w:jc w:val="left"/>
              <w:rPr>
                <w:rFonts w:eastAsia="Times New Roman" w:cs="Calibri"/>
                <w:color w:val="000000"/>
                <w:sz w:val="18"/>
                <w:szCs w:val="18"/>
              </w:rPr>
            </w:pPr>
            <w:r w:rsidRPr="003E245D">
              <w:rPr>
                <w:rFonts w:eastAsia="Times New Roman" w:cs="Calibri"/>
                <w:color w:val="000000"/>
                <w:sz w:val="18"/>
                <w:szCs w:val="18"/>
              </w:rPr>
              <w:t> </w:t>
            </w:r>
          </w:p>
        </w:tc>
        <w:tc>
          <w:tcPr>
            <w:tcW w:w="686" w:type="pct"/>
            <w:shd w:val="clear" w:color="auto" w:fill="FF7C80"/>
            <w:noWrap/>
            <w:vAlign w:val="bottom"/>
            <w:hideMark/>
          </w:tcPr>
          <w:p w14:paraId="5E0691E2" w14:textId="77777777" w:rsidR="003E245D" w:rsidRPr="003E245D" w:rsidRDefault="003E245D" w:rsidP="003E245D">
            <w:pPr>
              <w:spacing w:after="0" w:line="240" w:lineRule="auto"/>
              <w:jc w:val="left"/>
              <w:rPr>
                <w:rFonts w:eastAsia="Times New Roman" w:cs="Calibri"/>
                <w:color w:val="000000"/>
                <w:sz w:val="18"/>
                <w:szCs w:val="18"/>
              </w:rPr>
            </w:pPr>
            <w:r w:rsidRPr="003E245D">
              <w:rPr>
                <w:rFonts w:eastAsia="Times New Roman" w:cs="Calibri"/>
                <w:color w:val="000000"/>
                <w:sz w:val="18"/>
                <w:szCs w:val="18"/>
              </w:rPr>
              <w:t> </w:t>
            </w:r>
          </w:p>
        </w:tc>
      </w:tr>
      <w:tr w:rsidR="003E245D" w:rsidRPr="003E245D" w14:paraId="3B86C2C5" w14:textId="77777777" w:rsidTr="001365BD">
        <w:trPr>
          <w:trHeight w:val="300"/>
        </w:trPr>
        <w:tc>
          <w:tcPr>
            <w:tcW w:w="637" w:type="pct"/>
            <w:noWrap/>
            <w:vAlign w:val="bottom"/>
            <w:hideMark/>
          </w:tcPr>
          <w:p w14:paraId="467118BF" w14:textId="77777777" w:rsidR="003E245D" w:rsidRPr="003E245D" w:rsidRDefault="003E245D" w:rsidP="003E245D">
            <w:pPr>
              <w:spacing w:after="0" w:line="240" w:lineRule="auto"/>
              <w:jc w:val="left"/>
              <w:rPr>
                <w:rFonts w:eastAsia="Times New Roman" w:cs="Calibri"/>
                <w:color w:val="000000"/>
                <w:sz w:val="18"/>
                <w:szCs w:val="18"/>
              </w:rPr>
            </w:pPr>
            <w:r w:rsidRPr="003E245D">
              <w:rPr>
                <w:rFonts w:eastAsia="Times New Roman" w:cs="Calibri"/>
                <w:color w:val="000000"/>
                <w:sz w:val="18"/>
                <w:szCs w:val="18"/>
              </w:rPr>
              <w:t>Area NORD</w:t>
            </w:r>
          </w:p>
        </w:tc>
        <w:tc>
          <w:tcPr>
            <w:tcW w:w="617" w:type="pct"/>
            <w:noWrap/>
            <w:vAlign w:val="bottom"/>
            <w:hideMark/>
          </w:tcPr>
          <w:p w14:paraId="7BCF3C3D"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eastAsia="Times New Roman" w:cs="Calibri"/>
                <w:color w:val="000000"/>
                <w:sz w:val="18"/>
                <w:szCs w:val="18"/>
              </w:rPr>
              <w:t>56,4%</w:t>
            </w:r>
          </w:p>
        </w:tc>
        <w:tc>
          <w:tcPr>
            <w:tcW w:w="617" w:type="pct"/>
            <w:noWrap/>
            <w:vAlign w:val="bottom"/>
            <w:hideMark/>
          </w:tcPr>
          <w:p w14:paraId="5846DCBB"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eastAsia="Times New Roman" w:cs="Calibri"/>
                <w:color w:val="000000"/>
                <w:sz w:val="18"/>
                <w:szCs w:val="18"/>
              </w:rPr>
              <w:t>19,7%</w:t>
            </w:r>
          </w:p>
        </w:tc>
        <w:tc>
          <w:tcPr>
            <w:tcW w:w="613" w:type="pct"/>
            <w:noWrap/>
            <w:vAlign w:val="bottom"/>
            <w:hideMark/>
          </w:tcPr>
          <w:p w14:paraId="318ED36B"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eastAsia="Times New Roman" w:cs="Calibri"/>
                <w:color w:val="000000"/>
                <w:sz w:val="18"/>
                <w:szCs w:val="18"/>
              </w:rPr>
              <w:t>18,1%</w:t>
            </w:r>
          </w:p>
        </w:tc>
        <w:tc>
          <w:tcPr>
            <w:tcW w:w="613" w:type="pct"/>
            <w:noWrap/>
            <w:vAlign w:val="bottom"/>
            <w:hideMark/>
          </w:tcPr>
          <w:p w14:paraId="4F516F69"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eastAsia="Times New Roman" w:cs="Calibri"/>
                <w:color w:val="000000"/>
                <w:sz w:val="18"/>
                <w:szCs w:val="18"/>
              </w:rPr>
              <w:t>3,0%</w:t>
            </w:r>
          </w:p>
        </w:tc>
        <w:tc>
          <w:tcPr>
            <w:tcW w:w="609" w:type="pct"/>
            <w:noWrap/>
            <w:vAlign w:val="bottom"/>
            <w:hideMark/>
          </w:tcPr>
          <w:p w14:paraId="022BEA30"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eastAsia="Times New Roman" w:cs="Calibri"/>
                <w:color w:val="000000"/>
                <w:sz w:val="18"/>
                <w:szCs w:val="18"/>
              </w:rPr>
              <w:t>1,6%</w:t>
            </w:r>
          </w:p>
        </w:tc>
        <w:tc>
          <w:tcPr>
            <w:tcW w:w="609" w:type="pct"/>
            <w:noWrap/>
            <w:vAlign w:val="bottom"/>
            <w:hideMark/>
          </w:tcPr>
          <w:p w14:paraId="69C3DB26"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eastAsia="Times New Roman" w:cs="Calibri"/>
                <w:color w:val="000000"/>
                <w:sz w:val="18"/>
                <w:szCs w:val="18"/>
              </w:rPr>
              <w:t>1,2%</w:t>
            </w:r>
          </w:p>
        </w:tc>
        <w:tc>
          <w:tcPr>
            <w:tcW w:w="686" w:type="pct"/>
            <w:noWrap/>
            <w:vAlign w:val="bottom"/>
            <w:hideMark/>
          </w:tcPr>
          <w:p w14:paraId="19BB24FD" w14:textId="77777777" w:rsidR="003E245D" w:rsidRPr="003E245D" w:rsidRDefault="003E245D" w:rsidP="003E245D">
            <w:pPr>
              <w:spacing w:after="0" w:line="240" w:lineRule="auto"/>
              <w:jc w:val="left"/>
              <w:rPr>
                <w:rFonts w:eastAsia="Times New Roman" w:cs="Calibri"/>
                <w:color w:val="000000"/>
                <w:sz w:val="18"/>
                <w:szCs w:val="18"/>
              </w:rPr>
            </w:pPr>
            <w:r w:rsidRPr="003E245D">
              <w:rPr>
                <w:rFonts w:eastAsia="Times New Roman" w:cs="Calibri"/>
                <w:color w:val="000000"/>
                <w:sz w:val="18"/>
                <w:szCs w:val="18"/>
              </w:rPr>
              <w:t> </w:t>
            </w:r>
          </w:p>
        </w:tc>
      </w:tr>
      <w:tr w:rsidR="003E245D" w:rsidRPr="003E245D" w14:paraId="6BE8084F" w14:textId="77777777" w:rsidTr="001365BD">
        <w:trPr>
          <w:trHeight w:val="300"/>
        </w:trPr>
        <w:tc>
          <w:tcPr>
            <w:tcW w:w="637" w:type="pct"/>
            <w:noWrap/>
            <w:vAlign w:val="bottom"/>
            <w:hideMark/>
          </w:tcPr>
          <w:p w14:paraId="3BEAD6A2" w14:textId="77777777" w:rsidR="003E245D" w:rsidRPr="003E245D" w:rsidRDefault="003E245D" w:rsidP="003E245D">
            <w:pPr>
              <w:spacing w:after="0" w:line="240" w:lineRule="auto"/>
              <w:jc w:val="left"/>
              <w:rPr>
                <w:rFonts w:eastAsia="Times New Roman" w:cs="Calibri"/>
                <w:color w:val="000000"/>
                <w:sz w:val="18"/>
                <w:szCs w:val="18"/>
              </w:rPr>
            </w:pPr>
            <w:r w:rsidRPr="003E245D">
              <w:rPr>
                <w:rFonts w:eastAsia="Times New Roman" w:cs="Calibri"/>
                <w:color w:val="000000"/>
                <w:sz w:val="18"/>
                <w:szCs w:val="18"/>
              </w:rPr>
              <w:t>Area SUD</w:t>
            </w:r>
          </w:p>
        </w:tc>
        <w:tc>
          <w:tcPr>
            <w:tcW w:w="617" w:type="pct"/>
            <w:noWrap/>
            <w:vAlign w:val="bottom"/>
            <w:hideMark/>
          </w:tcPr>
          <w:p w14:paraId="3B38E13D"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eastAsia="Times New Roman" w:cs="Calibri"/>
                <w:color w:val="000000"/>
                <w:sz w:val="18"/>
                <w:szCs w:val="18"/>
              </w:rPr>
              <w:t>52,7%</w:t>
            </w:r>
          </w:p>
        </w:tc>
        <w:tc>
          <w:tcPr>
            <w:tcW w:w="617" w:type="pct"/>
            <w:noWrap/>
            <w:vAlign w:val="bottom"/>
            <w:hideMark/>
          </w:tcPr>
          <w:p w14:paraId="1025B994"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eastAsia="Times New Roman" w:cs="Calibri"/>
                <w:color w:val="000000"/>
                <w:sz w:val="18"/>
                <w:szCs w:val="18"/>
              </w:rPr>
              <w:t>20,3%</w:t>
            </w:r>
          </w:p>
        </w:tc>
        <w:tc>
          <w:tcPr>
            <w:tcW w:w="613" w:type="pct"/>
            <w:noWrap/>
            <w:vAlign w:val="bottom"/>
            <w:hideMark/>
          </w:tcPr>
          <w:p w14:paraId="124D2322"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eastAsia="Times New Roman" w:cs="Calibri"/>
                <w:color w:val="000000"/>
                <w:sz w:val="18"/>
                <w:szCs w:val="18"/>
              </w:rPr>
              <w:t>19,1%</w:t>
            </w:r>
          </w:p>
        </w:tc>
        <w:tc>
          <w:tcPr>
            <w:tcW w:w="613" w:type="pct"/>
            <w:noWrap/>
            <w:vAlign w:val="bottom"/>
            <w:hideMark/>
          </w:tcPr>
          <w:p w14:paraId="344983F4"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eastAsia="Times New Roman" w:cs="Calibri"/>
                <w:color w:val="000000"/>
                <w:sz w:val="18"/>
                <w:szCs w:val="18"/>
              </w:rPr>
              <w:t>5,1%</w:t>
            </w:r>
          </w:p>
        </w:tc>
        <w:tc>
          <w:tcPr>
            <w:tcW w:w="609" w:type="pct"/>
            <w:noWrap/>
            <w:vAlign w:val="bottom"/>
            <w:hideMark/>
          </w:tcPr>
          <w:p w14:paraId="0357EEC0"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eastAsia="Times New Roman" w:cs="Calibri"/>
                <w:color w:val="000000"/>
                <w:sz w:val="18"/>
                <w:szCs w:val="18"/>
              </w:rPr>
              <w:t>1,6%</w:t>
            </w:r>
          </w:p>
        </w:tc>
        <w:tc>
          <w:tcPr>
            <w:tcW w:w="609" w:type="pct"/>
            <w:noWrap/>
            <w:vAlign w:val="bottom"/>
            <w:hideMark/>
          </w:tcPr>
          <w:p w14:paraId="5F6EFDAF" w14:textId="77777777" w:rsidR="003E245D" w:rsidRPr="003E245D" w:rsidRDefault="003E245D" w:rsidP="003E245D">
            <w:pPr>
              <w:spacing w:after="0" w:line="240" w:lineRule="auto"/>
              <w:jc w:val="right"/>
              <w:rPr>
                <w:rFonts w:eastAsia="Times New Roman" w:cs="Calibri"/>
                <w:color w:val="000000"/>
                <w:sz w:val="18"/>
                <w:szCs w:val="18"/>
              </w:rPr>
            </w:pPr>
            <w:r w:rsidRPr="003E245D">
              <w:rPr>
                <w:rFonts w:eastAsia="Times New Roman" w:cs="Calibri"/>
                <w:color w:val="000000"/>
                <w:sz w:val="18"/>
                <w:szCs w:val="18"/>
              </w:rPr>
              <w:t>1,2%</w:t>
            </w:r>
          </w:p>
        </w:tc>
        <w:tc>
          <w:tcPr>
            <w:tcW w:w="686" w:type="pct"/>
            <w:noWrap/>
            <w:vAlign w:val="bottom"/>
            <w:hideMark/>
          </w:tcPr>
          <w:p w14:paraId="40071CC8" w14:textId="77777777" w:rsidR="003E245D" w:rsidRPr="003E245D" w:rsidRDefault="003E245D" w:rsidP="003E245D">
            <w:pPr>
              <w:spacing w:after="0" w:line="240" w:lineRule="auto"/>
              <w:jc w:val="left"/>
              <w:rPr>
                <w:rFonts w:eastAsia="Times New Roman" w:cs="Calibri"/>
                <w:color w:val="000000"/>
                <w:sz w:val="18"/>
                <w:szCs w:val="18"/>
              </w:rPr>
            </w:pPr>
            <w:r w:rsidRPr="003E245D">
              <w:rPr>
                <w:rFonts w:eastAsia="Times New Roman" w:cs="Calibri"/>
                <w:color w:val="000000"/>
                <w:sz w:val="18"/>
                <w:szCs w:val="18"/>
              </w:rPr>
              <w:t> </w:t>
            </w:r>
          </w:p>
        </w:tc>
      </w:tr>
    </w:tbl>
    <w:p w14:paraId="3F93AEDE" w14:textId="0C832138" w:rsidR="003E245D" w:rsidRPr="00F61BC8" w:rsidRDefault="00F61BC8" w:rsidP="00F61BC8">
      <w:pPr>
        <w:spacing w:after="200" w:line="240" w:lineRule="auto"/>
        <w:jc w:val="center"/>
        <w:rPr>
          <w:i/>
          <w:color w:val="003366"/>
          <w:sz w:val="18"/>
          <w:szCs w:val="18"/>
        </w:rPr>
      </w:pPr>
      <w:r w:rsidRPr="00F61BC8">
        <w:rPr>
          <w:i/>
          <w:iCs/>
          <w:color w:val="003366"/>
          <w:sz w:val="18"/>
          <w:szCs w:val="18"/>
        </w:rPr>
        <w:t xml:space="preserve">Tabella </w:t>
      </w:r>
      <w:r w:rsidRPr="00F61BC8">
        <w:rPr>
          <w:i/>
          <w:iCs/>
          <w:color w:val="003366"/>
          <w:sz w:val="18"/>
          <w:szCs w:val="18"/>
        </w:rPr>
        <w:fldChar w:fldCharType="begin"/>
      </w:r>
      <w:r w:rsidRPr="00F61BC8">
        <w:rPr>
          <w:i/>
          <w:iCs/>
          <w:color w:val="003366"/>
          <w:sz w:val="18"/>
          <w:szCs w:val="18"/>
        </w:rPr>
        <w:instrText xml:space="preserve"> SEQ Tabella \* ARABIC </w:instrText>
      </w:r>
      <w:r w:rsidRPr="00F61BC8">
        <w:rPr>
          <w:i/>
          <w:iCs/>
          <w:color w:val="003366"/>
          <w:sz w:val="18"/>
          <w:szCs w:val="18"/>
        </w:rPr>
        <w:fldChar w:fldCharType="separate"/>
      </w:r>
      <w:r w:rsidR="00073B6D">
        <w:rPr>
          <w:i/>
          <w:iCs/>
          <w:noProof/>
          <w:color w:val="003366"/>
          <w:sz w:val="18"/>
          <w:szCs w:val="18"/>
        </w:rPr>
        <w:t>9</w:t>
      </w:r>
      <w:r w:rsidRPr="00F61BC8">
        <w:rPr>
          <w:i/>
          <w:iCs/>
          <w:color w:val="003366"/>
          <w:sz w:val="18"/>
          <w:szCs w:val="18"/>
        </w:rPr>
        <w:fldChar w:fldCharType="end"/>
      </w:r>
      <w:r w:rsidRPr="00F61BC8">
        <w:rPr>
          <w:i/>
          <w:iCs/>
          <w:color w:val="003366"/>
          <w:sz w:val="18"/>
          <w:szCs w:val="18"/>
        </w:rPr>
        <w:t xml:space="preserve"> – Valutazione autocontenimento aree nord e sud – post assegnazione delle zone residue</w:t>
      </w:r>
    </w:p>
    <w:p w14:paraId="17455684" w14:textId="01E1A6F6" w:rsidR="003E245D" w:rsidRPr="0079286B" w:rsidRDefault="003E245D" w:rsidP="003E245D">
      <w:pPr>
        <w:spacing w:before="120" w:after="0" w:line="240" w:lineRule="auto"/>
        <w:rPr>
          <w:rFonts w:cstheme="minorHAnsi"/>
        </w:rPr>
      </w:pPr>
      <w:r w:rsidRPr="003E245D">
        <w:rPr>
          <w:rFonts w:cstheme="minorHAnsi"/>
        </w:rPr>
        <w:t>Dall’analisi emerge un autocontenimento del 76,15% per l’area nord e un corrispondente valore di 73% per l’area sud, entrambi superiori a quelli rilevati nella prima elaborazione (74,7% nord e 72,5% sud), segno che l’assegnazione definitiva delle sei zone inizialmente dubbie ha rafforzato l’autocontenimento di entrambe le aree deducendo che esse abbiano una buona capacità di soddisfare internamente le esigenze di spostamento dei rispettivi residenti.</w:t>
      </w:r>
    </w:p>
    <w:p w14:paraId="5A14CC9C" w14:textId="77777777" w:rsidR="003E245D" w:rsidRPr="003E245D" w:rsidRDefault="003E245D" w:rsidP="003E245D">
      <w:pPr>
        <w:spacing w:before="120" w:after="0" w:line="240" w:lineRule="auto"/>
        <w:rPr>
          <w:rFonts w:cstheme="minorHAnsi"/>
        </w:rPr>
      </w:pPr>
      <w:r w:rsidRPr="003E245D">
        <w:rPr>
          <w:rFonts w:cstheme="minorHAnsi"/>
        </w:rPr>
        <w:lastRenderedPageBreak/>
        <w:t>La suddivisione del Bacino Metropolitano in due aree durante la gara per l'affidamento del trasporto pubblico locale (TPL) rappresenta una strategia che può incentivare le imprese partecipanti a porre maggiore attenzione alle differenze tra i due ambiti locali. Questa suddivisione permette di evidenziare le specificità e le esigenze di mobilità di ciascuna area, spingendo le imprese a sviluppare soluzioni più mirate e dettagliate.</w:t>
      </w:r>
    </w:p>
    <w:p w14:paraId="6AFA6186" w14:textId="77777777" w:rsidR="003E245D" w:rsidRPr="003E245D" w:rsidRDefault="003E245D" w:rsidP="003E245D">
      <w:pPr>
        <w:spacing w:before="120" w:after="0" w:line="240" w:lineRule="auto"/>
        <w:rPr>
          <w:rFonts w:cstheme="minorHAnsi"/>
        </w:rPr>
      </w:pPr>
      <w:r w:rsidRPr="003E245D">
        <w:rPr>
          <w:rFonts w:cstheme="minorHAnsi"/>
        </w:rPr>
        <w:t>Le imprese del TPL, infatti, saranno motivate a:</w:t>
      </w:r>
    </w:p>
    <w:p w14:paraId="227C3E41" w14:textId="77777777" w:rsidR="003E245D" w:rsidRPr="003E245D" w:rsidRDefault="003E245D" w:rsidP="00FD2CBB">
      <w:pPr>
        <w:numPr>
          <w:ilvl w:val="0"/>
          <w:numId w:val="30"/>
        </w:numPr>
        <w:spacing w:before="120" w:after="0" w:line="240" w:lineRule="auto"/>
        <w:ind w:left="714" w:hanging="357"/>
        <w:rPr>
          <w:rFonts w:cstheme="minorHAnsi"/>
        </w:rPr>
      </w:pPr>
      <w:r w:rsidRPr="003E245D">
        <w:rPr>
          <w:rFonts w:cstheme="minorHAnsi"/>
        </w:rPr>
        <w:t>Analizzare le caratteristiche locali: La suddivisione in due aree richiede un'analisi approfondita delle dinamiche di mobilità, delle infrastrutture esistenti e delle esigenze degli utenti in ciascun ambito. Questo porterà le imprese a considerare attentamente le differenze tra le aree delle due province.</w:t>
      </w:r>
    </w:p>
    <w:p w14:paraId="136CFEBC" w14:textId="77777777" w:rsidR="003E245D" w:rsidRPr="003E245D" w:rsidRDefault="003E245D" w:rsidP="00FD2CBB">
      <w:pPr>
        <w:numPr>
          <w:ilvl w:val="0"/>
          <w:numId w:val="30"/>
        </w:numPr>
        <w:spacing w:before="120" w:after="0" w:line="240" w:lineRule="auto"/>
        <w:ind w:left="714" w:hanging="357"/>
        <w:rPr>
          <w:rFonts w:cstheme="minorHAnsi"/>
        </w:rPr>
      </w:pPr>
      <w:r w:rsidRPr="003E245D">
        <w:rPr>
          <w:rFonts w:cstheme="minorHAnsi"/>
        </w:rPr>
        <w:t>Personalizzare l'offerta: Con una comprensione più dettagliata delle specificità locali, le imprese potranno personalizzare l'offerta di servizi di trasporto pubblico, migliorando l'efficienza e la qualità del servizio per gli utenti.</w:t>
      </w:r>
    </w:p>
    <w:p w14:paraId="577531D6" w14:textId="77777777" w:rsidR="003E245D" w:rsidRPr="003E245D" w:rsidRDefault="003E245D" w:rsidP="00FD2CBB">
      <w:pPr>
        <w:numPr>
          <w:ilvl w:val="0"/>
          <w:numId w:val="30"/>
        </w:numPr>
        <w:spacing w:before="120" w:after="0" w:line="240" w:lineRule="auto"/>
        <w:ind w:left="714" w:hanging="357"/>
        <w:rPr>
          <w:rFonts w:cstheme="minorHAnsi"/>
        </w:rPr>
      </w:pPr>
      <w:r w:rsidRPr="003E245D">
        <w:rPr>
          <w:rFonts w:cstheme="minorHAnsi"/>
        </w:rPr>
        <w:t>Innovare nelle soluzioni: La necessità di adattarsi alle differenze locali stimolerà le imprese a sviluppare soluzioni innovative e a ottimizzare le risorse, garantendo una risposta più efficace alle esigenze di mobilità.</w:t>
      </w:r>
    </w:p>
    <w:p w14:paraId="4605B9C8" w14:textId="77777777" w:rsidR="003E245D" w:rsidRPr="003E245D" w:rsidRDefault="003E245D" w:rsidP="003E245D">
      <w:pPr>
        <w:spacing w:before="120" w:after="0" w:line="240" w:lineRule="auto"/>
        <w:rPr>
          <w:rFonts w:cstheme="minorHAnsi"/>
        </w:rPr>
      </w:pPr>
      <w:r w:rsidRPr="003E245D">
        <w:rPr>
          <w:rFonts w:cstheme="minorHAnsi"/>
        </w:rPr>
        <w:t>In sintesi, la suddivisione del Bacino Metropolitano in due aree, oltre a rappresentare adeguatamente la realtà della mobilità dei cittadini del Bacino, favorirà un approccio più attento e dettagliato da parte delle imprese del TPL, contribuendo a migliorare la pianificazione e la gestione del trasporto pubblico locale.</w:t>
      </w:r>
    </w:p>
    <w:p w14:paraId="64B4FBBB" w14:textId="77777777" w:rsidR="003E245D" w:rsidRPr="003E245D" w:rsidRDefault="003E245D" w:rsidP="00093A03">
      <w:pPr>
        <w:pStyle w:val="Titolo2"/>
        <w:ind w:left="567"/>
        <w:rPr>
          <w:rFonts w:cstheme="minorHAnsi"/>
          <w:b w:val="0"/>
        </w:rPr>
      </w:pPr>
      <w:bookmarkStart w:id="132" w:name="_Toc193195292"/>
      <w:bookmarkStart w:id="133" w:name="_Toc1588871246"/>
      <w:bookmarkStart w:id="134" w:name="_Toc197695670"/>
      <w:bookmarkStart w:id="135" w:name="_Toc204616483"/>
      <w:bookmarkStart w:id="136" w:name="_Toc213078352"/>
      <w:r w:rsidRPr="00093A03">
        <w:rPr>
          <w:rFonts w:asciiTheme="minorHAnsi" w:hAnsiTheme="minorHAnsi" w:cstheme="minorHAnsi"/>
        </w:rPr>
        <w:t>Analisi di mobilità su dati provenienti da piattaforme Big Data di operatori telefonici</w:t>
      </w:r>
      <w:bookmarkEnd w:id="132"/>
      <w:bookmarkEnd w:id="133"/>
      <w:bookmarkEnd w:id="134"/>
      <w:bookmarkEnd w:id="135"/>
      <w:bookmarkEnd w:id="136"/>
    </w:p>
    <w:p w14:paraId="78E74199" w14:textId="77777777" w:rsidR="00D11FD8" w:rsidRDefault="00D11FD8" w:rsidP="00D11FD8">
      <w:pPr>
        <w:spacing w:before="120" w:after="0" w:line="240" w:lineRule="auto"/>
      </w:pPr>
      <w:bookmarkStart w:id="137" w:name="_Toc197695671"/>
      <w:bookmarkStart w:id="138" w:name="_Toc204616484"/>
      <w:r>
        <w:t>La Regione Piemonte, nell'ambito dell'acquisizione dell'accesso a una piattaforma di Big Data basata su dati provenienti dalle SIM telefoniche, ha attivato una serie di utenze di accesso, tra le quali una assegnata all'Agenzia, alla piattaforma Analytics di WindTre. Questa piattaforma consente l'utilizzo di vari cruscotti tematici relativi alla mobilità, offrendo strumenti avanzati per l'analisi dei dati.</w:t>
      </w:r>
    </w:p>
    <w:p w14:paraId="725165A5" w14:textId="1566242A" w:rsidR="00D11FD8" w:rsidRDefault="00D11FD8" w:rsidP="00D11FD8">
      <w:pPr>
        <w:spacing w:before="120" w:after="0" w:line="240" w:lineRule="auto"/>
      </w:pPr>
      <w:r>
        <w:t xml:space="preserve">L'interesse della Regione e dell'Agenzia nell'utilizzo di questa piattaforma risiede nella comprensione delle potenzialità dello strumento per il monitoraggio delle esigenze di mobilità. Attraverso l'accesso alla piattaforma, è possibile analizzare la consistenza e la variazione nel tempo delle </w:t>
      </w:r>
      <w:r>
        <w:rPr>
          <w:i/>
        </w:rPr>
        <w:t>presenze</w:t>
      </w:r>
      <w:r>
        <w:t xml:space="preserve"> delle SIM in specifiche zone territoriali, nonché i relativi spostamenti tra le zone assegnate.Il valore delle “</w:t>
      </w:r>
      <w:r>
        <w:rPr>
          <w:b/>
          <w:bCs/>
          <w:i/>
        </w:rPr>
        <w:t>presenze</w:t>
      </w:r>
      <w:r>
        <w:rPr>
          <w:i/>
        </w:rPr>
        <w:t>”</w:t>
      </w:r>
      <w:r>
        <w:t xml:space="preserve"> è stimato a partire dal numero di SIM WindTre (tipologia Human</w:t>
      </w:r>
      <w:r>
        <w:rPr>
          <w:rStyle w:val="Rimandonotaapidipagina"/>
        </w:rPr>
        <w:footnoteReference w:id="12"/>
      </w:r>
      <w:r>
        <w:t>) attive in un determinato intervallo di tempo in una certa area geografica</w:t>
      </w:r>
      <w:r>
        <w:rPr>
          <w:rStyle w:val="Rimandonotaapidipagina"/>
        </w:rPr>
        <w:footnoteReference w:id="13"/>
      </w:r>
      <w:r>
        <w:t>. Questi dati di base sono espansi secondo algoritmi proprietari, non di dominio pubblico, che tengono conto della quota di mercato (market-share) e di altri parametri di riproporzionamento. L'obiettivo di questi algoritmi è di ricondurre il numero delle SIM alla popolazione di riferimento, fornendo una stima accurata e rappresentativa.</w:t>
      </w:r>
    </w:p>
    <w:p w14:paraId="37B56586" w14:textId="77777777" w:rsidR="00D11FD8" w:rsidRDefault="00D11FD8" w:rsidP="00D11FD8">
      <w:pPr>
        <w:spacing w:before="120" w:after="0" w:line="240" w:lineRule="auto"/>
      </w:pPr>
      <w:r>
        <w:lastRenderedPageBreak/>
        <w:t xml:space="preserve">La piattaforma Analytics di WindTre offre quindi uno strumento per monitorare e analizzare i flussi di mobilità, permettendo di ottenere informazioni sulle dinamiche di spostamento della popolazione. Nei cruscotti della piattaforma WindTre le informazioni disponibili sono riferite alle </w:t>
      </w:r>
      <w:r>
        <w:rPr>
          <w:i/>
        </w:rPr>
        <w:t>presenze</w:t>
      </w:r>
      <w:r>
        <w:t xml:space="preserve"> e alle origini e/o destinazioni degli spostamenti localizzate nella Regione Piemonte, in forma completa nei livelli di aggregazione spaziale di Regione, Provincia, Comune.</w:t>
      </w:r>
    </w:p>
    <w:p w14:paraId="4504A5D0" w14:textId="77777777" w:rsidR="00D11FD8" w:rsidRDefault="00D11FD8" w:rsidP="00D11FD8">
      <w:pPr>
        <w:spacing w:before="120" w:after="0" w:line="240" w:lineRule="auto"/>
      </w:pPr>
      <w:r>
        <w:t>Il dato elementare generato in questo tipo di piattaforme, a differenza delle indagini di mobilità, non è disaggregabile per “scopo” e per “modo”, al momento, anche se per quest’ultimo sono in corso sperimentazioni nel tentativo di inferire stime di tale suddivisione. D’altra parte, è presente una copertura delle origini-destinazioni maggiore rispetto alle indagini, dato il maggiore tasso di “campionamento” equivalente.</w:t>
      </w:r>
    </w:p>
    <w:p w14:paraId="5E59F820" w14:textId="77777777" w:rsidR="00D11FD8" w:rsidRDefault="00D11FD8" w:rsidP="00D11FD8">
      <w:pPr>
        <w:spacing w:before="120" w:after="0" w:line="240" w:lineRule="auto"/>
      </w:pPr>
      <w:r>
        <w:t>L’insieme degli spostamenti individuato nelle presenti analisi è quindi da considerarsi effettuato con tutti gli scopi e i modi, e dunque può essere indicativo di una “domanda (o mobilità) potenziale”.</w:t>
      </w:r>
    </w:p>
    <w:p w14:paraId="3C90BC1E" w14:textId="77777777" w:rsidR="00D11FD8" w:rsidRDefault="00D11FD8" w:rsidP="00D11FD8">
      <w:pPr>
        <w:spacing w:before="120" w:after="0" w:line="240" w:lineRule="auto"/>
      </w:pPr>
      <w:r>
        <w:t>La mobilità nella giornata è essenzialmente simmetrica: ad un viaggio per svolgere attività segue nella grande maggioranza dei casi (mediamente superiore al 90%, da dati IMQ) un viaggio in senso inverso effettuato in tempi successivi per tornare a casa. Poiché nei dati da telefonia mobile non è possibile distinguere lo scopo dello spostamento, compreso quindi il “ritorno a casa”, non è possibile indagare analogamente alle indagini la direzionalità e gravitazione della mobilità; si osserverà quindi, correttamente, una simmetria nei valori degli spostamenti riportati nelle tabelle origine / destinazione delle seguenti analisi.</w:t>
      </w:r>
    </w:p>
    <w:p w14:paraId="178D923C" w14:textId="77777777" w:rsidR="00D11FD8" w:rsidRDefault="00D11FD8" w:rsidP="00D11FD8">
      <w:pPr>
        <w:spacing w:before="120" w:after="0" w:line="240" w:lineRule="auto"/>
      </w:pPr>
      <w:r>
        <w:t>In sintesi, l'utilizzo dei Big Data da operatori di telefonia mobile per le indagini sulla mobilità offre una serie di vantaggi e svantaggi che devono essere considerati attentamente:</w:t>
      </w:r>
    </w:p>
    <w:p w14:paraId="2D2FB847" w14:textId="77777777" w:rsidR="00D11FD8" w:rsidRDefault="00D11FD8" w:rsidP="00D11FD8">
      <w:pPr>
        <w:pStyle w:val="Paragrafoelenco"/>
        <w:numPr>
          <w:ilvl w:val="0"/>
          <w:numId w:val="29"/>
        </w:numPr>
        <w:spacing w:before="120" w:after="0" w:line="240" w:lineRule="auto"/>
      </w:pPr>
      <w:r>
        <w:t>Vantaggi: I dati provenienti dai sistemi di telefonia mobile sono aggiornati continuamente, permettendo un monitoraggio pressoché in tempo reale della mobilità. L’alto tasso di campionamento “equivalente” e la granularità dei dati, suddivisi in unità minime come le ACE (Aree di Censimento), consentono un'analisi dettagliata seppur stimata. Inoltre, l'accessibilità dei dati tramite piattaforme di analytics ne facilita l'uso.</w:t>
      </w:r>
    </w:p>
    <w:p w14:paraId="1ABD4347" w14:textId="77777777" w:rsidR="00D11FD8" w:rsidRDefault="00D11FD8" w:rsidP="00D11FD8">
      <w:pPr>
        <w:pStyle w:val="Paragrafoelenco"/>
        <w:numPr>
          <w:ilvl w:val="0"/>
          <w:numId w:val="29"/>
        </w:numPr>
        <w:spacing w:before="120" w:after="0" w:line="240" w:lineRule="auto"/>
      </w:pPr>
      <w:r>
        <w:t>Svantaggi: La precisione dei dati può variare in base alla densità delle celle e alla configurazione del territorio, con una copertura meno dettagliata in aree rurali rispetto a quelle urbane. Gli algoritmi proprietari utilizzati per espandere i dati delle SIM non sono di dominio pubblico, limitando la trasparenza, e comportano che i valori assoluti esposti siano il risultato di stime successive. Inoltre, i dati delle SIM potrebbero non rappresentare perfettamente tutta la popolazione, specialmente se la quota di mercato dell'operatore telefonico non è uniforme.</w:t>
      </w:r>
    </w:p>
    <w:p w14:paraId="73B66586" w14:textId="77777777" w:rsidR="003E245D" w:rsidRPr="00785259" w:rsidRDefault="003E245D" w:rsidP="00785259">
      <w:pPr>
        <w:pStyle w:val="Titolo3"/>
        <w:spacing w:before="120" w:after="0" w:line="240" w:lineRule="auto"/>
        <w:ind w:left="720"/>
      </w:pPr>
      <w:bookmarkStart w:id="139" w:name="_Toc213078353"/>
      <w:r w:rsidRPr="00785259">
        <w:t>Analisi della domanda tramite i dati della piattaforma Windtre</w:t>
      </w:r>
      <w:bookmarkEnd w:id="137"/>
      <w:bookmarkEnd w:id="138"/>
      <w:bookmarkEnd w:id="139"/>
      <w:r w:rsidRPr="00785259">
        <w:t xml:space="preserve"> </w:t>
      </w:r>
    </w:p>
    <w:p w14:paraId="7844223B" w14:textId="77777777" w:rsidR="00DF1E20" w:rsidRDefault="00DF1E20" w:rsidP="00DF1E20">
      <w:pPr>
        <w:spacing w:before="120" w:after="0" w:line="240" w:lineRule="auto"/>
      </w:pPr>
      <w:r>
        <w:t xml:space="preserve">Le analisi sono state effettuate a partire dai valori degli spostamenti in un giorno feriale medio, con origine e/o destinazione nella Città metropolitana di Torino, rilevati dalla piattaforma in una settimana campione di ottobre e in una di novembre 2024 (dieci giorni feriali complessivi). È opportuno specificare che </w:t>
      </w:r>
      <w:r w:rsidRPr="00EB2CFB">
        <w:rPr>
          <w:u w:val="single"/>
        </w:rPr>
        <w:t>la piattaforma non fornisce gli spostamenti interni ai comuni</w:t>
      </w:r>
      <w:r>
        <w:t xml:space="preserve">; dunque, sono presenti </w:t>
      </w:r>
      <w:r w:rsidRPr="00EB2CFB">
        <w:rPr>
          <w:u w:val="single"/>
        </w:rPr>
        <w:t>solo gli spostamenti fra comuni</w:t>
      </w:r>
      <w:r>
        <w:t>.</w:t>
      </w:r>
    </w:p>
    <w:p w14:paraId="45B72D12" w14:textId="00041AFB" w:rsidR="00DF1E20" w:rsidRDefault="00DF1E20" w:rsidP="00DF1E20">
      <w:pPr>
        <w:spacing w:before="120" w:after="0" w:line="240" w:lineRule="auto"/>
      </w:pPr>
      <w:r>
        <w:t xml:space="preserve">Nella </w:t>
      </w:r>
      <w:r>
        <w:fldChar w:fldCharType="begin"/>
      </w:r>
      <w:r w:rsidRPr="001833E6">
        <w:rPr>
          <w:rFonts w:cstheme="minorHAnsi"/>
          <w:highlight w:val="yellow"/>
        </w:rPr>
        <w:instrText xml:space="preserve"> REF _Ref193383343 \h  \* MERGEFORMAT </w:instrText>
      </w:r>
      <w:r>
        <w:fldChar w:fldCharType="separate"/>
      </w:r>
      <w:r w:rsidR="00073B6D">
        <w:t xml:space="preserve">Tabella </w:t>
      </w:r>
      <w:r w:rsidR="00073B6D" w:rsidRPr="00073B6D">
        <w:rPr>
          <w:noProof/>
        </w:rPr>
        <w:t>10</w:t>
      </w:r>
      <w:r>
        <w:fldChar w:fldCharType="end"/>
      </w:r>
      <w:r>
        <w:t xml:space="preserve"> sono riportati gli spostamenti origine/destinazione relativi al</w:t>
      </w:r>
      <w:r w:rsidRPr="00190DC8">
        <w:t xml:space="preserve"> </w:t>
      </w:r>
      <w:r>
        <w:t>Bacino metropolitano, comprensivo del Comune di Torino, con le aree esterne aggregate per appartenenza o meno alla Regione Piemonte.</w:t>
      </w:r>
    </w:p>
    <w:p w14:paraId="1F48D8B8" w14:textId="77777777" w:rsidR="00DF1E20" w:rsidRDefault="00DF1E20" w:rsidP="00DF1E20">
      <w:pPr>
        <w:spacing w:before="120" w:after="0" w:line="240" w:lineRule="auto"/>
        <w:rPr>
          <w:noProof/>
        </w:rPr>
      </w:pPr>
      <w:r w:rsidRPr="00D57B92">
        <w:rPr>
          <w:noProof/>
        </w:rPr>
        <w:drawing>
          <wp:inline distT="0" distB="0" distL="0" distR="0" wp14:anchorId="54277328" wp14:editId="08799569">
            <wp:extent cx="5759450" cy="1001395"/>
            <wp:effectExtent l="0" t="0" r="0" b="8255"/>
            <wp:docPr id="1583654877"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59450" cy="1001395"/>
                    </a:xfrm>
                    <a:prstGeom prst="rect">
                      <a:avLst/>
                    </a:prstGeom>
                    <a:noFill/>
                    <a:ln>
                      <a:noFill/>
                    </a:ln>
                  </pic:spPr>
                </pic:pic>
              </a:graphicData>
            </a:graphic>
          </wp:inline>
        </w:drawing>
      </w:r>
      <w:r w:rsidRPr="00D57B92">
        <w:rPr>
          <w:noProof/>
        </w:rPr>
        <w:t xml:space="preserve"> </w:t>
      </w:r>
    </w:p>
    <w:p w14:paraId="734C5B82" w14:textId="4D23714E" w:rsidR="00DF1E20" w:rsidRDefault="00DF1E20" w:rsidP="004C412E">
      <w:pPr>
        <w:pStyle w:val="Didascalia"/>
        <w:jc w:val="center"/>
      </w:pPr>
      <w:bookmarkStart w:id="140" w:name="_Ref193383343"/>
      <w:r>
        <w:lastRenderedPageBreak/>
        <w:t xml:space="preserve">Tabella </w:t>
      </w:r>
      <w:r>
        <w:fldChar w:fldCharType="begin"/>
      </w:r>
      <w:r w:rsidRPr="003E245D">
        <w:rPr>
          <w:rFonts w:cstheme="minorHAnsi"/>
          <w:i w:val="0"/>
        </w:rPr>
        <w:instrText xml:space="preserve"> SEQ Tabella \* ARABIC </w:instrText>
      </w:r>
      <w:r>
        <w:fldChar w:fldCharType="separate"/>
      </w:r>
      <w:r w:rsidR="00073B6D">
        <w:rPr>
          <w:rFonts w:cstheme="minorHAnsi"/>
          <w:i w:val="0"/>
          <w:noProof/>
        </w:rPr>
        <w:t>10</w:t>
      </w:r>
      <w:r>
        <w:fldChar w:fldCharType="end"/>
      </w:r>
      <w:bookmarkEnd w:id="140"/>
      <w:r>
        <w:t xml:space="preserve"> </w:t>
      </w:r>
      <w:r w:rsidRPr="00D57B92">
        <w:t xml:space="preserve">– </w:t>
      </w:r>
      <w:r w:rsidRPr="00677A61">
        <w:t>Mobilità complessiva del</w:t>
      </w:r>
      <w:r>
        <w:t xml:space="preserve"> Bacino metropolitano</w:t>
      </w:r>
      <w:r w:rsidRPr="00677A61">
        <w:t xml:space="preserve"> – valori assoluti degli spostamenti</w:t>
      </w:r>
    </w:p>
    <w:p w14:paraId="13936C9B" w14:textId="3DA24690" w:rsidR="00DF1E20" w:rsidRDefault="00DF1E20" w:rsidP="00DF1E20">
      <w:pPr>
        <w:spacing w:before="120" w:after="0" w:line="240" w:lineRule="auto"/>
      </w:pPr>
      <w:r>
        <w:t xml:space="preserve">Nella </w:t>
      </w:r>
      <w:r>
        <w:fldChar w:fldCharType="begin"/>
      </w:r>
      <w:r w:rsidRPr="001833E6">
        <w:rPr>
          <w:rFonts w:cstheme="minorHAnsi"/>
          <w:highlight w:val="yellow"/>
        </w:rPr>
        <w:instrText xml:space="preserve"> REF _Ref193383360 \h  \* MERGEFORMAT </w:instrText>
      </w:r>
      <w:r>
        <w:fldChar w:fldCharType="separate"/>
      </w:r>
      <w:r w:rsidR="00073B6D">
        <w:t xml:space="preserve">Tabella </w:t>
      </w:r>
      <w:r w:rsidR="00073B6D" w:rsidRPr="00073B6D">
        <w:rPr>
          <w:noProof/>
        </w:rPr>
        <w:t>11</w:t>
      </w:r>
      <w:r>
        <w:fldChar w:fldCharType="end"/>
      </w:r>
      <w:r w:rsidR="00D04919">
        <w:t xml:space="preserve"> </w:t>
      </w:r>
      <w:r>
        <w:t>sono presentate le quote percentuali dei gruppi di spostamenti, così da valutare anche l’autocontenimento della domanda nell’area di interesse. Per quanto esposto sulla natura dei dati provenienti da questa tipologia di piattaforme, questo tipo di indicatore potrebbe fornire una fotografia più rispondente rispetto ai semplici valori assoluti prima rappresentati.</w:t>
      </w:r>
    </w:p>
    <w:p w14:paraId="19BA407E" w14:textId="77777777" w:rsidR="00DF1E20" w:rsidRDefault="00DF1E20" w:rsidP="00DF1E20">
      <w:pPr>
        <w:spacing w:before="120" w:after="0" w:line="240" w:lineRule="auto"/>
      </w:pPr>
      <w:r w:rsidRPr="000564A3">
        <w:rPr>
          <w:noProof/>
        </w:rPr>
        <w:drawing>
          <wp:inline distT="0" distB="0" distL="0" distR="0" wp14:anchorId="3B658262" wp14:editId="4047CE01">
            <wp:extent cx="5759450" cy="1001395"/>
            <wp:effectExtent l="0" t="0" r="0" b="8255"/>
            <wp:docPr id="817128210"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759450" cy="1001395"/>
                    </a:xfrm>
                    <a:prstGeom prst="rect">
                      <a:avLst/>
                    </a:prstGeom>
                    <a:noFill/>
                    <a:ln>
                      <a:noFill/>
                    </a:ln>
                  </pic:spPr>
                </pic:pic>
              </a:graphicData>
            </a:graphic>
          </wp:inline>
        </w:drawing>
      </w:r>
      <w:r w:rsidRPr="000564A3">
        <w:t xml:space="preserve"> </w:t>
      </w:r>
    </w:p>
    <w:p w14:paraId="1948CE82" w14:textId="511E0BB9" w:rsidR="00DF1E20" w:rsidRPr="00677A61" w:rsidRDefault="00DF1E20" w:rsidP="00DF1E20">
      <w:pPr>
        <w:pStyle w:val="Didascalia"/>
        <w:jc w:val="center"/>
      </w:pPr>
      <w:bookmarkStart w:id="141" w:name="_Ref193383360"/>
      <w:r>
        <w:t xml:space="preserve">Tabella </w:t>
      </w:r>
      <w:r>
        <w:fldChar w:fldCharType="begin"/>
      </w:r>
      <w:r w:rsidRPr="003E245D">
        <w:rPr>
          <w:rFonts w:cstheme="minorHAnsi"/>
          <w:i w:val="0"/>
        </w:rPr>
        <w:instrText xml:space="preserve"> SEQ Tabella \* ARABIC </w:instrText>
      </w:r>
      <w:r>
        <w:fldChar w:fldCharType="separate"/>
      </w:r>
      <w:r w:rsidR="00073B6D">
        <w:rPr>
          <w:rFonts w:cstheme="minorHAnsi"/>
          <w:i w:val="0"/>
          <w:noProof/>
        </w:rPr>
        <w:t>11</w:t>
      </w:r>
      <w:r>
        <w:rPr>
          <w:noProof/>
        </w:rPr>
        <w:fldChar w:fldCharType="end"/>
      </w:r>
      <w:bookmarkEnd w:id="141"/>
      <w:r>
        <w:rPr>
          <w:noProof/>
        </w:rPr>
        <w:t xml:space="preserve"> </w:t>
      </w:r>
      <w:r w:rsidRPr="006F235F">
        <w:rPr>
          <w:i w:val="0"/>
          <w:iCs w:val="0"/>
        </w:rPr>
        <w:t xml:space="preserve">– </w:t>
      </w:r>
      <w:r w:rsidRPr="00677A61">
        <w:t>Mobilità complessiva del</w:t>
      </w:r>
      <w:r>
        <w:t xml:space="preserve"> Bacino metropolitano</w:t>
      </w:r>
      <w:r w:rsidRPr="00677A61">
        <w:t xml:space="preserve"> – valori relativi, quote degli spostamenti</w:t>
      </w:r>
    </w:p>
    <w:p w14:paraId="0B7301F8" w14:textId="77777777" w:rsidR="00DF1E20" w:rsidRDefault="00DF1E20" w:rsidP="00DF1E20">
      <w:pPr>
        <w:spacing w:before="120" w:after="0" w:line="240" w:lineRule="auto"/>
      </w:pPr>
      <w:r>
        <w:t>La grande maggioranza degli spostamenti si colloca all’interno del Bacino metropolitano; l’assenza degli spostamenti interni ai comuni comporta inevitabilmente un abbassamento della quota degli spostamenti interni all’area interessata; il valore di autocontenimento sarebbe quindi più elevato. Le quote degli spostamenti con il resto del Piemonte sono superiori a quelle con l’esterno della regione.</w:t>
      </w:r>
    </w:p>
    <w:p w14:paraId="060B70BE" w14:textId="3AC5112F" w:rsidR="00DF1E20" w:rsidRDefault="00DF1E20" w:rsidP="00DF1E20">
      <w:pPr>
        <w:spacing w:before="120" w:after="0" w:line="240" w:lineRule="auto"/>
      </w:pPr>
      <w:r>
        <w:t xml:space="preserve">Nelle seguenti tabelle sono esposti rispettivamente i valori assoluti e le quote percentuali degli spostamenti </w:t>
      </w:r>
      <w:bookmarkStart w:id="142" w:name="_Hlk207203078"/>
      <w:r>
        <w:t xml:space="preserve">origine / destinazione dei comuni </w:t>
      </w:r>
      <w:bookmarkEnd w:id="142"/>
      <w:r>
        <w:t>del Bacino aggregati nelle Aree Nord e Sud individuate in precedenza, con l’eccezione del Comune di Torino esplicitato a parte.</w:t>
      </w:r>
    </w:p>
    <w:p w14:paraId="7FF0DBAC" w14:textId="77777777" w:rsidR="00DF1E20" w:rsidRDefault="00DF1E20" w:rsidP="00DF1E20">
      <w:pPr>
        <w:spacing w:before="120" w:after="0" w:line="240" w:lineRule="auto"/>
      </w:pPr>
      <w:r w:rsidRPr="004A3C62">
        <w:rPr>
          <w:noProof/>
        </w:rPr>
        <w:drawing>
          <wp:inline distT="0" distB="0" distL="0" distR="0" wp14:anchorId="1DB6E57D" wp14:editId="0C8EC02F">
            <wp:extent cx="5759450" cy="1060450"/>
            <wp:effectExtent l="0" t="0" r="0" b="6350"/>
            <wp:docPr id="493694178"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759450" cy="1060450"/>
                    </a:xfrm>
                    <a:prstGeom prst="rect">
                      <a:avLst/>
                    </a:prstGeom>
                    <a:noFill/>
                    <a:ln>
                      <a:noFill/>
                    </a:ln>
                  </pic:spPr>
                </pic:pic>
              </a:graphicData>
            </a:graphic>
          </wp:inline>
        </w:drawing>
      </w:r>
      <w:r w:rsidRPr="00F95156">
        <w:t xml:space="preserve"> </w:t>
      </w:r>
    </w:p>
    <w:p w14:paraId="56284D98" w14:textId="482CD532" w:rsidR="00DF1E20" w:rsidRDefault="00DF1E20" w:rsidP="00DF1E20">
      <w:pPr>
        <w:pStyle w:val="Didascalia"/>
        <w:jc w:val="center"/>
      </w:pPr>
      <w:r w:rsidRPr="00677A61">
        <w:t xml:space="preserve">Tabella </w:t>
      </w:r>
      <w:r w:rsidR="00FD7EE5">
        <w:fldChar w:fldCharType="begin"/>
      </w:r>
      <w:r w:rsidR="00FD7EE5">
        <w:instrText xml:space="preserve"> SEQ Tabella \* ARABIC </w:instrText>
      </w:r>
      <w:r w:rsidR="00FD7EE5">
        <w:fldChar w:fldCharType="separate"/>
      </w:r>
      <w:r w:rsidR="00073B6D">
        <w:rPr>
          <w:noProof/>
        </w:rPr>
        <w:t>12</w:t>
      </w:r>
      <w:r w:rsidR="00FD7EE5">
        <w:rPr>
          <w:noProof/>
        </w:rPr>
        <w:fldChar w:fldCharType="end"/>
      </w:r>
      <w:r>
        <w:rPr>
          <w:noProof/>
        </w:rPr>
        <w:t xml:space="preserve"> </w:t>
      </w:r>
      <w:r w:rsidRPr="00677A61">
        <w:t xml:space="preserve">– Mobilità complessiva con focus </w:t>
      </w:r>
      <w:r w:rsidRPr="004A3C62">
        <w:t xml:space="preserve">sulle aree individuate </w:t>
      </w:r>
      <w:r w:rsidRPr="00677A61">
        <w:t>– valori assoluti degli spostamenti</w:t>
      </w:r>
    </w:p>
    <w:p w14:paraId="6335A0A6" w14:textId="77777777" w:rsidR="00DF1E20" w:rsidRPr="004A3C62" w:rsidRDefault="00DF1E20" w:rsidP="00DF1E20"/>
    <w:p w14:paraId="1B60F7BE" w14:textId="77777777" w:rsidR="00DF1E20" w:rsidRDefault="00DF1E20" w:rsidP="00DF1E20">
      <w:pPr>
        <w:spacing w:before="120" w:after="0" w:line="240" w:lineRule="auto"/>
      </w:pPr>
      <w:r w:rsidRPr="004A3C62">
        <w:rPr>
          <w:noProof/>
        </w:rPr>
        <w:drawing>
          <wp:inline distT="0" distB="0" distL="0" distR="0" wp14:anchorId="5B6F8165" wp14:editId="5FC3F3FA">
            <wp:extent cx="5759450" cy="1060450"/>
            <wp:effectExtent l="0" t="0" r="0" b="6350"/>
            <wp:docPr id="943785336"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759450" cy="1060450"/>
                    </a:xfrm>
                    <a:prstGeom prst="rect">
                      <a:avLst/>
                    </a:prstGeom>
                    <a:noFill/>
                    <a:ln>
                      <a:noFill/>
                    </a:ln>
                  </pic:spPr>
                </pic:pic>
              </a:graphicData>
            </a:graphic>
          </wp:inline>
        </w:drawing>
      </w:r>
      <w:r w:rsidRPr="00F95156">
        <w:t xml:space="preserve"> </w:t>
      </w:r>
    </w:p>
    <w:p w14:paraId="772D87BC" w14:textId="27969432" w:rsidR="00DF1E20" w:rsidRDefault="00DF1E20" w:rsidP="004C412E">
      <w:pPr>
        <w:pStyle w:val="Didascalia"/>
        <w:jc w:val="center"/>
      </w:pPr>
      <w:r w:rsidRPr="00677A61">
        <w:t xml:space="preserve">Tabella </w:t>
      </w:r>
      <w:r w:rsidR="00FD7EE5">
        <w:fldChar w:fldCharType="begin"/>
      </w:r>
      <w:r w:rsidR="00FD7EE5">
        <w:instrText xml:space="preserve"> SEQ Tabella \* ARABIC </w:instrText>
      </w:r>
      <w:r w:rsidR="00FD7EE5">
        <w:fldChar w:fldCharType="separate"/>
      </w:r>
      <w:r w:rsidR="00073B6D">
        <w:rPr>
          <w:noProof/>
        </w:rPr>
        <w:t>13</w:t>
      </w:r>
      <w:r w:rsidR="00FD7EE5">
        <w:rPr>
          <w:noProof/>
        </w:rPr>
        <w:fldChar w:fldCharType="end"/>
      </w:r>
      <w:r>
        <w:rPr>
          <w:noProof/>
        </w:rPr>
        <w:t xml:space="preserve"> </w:t>
      </w:r>
      <w:r w:rsidRPr="00677A61">
        <w:t xml:space="preserve">– Mobilità complessiva con focus </w:t>
      </w:r>
      <w:r w:rsidRPr="004A3C62">
        <w:t xml:space="preserve">sulle aree individuate </w:t>
      </w:r>
      <w:r w:rsidRPr="00677A61">
        <w:t>– valori relativi, quote degli spostamenti</w:t>
      </w:r>
    </w:p>
    <w:p w14:paraId="28BD266B" w14:textId="77777777" w:rsidR="00DF1E20" w:rsidRDefault="00DF1E20" w:rsidP="00DF1E20">
      <w:pPr>
        <w:spacing w:before="120" w:after="0" w:line="240" w:lineRule="auto"/>
      </w:pPr>
      <w:r>
        <w:t>L’Area Nord risulta avere una quota di spostamenti maggiore rispetto all’Area Sud, coerentemente alle differenze di popolazione residente. E’ ovviamente considerevole la quota degli spostamenti delle due Aree con il Comune di Torino; l’Area Nord sembra “dialogare” maggiormente, rispetto all’Area Sud, con i territori esterni alla Regione, mentre l’Area Sud in proporzione dialoga maggiormente con le altre province piemontesi.</w:t>
      </w:r>
    </w:p>
    <w:p w14:paraId="362B312D" w14:textId="20376E42" w:rsidR="00DF1E20" w:rsidRDefault="00DF1E20" w:rsidP="00DF1E20">
      <w:pPr>
        <w:spacing w:before="120" w:after="0" w:line="240" w:lineRule="auto"/>
      </w:pPr>
      <w:r>
        <w:t xml:space="preserve">Per far emergere ancora più chiaramente queste osservazioni, nella </w:t>
      </w:r>
      <w:r w:rsidR="00990F8D">
        <w:fldChar w:fldCharType="begin"/>
      </w:r>
      <w:r w:rsidR="00990F8D">
        <w:instrText xml:space="preserve"> REF _Ref213140281 \h </w:instrText>
      </w:r>
      <w:r w:rsidR="00990F8D">
        <w:fldChar w:fldCharType="separate"/>
      </w:r>
      <w:r w:rsidR="00073B6D" w:rsidRPr="00677A61">
        <w:t xml:space="preserve">Tabella </w:t>
      </w:r>
      <w:r w:rsidR="00073B6D">
        <w:rPr>
          <w:noProof/>
        </w:rPr>
        <w:t>14</w:t>
      </w:r>
      <w:r w:rsidR="00990F8D">
        <w:fldChar w:fldCharType="end"/>
      </w:r>
      <w:r w:rsidR="00990F8D">
        <w:t xml:space="preserve"> </w:t>
      </w:r>
      <w:r>
        <w:t xml:space="preserve">e nella </w:t>
      </w:r>
      <w:r>
        <w:fldChar w:fldCharType="begin"/>
      </w:r>
      <w:r>
        <w:instrText xml:space="preserve"> REF _Ref193383479 \h </w:instrText>
      </w:r>
      <w:r>
        <w:fldChar w:fldCharType="separate"/>
      </w:r>
      <w:r w:rsidR="00073B6D" w:rsidRPr="00677A61">
        <w:t xml:space="preserve">Tabella </w:t>
      </w:r>
      <w:r w:rsidR="00073B6D">
        <w:rPr>
          <w:noProof/>
        </w:rPr>
        <w:t>15</w:t>
      </w:r>
      <w:r>
        <w:fldChar w:fldCharType="end"/>
      </w:r>
      <w:r>
        <w:t xml:space="preserve"> sono esposti in forma più sintetica i valori assoluti e le quote percentuali (tasso di autocontenimento) degli spostamenti specifici delle aree individuate nel bacino, a raffronto con il bacino complessivo.</w:t>
      </w:r>
    </w:p>
    <w:p w14:paraId="320A4CE9" w14:textId="77777777" w:rsidR="00DF1E20" w:rsidRDefault="00DF1E20" w:rsidP="00DF1E20">
      <w:pPr>
        <w:spacing w:before="120" w:after="0" w:line="240" w:lineRule="auto"/>
        <w:jc w:val="center"/>
      </w:pPr>
      <w:r w:rsidRPr="005F3F2D">
        <w:rPr>
          <w:noProof/>
        </w:rPr>
        <w:drawing>
          <wp:inline distT="0" distB="0" distL="0" distR="0" wp14:anchorId="7B73BA6C" wp14:editId="21C3C410">
            <wp:extent cx="5759450" cy="625475"/>
            <wp:effectExtent l="0" t="0" r="0" b="3175"/>
            <wp:docPr id="947716566"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759450" cy="625475"/>
                    </a:xfrm>
                    <a:prstGeom prst="rect">
                      <a:avLst/>
                    </a:prstGeom>
                    <a:noFill/>
                    <a:ln>
                      <a:noFill/>
                    </a:ln>
                  </pic:spPr>
                </pic:pic>
              </a:graphicData>
            </a:graphic>
          </wp:inline>
        </w:drawing>
      </w:r>
      <w:r w:rsidRPr="005F3F2D">
        <w:t xml:space="preserve"> </w:t>
      </w:r>
      <w:r w:rsidRPr="0022396E">
        <w:t xml:space="preserve"> </w:t>
      </w:r>
    </w:p>
    <w:p w14:paraId="2A646AFD" w14:textId="47E64852" w:rsidR="00DF1E20" w:rsidRPr="0022396E" w:rsidRDefault="00DF1E20" w:rsidP="004C412E">
      <w:pPr>
        <w:pStyle w:val="Didascalia"/>
        <w:jc w:val="center"/>
      </w:pPr>
      <w:bookmarkStart w:id="143" w:name="_Ref213140281"/>
      <w:r w:rsidRPr="00677A61">
        <w:lastRenderedPageBreak/>
        <w:t xml:space="preserve">Tabella </w:t>
      </w:r>
      <w:r w:rsidR="00FD7EE5">
        <w:fldChar w:fldCharType="begin"/>
      </w:r>
      <w:r w:rsidR="00FD7EE5">
        <w:instrText xml:space="preserve"> SEQ Tabella \* ARABIC </w:instrText>
      </w:r>
      <w:r w:rsidR="00FD7EE5">
        <w:fldChar w:fldCharType="separate"/>
      </w:r>
      <w:r w:rsidR="00073B6D">
        <w:rPr>
          <w:noProof/>
        </w:rPr>
        <w:t>14</w:t>
      </w:r>
      <w:r w:rsidR="00FD7EE5">
        <w:rPr>
          <w:noProof/>
        </w:rPr>
        <w:fldChar w:fldCharType="end"/>
      </w:r>
      <w:bookmarkEnd w:id="143"/>
      <w:r>
        <w:rPr>
          <w:noProof/>
        </w:rPr>
        <w:t xml:space="preserve"> </w:t>
      </w:r>
      <w:r w:rsidRPr="00677A61">
        <w:t xml:space="preserve">– Mobilità specifica </w:t>
      </w:r>
      <w:r w:rsidRPr="005F3F2D">
        <w:t xml:space="preserve">delle aree individuate </w:t>
      </w:r>
      <w:r w:rsidRPr="00677A61">
        <w:t>– valori assoluti degli spostamenti</w:t>
      </w:r>
    </w:p>
    <w:p w14:paraId="696933D7" w14:textId="77777777" w:rsidR="00DF1E20" w:rsidRDefault="00DF1E20" w:rsidP="00DF1E20">
      <w:pPr>
        <w:spacing w:before="120" w:after="0" w:line="240" w:lineRule="auto"/>
        <w:jc w:val="center"/>
      </w:pPr>
      <w:r w:rsidRPr="005F3F2D">
        <w:rPr>
          <w:noProof/>
        </w:rPr>
        <w:drawing>
          <wp:inline distT="0" distB="0" distL="0" distR="0" wp14:anchorId="6E4552FB" wp14:editId="748D57B9">
            <wp:extent cx="5759450" cy="622300"/>
            <wp:effectExtent l="0" t="0" r="0" b="6350"/>
            <wp:docPr id="174105914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759450" cy="622300"/>
                    </a:xfrm>
                    <a:prstGeom prst="rect">
                      <a:avLst/>
                    </a:prstGeom>
                    <a:noFill/>
                    <a:ln>
                      <a:noFill/>
                    </a:ln>
                  </pic:spPr>
                </pic:pic>
              </a:graphicData>
            </a:graphic>
          </wp:inline>
        </w:drawing>
      </w:r>
      <w:r w:rsidRPr="005F3F2D">
        <w:t xml:space="preserve"> </w:t>
      </w:r>
      <w:r w:rsidRPr="00C16FF2">
        <w:t xml:space="preserve"> </w:t>
      </w:r>
      <w:r w:rsidRPr="0099534A">
        <w:t xml:space="preserve"> </w:t>
      </w:r>
      <w:r w:rsidRPr="001D4676">
        <w:t xml:space="preserve"> </w:t>
      </w:r>
      <w:r w:rsidRPr="0022396E">
        <w:t xml:space="preserve"> </w:t>
      </w:r>
    </w:p>
    <w:p w14:paraId="03F6A756" w14:textId="7CF2842A" w:rsidR="00DF1E20" w:rsidRPr="00677A61" w:rsidRDefault="00DF1E20" w:rsidP="00DF1E20">
      <w:pPr>
        <w:pStyle w:val="Didascalia"/>
        <w:jc w:val="center"/>
      </w:pPr>
      <w:bookmarkStart w:id="144" w:name="_Ref193383479"/>
      <w:r w:rsidRPr="00677A61">
        <w:t xml:space="preserve">Tabella </w:t>
      </w:r>
      <w:r w:rsidR="00FD7EE5">
        <w:fldChar w:fldCharType="begin"/>
      </w:r>
      <w:r w:rsidR="00FD7EE5">
        <w:instrText xml:space="preserve"> SEQ Tabella \* ARABIC </w:instrText>
      </w:r>
      <w:r w:rsidR="00FD7EE5">
        <w:fldChar w:fldCharType="separate"/>
      </w:r>
      <w:r w:rsidR="00073B6D">
        <w:rPr>
          <w:noProof/>
        </w:rPr>
        <w:t>15</w:t>
      </w:r>
      <w:r w:rsidR="00FD7EE5">
        <w:rPr>
          <w:noProof/>
        </w:rPr>
        <w:fldChar w:fldCharType="end"/>
      </w:r>
      <w:bookmarkEnd w:id="144"/>
      <w:r>
        <w:rPr>
          <w:noProof/>
        </w:rPr>
        <w:t xml:space="preserve"> </w:t>
      </w:r>
      <w:r w:rsidRPr="00677A61">
        <w:t xml:space="preserve">– Mobilità specifica </w:t>
      </w:r>
      <w:r w:rsidRPr="005F3F2D">
        <w:t xml:space="preserve">delle aree individuate </w:t>
      </w:r>
      <w:r w:rsidRPr="00677A61">
        <w:t>– valori relativi, quote degli spostamenti</w:t>
      </w:r>
    </w:p>
    <w:p w14:paraId="0CBAB7E4" w14:textId="77777777" w:rsidR="00DF1E20" w:rsidRDefault="00DF1E20" w:rsidP="00DF1E20">
      <w:pPr>
        <w:spacing w:before="120" w:after="0" w:line="240" w:lineRule="auto"/>
      </w:pPr>
      <w:r>
        <w:t>Si può osservare come per le due aree la quota di spostamenti interni sia similare a quella degli spostamenti con il Comune di Torino, rappresentando le quote più elevate che insieme</w:t>
      </w:r>
      <w:r w:rsidRPr="00BD0EA8">
        <w:t xml:space="preserve"> </w:t>
      </w:r>
      <w:r>
        <w:t>costituiscono la grande maggioranza degli spostamenti; escludendo gli spostamenti delle aree con Torino la quota degli spostamenti interni sarebbe pressoché maggioritaria. Tale quota, ricordiamo, crescerebbe con l’apporto degli spostamenti interni ai comuni, risultando quindi la maggioranza degli spostamenti originati e/o destinati in tali aree.</w:t>
      </w:r>
    </w:p>
    <w:p w14:paraId="722D6F41" w14:textId="77777777" w:rsidR="00DF1E20" w:rsidRDefault="00DF1E20" w:rsidP="00DF1E20">
      <w:pPr>
        <w:spacing w:before="120" w:after="0" w:line="240" w:lineRule="auto"/>
      </w:pPr>
      <w:r w:rsidRPr="00677BE4">
        <w:t xml:space="preserve">In sintesi, le analisi degli spostamenti </w:t>
      </w:r>
      <w:r>
        <w:t>nel Bacino metropolitano</w:t>
      </w:r>
      <w:r w:rsidRPr="00677BE4">
        <w:t xml:space="preserve">, basate sui dati </w:t>
      </w:r>
      <w:r>
        <w:t>provenienti dai sistemi di telefonia mobile</w:t>
      </w:r>
      <w:r w:rsidRPr="00677BE4">
        <w:t xml:space="preserve">, evidenziano </w:t>
      </w:r>
      <w:r>
        <w:t>come</w:t>
      </w:r>
      <w:r w:rsidRPr="00677BE4">
        <w:t xml:space="preserve"> </w:t>
      </w:r>
      <w:r>
        <w:t>la maggioranza</w:t>
      </w:r>
      <w:r w:rsidRPr="00677BE4">
        <w:t xml:space="preserve"> degli spostamenti</w:t>
      </w:r>
      <w:r>
        <w:t xml:space="preserve"> rilevati</w:t>
      </w:r>
      <w:r w:rsidRPr="00677BE4">
        <w:t xml:space="preserve"> </w:t>
      </w:r>
      <w:r>
        <w:t>sia costituita dagli spostamenti</w:t>
      </w:r>
      <w:r w:rsidRPr="00677BE4">
        <w:t xml:space="preserve"> interni </w:t>
      </w:r>
      <w:r>
        <w:t>al bacino</w:t>
      </w:r>
      <w:r w:rsidRPr="00677BE4">
        <w:t xml:space="preserve">. Le </w:t>
      </w:r>
      <w:r>
        <w:t>Aree Nord e Sud, individuate nel Bacino</w:t>
      </w:r>
      <w:r w:rsidRPr="00677BE4">
        <w:t xml:space="preserve"> </w:t>
      </w:r>
      <w:r>
        <w:t>metropolitano,</w:t>
      </w:r>
      <w:r w:rsidRPr="00677BE4">
        <w:t xml:space="preserve"> mostrano </w:t>
      </w:r>
      <w:r>
        <w:t xml:space="preserve">analogie nel </w:t>
      </w:r>
      <w:r w:rsidRPr="00537D4F">
        <w:rPr>
          <w:i/>
          <w:iCs/>
        </w:rPr>
        <w:t>ranking</w:t>
      </w:r>
      <w:r>
        <w:t xml:space="preserve"> tra le</w:t>
      </w:r>
      <w:r w:rsidRPr="00677BE4">
        <w:t xml:space="preserve"> </w:t>
      </w:r>
      <w:r>
        <w:t>classi</w:t>
      </w:r>
      <w:r w:rsidRPr="00B7497E">
        <w:t xml:space="preserve"> </w:t>
      </w:r>
      <w:r w:rsidRPr="00677BE4">
        <w:t>di spostamenti</w:t>
      </w:r>
      <w:r>
        <w:t xml:space="preserve"> individuate, con una prevalenza degli spostamenti interni e di quelli con il Comune di Torino, seguiti da quelli con le restanti province piemontesi e infine dalle quote degli spostamenti con territori al di fuori della regione.</w:t>
      </w:r>
    </w:p>
    <w:p w14:paraId="38D90564" w14:textId="14E9BE45" w:rsidR="00AA5C26" w:rsidRPr="00222585" w:rsidRDefault="00DF1E20" w:rsidP="00DF1E20">
      <w:pPr>
        <w:spacing w:before="120" w:after="0" w:line="240" w:lineRule="auto"/>
      </w:pPr>
      <w:r>
        <w:t>G</w:t>
      </w:r>
      <w:r w:rsidRPr="00677BE4">
        <w:t xml:space="preserve">li spostamenti interni rappresentano circa il 50% del totale </w:t>
      </w:r>
      <w:r>
        <w:t>degli spostamenti di ciascuna area se non si considerano gli spostamenti con il Comune di Torino</w:t>
      </w:r>
      <w:r w:rsidRPr="00677BE4">
        <w:t xml:space="preserve">. Tuttavia, l'assenza di dati sugli spostamenti </w:t>
      </w:r>
      <w:r w:rsidRPr="00222585">
        <w:t>interni ai comuni comporta una sottostima del tasso di autocontenimento, che sarebbe altrimenti più elevato. Questi valori non possono pertanto essere considerati rappresentativi in valore assoluto e confrontabili direttamente con l'indagine IMQ, ma contribuiscono ad una più approfondita interpretazione degli stessi.</w:t>
      </w:r>
    </w:p>
    <w:p w14:paraId="3E2A5C52" w14:textId="77777777" w:rsidR="00EF15FC" w:rsidRPr="00785259" w:rsidRDefault="00EF15FC" w:rsidP="00785259">
      <w:pPr>
        <w:pStyle w:val="Titolo3"/>
        <w:spacing w:before="120" w:after="0" w:line="240" w:lineRule="auto"/>
        <w:ind w:left="720"/>
      </w:pPr>
      <w:bookmarkStart w:id="145" w:name="_Toc213078354"/>
      <w:r w:rsidRPr="00785259">
        <w:t>Analisi della domanda di alcuni territori specifici</w:t>
      </w:r>
      <w:bookmarkEnd w:id="145"/>
    </w:p>
    <w:p w14:paraId="7A249193" w14:textId="313F8C85" w:rsidR="00EF15FC" w:rsidRPr="00222585" w:rsidRDefault="00EF15FC" w:rsidP="00EF15FC">
      <w:pPr>
        <w:spacing w:before="120" w:after="0" w:line="240" w:lineRule="auto"/>
      </w:pPr>
      <w:r w:rsidRPr="00222585">
        <w:t xml:space="preserve">Analogamente a quanto fatto nel paragrafo </w:t>
      </w:r>
      <w:r w:rsidR="00700BFD">
        <w:fldChar w:fldCharType="begin"/>
      </w:r>
      <w:r w:rsidR="00700BFD">
        <w:instrText xml:space="preserve"> REF _Ref212806939 \r \h </w:instrText>
      </w:r>
      <w:r w:rsidR="00700BFD">
        <w:fldChar w:fldCharType="separate"/>
      </w:r>
      <w:r w:rsidR="00073B6D">
        <w:t>3.3</w:t>
      </w:r>
      <w:r w:rsidR="00700BFD">
        <w:fldChar w:fldCharType="end"/>
      </w:r>
      <w:r w:rsidRPr="00222585">
        <w:t xml:space="preserve"> relativo all’Analisi dell’autocontenimento della domanda, per le zone di dubbia assegnazione alle Aree Nord e Sud sono state condotte ulteriori analisi di approfondimento utilizzando i dati da telefonia mobile, allo scopo di sfruttarne il maggiore tasso di campionamento “equivalente”.</w:t>
      </w:r>
    </w:p>
    <w:p w14:paraId="67F1A1CC" w14:textId="77777777" w:rsidR="00EF15FC" w:rsidRPr="00222585" w:rsidRDefault="00EF15FC" w:rsidP="006306CD">
      <w:pPr>
        <w:spacing w:before="120" w:after="0" w:line="240" w:lineRule="auto"/>
      </w:pPr>
      <w:r w:rsidRPr="00222585">
        <w:t>Per</w:t>
      </w:r>
      <w:bookmarkStart w:id="146" w:name="_Hlk207206603"/>
      <w:r w:rsidRPr="00222585">
        <w:t xml:space="preserve"> ciascuna delle sei zone interessate è stata indagata la mobilità in origine per stabilire se venisse confermata l’assegnazione già effettuata; le classi di aggregazione delle destinazioni e i dati su cui è basata l’analisi sono i medesimi utilizzati nel precedente</w:t>
      </w:r>
      <w:bookmarkEnd w:id="146"/>
      <w:r w:rsidRPr="00222585">
        <w:t xml:space="preserve"> paragrafo.</w:t>
      </w:r>
    </w:p>
    <w:p w14:paraId="0C8CF705" w14:textId="528133AD" w:rsidR="00EF15FC" w:rsidRPr="0079286B" w:rsidRDefault="00EF15FC" w:rsidP="0079286B">
      <w:pPr>
        <w:spacing w:before="120" w:after="0" w:line="240" w:lineRule="auto"/>
      </w:pPr>
      <w:r w:rsidRPr="00222585">
        <w:t>Nelle seguenti tabelle sono quindi esposti rispettivamente i valori assoluti e le quote percentuali degli spostamenti originati nelle zone di analisi.</w:t>
      </w:r>
    </w:p>
    <w:p w14:paraId="16ED37BC" w14:textId="77777777" w:rsidR="00EF15FC" w:rsidRPr="00222585" w:rsidRDefault="00EF15FC" w:rsidP="006306CD">
      <w:pPr>
        <w:pStyle w:val="NormaleWeb"/>
        <w:spacing w:before="120" w:after="0" w:line="240" w:lineRule="auto"/>
        <w:jc w:val="center"/>
        <w:rPr>
          <w:rFonts w:asciiTheme="minorHAnsi" w:hAnsiTheme="minorHAnsi" w:cstheme="minorHAnsi"/>
          <w:color w:val="242424"/>
          <w:sz w:val="22"/>
          <w:szCs w:val="22"/>
        </w:rPr>
      </w:pPr>
      <w:r w:rsidRPr="00222585">
        <w:rPr>
          <w:noProof/>
        </w:rPr>
        <w:drawing>
          <wp:inline distT="0" distB="0" distL="0" distR="0" wp14:anchorId="03C71109" wp14:editId="06E53ADF">
            <wp:extent cx="5216400" cy="1317600"/>
            <wp:effectExtent l="0" t="0" r="3810" b="0"/>
            <wp:docPr id="76512848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216400" cy="1317600"/>
                    </a:xfrm>
                    <a:prstGeom prst="rect">
                      <a:avLst/>
                    </a:prstGeom>
                    <a:noFill/>
                    <a:ln>
                      <a:noFill/>
                    </a:ln>
                  </pic:spPr>
                </pic:pic>
              </a:graphicData>
            </a:graphic>
          </wp:inline>
        </w:drawing>
      </w:r>
    </w:p>
    <w:p w14:paraId="38D862FC" w14:textId="3A58D269" w:rsidR="00EF15FC" w:rsidRPr="00222585" w:rsidRDefault="00EF15FC" w:rsidP="0079286B">
      <w:pPr>
        <w:pStyle w:val="Didascalia"/>
        <w:jc w:val="center"/>
      </w:pPr>
      <w:r w:rsidRPr="00222585">
        <w:t xml:space="preserve">Tabella </w:t>
      </w:r>
      <w:r w:rsidRPr="00222585">
        <w:fldChar w:fldCharType="begin"/>
      </w:r>
      <w:r w:rsidRPr="003E245D">
        <w:rPr>
          <w:rFonts w:cstheme="minorHAnsi"/>
          <w:i w:val="0"/>
        </w:rPr>
        <w:instrText xml:space="preserve"> SEQ Tabella \* ARABIC </w:instrText>
      </w:r>
      <w:r w:rsidRPr="00222585">
        <w:fldChar w:fldCharType="separate"/>
      </w:r>
      <w:r w:rsidR="00073B6D">
        <w:rPr>
          <w:rFonts w:cstheme="minorHAnsi"/>
          <w:i w:val="0"/>
          <w:noProof/>
        </w:rPr>
        <w:t>16</w:t>
      </w:r>
      <w:r w:rsidRPr="00222585">
        <w:rPr>
          <w:noProof/>
        </w:rPr>
        <w:fldChar w:fldCharType="end"/>
      </w:r>
      <w:r w:rsidRPr="00222585">
        <w:t>– Mobilità originata nelle zone di dubbia assegnazione – valori assoluti degli spostamenti</w:t>
      </w:r>
    </w:p>
    <w:p w14:paraId="605A349D" w14:textId="77777777" w:rsidR="00EF15FC" w:rsidRPr="00222585" w:rsidRDefault="00EF15FC" w:rsidP="006306CD">
      <w:pPr>
        <w:pStyle w:val="NormaleWeb"/>
        <w:spacing w:before="120" w:after="0" w:line="240" w:lineRule="auto"/>
        <w:jc w:val="center"/>
        <w:rPr>
          <w:rFonts w:asciiTheme="minorHAnsi" w:hAnsiTheme="minorHAnsi" w:cstheme="minorHAnsi"/>
          <w:color w:val="242424"/>
          <w:sz w:val="22"/>
          <w:szCs w:val="22"/>
        </w:rPr>
      </w:pPr>
      <w:r w:rsidRPr="00222585">
        <w:rPr>
          <w:noProof/>
        </w:rPr>
        <w:lastRenderedPageBreak/>
        <w:drawing>
          <wp:inline distT="0" distB="0" distL="0" distR="0" wp14:anchorId="2310441F" wp14:editId="42121B33">
            <wp:extent cx="4640400" cy="1317600"/>
            <wp:effectExtent l="0" t="0" r="0" b="0"/>
            <wp:docPr id="147422949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640400" cy="1317600"/>
                    </a:xfrm>
                    <a:prstGeom prst="rect">
                      <a:avLst/>
                    </a:prstGeom>
                    <a:noFill/>
                    <a:ln>
                      <a:noFill/>
                    </a:ln>
                  </pic:spPr>
                </pic:pic>
              </a:graphicData>
            </a:graphic>
          </wp:inline>
        </w:drawing>
      </w:r>
    </w:p>
    <w:p w14:paraId="7FA1476B" w14:textId="5F18BDEB" w:rsidR="00EF15FC" w:rsidRPr="00222585" w:rsidRDefault="00EF15FC" w:rsidP="006306CD">
      <w:pPr>
        <w:pStyle w:val="Didascalia"/>
        <w:jc w:val="center"/>
      </w:pPr>
      <w:r w:rsidRPr="00222585">
        <w:t xml:space="preserve">Tabella </w:t>
      </w:r>
      <w:r w:rsidR="00FD7EE5">
        <w:fldChar w:fldCharType="begin"/>
      </w:r>
      <w:r w:rsidR="00FD7EE5">
        <w:instrText xml:space="preserve"> SEQ Tabella \* ARABIC </w:instrText>
      </w:r>
      <w:r w:rsidR="00FD7EE5">
        <w:fldChar w:fldCharType="separate"/>
      </w:r>
      <w:r w:rsidR="00073B6D">
        <w:rPr>
          <w:noProof/>
        </w:rPr>
        <w:t>17</w:t>
      </w:r>
      <w:r w:rsidR="00FD7EE5">
        <w:rPr>
          <w:noProof/>
        </w:rPr>
        <w:fldChar w:fldCharType="end"/>
      </w:r>
      <w:r w:rsidRPr="00222585">
        <w:t>– Mobilità originata nelle zone di dubbia assegnazione – valori relativi, quote degli spostamenti</w:t>
      </w:r>
    </w:p>
    <w:p w14:paraId="35D42157" w14:textId="2E7E65AB" w:rsidR="00EF15FC" w:rsidRPr="0079286B" w:rsidRDefault="00EF15FC" w:rsidP="0079286B">
      <w:pPr>
        <w:pStyle w:val="NormaleWeb"/>
        <w:spacing w:before="120" w:after="0" w:line="240" w:lineRule="auto"/>
        <w:rPr>
          <w:rFonts w:asciiTheme="minorHAnsi" w:hAnsiTheme="minorHAnsi" w:cstheme="minorHAnsi"/>
          <w:color w:val="242424"/>
          <w:sz w:val="22"/>
          <w:szCs w:val="22"/>
        </w:rPr>
      </w:pPr>
      <w:r w:rsidRPr="00222585">
        <w:rPr>
          <w:rFonts w:asciiTheme="minorHAnsi" w:hAnsiTheme="minorHAnsi" w:cstheme="minorHAnsi"/>
          <w:color w:val="242424"/>
          <w:sz w:val="22"/>
          <w:szCs w:val="22"/>
        </w:rPr>
        <w:t>Si può osservare come, a parte la zona di Giaveno, la quota di spostamenti verso l’Area Nord sia nettamente prevalente rispetto a quella verso l’Area Sud, confermando l’assegnazione effettuata di queste zone all’Area Nord; la zona di Giaveno risulta in questa analisi in sostanziale equilibrio tra le due Aree: in questo caso può essere dirimente per l’assegnazione la prossimità territoriale all’Area Sud, assegnazione che risulta coerente con quanto effettuato in precedenza sulla base dei dati IMQ.</w:t>
      </w:r>
    </w:p>
    <w:p w14:paraId="50B516DB" w14:textId="2BA03AD2" w:rsidR="003E245D" w:rsidRPr="00785259" w:rsidRDefault="003E245D" w:rsidP="00785259">
      <w:pPr>
        <w:pStyle w:val="Titolo3"/>
        <w:spacing w:before="120" w:after="0" w:line="240" w:lineRule="auto"/>
        <w:ind w:left="720"/>
      </w:pPr>
      <w:bookmarkStart w:id="147" w:name="_Toc193195293"/>
      <w:bookmarkStart w:id="148" w:name="_Toc1471349778"/>
      <w:bookmarkStart w:id="149" w:name="_Toc197695672"/>
      <w:bookmarkStart w:id="150" w:name="_Toc204616485"/>
      <w:bookmarkStart w:id="151" w:name="_Toc213078355"/>
      <w:r w:rsidRPr="00785259">
        <w:t>Analisi della domanda debole</w:t>
      </w:r>
      <w:bookmarkEnd w:id="147"/>
      <w:bookmarkEnd w:id="148"/>
      <w:r w:rsidRPr="00785259">
        <w:t xml:space="preserve"> tramite i dati della piattaforma Windtre</w:t>
      </w:r>
      <w:bookmarkEnd w:id="149"/>
      <w:bookmarkEnd w:id="150"/>
      <w:bookmarkEnd w:id="151"/>
      <w:r w:rsidR="00C74086" w:rsidRPr="00785259">
        <w:t xml:space="preserve"> </w:t>
      </w:r>
    </w:p>
    <w:p w14:paraId="6A8C5EEE" w14:textId="77777777" w:rsidR="005A0290" w:rsidRPr="0071309D" w:rsidRDefault="005A0290" w:rsidP="006306CD">
      <w:pPr>
        <w:pStyle w:val="NormaleWeb"/>
        <w:spacing w:before="120" w:after="0" w:line="240" w:lineRule="auto"/>
        <w:rPr>
          <w:rFonts w:asciiTheme="minorHAnsi" w:hAnsiTheme="minorHAnsi"/>
          <w:sz w:val="22"/>
          <w:szCs w:val="22"/>
        </w:rPr>
      </w:pPr>
      <w:r>
        <w:rPr>
          <w:rFonts w:asciiTheme="minorHAnsi" w:hAnsiTheme="minorHAnsi"/>
          <w:sz w:val="22"/>
          <w:szCs w:val="22"/>
        </w:rPr>
        <w:t>I</w:t>
      </w:r>
      <w:r w:rsidRPr="0071309D">
        <w:rPr>
          <w:rFonts w:asciiTheme="minorHAnsi" w:hAnsiTheme="minorHAnsi"/>
          <w:sz w:val="22"/>
          <w:szCs w:val="22"/>
        </w:rPr>
        <w:t xml:space="preserve">n riferimento all'assegnazione dei </w:t>
      </w:r>
      <w:r>
        <w:rPr>
          <w:rFonts w:asciiTheme="minorHAnsi" w:hAnsiTheme="minorHAnsi"/>
          <w:sz w:val="22"/>
          <w:szCs w:val="22"/>
        </w:rPr>
        <w:t>c</w:t>
      </w:r>
      <w:r w:rsidRPr="0071309D">
        <w:rPr>
          <w:rFonts w:asciiTheme="minorHAnsi" w:hAnsiTheme="minorHAnsi"/>
          <w:sz w:val="22"/>
          <w:szCs w:val="22"/>
        </w:rPr>
        <w:t xml:space="preserve">omuni </w:t>
      </w:r>
      <w:r>
        <w:rPr>
          <w:rFonts w:asciiTheme="minorHAnsi" w:hAnsiTheme="minorHAnsi"/>
          <w:sz w:val="22"/>
          <w:szCs w:val="22"/>
        </w:rPr>
        <w:t>costituenti il Bacino metropolitano</w:t>
      </w:r>
      <w:r w:rsidRPr="0071309D">
        <w:rPr>
          <w:rFonts w:asciiTheme="minorHAnsi" w:hAnsiTheme="minorHAnsi"/>
          <w:sz w:val="22"/>
          <w:szCs w:val="22"/>
        </w:rPr>
        <w:t xml:space="preserve"> all'Area a Domanda Debole (ADD), descritta in questa relazione, sono state condotte ulteriori analisi per esaminare l'incidenza della domanda debole rispetto alla domanda potenziale. Queste analisi hanno utilizzato i dati, provenienti dai sistemi di telefonia mobile, già estratti nelle valutazioni precedenti (riferiti ad alcuni giorni feriali campione nei mesi di ottobre e novembre 2024).</w:t>
      </w:r>
    </w:p>
    <w:p w14:paraId="2622C68D" w14:textId="77777777" w:rsidR="005A0290" w:rsidRPr="0071309D" w:rsidRDefault="005A0290" w:rsidP="006306CD">
      <w:pPr>
        <w:pStyle w:val="NormaleWeb"/>
        <w:spacing w:before="120" w:after="0" w:line="240" w:lineRule="auto"/>
        <w:rPr>
          <w:rFonts w:asciiTheme="minorHAnsi" w:hAnsiTheme="minorHAnsi"/>
          <w:sz w:val="22"/>
          <w:szCs w:val="22"/>
        </w:rPr>
      </w:pPr>
      <w:r w:rsidRPr="0071309D">
        <w:rPr>
          <w:rFonts w:asciiTheme="minorHAnsi" w:hAnsiTheme="minorHAnsi"/>
          <w:sz w:val="22"/>
          <w:szCs w:val="22"/>
        </w:rPr>
        <w:t>Grazie al maggiore tasso di campionamento di questa tipologia di dati rispetto alle indagini telefoniche tradizionali (come IMQ), è possibile sfruttare la rilevazione di un numero elevato di origini-destinazioni, anche con valori bassi di spostamenti, per analizzare il contesto delle ADD.</w:t>
      </w:r>
    </w:p>
    <w:p w14:paraId="1F27CCE4" w14:textId="77777777" w:rsidR="005A0290" w:rsidRPr="0071309D" w:rsidRDefault="005A0290" w:rsidP="006306CD">
      <w:pPr>
        <w:pStyle w:val="NormaleWeb"/>
        <w:spacing w:before="120" w:after="0" w:line="240" w:lineRule="auto"/>
        <w:rPr>
          <w:rFonts w:asciiTheme="minorHAnsi" w:hAnsiTheme="minorHAnsi"/>
          <w:sz w:val="22"/>
          <w:szCs w:val="22"/>
        </w:rPr>
      </w:pPr>
      <w:r w:rsidRPr="0071309D">
        <w:rPr>
          <w:rFonts w:asciiTheme="minorHAnsi" w:hAnsiTheme="minorHAnsi"/>
          <w:sz w:val="22"/>
          <w:szCs w:val="22"/>
        </w:rPr>
        <w:t xml:space="preserve">Nelle seguenti analisi, è stata considerata l’area costituita dall’insieme dei </w:t>
      </w:r>
      <w:r>
        <w:rPr>
          <w:rFonts w:asciiTheme="minorHAnsi" w:hAnsiTheme="minorHAnsi"/>
          <w:sz w:val="22"/>
          <w:szCs w:val="22"/>
        </w:rPr>
        <w:t>c</w:t>
      </w:r>
      <w:r w:rsidRPr="0071309D">
        <w:rPr>
          <w:rFonts w:asciiTheme="minorHAnsi" w:hAnsiTheme="minorHAnsi"/>
          <w:sz w:val="22"/>
          <w:szCs w:val="22"/>
        </w:rPr>
        <w:t>omuni assegnati in ADD, così che i valori qui rappresentati costituiscano la quota di spostamenti attribuibili alla domanda debole, secondo questa stima. Questo approccio permette di ottenere una fotografia più dettagliata e precisa della mobilità nelle aree a domanda debole.</w:t>
      </w:r>
    </w:p>
    <w:p w14:paraId="7EBFD38B" w14:textId="276F5D2C" w:rsidR="005A0290" w:rsidRPr="003472B4" w:rsidRDefault="005A0290" w:rsidP="006306CD">
      <w:pPr>
        <w:pStyle w:val="NormaleWeb"/>
        <w:spacing w:before="120" w:after="0" w:line="240" w:lineRule="auto"/>
        <w:rPr>
          <w:rFonts w:asciiTheme="minorHAnsi" w:hAnsiTheme="minorHAnsi" w:cstheme="minorHAnsi"/>
          <w:color w:val="242424"/>
          <w:sz w:val="22"/>
          <w:szCs w:val="22"/>
        </w:rPr>
      </w:pPr>
      <w:r w:rsidRPr="007A7684">
        <w:rPr>
          <w:rFonts w:asciiTheme="majorHAnsi" w:hAnsiTheme="majorHAnsi" w:cstheme="majorHAnsi"/>
          <w:sz w:val="22"/>
          <w:szCs w:val="22"/>
        </w:rPr>
        <w:t xml:space="preserve">Nella </w:t>
      </w:r>
      <w:r w:rsidRPr="007A7684">
        <w:rPr>
          <w:rFonts w:asciiTheme="majorHAnsi" w:hAnsiTheme="majorHAnsi" w:cstheme="majorHAnsi"/>
          <w:sz w:val="22"/>
          <w:szCs w:val="22"/>
        </w:rPr>
        <w:fldChar w:fldCharType="begin"/>
      </w:r>
      <w:r w:rsidRPr="001833E6">
        <w:rPr>
          <w:rFonts w:cstheme="minorHAnsi"/>
          <w:highlight w:val="yellow"/>
        </w:rPr>
        <w:instrText xml:space="preserve"> REF _Ref193383526 \h  \* MERGEFORMAT </w:instrText>
      </w:r>
      <w:r w:rsidRPr="007A7684">
        <w:rPr>
          <w:rFonts w:asciiTheme="majorHAnsi" w:hAnsiTheme="majorHAnsi" w:cstheme="majorHAnsi"/>
          <w:sz w:val="22"/>
          <w:szCs w:val="22"/>
        </w:rPr>
      </w:r>
      <w:r w:rsidRPr="007A7684">
        <w:rPr>
          <w:rFonts w:asciiTheme="majorHAnsi" w:hAnsiTheme="majorHAnsi" w:cstheme="majorHAnsi"/>
          <w:sz w:val="22"/>
          <w:szCs w:val="22"/>
        </w:rPr>
        <w:fldChar w:fldCharType="separate"/>
      </w:r>
      <w:r w:rsidR="00073B6D" w:rsidRPr="00073B6D">
        <w:rPr>
          <w:rFonts w:asciiTheme="majorHAnsi" w:hAnsiTheme="majorHAnsi" w:cstheme="majorHAnsi"/>
          <w:sz w:val="22"/>
          <w:szCs w:val="22"/>
        </w:rPr>
        <w:t>Tabella 18</w:t>
      </w:r>
      <w:r w:rsidRPr="007A7684">
        <w:rPr>
          <w:rFonts w:asciiTheme="majorHAnsi" w:hAnsiTheme="majorHAnsi" w:cstheme="majorHAnsi"/>
          <w:sz w:val="22"/>
          <w:szCs w:val="22"/>
        </w:rPr>
        <w:fldChar w:fldCharType="end"/>
      </w:r>
      <w:r w:rsidRPr="007A7684">
        <w:rPr>
          <w:rFonts w:asciiTheme="majorHAnsi" w:hAnsiTheme="majorHAnsi" w:cstheme="majorHAnsi"/>
          <w:sz w:val="22"/>
          <w:szCs w:val="22"/>
        </w:rPr>
        <w:t xml:space="preserve"> e nella </w:t>
      </w:r>
      <w:r w:rsidRPr="007A7684">
        <w:rPr>
          <w:rFonts w:asciiTheme="majorHAnsi" w:hAnsiTheme="majorHAnsi" w:cstheme="majorHAnsi"/>
          <w:sz w:val="22"/>
          <w:szCs w:val="22"/>
        </w:rPr>
        <w:fldChar w:fldCharType="begin"/>
      </w:r>
      <w:r w:rsidRPr="001833E6">
        <w:rPr>
          <w:rFonts w:cstheme="minorHAnsi"/>
          <w:highlight w:val="yellow"/>
        </w:rPr>
        <w:instrText xml:space="preserve"> REF _Ref193383533 \h  \* MERGEFORMAT </w:instrText>
      </w:r>
      <w:r w:rsidRPr="007A7684">
        <w:rPr>
          <w:rFonts w:asciiTheme="majorHAnsi" w:hAnsiTheme="majorHAnsi" w:cstheme="majorHAnsi"/>
          <w:sz w:val="22"/>
          <w:szCs w:val="22"/>
        </w:rPr>
      </w:r>
      <w:r w:rsidRPr="007A7684">
        <w:rPr>
          <w:rFonts w:asciiTheme="majorHAnsi" w:hAnsiTheme="majorHAnsi" w:cstheme="majorHAnsi"/>
          <w:sz w:val="22"/>
          <w:szCs w:val="22"/>
        </w:rPr>
        <w:fldChar w:fldCharType="separate"/>
      </w:r>
      <w:r w:rsidR="00073B6D" w:rsidRPr="00073B6D">
        <w:rPr>
          <w:rFonts w:asciiTheme="majorHAnsi" w:hAnsiTheme="majorHAnsi" w:cstheme="majorHAnsi"/>
          <w:sz w:val="22"/>
          <w:szCs w:val="22"/>
        </w:rPr>
        <w:t>Tabella 19</w:t>
      </w:r>
      <w:r w:rsidRPr="007A7684">
        <w:rPr>
          <w:rFonts w:asciiTheme="majorHAnsi" w:hAnsiTheme="majorHAnsi" w:cstheme="majorHAnsi"/>
          <w:sz w:val="22"/>
          <w:szCs w:val="22"/>
        </w:rPr>
        <w:fldChar w:fldCharType="end"/>
      </w:r>
      <w:r w:rsidRPr="0071309D">
        <w:rPr>
          <w:rFonts w:asciiTheme="minorHAnsi" w:hAnsiTheme="minorHAnsi"/>
          <w:sz w:val="22"/>
          <w:szCs w:val="22"/>
        </w:rPr>
        <w:t xml:space="preserve"> sono esposti rispettivamente i valori assoluti e le quote percentuali degli spostamenti origine / destinazione, con i comuni del Bacino </w:t>
      </w:r>
      <w:r>
        <w:rPr>
          <w:rFonts w:asciiTheme="minorHAnsi" w:hAnsiTheme="minorHAnsi"/>
          <w:sz w:val="22"/>
          <w:szCs w:val="22"/>
        </w:rPr>
        <w:t>metropolitano</w:t>
      </w:r>
      <w:r w:rsidRPr="0071309D">
        <w:rPr>
          <w:rFonts w:asciiTheme="minorHAnsi" w:hAnsiTheme="minorHAnsi"/>
          <w:sz w:val="22"/>
          <w:szCs w:val="22"/>
        </w:rPr>
        <w:t xml:space="preserve"> riaggregati in due aree secondo la distinzione tra Comuni in ADD e restanti Comuni del Bacino.</w:t>
      </w:r>
    </w:p>
    <w:p w14:paraId="20237CAD" w14:textId="77777777" w:rsidR="005A0290" w:rsidRPr="003472B4" w:rsidRDefault="005A0290" w:rsidP="006306CD">
      <w:pPr>
        <w:pStyle w:val="NormaleWeb"/>
        <w:spacing w:before="120" w:after="0" w:line="240" w:lineRule="auto"/>
        <w:rPr>
          <w:rFonts w:asciiTheme="minorHAnsi" w:hAnsiTheme="minorHAnsi" w:cstheme="minorHAnsi"/>
          <w:color w:val="242424"/>
          <w:sz w:val="22"/>
          <w:szCs w:val="22"/>
        </w:rPr>
      </w:pPr>
      <w:r w:rsidRPr="008575A5">
        <w:rPr>
          <w:noProof/>
        </w:rPr>
        <w:drawing>
          <wp:inline distT="0" distB="0" distL="0" distR="0" wp14:anchorId="1E05B866" wp14:editId="5C7FF499">
            <wp:extent cx="5759450" cy="1001395"/>
            <wp:effectExtent l="0" t="0" r="0" b="8255"/>
            <wp:docPr id="1118964618"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759450" cy="1001395"/>
                    </a:xfrm>
                    <a:prstGeom prst="rect">
                      <a:avLst/>
                    </a:prstGeom>
                    <a:noFill/>
                    <a:ln>
                      <a:noFill/>
                    </a:ln>
                  </pic:spPr>
                </pic:pic>
              </a:graphicData>
            </a:graphic>
          </wp:inline>
        </w:drawing>
      </w:r>
      <w:r w:rsidRPr="008575A5">
        <w:t xml:space="preserve"> </w:t>
      </w:r>
      <w:r w:rsidRPr="001B4787">
        <w:t xml:space="preserve"> </w:t>
      </w:r>
      <w:r w:rsidRPr="007E0A0D">
        <w:t xml:space="preserve"> </w:t>
      </w:r>
    </w:p>
    <w:p w14:paraId="272433FF" w14:textId="15ACB24F" w:rsidR="005A0290" w:rsidRPr="003E245D" w:rsidRDefault="005A0290" w:rsidP="007A7684">
      <w:pPr>
        <w:pStyle w:val="Didascalia"/>
        <w:jc w:val="center"/>
        <w:rPr>
          <w:rFonts w:cstheme="minorHAnsi"/>
          <w:i w:val="0"/>
        </w:rPr>
      </w:pPr>
      <w:bookmarkStart w:id="152" w:name="_Ref193383526"/>
      <w:r w:rsidRPr="00677A61">
        <w:t xml:space="preserve">Tabella </w:t>
      </w:r>
      <w:r>
        <w:fldChar w:fldCharType="begin"/>
      </w:r>
      <w:r w:rsidRPr="003E245D">
        <w:rPr>
          <w:rFonts w:cstheme="minorHAnsi"/>
          <w:i w:val="0"/>
        </w:rPr>
        <w:instrText xml:space="preserve"> SEQ Tabella \* ARABIC </w:instrText>
      </w:r>
      <w:r>
        <w:fldChar w:fldCharType="separate"/>
      </w:r>
      <w:r w:rsidR="00073B6D">
        <w:rPr>
          <w:rFonts w:cstheme="minorHAnsi"/>
          <w:i w:val="0"/>
          <w:noProof/>
        </w:rPr>
        <w:t>18</w:t>
      </w:r>
      <w:r>
        <w:rPr>
          <w:noProof/>
        </w:rPr>
        <w:fldChar w:fldCharType="end"/>
      </w:r>
      <w:bookmarkEnd w:id="152"/>
      <w:r w:rsidRPr="00677A61">
        <w:t>– Mobilità complessiva con focus sui Comuni in ADD – valori assoluti degli spostamenti</w:t>
      </w:r>
    </w:p>
    <w:p w14:paraId="32EB90BC" w14:textId="77777777" w:rsidR="005A0290" w:rsidRPr="003472B4" w:rsidRDefault="005A0290" w:rsidP="006306CD">
      <w:pPr>
        <w:pStyle w:val="NormaleWeb"/>
        <w:spacing w:before="120" w:after="0" w:line="240" w:lineRule="auto"/>
        <w:rPr>
          <w:rFonts w:asciiTheme="minorHAnsi" w:hAnsiTheme="minorHAnsi" w:cstheme="minorHAnsi"/>
          <w:color w:val="242424"/>
          <w:sz w:val="22"/>
          <w:szCs w:val="22"/>
        </w:rPr>
      </w:pPr>
      <w:r w:rsidRPr="008575A5">
        <w:rPr>
          <w:noProof/>
        </w:rPr>
        <w:drawing>
          <wp:inline distT="0" distB="0" distL="0" distR="0" wp14:anchorId="33D77FBA" wp14:editId="6D4BDCDB">
            <wp:extent cx="5759450" cy="1001395"/>
            <wp:effectExtent l="0" t="0" r="0" b="8255"/>
            <wp:docPr id="434963613"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759450" cy="1001395"/>
                    </a:xfrm>
                    <a:prstGeom prst="rect">
                      <a:avLst/>
                    </a:prstGeom>
                    <a:noFill/>
                    <a:ln>
                      <a:noFill/>
                    </a:ln>
                  </pic:spPr>
                </pic:pic>
              </a:graphicData>
            </a:graphic>
          </wp:inline>
        </w:drawing>
      </w:r>
      <w:r w:rsidRPr="008575A5">
        <w:t xml:space="preserve"> </w:t>
      </w:r>
      <w:r w:rsidRPr="001B4787">
        <w:t xml:space="preserve"> </w:t>
      </w:r>
      <w:r w:rsidRPr="007E0A0D">
        <w:t xml:space="preserve"> </w:t>
      </w:r>
    </w:p>
    <w:p w14:paraId="60E85380" w14:textId="4368F725" w:rsidR="005A0290" w:rsidRPr="003E245D" w:rsidRDefault="005A0290" w:rsidP="007A7684">
      <w:pPr>
        <w:pStyle w:val="Didascalia"/>
        <w:jc w:val="center"/>
        <w:rPr>
          <w:rFonts w:cstheme="minorHAnsi"/>
          <w:i w:val="0"/>
        </w:rPr>
      </w:pPr>
      <w:bookmarkStart w:id="153" w:name="_Ref193383533"/>
      <w:r w:rsidRPr="00677A61">
        <w:t xml:space="preserve">Tabella </w:t>
      </w:r>
      <w:r>
        <w:fldChar w:fldCharType="begin"/>
      </w:r>
      <w:r w:rsidRPr="003E245D">
        <w:rPr>
          <w:rFonts w:cstheme="minorHAnsi"/>
          <w:i w:val="0"/>
        </w:rPr>
        <w:instrText xml:space="preserve"> SEQ Tabella \* ARABIC </w:instrText>
      </w:r>
      <w:r>
        <w:fldChar w:fldCharType="separate"/>
      </w:r>
      <w:r w:rsidR="00073B6D">
        <w:rPr>
          <w:rFonts w:cstheme="minorHAnsi"/>
          <w:i w:val="0"/>
          <w:noProof/>
        </w:rPr>
        <w:t>19</w:t>
      </w:r>
      <w:r>
        <w:rPr>
          <w:noProof/>
        </w:rPr>
        <w:fldChar w:fldCharType="end"/>
      </w:r>
      <w:bookmarkEnd w:id="153"/>
      <w:r w:rsidRPr="00677A61">
        <w:t>– Mobilità complessiva con focus sui Comuni in ADD – valori relativi, quote degli spostamenti</w:t>
      </w:r>
    </w:p>
    <w:p w14:paraId="4BD84EBC" w14:textId="77777777" w:rsidR="005A0290" w:rsidRPr="00D04919" w:rsidRDefault="005A0290" w:rsidP="006306CD">
      <w:pPr>
        <w:pStyle w:val="NormaleWeb"/>
        <w:spacing w:before="120" w:after="0" w:line="240" w:lineRule="auto"/>
        <w:rPr>
          <w:rFonts w:asciiTheme="minorHAnsi" w:hAnsiTheme="minorHAnsi" w:cstheme="minorHAnsi"/>
          <w:color w:val="242424"/>
          <w:sz w:val="22"/>
          <w:szCs w:val="22"/>
        </w:rPr>
      </w:pPr>
      <w:r w:rsidRPr="00D04919">
        <w:rPr>
          <w:rFonts w:asciiTheme="minorHAnsi" w:hAnsiTheme="minorHAnsi" w:cstheme="minorHAnsi"/>
          <w:color w:val="242424"/>
          <w:sz w:val="22"/>
          <w:szCs w:val="22"/>
        </w:rPr>
        <w:t>Da questi risultati si può osservare che la quota di spostamenti con origine e/o destinazione nei Comuni in ADD qui definiti è pari a circa il 6,4% degli spostamenti di tutto il Bacino metropolitano.</w:t>
      </w:r>
    </w:p>
    <w:p w14:paraId="7FAD435E" w14:textId="57AC1C0A" w:rsidR="005A0290" w:rsidRPr="003472B4" w:rsidRDefault="005A0290" w:rsidP="006306CD">
      <w:pPr>
        <w:pStyle w:val="NormaleWeb"/>
        <w:spacing w:before="120" w:after="0" w:line="240" w:lineRule="auto"/>
        <w:rPr>
          <w:rFonts w:asciiTheme="minorHAnsi" w:hAnsiTheme="minorHAnsi" w:cstheme="minorHAnsi"/>
          <w:color w:val="242424"/>
          <w:sz w:val="22"/>
          <w:szCs w:val="22"/>
        </w:rPr>
      </w:pPr>
      <w:r w:rsidRPr="00D04919">
        <w:rPr>
          <w:rFonts w:asciiTheme="minorHAnsi" w:hAnsiTheme="minorHAnsi" w:cstheme="minorHAnsi"/>
          <w:color w:val="242424"/>
          <w:sz w:val="22"/>
          <w:szCs w:val="22"/>
        </w:rPr>
        <w:lastRenderedPageBreak/>
        <w:t xml:space="preserve">Per ulteriori osservazioni, nella </w:t>
      </w:r>
      <w:r w:rsidRPr="00D04919">
        <w:rPr>
          <w:rFonts w:asciiTheme="minorHAnsi" w:hAnsiTheme="minorHAnsi" w:cstheme="minorHAnsi"/>
          <w:color w:val="242424"/>
          <w:sz w:val="22"/>
          <w:szCs w:val="22"/>
        </w:rPr>
        <w:fldChar w:fldCharType="begin"/>
      </w:r>
      <w:r w:rsidRPr="001833E6">
        <w:rPr>
          <w:rFonts w:cstheme="minorHAnsi"/>
          <w:color w:val="242424"/>
          <w:highlight w:val="yellow"/>
        </w:rPr>
        <w:instrText xml:space="preserve"> REF _Ref193383545 \h  \* MERGEFORMAT </w:instrText>
      </w:r>
      <w:r w:rsidRPr="00D04919">
        <w:rPr>
          <w:rFonts w:asciiTheme="minorHAnsi" w:hAnsiTheme="minorHAnsi" w:cstheme="minorHAnsi"/>
          <w:color w:val="242424"/>
          <w:sz w:val="22"/>
          <w:szCs w:val="22"/>
        </w:rPr>
      </w:r>
      <w:r w:rsidRPr="00D04919">
        <w:rPr>
          <w:rFonts w:asciiTheme="minorHAnsi" w:hAnsiTheme="minorHAnsi" w:cstheme="minorHAnsi"/>
          <w:color w:val="242424"/>
          <w:sz w:val="22"/>
          <w:szCs w:val="22"/>
        </w:rPr>
        <w:fldChar w:fldCharType="separate"/>
      </w:r>
      <w:r w:rsidR="00073B6D" w:rsidRPr="00073B6D">
        <w:rPr>
          <w:rFonts w:asciiTheme="minorHAnsi" w:hAnsiTheme="minorHAnsi" w:cstheme="minorHAnsi"/>
          <w:color w:val="242424"/>
          <w:sz w:val="22"/>
          <w:szCs w:val="22"/>
        </w:rPr>
        <w:t xml:space="preserve">Tabella </w:t>
      </w:r>
      <w:r w:rsidR="00073B6D" w:rsidRPr="00073B6D">
        <w:rPr>
          <w:noProof/>
        </w:rPr>
        <w:t>20</w:t>
      </w:r>
      <w:r w:rsidRPr="00D04919">
        <w:rPr>
          <w:rFonts w:asciiTheme="minorHAnsi" w:hAnsiTheme="minorHAnsi" w:cstheme="minorHAnsi"/>
          <w:color w:val="242424"/>
          <w:sz w:val="22"/>
          <w:szCs w:val="22"/>
        </w:rPr>
        <w:fldChar w:fldCharType="end"/>
      </w:r>
      <w:r w:rsidRPr="00D04919">
        <w:rPr>
          <w:rFonts w:asciiTheme="minorHAnsi" w:hAnsiTheme="minorHAnsi" w:cstheme="minorHAnsi"/>
          <w:color w:val="242424"/>
          <w:sz w:val="22"/>
          <w:szCs w:val="22"/>
        </w:rPr>
        <w:t xml:space="preserve"> e nella </w:t>
      </w:r>
      <w:r w:rsidRPr="00D04919">
        <w:rPr>
          <w:rFonts w:asciiTheme="minorHAnsi" w:hAnsiTheme="minorHAnsi" w:cstheme="minorHAnsi"/>
          <w:color w:val="242424"/>
          <w:sz w:val="22"/>
          <w:szCs w:val="22"/>
        </w:rPr>
        <w:fldChar w:fldCharType="begin"/>
      </w:r>
      <w:r w:rsidRPr="001833E6">
        <w:rPr>
          <w:rFonts w:cstheme="minorHAnsi"/>
          <w:color w:val="242424"/>
          <w:highlight w:val="yellow"/>
        </w:rPr>
        <w:instrText xml:space="preserve"> REF _Ref193383552 \h  \* MERGEFORMAT </w:instrText>
      </w:r>
      <w:r w:rsidRPr="00D04919">
        <w:rPr>
          <w:rFonts w:asciiTheme="minorHAnsi" w:hAnsiTheme="minorHAnsi" w:cstheme="minorHAnsi"/>
          <w:color w:val="242424"/>
          <w:sz w:val="22"/>
          <w:szCs w:val="22"/>
        </w:rPr>
      </w:r>
      <w:r w:rsidRPr="00D04919">
        <w:rPr>
          <w:rFonts w:asciiTheme="minorHAnsi" w:hAnsiTheme="minorHAnsi" w:cstheme="minorHAnsi"/>
          <w:color w:val="242424"/>
          <w:sz w:val="22"/>
          <w:szCs w:val="22"/>
        </w:rPr>
        <w:fldChar w:fldCharType="separate"/>
      </w:r>
      <w:r w:rsidR="00073B6D" w:rsidRPr="00073B6D">
        <w:rPr>
          <w:rFonts w:asciiTheme="minorHAnsi" w:hAnsiTheme="minorHAnsi" w:cstheme="minorHAnsi"/>
          <w:color w:val="242424"/>
          <w:sz w:val="22"/>
          <w:szCs w:val="22"/>
        </w:rPr>
        <w:t xml:space="preserve">Tabella </w:t>
      </w:r>
      <w:r w:rsidR="00073B6D" w:rsidRPr="00073B6D">
        <w:rPr>
          <w:noProof/>
        </w:rPr>
        <w:t>21</w:t>
      </w:r>
      <w:r w:rsidRPr="00D04919">
        <w:rPr>
          <w:rFonts w:asciiTheme="minorHAnsi" w:hAnsiTheme="minorHAnsi" w:cstheme="minorHAnsi"/>
          <w:color w:val="242424"/>
          <w:sz w:val="22"/>
          <w:szCs w:val="22"/>
        </w:rPr>
        <w:fldChar w:fldCharType="end"/>
      </w:r>
      <w:r w:rsidRPr="00D04919">
        <w:rPr>
          <w:rFonts w:asciiTheme="minorHAnsi" w:hAnsiTheme="minorHAnsi" w:cstheme="minorHAnsi"/>
          <w:color w:val="242424"/>
          <w:sz w:val="22"/>
          <w:szCs w:val="22"/>
        </w:rPr>
        <w:t xml:space="preserve"> sono esposti in forma più sintetica i valori assoluti e le quote percentuali (autocontenimento) degli spostamenti specifici delle due zone individuate dall’assegnazione dei Comuni in ADD, a raffronto con il Bacino complessivo.</w:t>
      </w:r>
    </w:p>
    <w:p w14:paraId="34FE6542" w14:textId="77777777" w:rsidR="005A0290" w:rsidRPr="003472B4" w:rsidRDefault="005A0290" w:rsidP="006306CD">
      <w:pPr>
        <w:pStyle w:val="NormaleWeb"/>
        <w:spacing w:before="120" w:after="0" w:line="240" w:lineRule="auto"/>
        <w:jc w:val="center"/>
        <w:rPr>
          <w:rFonts w:asciiTheme="minorHAnsi" w:hAnsiTheme="minorHAnsi" w:cstheme="minorHAnsi"/>
          <w:color w:val="242424"/>
          <w:sz w:val="22"/>
          <w:szCs w:val="22"/>
        </w:rPr>
      </w:pPr>
      <w:r w:rsidRPr="00435286">
        <w:rPr>
          <w:noProof/>
        </w:rPr>
        <w:drawing>
          <wp:inline distT="0" distB="0" distL="0" distR="0" wp14:anchorId="1264B90B" wp14:editId="3D1B9BA9">
            <wp:extent cx="5616000" cy="673200"/>
            <wp:effectExtent l="0" t="0" r="3810" b="0"/>
            <wp:docPr id="60096869"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616000" cy="673200"/>
                    </a:xfrm>
                    <a:prstGeom prst="rect">
                      <a:avLst/>
                    </a:prstGeom>
                    <a:noFill/>
                    <a:ln>
                      <a:noFill/>
                    </a:ln>
                  </pic:spPr>
                </pic:pic>
              </a:graphicData>
            </a:graphic>
          </wp:inline>
        </w:drawing>
      </w:r>
      <w:r w:rsidRPr="00435286">
        <w:t xml:space="preserve"> </w:t>
      </w:r>
      <w:r w:rsidRPr="00F72C31">
        <w:t xml:space="preserve"> </w:t>
      </w:r>
      <w:r w:rsidRPr="00C931E0">
        <w:t xml:space="preserve"> </w:t>
      </w:r>
      <w:r w:rsidRPr="007E0A0D">
        <w:t xml:space="preserve"> </w:t>
      </w:r>
    </w:p>
    <w:p w14:paraId="1AC80E38" w14:textId="7F37089F" w:rsidR="005A0290" w:rsidRPr="003E245D" w:rsidRDefault="005A0290" w:rsidP="007A7684">
      <w:pPr>
        <w:pStyle w:val="Didascalia"/>
        <w:jc w:val="center"/>
        <w:rPr>
          <w:rFonts w:cstheme="minorHAnsi"/>
          <w:i w:val="0"/>
        </w:rPr>
      </w:pPr>
      <w:bookmarkStart w:id="154" w:name="_Ref193383545"/>
      <w:r w:rsidRPr="00677A61">
        <w:t xml:space="preserve">Tabella </w:t>
      </w:r>
      <w:r>
        <w:fldChar w:fldCharType="begin"/>
      </w:r>
      <w:r w:rsidRPr="003E245D">
        <w:rPr>
          <w:rFonts w:cstheme="minorHAnsi"/>
          <w:i w:val="0"/>
        </w:rPr>
        <w:instrText xml:space="preserve"> SEQ Tabella \* ARABIC </w:instrText>
      </w:r>
      <w:r>
        <w:fldChar w:fldCharType="separate"/>
      </w:r>
      <w:r w:rsidR="00073B6D">
        <w:rPr>
          <w:rFonts w:cstheme="minorHAnsi"/>
          <w:i w:val="0"/>
          <w:noProof/>
        </w:rPr>
        <w:t>20</w:t>
      </w:r>
      <w:r>
        <w:rPr>
          <w:noProof/>
        </w:rPr>
        <w:fldChar w:fldCharType="end"/>
      </w:r>
      <w:bookmarkEnd w:id="154"/>
      <w:r w:rsidRPr="00677A61">
        <w:t xml:space="preserve">– Mobilità specifica delle </w:t>
      </w:r>
      <w:r w:rsidRPr="003E245D">
        <w:rPr>
          <w:rFonts w:cstheme="minorHAnsi"/>
          <w:i w:val="0"/>
        </w:rPr>
        <w:t>zone individuate – valori assoluti degli spostamenti</w:t>
      </w:r>
    </w:p>
    <w:p w14:paraId="07D6425B" w14:textId="77777777" w:rsidR="005A0290" w:rsidRDefault="005A0290" w:rsidP="005A0290">
      <w:pPr>
        <w:spacing w:before="120" w:after="0" w:line="240" w:lineRule="auto"/>
        <w:jc w:val="center"/>
        <w:rPr>
          <w:noProof/>
        </w:rPr>
      </w:pPr>
      <w:r w:rsidRPr="00435286">
        <w:rPr>
          <w:noProof/>
        </w:rPr>
        <w:drawing>
          <wp:inline distT="0" distB="0" distL="0" distR="0" wp14:anchorId="672F72DE" wp14:editId="22568BA3">
            <wp:extent cx="5616000" cy="673200"/>
            <wp:effectExtent l="0" t="0" r="3810" b="0"/>
            <wp:docPr id="395911362"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616000" cy="673200"/>
                    </a:xfrm>
                    <a:prstGeom prst="rect">
                      <a:avLst/>
                    </a:prstGeom>
                    <a:noFill/>
                    <a:ln>
                      <a:noFill/>
                    </a:ln>
                  </pic:spPr>
                </pic:pic>
              </a:graphicData>
            </a:graphic>
          </wp:inline>
        </w:drawing>
      </w:r>
      <w:r w:rsidRPr="00435286">
        <w:t xml:space="preserve"> </w:t>
      </w:r>
      <w:r w:rsidRPr="00F72C31">
        <w:t xml:space="preserve"> </w:t>
      </w:r>
      <w:r w:rsidRPr="00C931E0">
        <w:t xml:space="preserve"> </w:t>
      </w:r>
      <w:r w:rsidRPr="007E0A0D">
        <w:t xml:space="preserve"> </w:t>
      </w:r>
    </w:p>
    <w:p w14:paraId="6DDDE6CC" w14:textId="0F26ABC6" w:rsidR="005A0290" w:rsidRPr="003E245D" w:rsidRDefault="005A0290" w:rsidP="007A7684">
      <w:pPr>
        <w:pStyle w:val="Didascalia"/>
        <w:jc w:val="center"/>
        <w:rPr>
          <w:rFonts w:cstheme="minorHAnsi"/>
          <w:i w:val="0"/>
        </w:rPr>
      </w:pPr>
      <w:bookmarkStart w:id="155" w:name="_Ref193383552"/>
      <w:r w:rsidRPr="00677A61">
        <w:t xml:space="preserve">Tabella </w:t>
      </w:r>
      <w:r>
        <w:fldChar w:fldCharType="begin"/>
      </w:r>
      <w:r w:rsidRPr="003E245D">
        <w:rPr>
          <w:rFonts w:cstheme="minorHAnsi"/>
          <w:i w:val="0"/>
        </w:rPr>
        <w:instrText xml:space="preserve"> SEQ Tabella \* ARABIC </w:instrText>
      </w:r>
      <w:r>
        <w:fldChar w:fldCharType="separate"/>
      </w:r>
      <w:r w:rsidR="00073B6D">
        <w:rPr>
          <w:rFonts w:cstheme="minorHAnsi"/>
          <w:i w:val="0"/>
          <w:noProof/>
        </w:rPr>
        <w:t>21</w:t>
      </w:r>
      <w:r>
        <w:rPr>
          <w:noProof/>
        </w:rPr>
        <w:fldChar w:fldCharType="end"/>
      </w:r>
      <w:bookmarkEnd w:id="155"/>
      <w:r w:rsidRPr="00677A61">
        <w:t xml:space="preserve">– Mobilità specifica delle </w:t>
      </w:r>
      <w:r w:rsidRPr="003E245D">
        <w:rPr>
          <w:rFonts w:cstheme="minorHAnsi"/>
          <w:i w:val="0"/>
        </w:rPr>
        <w:t>zone</w:t>
      </w:r>
      <w:r w:rsidRPr="003E245D">
        <w:rPr>
          <w:rFonts w:cstheme="minorHAnsi"/>
        </w:rPr>
        <w:t xml:space="preserve"> </w:t>
      </w:r>
      <w:r w:rsidRPr="003E245D">
        <w:rPr>
          <w:rFonts w:cstheme="minorHAnsi"/>
          <w:i w:val="0"/>
        </w:rPr>
        <w:t>individuate – valori relativi, quote degli spostamenti</w:t>
      </w:r>
    </w:p>
    <w:p w14:paraId="74EC0842" w14:textId="77777777" w:rsidR="005A0290" w:rsidRPr="00AB116E" w:rsidRDefault="005A0290" w:rsidP="006306CD">
      <w:pPr>
        <w:pStyle w:val="NormaleWeb"/>
        <w:spacing w:before="120" w:after="0" w:line="240" w:lineRule="auto"/>
        <w:rPr>
          <w:rFonts w:asciiTheme="minorHAnsi" w:hAnsiTheme="minorHAnsi" w:cstheme="minorHAnsi"/>
          <w:color w:val="242424"/>
          <w:sz w:val="22"/>
          <w:szCs w:val="22"/>
        </w:rPr>
      </w:pPr>
      <w:r w:rsidRPr="00700BFD">
        <w:rPr>
          <w:rFonts w:asciiTheme="minorHAnsi" w:hAnsiTheme="minorHAnsi" w:cstheme="minorHAnsi"/>
          <w:color w:val="242424"/>
          <w:sz w:val="22"/>
          <w:szCs w:val="22"/>
        </w:rPr>
        <w:t>Si può osservare che più del 90% degli spostamenti originati e/o destinati nei Comuni in ADD sono localizzati all’interno del Bacino metropolitano, e la quota di spostamenti verso il resto delle province piemontesi e l’esterno del Piemonte è inferiore rispetto al complementare raggruppamento di comuni del bacino, denotando quindi una mobilità con maggiore prossimità. È ancora opportuno rammentare che i valori presentati sono privi degli spostamenti interni ai comuni.</w:t>
      </w:r>
    </w:p>
    <w:p w14:paraId="6DF6B28D" w14:textId="77777777" w:rsidR="003E245D" w:rsidRPr="00785259" w:rsidRDefault="003E245D" w:rsidP="006306CD">
      <w:pPr>
        <w:pStyle w:val="Titolo3"/>
        <w:spacing w:before="120" w:after="0" w:line="240" w:lineRule="auto"/>
        <w:ind w:left="720"/>
      </w:pPr>
      <w:bookmarkStart w:id="156" w:name="_Toc193195294"/>
      <w:bookmarkStart w:id="157" w:name="_Toc361608289"/>
      <w:bookmarkStart w:id="158" w:name="_Toc197695673"/>
      <w:bookmarkStart w:id="159" w:name="_Toc204616486"/>
      <w:bookmarkStart w:id="160" w:name="_Toc213078356"/>
      <w:r w:rsidRPr="007641B3">
        <w:t>Osservazioni generali sull’interpretazione dei dati da piattaforme Big Data</w:t>
      </w:r>
      <w:bookmarkEnd w:id="156"/>
      <w:bookmarkEnd w:id="157"/>
      <w:bookmarkEnd w:id="158"/>
      <w:bookmarkEnd w:id="159"/>
      <w:bookmarkEnd w:id="160"/>
    </w:p>
    <w:p w14:paraId="5E3CBD2A" w14:textId="77777777" w:rsidR="00222585" w:rsidRDefault="00222585" w:rsidP="006306CD">
      <w:pPr>
        <w:pStyle w:val="NormaleWeb"/>
        <w:spacing w:before="120" w:after="0" w:line="240" w:lineRule="auto"/>
        <w:rPr>
          <w:rFonts w:asciiTheme="minorHAnsi" w:hAnsiTheme="minorHAnsi" w:cstheme="minorHAnsi"/>
          <w:color w:val="242424"/>
          <w:sz w:val="22"/>
          <w:szCs w:val="22"/>
        </w:rPr>
      </w:pPr>
      <w:r w:rsidRPr="00AB116E">
        <w:rPr>
          <w:rFonts w:asciiTheme="minorHAnsi" w:hAnsiTheme="minorHAnsi" w:cstheme="minorHAnsi"/>
          <w:color w:val="242424"/>
          <w:sz w:val="22"/>
          <w:szCs w:val="22"/>
        </w:rPr>
        <w:t xml:space="preserve">A ulteriore commento di quanto già osservato e per una maggiore comprensione dei dati sopra esposti, vale la pena riportare un passo relativo alle </w:t>
      </w:r>
      <w:r w:rsidRPr="00D2392C">
        <w:rPr>
          <w:rFonts w:asciiTheme="minorHAnsi" w:hAnsiTheme="minorHAnsi" w:cstheme="minorHAnsi"/>
          <w:i/>
          <w:iCs/>
          <w:color w:val="242424"/>
          <w:sz w:val="22"/>
          <w:szCs w:val="22"/>
        </w:rPr>
        <w:t>Fonti informative</w:t>
      </w:r>
      <w:r w:rsidRPr="00AB116E">
        <w:rPr>
          <w:rFonts w:asciiTheme="minorHAnsi" w:hAnsiTheme="minorHAnsi" w:cstheme="minorHAnsi"/>
          <w:color w:val="242424"/>
          <w:sz w:val="22"/>
          <w:szCs w:val="22"/>
        </w:rPr>
        <w:t xml:space="preserve"> del saggio </w:t>
      </w:r>
      <w:r w:rsidRPr="00D2392C">
        <w:rPr>
          <w:rFonts w:asciiTheme="minorHAnsi" w:hAnsiTheme="minorHAnsi" w:cstheme="minorHAnsi"/>
          <w:i/>
          <w:iCs/>
          <w:color w:val="242424"/>
          <w:sz w:val="22"/>
          <w:szCs w:val="22"/>
        </w:rPr>
        <w:t>La domanda di mobilità passeggeri</w:t>
      </w:r>
      <w:r w:rsidRPr="00AB116E">
        <w:rPr>
          <w:rFonts w:asciiTheme="minorHAnsi" w:hAnsiTheme="minorHAnsi" w:cstheme="minorHAnsi"/>
          <w:color w:val="242424"/>
          <w:sz w:val="22"/>
          <w:szCs w:val="22"/>
        </w:rPr>
        <w:t xml:space="preserve"> di Andrea Debernardi, contenuto </w:t>
      </w:r>
      <w:r w:rsidRPr="0004559F">
        <w:rPr>
          <w:rFonts w:asciiTheme="minorHAnsi" w:hAnsiTheme="minorHAnsi" w:cstheme="minorHAnsi"/>
          <w:color w:val="242424"/>
          <w:sz w:val="22"/>
          <w:szCs w:val="22"/>
        </w:rPr>
        <w:t>nell’</w:t>
      </w:r>
      <w:r w:rsidRPr="00D2392C">
        <w:rPr>
          <w:rFonts w:asciiTheme="minorHAnsi" w:hAnsiTheme="minorHAnsi" w:cstheme="minorHAnsi"/>
          <w:i/>
          <w:iCs/>
          <w:color w:val="242424"/>
          <w:sz w:val="22"/>
          <w:szCs w:val="22"/>
        </w:rPr>
        <w:t xml:space="preserve">Atlante dei trasporti italiani Infrastrutture </w:t>
      </w:r>
      <w:r>
        <w:rPr>
          <w:rFonts w:asciiTheme="minorHAnsi" w:hAnsiTheme="minorHAnsi" w:cstheme="minorHAnsi"/>
          <w:i/>
          <w:iCs/>
          <w:color w:val="242424"/>
          <w:sz w:val="22"/>
          <w:szCs w:val="22"/>
        </w:rPr>
        <w:t>-</w:t>
      </w:r>
      <w:r w:rsidRPr="00D2392C">
        <w:rPr>
          <w:rFonts w:asciiTheme="minorHAnsi" w:hAnsiTheme="minorHAnsi" w:cstheme="minorHAnsi"/>
          <w:i/>
          <w:iCs/>
          <w:color w:val="242424"/>
          <w:sz w:val="22"/>
          <w:szCs w:val="22"/>
        </w:rPr>
        <w:t xml:space="preserve"> Offerta </w:t>
      </w:r>
      <w:r>
        <w:rPr>
          <w:rFonts w:asciiTheme="minorHAnsi" w:hAnsiTheme="minorHAnsi" w:cstheme="minorHAnsi"/>
          <w:i/>
          <w:iCs/>
          <w:color w:val="242424"/>
          <w:sz w:val="22"/>
          <w:szCs w:val="22"/>
        </w:rPr>
        <w:t>-</w:t>
      </w:r>
      <w:r w:rsidRPr="00D2392C">
        <w:rPr>
          <w:rFonts w:asciiTheme="minorHAnsi" w:hAnsiTheme="minorHAnsi" w:cstheme="minorHAnsi"/>
          <w:i/>
          <w:iCs/>
          <w:color w:val="242424"/>
          <w:sz w:val="22"/>
          <w:szCs w:val="22"/>
        </w:rPr>
        <w:t xml:space="preserve"> Domanda</w:t>
      </w:r>
      <w:r w:rsidRPr="00AB116E">
        <w:rPr>
          <w:rFonts w:asciiTheme="minorHAnsi" w:hAnsiTheme="minorHAnsi" w:cstheme="minorHAnsi"/>
          <w:color w:val="242424"/>
          <w:sz w:val="22"/>
          <w:szCs w:val="22"/>
        </w:rPr>
        <w:t xml:space="preserve"> (pagg. 152, 153) edito a cura di Paolo Beria e del Laboratorio di Politica dei Trasporti del Politecnico di Milano:</w:t>
      </w:r>
    </w:p>
    <w:p w14:paraId="5B31DE35" w14:textId="77777777" w:rsidR="00222585" w:rsidRDefault="00222585" w:rsidP="006306CD">
      <w:pPr>
        <w:spacing w:before="120" w:after="0" w:line="240" w:lineRule="auto"/>
        <w:ind w:right="2691" w:firstLine="284"/>
        <w:rPr>
          <w:rFonts w:cs="Times New Roman"/>
          <w:color w:val="0F6FC6" w:themeColor="accent1"/>
        </w:rPr>
      </w:pPr>
      <w:r>
        <w:rPr>
          <w:rFonts w:cs="Times New Roman"/>
          <w:color w:val="0F6FC6" w:themeColor="accent1"/>
        </w:rPr>
        <w:t>ATLANTE TRASPORTI – pag. 152-153</w:t>
      </w:r>
    </w:p>
    <w:p w14:paraId="23266AF3" w14:textId="77777777" w:rsidR="00222585" w:rsidRPr="003E245D" w:rsidRDefault="00222585" w:rsidP="006306CD">
      <w:pPr>
        <w:pStyle w:val="Stile5"/>
        <w:ind w:right="-2"/>
        <w:rPr>
          <w:rFonts w:cstheme="minorHAnsi"/>
          <w:i/>
        </w:rPr>
      </w:pPr>
      <w:r w:rsidRPr="00394FF3">
        <w:rPr>
          <w:i/>
        </w:rPr>
        <w:t>«Nel corso degli ultimi anni la disponibilità di Big Data (come le tracce dei sistemi GSM o GPS presenti nei telefonini e su molti veicoli) hanno incrementato di molto la possibilità di analizzare i fenomeni di mobilità a livello sia micro che macroscopico.</w:t>
      </w:r>
    </w:p>
    <w:p w14:paraId="13E1C200" w14:textId="77777777" w:rsidR="00222585" w:rsidRPr="003E245D" w:rsidRDefault="00222585" w:rsidP="006306CD">
      <w:pPr>
        <w:pStyle w:val="Stile5"/>
        <w:ind w:right="-2"/>
        <w:rPr>
          <w:rFonts w:cstheme="minorHAnsi"/>
          <w:i/>
        </w:rPr>
      </w:pPr>
      <w:r w:rsidRPr="00394FF3">
        <w:rPr>
          <w:i/>
        </w:rPr>
        <w:t>Permangono tuttavia numerosi problemi relativi</w:t>
      </w:r>
    </w:p>
    <w:p w14:paraId="56DC25AF" w14:textId="77777777" w:rsidR="00222585" w:rsidRPr="003E245D" w:rsidRDefault="00222585" w:rsidP="006306CD">
      <w:pPr>
        <w:pStyle w:val="Stile5"/>
        <w:ind w:right="-2"/>
        <w:rPr>
          <w:rFonts w:cstheme="minorHAnsi"/>
          <w:i/>
        </w:rPr>
      </w:pPr>
      <w:r>
        <w:rPr>
          <w:i/>
        </w:rPr>
        <w:t>•</w:t>
      </w:r>
      <w:r>
        <w:rPr>
          <w:i/>
        </w:rPr>
        <w:tab/>
      </w:r>
      <w:r w:rsidRPr="003E245D">
        <w:rPr>
          <w:rFonts w:cstheme="minorHAnsi"/>
          <w:i/>
        </w:rPr>
        <w:t>da un lato alle modalità di campionamento, potenzialmente distorte dato il diverso livello di dotazione di questi dispositivi;</w:t>
      </w:r>
    </w:p>
    <w:p w14:paraId="569E8071" w14:textId="77777777" w:rsidR="00222585" w:rsidRPr="003E245D" w:rsidRDefault="00222585" w:rsidP="006306CD">
      <w:pPr>
        <w:pStyle w:val="Stile5"/>
        <w:ind w:right="-2"/>
        <w:rPr>
          <w:rFonts w:cstheme="minorHAnsi"/>
          <w:i/>
        </w:rPr>
      </w:pPr>
      <w:r>
        <w:rPr>
          <w:i/>
        </w:rPr>
        <w:t>•</w:t>
      </w:r>
      <w:r>
        <w:rPr>
          <w:i/>
        </w:rPr>
        <w:tab/>
      </w:r>
      <w:r w:rsidRPr="003E245D">
        <w:rPr>
          <w:rFonts w:cstheme="minorHAnsi"/>
          <w:i/>
        </w:rPr>
        <w:t>dall’altro all’interpretazione dei dati, soggetti tra l’altro a limiti importanti di privacy (ad esempio non è fortunatamente possibile conoscere i motivi dei singoli spostamenti).</w:t>
      </w:r>
    </w:p>
    <w:p w14:paraId="19B24F09" w14:textId="77777777" w:rsidR="00222585" w:rsidRPr="003E245D" w:rsidRDefault="00222585" w:rsidP="006306CD">
      <w:pPr>
        <w:pStyle w:val="Stile5"/>
        <w:ind w:right="-2"/>
        <w:rPr>
          <w:rFonts w:cstheme="minorHAnsi"/>
          <w:i/>
        </w:rPr>
      </w:pPr>
      <w:r w:rsidRPr="00394FF3">
        <w:rPr>
          <w:i/>
        </w:rPr>
        <w:t>Tali tecniche rappresentano pertanto, al momento, un’utile integrazione dei tradizionali metodi di rilevazioni statistiche, senza riuscire ancora a delineare un quadro analitico in sé e per sé risolutivo.»</w:t>
      </w:r>
    </w:p>
    <w:p w14:paraId="688ED9E5" w14:textId="77777777" w:rsidR="00222585" w:rsidRPr="00AB116E" w:rsidRDefault="00222585" w:rsidP="006306CD">
      <w:pPr>
        <w:pStyle w:val="NormaleWeb"/>
        <w:spacing w:before="120" w:after="0" w:line="240" w:lineRule="auto"/>
        <w:rPr>
          <w:rFonts w:asciiTheme="minorHAnsi" w:hAnsiTheme="minorHAnsi" w:cstheme="minorHAnsi"/>
          <w:color w:val="242424"/>
          <w:sz w:val="22"/>
          <w:szCs w:val="22"/>
        </w:rPr>
      </w:pPr>
      <w:r w:rsidRPr="00AB116E">
        <w:rPr>
          <w:rFonts w:asciiTheme="minorHAnsi" w:hAnsiTheme="minorHAnsi" w:cstheme="minorHAnsi"/>
          <w:color w:val="242424"/>
          <w:sz w:val="22"/>
          <w:szCs w:val="22"/>
        </w:rPr>
        <w:t>L’Atlante è stato edito nel 2018, tuttavia le considerazioni citate continuano ad essere valide al momento in cui vengono scritte queste note.</w:t>
      </w:r>
    </w:p>
    <w:p w14:paraId="4B4A06EC" w14:textId="77777777" w:rsidR="00222585" w:rsidRPr="00AB116E" w:rsidRDefault="00222585" w:rsidP="006306CD">
      <w:pPr>
        <w:pStyle w:val="NormaleWeb"/>
        <w:spacing w:before="120" w:after="0" w:line="240" w:lineRule="auto"/>
        <w:rPr>
          <w:rFonts w:asciiTheme="minorHAnsi" w:hAnsiTheme="minorHAnsi" w:cstheme="minorHAnsi"/>
          <w:color w:val="242424"/>
          <w:sz w:val="22"/>
          <w:szCs w:val="22"/>
        </w:rPr>
      </w:pPr>
      <w:r w:rsidRPr="00AB116E">
        <w:rPr>
          <w:rFonts w:asciiTheme="minorHAnsi" w:hAnsiTheme="minorHAnsi" w:cstheme="minorHAnsi"/>
          <w:color w:val="242424"/>
          <w:sz w:val="22"/>
          <w:szCs w:val="22"/>
        </w:rPr>
        <w:t>In particolare, l’interpretazione dei dati costituisce un problema ineludibile: la stessa definizione di spostamento che, nelle rilevazioni con i tradizionali metodi statistici, viene inteso come movimento da un unico e univoco punto nello spazio (origine) ad un altro unico e univoco punto nello spazio (destinazione) esplicato per una unica ed univoca motivazione (scopo) non può essere applicata nel nuovo contesto dei Big Data.</w:t>
      </w:r>
    </w:p>
    <w:p w14:paraId="71F878AD" w14:textId="77777777" w:rsidR="00222585" w:rsidRPr="00AB116E" w:rsidRDefault="00222585" w:rsidP="006306CD">
      <w:pPr>
        <w:pStyle w:val="NormaleWeb"/>
        <w:spacing w:before="120" w:after="0" w:line="240" w:lineRule="auto"/>
        <w:rPr>
          <w:rFonts w:asciiTheme="minorHAnsi" w:hAnsiTheme="minorHAnsi" w:cstheme="minorHAnsi"/>
          <w:color w:val="242424"/>
          <w:sz w:val="22"/>
          <w:szCs w:val="22"/>
        </w:rPr>
      </w:pPr>
      <w:r w:rsidRPr="00AB116E">
        <w:rPr>
          <w:rFonts w:asciiTheme="minorHAnsi" w:hAnsiTheme="minorHAnsi" w:cstheme="minorHAnsi"/>
          <w:color w:val="242424"/>
          <w:sz w:val="22"/>
          <w:szCs w:val="22"/>
        </w:rPr>
        <w:t xml:space="preserve">Ciò, ad esempio, mette in crisi la possibilità di confrontare tout court, senza analisi critica, informazioni di mobilità in valore assoluto provenienti dal tracciamento di SIM della telefonia mobile con </w:t>
      </w:r>
      <w:r w:rsidRPr="00AB116E">
        <w:rPr>
          <w:rFonts w:asciiTheme="minorHAnsi" w:hAnsiTheme="minorHAnsi" w:cstheme="minorHAnsi"/>
          <w:color w:val="242424"/>
          <w:sz w:val="22"/>
          <w:szCs w:val="22"/>
        </w:rPr>
        <w:lastRenderedPageBreak/>
        <w:t>informazioni in valore assoluto provenienti dalle altre fonti tradizionali (indagini, conteggi, vendita di titoli di viaggio e loro validazioni).</w:t>
      </w:r>
    </w:p>
    <w:p w14:paraId="643A8918" w14:textId="77777777" w:rsidR="00222585" w:rsidRPr="00AB116E" w:rsidRDefault="00222585" w:rsidP="006306CD">
      <w:pPr>
        <w:pStyle w:val="NormaleWeb"/>
        <w:spacing w:before="120" w:after="0" w:line="240" w:lineRule="auto"/>
        <w:rPr>
          <w:rFonts w:asciiTheme="minorHAnsi" w:hAnsiTheme="minorHAnsi" w:cstheme="minorHAnsi"/>
          <w:color w:val="242424"/>
          <w:sz w:val="22"/>
          <w:szCs w:val="22"/>
        </w:rPr>
      </w:pPr>
      <w:r w:rsidRPr="00AB116E">
        <w:rPr>
          <w:rFonts w:asciiTheme="minorHAnsi" w:hAnsiTheme="minorHAnsi" w:cstheme="minorHAnsi"/>
          <w:color w:val="242424"/>
          <w:sz w:val="22"/>
          <w:szCs w:val="22"/>
        </w:rPr>
        <w:t>In sostanza:</w:t>
      </w:r>
    </w:p>
    <w:p w14:paraId="34AA4E7D" w14:textId="77777777" w:rsidR="00222585" w:rsidRPr="00AB116E" w:rsidRDefault="00222585" w:rsidP="006306CD">
      <w:pPr>
        <w:pStyle w:val="NormaleWeb"/>
        <w:numPr>
          <w:ilvl w:val="0"/>
          <w:numId w:val="31"/>
        </w:numPr>
        <w:spacing w:before="120" w:after="0" w:line="240" w:lineRule="auto"/>
        <w:rPr>
          <w:rFonts w:asciiTheme="minorHAnsi" w:hAnsiTheme="minorHAnsi" w:cstheme="minorHAnsi"/>
          <w:color w:val="242424"/>
          <w:sz w:val="22"/>
          <w:szCs w:val="22"/>
        </w:rPr>
      </w:pPr>
      <w:r w:rsidRPr="00AB116E">
        <w:rPr>
          <w:rFonts w:asciiTheme="minorHAnsi" w:hAnsiTheme="minorHAnsi" w:cstheme="minorHAnsi"/>
          <w:color w:val="242424"/>
          <w:sz w:val="22"/>
          <w:szCs w:val="22"/>
        </w:rPr>
        <w:t>non sono di dominio pubblico descrizioni sufficientemente precise delle metodologie con le quali vengono individuate dall’operatore telefonico le “origini” e le “destinazioni” delle SIM presenti in un dato intervallo di tempo in una data “cella” di territorio;</w:t>
      </w:r>
    </w:p>
    <w:p w14:paraId="0491D30D" w14:textId="77777777" w:rsidR="00222585" w:rsidRPr="00AB116E" w:rsidRDefault="00222585" w:rsidP="00887126">
      <w:pPr>
        <w:pStyle w:val="NormaleWeb"/>
        <w:numPr>
          <w:ilvl w:val="0"/>
          <w:numId w:val="31"/>
        </w:numPr>
        <w:spacing w:before="120" w:after="0" w:line="240" w:lineRule="auto"/>
        <w:rPr>
          <w:rFonts w:asciiTheme="minorHAnsi" w:hAnsiTheme="minorHAnsi" w:cstheme="minorHAnsi"/>
          <w:color w:val="242424"/>
          <w:sz w:val="22"/>
          <w:szCs w:val="22"/>
        </w:rPr>
      </w:pPr>
      <w:r w:rsidRPr="00AB116E">
        <w:rPr>
          <w:rFonts w:asciiTheme="minorHAnsi" w:hAnsiTheme="minorHAnsi" w:cstheme="minorHAnsi"/>
          <w:color w:val="242424"/>
          <w:sz w:val="22"/>
          <w:szCs w:val="22"/>
        </w:rPr>
        <w:t>non è quindi possibile assimilare a priori ad uno “spostamento origine-destinazione” - come comunemente inteso nelle indagini e nelle valutazioni di mobilità - l’analogo spostamento con origine e destinazione associata alla “zona di presenza” di una SIM in un dato intervallo di tempo;</w:t>
      </w:r>
    </w:p>
    <w:p w14:paraId="695A51B1" w14:textId="77777777" w:rsidR="00222585" w:rsidRPr="00AB116E" w:rsidRDefault="00222585" w:rsidP="00887126">
      <w:pPr>
        <w:pStyle w:val="NormaleWeb"/>
        <w:numPr>
          <w:ilvl w:val="0"/>
          <w:numId w:val="31"/>
        </w:numPr>
        <w:spacing w:before="120" w:after="0" w:line="240" w:lineRule="auto"/>
        <w:rPr>
          <w:rFonts w:asciiTheme="minorHAnsi" w:hAnsiTheme="minorHAnsi" w:cstheme="minorHAnsi"/>
          <w:color w:val="242424"/>
          <w:sz w:val="22"/>
          <w:szCs w:val="22"/>
        </w:rPr>
      </w:pPr>
      <w:r w:rsidRPr="00AB116E">
        <w:rPr>
          <w:rFonts w:asciiTheme="minorHAnsi" w:hAnsiTheme="minorHAnsi" w:cstheme="minorHAnsi"/>
          <w:color w:val="242424"/>
          <w:sz w:val="22"/>
          <w:szCs w:val="22"/>
        </w:rPr>
        <w:t>non sono inoltre di dominio pubblico descrizioni sufficientemente precise dei metodi utilizzati per l’espansione all’universo (di tutte le persone che si spostano in una data area) delle informazioni provenienti dalle sole SIM attive (in quell’area) appartenenti all’operatore telefonico che fornisce i dati;</w:t>
      </w:r>
    </w:p>
    <w:p w14:paraId="48FCE770" w14:textId="77777777" w:rsidR="00222585" w:rsidRPr="00AB116E" w:rsidRDefault="00222585" w:rsidP="00887126">
      <w:pPr>
        <w:pStyle w:val="NormaleWeb"/>
        <w:numPr>
          <w:ilvl w:val="0"/>
          <w:numId w:val="31"/>
        </w:numPr>
        <w:spacing w:before="120" w:after="0" w:line="240" w:lineRule="auto"/>
        <w:rPr>
          <w:rFonts w:asciiTheme="minorHAnsi" w:hAnsiTheme="minorHAnsi" w:cstheme="minorHAnsi"/>
          <w:color w:val="242424"/>
          <w:sz w:val="22"/>
          <w:szCs w:val="22"/>
        </w:rPr>
      </w:pPr>
      <w:r w:rsidRPr="00AB116E">
        <w:rPr>
          <w:rFonts w:asciiTheme="minorHAnsi" w:hAnsiTheme="minorHAnsi" w:cstheme="minorHAnsi"/>
          <w:color w:val="242424"/>
          <w:sz w:val="22"/>
          <w:szCs w:val="22"/>
        </w:rPr>
        <w:t>quindi, allo stato attuale delle conoscenze, risulta che le informazioni di mobilità ottenibili dal tracciamento delle SIM della telefonia mobile non sono misurate con la stessa metrica adottata con i tradizionali metodi di rilevazione statistica adottati nelle altre comuni fonti di informazione (indagini, conteggi, vendita di titoli di viaggio e loro validazioni).</w:t>
      </w:r>
    </w:p>
    <w:p w14:paraId="2947A25C" w14:textId="77777777" w:rsidR="00222585" w:rsidRPr="00AB116E" w:rsidRDefault="00222585" w:rsidP="00887126">
      <w:pPr>
        <w:pStyle w:val="NormaleWeb"/>
        <w:spacing w:before="120" w:after="0" w:line="240" w:lineRule="auto"/>
        <w:rPr>
          <w:rFonts w:asciiTheme="minorHAnsi" w:hAnsiTheme="minorHAnsi" w:cstheme="minorHAnsi"/>
          <w:color w:val="242424"/>
          <w:sz w:val="22"/>
          <w:szCs w:val="22"/>
        </w:rPr>
      </w:pPr>
      <w:r w:rsidRPr="00AB116E">
        <w:rPr>
          <w:rFonts w:asciiTheme="minorHAnsi" w:hAnsiTheme="minorHAnsi" w:cstheme="minorHAnsi"/>
          <w:color w:val="242424"/>
          <w:sz w:val="22"/>
          <w:szCs w:val="22"/>
        </w:rPr>
        <w:t>I dati ricavati da questa fonte risultano dunque di difficile raffronto, se anche sensato, con quelli provenienti dalle fonti tradizionali, perlomeno in valore assoluto; possono risultare invece uno strumento più appropriato per rilevare variazioni (relative) tra “aggregazioni” all’interno di una “fotografia” di mobilità (come nel caso qui trattato), o nel tempo rispetto ad una situazione di riferimento, sempre che la metrica di misurazione rimanga uniforme.</w:t>
      </w:r>
    </w:p>
    <w:p w14:paraId="3C2C61C3" w14:textId="77777777" w:rsidR="00222585" w:rsidRPr="00AB116E" w:rsidRDefault="00222585" w:rsidP="00887126">
      <w:pPr>
        <w:pStyle w:val="NormaleWeb"/>
        <w:spacing w:before="120" w:after="0" w:line="240" w:lineRule="auto"/>
        <w:rPr>
          <w:rFonts w:asciiTheme="minorHAnsi" w:hAnsiTheme="minorHAnsi" w:cstheme="minorHAnsi"/>
          <w:color w:val="242424"/>
          <w:sz w:val="22"/>
          <w:szCs w:val="22"/>
        </w:rPr>
      </w:pPr>
      <w:r w:rsidRPr="00AB116E">
        <w:rPr>
          <w:rFonts w:asciiTheme="minorHAnsi" w:hAnsiTheme="minorHAnsi" w:cstheme="minorHAnsi"/>
          <w:color w:val="242424"/>
          <w:sz w:val="22"/>
          <w:szCs w:val="22"/>
        </w:rPr>
        <w:t>Una questione fondamentale nelle indagini sulla mobilità, come l’IMQ, riguarda le motivazioni degli spostamenti, poiché comprendere perché le persone si spostano aiuta a identificare i modelli di mobilità e a prevedere le tendenze future, il che è utile per sviluppare politiche di mobilità sostenibile e ridurre il traffico e l'inquinamento, oltre a influenzare la percezione della qualità del servizio di trasporto, dato che chi viaggia per lavoro potrebbe avere aspettative diverse rispetto a chi viaggia per svago.</w:t>
      </w:r>
    </w:p>
    <w:p w14:paraId="0DAF547A" w14:textId="77777777" w:rsidR="00222585" w:rsidRPr="00AB116E" w:rsidRDefault="00222585" w:rsidP="00887126">
      <w:pPr>
        <w:pStyle w:val="NormaleWeb"/>
        <w:spacing w:before="120" w:after="0" w:line="240" w:lineRule="auto"/>
        <w:rPr>
          <w:rFonts w:asciiTheme="minorHAnsi" w:hAnsiTheme="minorHAnsi" w:cstheme="minorHAnsi"/>
          <w:color w:val="242424"/>
          <w:sz w:val="22"/>
          <w:szCs w:val="22"/>
        </w:rPr>
      </w:pPr>
      <w:r w:rsidRPr="00AB116E">
        <w:rPr>
          <w:rFonts w:asciiTheme="minorHAnsi" w:hAnsiTheme="minorHAnsi" w:cstheme="minorHAnsi"/>
          <w:color w:val="242424"/>
          <w:sz w:val="22"/>
          <w:szCs w:val="22"/>
        </w:rPr>
        <w:t>Nel contesto della citazione dell’”Atlante Trasporti”, la parola "</w:t>
      </w:r>
      <w:r w:rsidRPr="00D03A68">
        <w:rPr>
          <w:rFonts w:asciiTheme="minorHAnsi" w:hAnsiTheme="minorHAnsi"/>
          <w:i/>
          <w:sz w:val="22"/>
          <w:szCs w:val="22"/>
        </w:rPr>
        <w:t>fortunatamente</w:t>
      </w:r>
      <w:r w:rsidRPr="00AB116E">
        <w:rPr>
          <w:rFonts w:asciiTheme="minorHAnsi" w:hAnsiTheme="minorHAnsi" w:cstheme="minorHAnsi"/>
          <w:color w:val="242424"/>
          <w:sz w:val="22"/>
          <w:szCs w:val="22"/>
        </w:rPr>
        <w:t>" è utilizzata per sottolineare un aspetto positivo legato alla privacy dei dati. L'autore sta evidenziando che, nonostante l'ampia disponibilità di dati di mobilità grazie ai sistemi GSM e GPS, esistono ancora importanti limiti di privacy che impediscono di conoscere i motivi specifici degli spostamenti individuali.</w:t>
      </w:r>
    </w:p>
    <w:p w14:paraId="1A488F9C" w14:textId="77777777" w:rsidR="00222585" w:rsidRPr="00AB116E" w:rsidRDefault="00222585" w:rsidP="00887126">
      <w:pPr>
        <w:pStyle w:val="NormaleWeb"/>
        <w:spacing w:before="120" w:after="0" w:line="240" w:lineRule="auto"/>
        <w:rPr>
          <w:rFonts w:asciiTheme="minorHAnsi" w:hAnsiTheme="minorHAnsi" w:cstheme="minorHAnsi"/>
          <w:color w:val="242424"/>
          <w:sz w:val="22"/>
          <w:szCs w:val="22"/>
        </w:rPr>
      </w:pPr>
      <w:r w:rsidRPr="00AB116E">
        <w:rPr>
          <w:rFonts w:asciiTheme="minorHAnsi" w:hAnsiTheme="minorHAnsi" w:cstheme="minorHAnsi"/>
          <w:color w:val="242424"/>
          <w:sz w:val="22"/>
          <w:szCs w:val="22"/>
        </w:rPr>
        <w:t>L'uso di "</w:t>
      </w:r>
      <w:r w:rsidRPr="00D03A68">
        <w:rPr>
          <w:rFonts w:asciiTheme="minorHAnsi" w:hAnsiTheme="minorHAnsi"/>
          <w:i/>
          <w:sz w:val="22"/>
          <w:szCs w:val="22"/>
        </w:rPr>
        <w:t>fortunatamente</w:t>
      </w:r>
      <w:r w:rsidRPr="00AB116E">
        <w:rPr>
          <w:rFonts w:asciiTheme="minorHAnsi" w:hAnsiTheme="minorHAnsi" w:cstheme="minorHAnsi"/>
          <w:color w:val="242424"/>
          <w:sz w:val="22"/>
          <w:szCs w:val="22"/>
        </w:rPr>
        <w:t>" implica che l'autore consider</w:t>
      </w:r>
      <w:r>
        <w:rPr>
          <w:rFonts w:asciiTheme="minorHAnsi" w:hAnsiTheme="minorHAnsi" w:cstheme="minorHAnsi"/>
          <w:color w:val="242424"/>
          <w:sz w:val="22"/>
          <w:szCs w:val="22"/>
        </w:rPr>
        <w:t>i</w:t>
      </w:r>
      <w:r w:rsidRPr="00AB116E">
        <w:rPr>
          <w:rFonts w:asciiTheme="minorHAnsi" w:hAnsiTheme="minorHAnsi" w:cstheme="minorHAnsi"/>
          <w:color w:val="242424"/>
          <w:sz w:val="22"/>
          <w:szCs w:val="22"/>
        </w:rPr>
        <w:t xml:space="preserve"> positivo il fatto che questi dati non rivelino informazioni troppo dettagliate o personali, proteggendo così la privacy degli individui. Questo è visto come un vantaggio, poiché evita potenziali abusi o invasioni della privacy.</w:t>
      </w:r>
    </w:p>
    <w:p w14:paraId="6CBA0B7E" w14:textId="77777777" w:rsidR="00222585" w:rsidRPr="00AB116E" w:rsidRDefault="00222585" w:rsidP="00887126">
      <w:pPr>
        <w:pStyle w:val="NormaleWeb"/>
        <w:spacing w:before="120" w:after="0" w:line="240" w:lineRule="auto"/>
        <w:rPr>
          <w:rFonts w:asciiTheme="minorHAnsi" w:hAnsiTheme="minorHAnsi" w:cstheme="minorHAnsi"/>
          <w:color w:val="242424"/>
          <w:sz w:val="22"/>
          <w:szCs w:val="22"/>
        </w:rPr>
      </w:pPr>
      <w:r w:rsidRPr="00AB116E">
        <w:rPr>
          <w:rFonts w:asciiTheme="minorHAnsi" w:hAnsiTheme="minorHAnsi" w:cstheme="minorHAnsi"/>
          <w:color w:val="242424"/>
          <w:sz w:val="22"/>
          <w:szCs w:val="22"/>
        </w:rPr>
        <w:t xml:space="preserve">È pertanto importante riconoscere che i dati </w:t>
      </w:r>
      <w:r>
        <w:rPr>
          <w:rFonts w:asciiTheme="minorHAnsi" w:hAnsiTheme="minorHAnsi" w:cstheme="minorHAnsi"/>
          <w:color w:val="242424"/>
          <w:sz w:val="22"/>
          <w:szCs w:val="22"/>
        </w:rPr>
        <w:t>ottenuti dai sistemi di telefonia mobile</w:t>
      </w:r>
      <w:r w:rsidRPr="00AB116E">
        <w:rPr>
          <w:rFonts w:asciiTheme="minorHAnsi" w:hAnsiTheme="minorHAnsi" w:cstheme="minorHAnsi"/>
          <w:color w:val="242424"/>
          <w:sz w:val="22"/>
          <w:szCs w:val="22"/>
        </w:rPr>
        <w:t xml:space="preserve"> offrono solo una visione parziale della domanda di mobilità. Questi dati, pur essendo utili, non possono fornire informazioni complete sui motivi degli spostamenti. Pertanto, è necessario integrarli con altre fonti e metodi di rilevazione per ottenere un quadro più completo e accurato della mobilità.</w:t>
      </w:r>
    </w:p>
    <w:p w14:paraId="3857C6FA" w14:textId="77777777" w:rsidR="00222585" w:rsidRPr="00AB116E" w:rsidRDefault="00222585" w:rsidP="00887126">
      <w:pPr>
        <w:pStyle w:val="NormaleWeb"/>
        <w:spacing w:before="120" w:after="0" w:line="240" w:lineRule="auto"/>
        <w:rPr>
          <w:rFonts w:asciiTheme="minorHAnsi" w:hAnsiTheme="minorHAnsi" w:cstheme="minorHAnsi"/>
          <w:color w:val="242424"/>
          <w:sz w:val="22"/>
          <w:szCs w:val="22"/>
        </w:rPr>
      </w:pPr>
      <w:r w:rsidRPr="00AB116E">
        <w:rPr>
          <w:rFonts w:asciiTheme="minorHAnsi" w:hAnsiTheme="minorHAnsi" w:cstheme="minorHAnsi"/>
          <w:color w:val="242424"/>
          <w:sz w:val="22"/>
          <w:szCs w:val="22"/>
        </w:rPr>
        <w:t>Si sottolinea come i comportamenti di mobilità stiano subendo una trasformazione significativa, influenzata dalle generazioni più recenti che adottano approcci diversi rispetto alle generazioni precedenti. Le nuove generazioni tendono a privilegiare modalità di trasporto più sostenibili, come l'uso di servizi di sharing e il trasporto pubblico, rispetto all'uso dell'auto privata. Essendo “</w:t>
      </w:r>
      <w:r w:rsidRPr="00AB116E">
        <w:rPr>
          <w:rFonts w:asciiTheme="minorHAnsi" w:hAnsiTheme="minorHAnsi" w:cstheme="minorHAnsi"/>
          <w:i/>
          <w:color w:val="242424"/>
          <w:sz w:val="22"/>
          <w:szCs w:val="22"/>
        </w:rPr>
        <w:t>sempre connessi</w:t>
      </w:r>
      <w:r w:rsidRPr="00AB116E">
        <w:rPr>
          <w:rFonts w:asciiTheme="minorHAnsi" w:hAnsiTheme="minorHAnsi" w:cstheme="minorHAnsi"/>
          <w:color w:val="242424"/>
          <w:sz w:val="22"/>
          <w:szCs w:val="22"/>
        </w:rPr>
        <w:t xml:space="preserve">”, è necessario indagare i loro comportamenti attraverso una revisione delle metodologie di </w:t>
      </w:r>
      <w:r w:rsidRPr="00AB116E">
        <w:rPr>
          <w:rFonts w:asciiTheme="minorHAnsi" w:hAnsiTheme="minorHAnsi" w:cstheme="minorHAnsi"/>
          <w:color w:val="242424"/>
          <w:sz w:val="22"/>
          <w:szCs w:val="22"/>
        </w:rPr>
        <w:lastRenderedPageBreak/>
        <w:t>indagine sulla mobilità, utilizzando tecniche più diversificate e innovative che includano l'analisi dei dati provenienti dalle piattaforme digitali, oltre ai metodi di rilevazione più tradizionali.</w:t>
      </w:r>
    </w:p>
    <w:p w14:paraId="5C16F3F7" w14:textId="77777777" w:rsidR="003E245D" w:rsidRPr="003E245D" w:rsidRDefault="003E245D" w:rsidP="00B121F2">
      <w:pPr>
        <w:pStyle w:val="Titolo2"/>
        <w:ind w:left="567"/>
        <w:rPr>
          <w:b w:val="0"/>
        </w:rPr>
      </w:pPr>
      <w:bookmarkStart w:id="161" w:name="_Toc193195295"/>
      <w:bookmarkStart w:id="162" w:name="_Toc279080213"/>
      <w:bookmarkStart w:id="163" w:name="_Toc197695674"/>
      <w:bookmarkStart w:id="164" w:name="_Toc204616487"/>
      <w:bookmarkStart w:id="165" w:name="_Toc213078357"/>
      <w:r w:rsidRPr="00B121F2">
        <w:rPr>
          <w:rFonts w:asciiTheme="minorHAnsi" w:hAnsiTheme="minorHAnsi" w:cstheme="minorHAnsi"/>
        </w:rPr>
        <w:t xml:space="preserve">Frequentazioni del sistema di TPL del Bacino </w:t>
      </w:r>
      <w:bookmarkEnd w:id="161"/>
      <w:bookmarkEnd w:id="162"/>
      <w:bookmarkEnd w:id="163"/>
      <w:r w:rsidRPr="00B121F2">
        <w:rPr>
          <w:rFonts w:asciiTheme="minorHAnsi" w:hAnsiTheme="minorHAnsi" w:cstheme="minorHAnsi"/>
        </w:rPr>
        <w:t>Metropolitano</w:t>
      </w:r>
      <w:bookmarkEnd w:id="164"/>
      <w:bookmarkEnd w:id="165"/>
    </w:p>
    <w:p w14:paraId="779A3341" w14:textId="77777777" w:rsidR="003E245D" w:rsidRPr="003E245D" w:rsidRDefault="003E245D" w:rsidP="003E245D">
      <w:pPr>
        <w:spacing w:before="120" w:after="0" w:line="240" w:lineRule="auto"/>
      </w:pPr>
      <w:r w:rsidRPr="003E245D">
        <w:t>I Contratti di servizio che sono stati sviluppati in Piemonte hanno sempre previsto il monitoraggio delle frequentazioni del servizio; le aziende effettuavano annualmente le rilevazioni dei saliti e discesi attraverso 2 specifiche e contemporanee campagne di rilevazione: una condotta nella settimana tipo di novembre e l’altra nella settimana tipo di luglio</w:t>
      </w:r>
      <w:r w:rsidRPr="003E245D">
        <w:rPr>
          <w:vertAlign w:val="superscript"/>
        </w:rPr>
        <w:footnoteReference w:id="14"/>
      </w:r>
      <w:r w:rsidRPr="003E245D">
        <w:t>. Tali rilevazioni riguardavano in modo particolare i servizi extraurbani e i servizi urbani di piccole dimensioni.</w:t>
      </w:r>
    </w:p>
    <w:p w14:paraId="71AD2D5C" w14:textId="77777777" w:rsidR="003E245D" w:rsidRPr="003E245D" w:rsidRDefault="003E245D" w:rsidP="003E245D">
      <w:pPr>
        <w:spacing w:before="120" w:after="0" w:line="240" w:lineRule="auto"/>
      </w:pPr>
      <w:r w:rsidRPr="003E245D">
        <w:t>Nella tabella seguente si riportano i dati rilevati nelle due campagne sviluppate negli anni 2018 e 2019 riportando il numero di passeggeri annui</w:t>
      </w:r>
      <w:r w:rsidRPr="003E245D">
        <w:rPr>
          <w:vertAlign w:val="superscript"/>
        </w:rPr>
        <w:footnoteReference w:id="15"/>
      </w:r>
      <w:r w:rsidRPr="003E245D">
        <w:t>.</w:t>
      </w:r>
    </w:p>
    <w:p w14:paraId="1BB2203B" w14:textId="77777777" w:rsidR="003E245D" w:rsidRPr="003E245D" w:rsidRDefault="003E245D" w:rsidP="003E245D">
      <w:pPr>
        <w:spacing w:before="120" w:after="0" w:line="240" w:lineRule="auto"/>
      </w:pPr>
    </w:p>
    <w:tbl>
      <w:tblPr>
        <w:tblW w:w="8800" w:type="dxa"/>
        <w:tbl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insideH w:val="single" w:sz="8" w:space="0" w:color="A6A6A6" w:themeColor="background1" w:themeShade="A6"/>
          <w:insideV w:val="single" w:sz="8" w:space="0" w:color="A6A6A6" w:themeColor="background1" w:themeShade="A6"/>
        </w:tblBorders>
        <w:tblCellMar>
          <w:left w:w="70" w:type="dxa"/>
          <w:right w:w="70" w:type="dxa"/>
        </w:tblCellMar>
        <w:tblLook w:val="04A0" w:firstRow="1" w:lastRow="0" w:firstColumn="1" w:lastColumn="0" w:noHBand="0" w:noVBand="1"/>
      </w:tblPr>
      <w:tblGrid>
        <w:gridCol w:w="3040"/>
        <w:gridCol w:w="1920"/>
        <w:gridCol w:w="1920"/>
        <w:gridCol w:w="1920"/>
      </w:tblGrid>
      <w:tr w:rsidR="003E245D" w:rsidRPr="003E245D" w14:paraId="754BFD7D" w14:textId="77777777" w:rsidTr="00131AB1">
        <w:trPr>
          <w:trHeight w:val="300"/>
        </w:trPr>
        <w:tc>
          <w:tcPr>
            <w:tcW w:w="3040" w:type="dxa"/>
            <w:shd w:val="clear" w:color="808080" w:fill="FF0000"/>
            <w:noWrap/>
            <w:vAlign w:val="bottom"/>
            <w:hideMark/>
          </w:tcPr>
          <w:p w14:paraId="1B8B2A03" w14:textId="77777777" w:rsidR="003E245D" w:rsidRPr="003E245D" w:rsidRDefault="003E245D" w:rsidP="003E245D">
            <w:pPr>
              <w:spacing w:after="0" w:line="240" w:lineRule="auto"/>
              <w:jc w:val="left"/>
              <w:rPr>
                <w:rFonts w:eastAsia="Times New Roman" w:cs="Calibri"/>
                <w:b/>
                <w:color w:val="FFFFFF"/>
              </w:rPr>
            </w:pPr>
            <w:r w:rsidRPr="003E245D">
              <w:rPr>
                <w:rFonts w:eastAsia="Times New Roman" w:cs="Calibri"/>
                <w:b/>
                <w:color w:val="FFFFFF"/>
              </w:rPr>
              <w:t>Passeggeri saliti 2018</w:t>
            </w:r>
          </w:p>
        </w:tc>
        <w:tc>
          <w:tcPr>
            <w:tcW w:w="1920" w:type="dxa"/>
            <w:shd w:val="clear" w:color="808080" w:fill="FF0000"/>
            <w:noWrap/>
            <w:vAlign w:val="bottom"/>
            <w:hideMark/>
          </w:tcPr>
          <w:p w14:paraId="44D77FDE" w14:textId="77777777" w:rsidR="003E245D" w:rsidRPr="003E245D" w:rsidRDefault="003E245D" w:rsidP="003E245D">
            <w:pPr>
              <w:spacing w:after="0" w:line="240" w:lineRule="auto"/>
              <w:jc w:val="left"/>
              <w:rPr>
                <w:rFonts w:eastAsia="Times New Roman" w:cs="Calibri"/>
                <w:b/>
                <w:color w:val="FFFFFF"/>
              </w:rPr>
            </w:pPr>
            <w:r w:rsidRPr="003E245D">
              <w:rPr>
                <w:rFonts w:eastAsia="Times New Roman" w:cs="Calibri"/>
                <w:b/>
                <w:color w:val="FFFFFF"/>
              </w:rPr>
              <w:t> </w:t>
            </w:r>
          </w:p>
        </w:tc>
        <w:tc>
          <w:tcPr>
            <w:tcW w:w="1920" w:type="dxa"/>
            <w:shd w:val="clear" w:color="808080" w:fill="FF0000"/>
            <w:noWrap/>
            <w:vAlign w:val="bottom"/>
            <w:hideMark/>
          </w:tcPr>
          <w:p w14:paraId="1A514C21" w14:textId="77777777" w:rsidR="003E245D" w:rsidRPr="003E245D" w:rsidRDefault="003E245D" w:rsidP="003E245D">
            <w:pPr>
              <w:spacing w:after="0" w:line="240" w:lineRule="auto"/>
              <w:jc w:val="left"/>
              <w:rPr>
                <w:rFonts w:eastAsia="Times New Roman" w:cs="Calibri"/>
                <w:b/>
                <w:color w:val="FFFFFF"/>
              </w:rPr>
            </w:pPr>
            <w:r w:rsidRPr="003E245D">
              <w:rPr>
                <w:rFonts w:eastAsia="Times New Roman" w:cs="Calibri"/>
                <w:b/>
                <w:color w:val="FFFFFF"/>
              </w:rPr>
              <w:t> </w:t>
            </w:r>
          </w:p>
        </w:tc>
        <w:tc>
          <w:tcPr>
            <w:tcW w:w="1920" w:type="dxa"/>
            <w:shd w:val="clear" w:color="808080" w:fill="FF0000"/>
            <w:noWrap/>
            <w:vAlign w:val="bottom"/>
            <w:hideMark/>
          </w:tcPr>
          <w:p w14:paraId="3BE257B8" w14:textId="77777777" w:rsidR="003E245D" w:rsidRPr="003E245D" w:rsidRDefault="003E245D" w:rsidP="003E245D">
            <w:pPr>
              <w:spacing w:after="0" w:line="240" w:lineRule="auto"/>
              <w:jc w:val="left"/>
              <w:rPr>
                <w:rFonts w:eastAsia="Times New Roman" w:cs="Calibri"/>
                <w:b/>
                <w:color w:val="FFFFFF"/>
              </w:rPr>
            </w:pPr>
            <w:r w:rsidRPr="003E245D">
              <w:rPr>
                <w:rFonts w:eastAsia="Times New Roman" w:cs="Calibri"/>
                <w:b/>
                <w:color w:val="FFFFFF"/>
              </w:rPr>
              <w:t> </w:t>
            </w:r>
          </w:p>
        </w:tc>
      </w:tr>
      <w:tr w:rsidR="003E245D" w:rsidRPr="003E245D" w14:paraId="70E11509" w14:textId="77777777" w:rsidTr="00131AB1">
        <w:trPr>
          <w:trHeight w:val="300"/>
        </w:trPr>
        <w:tc>
          <w:tcPr>
            <w:tcW w:w="3040" w:type="dxa"/>
            <w:shd w:val="clear" w:color="808080" w:fill="FF7C80"/>
            <w:noWrap/>
            <w:vAlign w:val="bottom"/>
            <w:hideMark/>
          </w:tcPr>
          <w:p w14:paraId="7F48A7D5" w14:textId="3F46EA8F" w:rsidR="003E245D" w:rsidRPr="003E245D" w:rsidRDefault="003E245D" w:rsidP="003E245D">
            <w:pPr>
              <w:spacing w:after="0" w:line="240" w:lineRule="auto"/>
              <w:jc w:val="left"/>
              <w:rPr>
                <w:rFonts w:eastAsia="Times New Roman" w:cs="Calibri"/>
                <w:b/>
                <w:color w:val="000000"/>
              </w:rPr>
            </w:pPr>
          </w:p>
        </w:tc>
        <w:tc>
          <w:tcPr>
            <w:tcW w:w="1920" w:type="dxa"/>
            <w:shd w:val="clear" w:color="808080" w:fill="FF7C80"/>
            <w:noWrap/>
            <w:vAlign w:val="bottom"/>
            <w:hideMark/>
          </w:tcPr>
          <w:p w14:paraId="215B874C" w14:textId="77777777" w:rsidR="003E245D" w:rsidRPr="003E245D" w:rsidRDefault="003E245D" w:rsidP="00131AB1">
            <w:pPr>
              <w:spacing w:after="0" w:line="240" w:lineRule="auto"/>
              <w:jc w:val="center"/>
              <w:rPr>
                <w:rFonts w:eastAsia="Times New Roman" w:cs="Calibri"/>
                <w:b/>
                <w:color w:val="000000"/>
              </w:rPr>
            </w:pPr>
            <w:r w:rsidRPr="003E245D">
              <w:rPr>
                <w:rFonts w:eastAsia="Times New Roman" w:cs="Calibri"/>
                <w:b/>
                <w:color w:val="000000"/>
              </w:rPr>
              <w:t>luglio</w:t>
            </w:r>
          </w:p>
        </w:tc>
        <w:tc>
          <w:tcPr>
            <w:tcW w:w="1920" w:type="dxa"/>
            <w:shd w:val="clear" w:color="808080" w:fill="FF7C80"/>
            <w:noWrap/>
            <w:vAlign w:val="bottom"/>
            <w:hideMark/>
          </w:tcPr>
          <w:p w14:paraId="4F623E42" w14:textId="77777777" w:rsidR="003E245D" w:rsidRPr="003E245D" w:rsidRDefault="003E245D" w:rsidP="00131AB1">
            <w:pPr>
              <w:spacing w:after="0" w:line="240" w:lineRule="auto"/>
              <w:jc w:val="center"/>
              <w:rPr>
                <w:rFonts w:eastAsia="Times New Roman" w:cs="Calibri"/>
                <w:b/>
                <w:color w:val="000000"/>
              </w:rPr>
            </w:pPr>
            <w:r w:rsidRPr="003E245D">
              <w:rPr>
                <w:rFonts w:eastAsia="Times New Roman" w:cs="Calibri"/>
                <w:b/>
                <w:color w:val="000000"/>
              </w:rPr>
              <w:t>novembre</w:t>
            </w:r>
          </w:p>
        </w:tc>
        <w:tc>
          <w:tcPr>
            <w:tcW w:w="1920" w:type="dxa"/>
            <w:shd w:val="clear" w:color="808080" w:fill="FF7C80"/>
            <w:noWrap/>
            <w:vAlign w:val="bottom"/>
            <w:hideMark/>
          </w:tcPr>
          <w:p w14:paraId="06FB470B" w14:textId="77777777" w:rsidR="003E245D" w:rsidRPr="003E245D" w:rsidRDefault="003E245D" w:rsidP="00131AB1">
            <w:pPr>
              <w:spacing w:after="0" w:line="240" w:lineRule="auto"/>
              <w:jc w:val="center"/>
              <w:rPr>
                <w:rFonts w:eastAsia="Times New Roman" w:cs="Calibri"/>
                <w:b/>
                <w:color w:val="000000"/>
              </w:rPr>
            </w:pPr>
            <w:r w:rsidRPr="003E245D">
              <w:rPr>
                <w:rFonts w:eastAsia="Times New Roman" w:cs="Calibri"/>
                <w:b/>
                <w:color w:val="000000"/>
              </w:rPr>
              <w:t>TOTALE ANNO</w:t>
            </w:r>
          </w:p>
        </w:tc>
      </w:tr>
      <w:tr w:rsidR="003E245D" w:rsidRPr="003E245D" w14:paraId="7587BE4B" w14:textId="77777777" w:rsidTr="00131AB1">
        <w:trPr>
          <w:trHeight w:val="300"/>
        </w:trPr>
        <w:tc>
          <w:tcPr>
            <w:tcW w:w="3040" w:type="dxa"/>
            <w:shd w:val="clear" w:color="D9D9D9" w:fill="D9D9D9"/>
            <w:noWrap/>
            <w:vAlign w:val="bottom"/>
            <w:hideMark/>
          </w:tcPr>
          <w:p w14:paraId="05F0E246" w14:textId="77777777" w:rsidR="003E245D" w:rsidRPr="003E245D" w:rsidRDefault="003E245D" w:rsidP="003E245D">
            <w:pPr>
              <w:spacing w:after="0" w:line="240" w:lineRule="auto"/>
              <w:jc w:val="left"/>
              <w:rPr>
                <w:rFonts w:eastAsia="Times New Roman" w:cs="Calibri"/>
                <w:b/>
                <w:color w:val="000000"/>
              </w:rPr>
            </w:pPr>
            <w:r w:rsidRPr="003E245D">
              <w:rPr>
                <w:rFonts w:eastAsia="Times New Roman" w:cs="Calibri"/>
                <w:b/>
                <w:color w:val="000000"/>
              </w:rPr>
              <w:t>Extraurbano</w:t>
            </w:r>
          </w:p>
        </w:tc>
        <w:tc>
          <w:tcPr>
            <w:tcW w:w="1920" w:type="dxa"/>
            <w:shd w:val="clear" w:color="D9D9D9" w:fill="D9D9D9"/>
            <w:noWrap/>
            <w:vAlign w:val="center"/>
            <w:hideMark/>
          </w:tcPr>
          <w:p w14:paraId="05254F68" w14:textId="77777777" w:rsidR="003E245D" w:rsidRPr="003E245D" w:rsidRDefault="003E245D" w:rsidP="003E245D">
            <w:pPr>
              <w:spacing w:after="0" w:line="240" w:lineRule="auto"/>
              <w:jc w:val="right"/>
              <w:rPr>
                <w:rFonts w:eastAsia="Times New Roman" w:cs="Calibri"/>
                <w:b/>
                <w:color w:val="000000"/>
              </w:rPr>
            </w:pPr>
            <w:r w:rsidRPr="003E245D">
              <w:rPr>
                <w:rFonts w:eastAsia="Times New Roman" w:cs="Calibri"/>
                <w:b/>
                <w:color w:val="000000"/>
              </w:rPr>
              <w:t>2.026.070</w:t>
            </w:r>
          </w:p>
        </w:tc>
        <w:tc>
          <w:tcPr>
            <w:tcW w:w="1920" w:type="dxa"/>
            <w:shd w:val="clear" w:color="D9D9D9" w:fill="D9D9D9"/>
            <w:noWrap/>
            <w:vAlign w:val="center"/>
            <w:hideMark/>
          </w:tcPr>
          <w:p w14:paraId="0363F033" w14:textId="77777777" w:rsidR="003E245D" w:rsidRPr="003E245D" w:rsidRDefault="003E245D" w:rsidP="003E245D">
            <w:pPr>
              <w:spacing w:after="0" w:line="240" w:lineRule="auto"/>
              <w:jc w:val="right"/>
              <w:rPr>
                <w:rFonts w:eastAsia="Times New Roman" w:cs="Calibri"/>
                <w:b/>
                <w:color w:val="000000"/>
              </w:rPr>
            </w:pPr>
            <w:r w:rsidRPr="003E245D">
              <w:rPr>
                <w:rFonts w:eastAsia="Times New Roman" w:cs="Calibri"/>
                <w:b/>
                <w:color w:val="000000"/>
              </w:rPr>
              <w:t>13.938.315</w:t>
            </w:r>
          </w:p>
        </w:tc>
        <w:tc>
          <w:tcPr>
            <w:tcW w:w="1920" w:type="dxa"/>
            <w:shd w:val="clear" w:color="D9D9D9" w:fill="D9D9D9"/>
            <w:noWrap/>
            <w:vAlign w:val="center"/>
            <w:hideMark/>
          </w:tcPr>
          <w:p w14:paraId="2C027679" w14:textId="77777777" w:rsidR="003E245D" w:rsidRPr="003E245D" w:rsidRDefault="003E245D" w:rsidP="003E245D">
            <w:pPr>
              <w:spacing w:after="0" w:line="240" w:lineRule="auto"/>
              <w:jc w:val="right"/>
              <w:rPr>
                <w:rFonts w:eastAsia="Times New Roman" w:cs="Calibri"/>
                <w:b/>
                <w:color w:val="000000"/>
              </w:rPr>
            </w:pPr>
            <w:r w:rsidRPr="003E245D">
              <w:rPr>
                <w:rFonts w:eastAsia="Times New Roman" w:cs="Calibri"/>
                <w:b/>
                <w:color w:val="000000"/>
              </w:rPr>
              <w:t>15.964.386</w:t>
            </w:r>
          </w:p>
        </w:tc>
      </w:tr>
      <w:tr w:rsidR="003E245D" w:rsidRPr="003E245D" w14:paraId="6BB3364B" w14:textId="77777777" w:rsidTr="00131AB1">
        <w:trPr>
          <w:trHeight w:val="300"/>
        </w:trPr>
        <w:tc>
          <w:tcPr>
            <w:tcW w:w="3040" w:type="dxa"/>
            <w:noWrap/>
            <w:vAlign w:val="bottom"/>
            <w:hideMark/>
          </w:tcPr>
          <w:p w14:paraId="739C483E" w14:textId="77777777" w:rsidR="003E245D" w:rsidRPr="003E245D" w:rsidRDefault="003E245D" w:rsidP="003E245D">
            <w:pPr>
              <w:spacing w:after="0" w:line="240" w:lineRule="auto"/>
              <w:ind w:firstLineChars="100" w:firstLine="220"/>
              <w:jc w:val="left"/>
              <w:rPr>
                <w:rFonts w:eastAsia="Times New Roman" w:cs="Calibri"/>
                <w:color w:val="000000"/>
              </w:rPr>
            </w:pPr>
            <w:r w:rsidRPr="003E245D">
              <w:rPr>
                <w:rFonts w:eastAsia="Times New Roman" w:cs="Calibri"/>
                <w:color w:val="000000"/>
              </w:rPr>
              <w:t>Extraurbano intero bacino</w:t>
            </w:r>
          </w:p>
        </w:tc>
        <w:tc>
          <w:tcPr>
            <w:tcW w:w="1920" w:type="dxa"/>
            <w:noWrap/>
            <w:vAlign w:val="center"/>
            <w:hideMark/>
          </w:tcPr>
          <w:p w14:paraId="4D8C5C3F" w14:textId="77777777" w:rsidR="003E245D" w:rsidRPr="003E245D" w:rsidRDefault="003E245D" w:rsidP="003E245D">
            <w:pPr>
              <w:spacing w:after="0" w:line="240" w:lineRule="auto"/>
              <w:jc w:val="right"/>
              <w:rPr>
                <w:rFonts w:eastAsia="Times New Roman" w:cs="Calibri"/>
                <w:color w:val="000000"/>
              </w:rPr>
            </w:pPr>
            <w:r w:rsidRPr="003E245D">
              <w:rPr>
                <w:rFonts w:eastAsia="Times New Roman" w:cs="Calibri"/>
                <w:color w:val="000000"/>
              </w:rPr>
              <w:t>2.026.070</w:t>
            </w:r>
          </w:p>
        </w:tc>
        <w:tc>
          <w:tcPr>
            <w:tcW w:w="1920" w:type="dxa"/>
            <w:noWrap/>
            <w:vAlign w:val="center"/>
            <w:hideMark/>
          </w:tcPr>
          <w:p w14:paraId="1CBBC21E" w14:textId="77777777" w:rsidR="003E245D" w:rsidRPr="003E245D" w:rsidRDefault="003E245D" w:rsidP="003E245D">
            <w:pPr>
              <w:spacing w:after="0" w:line="240" w:lineRule="auto"/>
              <w:jc w:val="right"/>
              <w:rPr>
                <w:rFonts w:eastAsia="Times New Roman" w:cs="Calibri"/>
                <w:color w:val="000000"/>
              </w:rPr>
            </w:pPr>
            <w:r w:rsidRPr="003E245D">
              <w:rPr>
                <w:rFonts w:eastAsia="Times New Roman" w:cs="Calibri"/>
                <w:color w:val="000000"/>
              </w:rPr>
              <w:t>13.938.315</w:t>
            </w:r>
          </w:p>
        </w:tc>
        <w:tc>
          <w:tcPr>
            <w:tcW w:w="1920" w:type="dxa"/>
            <w:noWrap/>
            <w:vAlign w:val="center"/>
            <w:hideMark/>
          </w:tcPr>
          <w:p w14:paraId="6A12BB95" w14:textId="77777777" w:rsidR="003E245D" w:rsidRPr="003E245D" w:rsidRDefault="003E245D" w:rsidP="003E245D">
            <w:pPr>
              <w:spacing w:after="0" w:line="240" w:lineRule="auto"/>
              <w:jc w:val="right"/>
              <w:rPr>
                <w:rFonts w:eastAsia="Times New Roman" w:cs="Calibri"/>
                <w:color w:val="000000"/>
              </w:rPr>
            </w:pPr>
            <w:r w:rsidRPr="003E245D">
              <w:rPr>
                <w:rFonts w:eastAsia="Times New Roman" w:cs="Calibri"/>
                <w:color w:val="000000"/>
              </w:rPr>
              <w:t>15.964.386</w:t>
            </w:r>
          </w:p>
        </w:tc>
      </w:tr>
      <w:tr w:rsidR="003E245D" w:rsidRPr="003E245D" w14:paraId="5B083CF9" w14:textId="77777777" w:rsidTr="00131AB1">
        <w:trPr>
          <w:trHeight w:val="300"/>
        </w:trPr>
        <w:tc>
          <w:tcPr>
            <w:tcW w:w="3040" w:type="dxa"/>
            <w:shd w:val="clear" w:color="D9D9D9" w:fill="D9D9D9"/>
            <w:noWrap/>
            <w:vAlign w:val="bottom"/>
            <w:hideMark/>
          </w:tcPr>
          <w:p w14:paraId="5536BC0D" w14:textId="77777777" w:rsidR="003E245D" w:rsidRPr="003E245D" w:rsidRDefault="003E245D" w:rsidP="003E245D">
            <w:pPr>
              <w:spacing w:after="0" w:line="240" w:lineRule="auto"/>
              <w:jc w:val="left"/>
              <w:rPr>
                <w:rFonts w:eastAsia="Times New Roman" w:cs="Calibri"/>
                <w:b/>
                <w:color w:val="000000"/>
              </w:rPr>
            </w:pPr>
            <w:r w:rsidRPr="003E245D">
              <w:rPr>
                <w:rFonts w:eastAsia="Times New Roman" w:cs="Calibri"/>
                <w:b/>
                <w:color w:val="000000"/>
              </w:rPr>
              <w:t>Urbani</w:t>
            </w:r>
          </w:p>
        </w:tc>
        <w:tc>
          <w:tcPr>
            <w:tcW w:w="1920" w:type="dxa"/>
            <w:shd w:val="clear" w:color="D9D9D9" w:fill="D9D9D9"/>
            <w:noWrap/>
            <w:vAlign w:val="center"/>
            <w:hideMark/>
          </w:tcPr>
          <w:p w14:paraId="2FD932A3" w14:textId="77777777" w:rsidR="003E245D" w:rsidRPr="003E245D" w:rsidRDefault="003E245D" w:rsidP="003E245D">
            <w:pPr>
              <w:spacing w:after="0" w:line="240" w:lineRule="auto"/>
              <w:jc w:val="right"/>
              <w:rPr>
                <w:rFonts w:eastAsia="Times New Roman" w:cs="Calibri"/>
                <w:b/>
                <w:color w:val="000000"/>
              </w:rPr>
            </w:pPr>
            <w:r w:rsidRPr="003E245D">
              <w:rPr>
                <w:rFonts w:eastAsia="Times New Roman" w:cs="Calibri"/>
                <w:b/>
                <w:color w:val="000000"/>
              </w:rPr>
              <w:t>368.723</w:t>
            </w:r>
          </w:p>
        </w:tc>
        <w:tc>
          <w:tcPr>
            <w:tcW w:w="1920" w:type="dxa"/>
            <w:shd w:val="clear" w:color="D9D9D9" w:fill="D9D9D9"/>
            <w:noWrap/>
            <w:vAlign w:val="center"/>
            <w:hideMark/>
          </w:tcPr>
          <w:p w14:paraId="3A7870FB" w14:textId="77777777" w:rsidR="003E245D" w:rsidRPr="003E245D" w:rsidRDefault="003E245D" w:rsidP="003E245D">
            <w:pPr>
              <w:spacing w:after="0" w:line="240" w:lineRule="auto"/>
              <w:jc w:val="right"/>
              <w:rPr>
                <w:rFonts w:eastAsia="Times New Roman" w:cs="Calibri"/>
                <w:b/>
                <w:color w:val="000000"/>
              </w:rPr>
            </w:pPr>
            <w:r w:rsidRPr="003E245D">
              <w:rPr>
                <w:rFonts w:eastAsia="Times New Roman" w:cs="Calibri"/>
                <w:b/>
                <w:color w:val="000000"/>
              </w:rPr>
              <w:t>2.019.595</w:t>
            </w:r>
          </w:p>
        </w:tc>
        <w:tc>
          <w:tcPr>
            <w:tcW w:w="1920" w:type="dxa"/>
            <w:shd w:val="clear" w:color="D9D9D9" w:fill="D9D9D9"/>
            <w:noWrap/>
            <w:vAlign w:val="center"/>
            <w:hideMark/>
          </w:tcPr>
          <w:p w14:paraId="399317E3" w14:textId="77777777" w:rsidR="003E245D" w:rsidRPr="003E245D" w:rsidRDefault="003E245D" w:rsidP="003E245D">
            <w:pPr>
              <w:spacing w:after="0" w:line="240" w:lineRule="auto"/>
              <w:jc w:val="right"/>
              <w:rPr>
                <w:rFonts w:eastAsia="Times New Roman" w:cs="Calibri"/>
                <w:b/>
                <w:color w:val="000000"/>
              </w:rPr>
            </w:pPr>
            <w:r w:rsidRPr="003E245D">
              <w:rPr>
                <w:rFonts w:eastAsia="Times New Roman" w:cs="Calibri"/>
                <w:b/>
                <w:color w:val="000000"/>
              </w:rPr>
              <w:t>2.388.318</w:t>
            </w:r>
          </w:p>
        </w:tc>
      </w:tr>
      <w:tr w:rsidR="003E245D" w:rsidRPr="003E245D" w14:paraId="4AA518A1" w14:textId="77777777" w:rsidTr="00131AB1">
        <w:trPr>
          <w:trHeight w:val="300"/>
        </w:trPr>
        <w:tc>
          <w:tcPr>
            <w:tcW w:w="3040" w:type="dxa"/>
            <w:noWrap/>
            <w:vAlign w:val="bottom"/>
            <w:hideMark/>
          </w:tcPr>
          <w:p w14:paraId="661810AB" w14:textId="77777777" w:rsidR="003E245D" w:rsidRPr="003E245D" w:rsidRDefault="003E245D" w:rsidP="003E245D">
            <w:pPr>
              <w:spacing w:after="0" w:line="240" w:lineRule="auto"/>
              <w:ind w:firstLineChars="100" w:firstLine="220"/>
              <w:jc w:val="left"/>
              <w:rPr>
                <w:rFonts w:eastAsia="Times New Roman" w:cs="Calibri"/>
                <w:color w:val="000000"/>
              </w:rPr>
            </w:pPr>
            <w:r w:rsidRPr="003E245D">
              <w:rPr>
                <w:rFonts w:eastAsia="Times New Roman" w:cs="Calibri"/>
                <w:color w:val="000000"/>
              </w:rPr>
              <w:t>U-Carmagnola</w:t>
            </w:r>
          </w:p>
        </w:tc>
        <w:tc>
          <w:tcPr>
            <w:tcW w:w="1920" w:type="dxa"/>
            <w:noWrap/>
            <w:vAlign w:val="center"/>
            <w:hideMark/>
          </w:tcPr>
          <w:p w14:paraId="444465C2" w14:textId="77777777" w:rsidR="003E245D" w:rsidRPr="003E245D" w:rsidRDefault="003E245D" w:rsidP="003E245D">
            <w:pPr>
              <w:spacing w:after="0" w:line="240" w:lineRule="auto"/>
              <w:jc w:val="right"/>
              <w:rPr>
                <w:rFonts w:eastAsia="Times New Roman" w:cs="Calibri"/>
                <w:color w:val="000000"/>
              </w:rPr>
            </w:pPr>
            <w:r w:rsidRPr="003E245D">
              <w:rPr>
                <w:rFonts w:eastAsia="Times New Roman" w:cs="Calibri"/>
                <w:color w:val="000000"/>
              </w:rPr>
              <w:t>32.910</w:t>
            </w:r>
          </w:p>
        </w:tc>
        <w:tc>
          <w:tcPr>
            <w:tcW w:w="1920" w:type="dxa"/>
            <w:noWrap/>
            <w:vAlign w:val="center"/>
            <w:hideMark/>
          </w:tcPr>
          <w:p w14:paraId="0F00A410" w14:textId="77777777" w:rsidR="003E245D" w:rsidRPr="003E245D" w:rsidRDefault="003E245D" w:rsidP="003E245D">
            <w:pPr>
              <w:spacing w:after="0" w:line="240" w:lineRule="auto"/>
              <w:jc w:val="right"/>
              <w:rPr>
                <w:rFonts w:eastAsia="Times New Roman" w:cs="Calibri"/>
                <w:color w:val="000000"/>
              </w:rPr>
            </w:pPr>
            <w:r w:rsidRPr="003E245D">
              <w:rPr>
                <w:rFonts w:eastAsia="Times New Roman" w:cs="Calibri"/>
                <w:color w:val="000000"/>
              </w:rPr>
              <w:t>315.309</w:t>
            </w:r>
          </w:p>
        </w:tc>
        <w:tc>
          <w:tcPr>
            <w:tcW w:w="1920" w:type="dxa"/>
            <w:noWrap/>
            <w:vAlign w:val="center"/>
            <w:hideMark/>
          </w:tcPr>
          <w:p w14:paraId="26A2B276" w14:textId="77777777" w:rsidR="003E245D" w:rsidRPr="003E245D" w:rsidRDefault="003E245D" w:rsidP="003E245D">
            <w:pPr>
              <w:spacing w:after="0" w:line="240" w:lineRule="auto"/>
              <w:jc w:val="right"/>
              <w:rPr>
                <w:rFonts w:eastAsia="Times New Roman" w:cs="Calibri"/>
                <w:color w:val="000000"/>
              </w:rPr>
            </w:pPr>
            <w:r w:rsidRPr="003E245D">
              <w:rPr>
                <w:rFonts w:eastAsia="Times New Roman" w:cs="Calibri"/>
                <w:color w:val="000000"/>
              </w:rPr>
              <w:t>348.218</w:t>
            </w:r>
          </w:p>
        </w:tc>
      </w:tr>
      <w:tr w:rsidR="003E245D" w:rsidRPr="003E245D" w14:paraId="4A8BDF21" w14:textId="77777777" w:rsidTr="00131AB1">
        <w:trPr>
          <w:trHeight w:val="300"/>
        </w:trPr>
        <w:tc>
          <w:tcPr>
            <w:tcW w:w="3040" w:type="dxa"/>
            <w:noWrap/>
            <w:vAlign w:val="bottom"/>
            <w:hideMark/>
          </w:tcPr>
          <w:p w14:paraId="3AAEC86F" w14:textId="77777777" w:rsidR="003E245D" w:rsidRPr="003E245D" w:rsidRDefault="003E245D" w:rsidP="003E245D">
            <w:pPr>
              <w:spacing w:after="0" w:line="240" w:lineRule="auto"/>
              <w:ind w:firstLineChars="100" w:firstLine="220"/>
              <w:jc w:val="left"/>
              <w:rPr>
                <w:rFonts w:eastAsia="Times New Roman" w:cs="Calibri"/>
                <w:color w:val="000000"/>
              </w:rPr>
            </w:pPr>
            <w:r w:rsidRPr="003E245D">
              <w:rPr>
                <w:rFonts w:eastAsia="Times New Roman" w:cs="Calibri"/>
                <w:color w:val="000000"/>
              </w:rPr>
              <w:t>U-Ivrea</w:t>
            </w:r>
          </w:p>
        </w:tc>
        <w:tc>
          <w:tcPr>
            <w:tcW w:w="1920" w:type="dxa"/>
            <w:noWrap/>
            <w:vAlign w:val="center"/>
            <w:hideMark/>
          </w:tcPr>
          <w:p w14:paraId="5E4C0C09" w14:textId="77777777" w:rsidR="003E245D" w:rsidRPr="003E245D" w:rsidRDefault="003E245D" w:rsidP="003E245D">
            <w:pPr>
              <w:spacing w:after="0" w:line="240" w:lineRule="auto"/>
              <w:jc w:val="right"/>
              <w:rPr>
                <w:rFonts w:eastAsia="Times New Roman" w:cs="Calibri"/>
                <w:color w:val="000000"/>
              </w:rPr>
            </w:pPr>
            <w:r w:rsidRPr="003E245D">
              <w:rPr>
                <w:rFonts w:eastAsia="Times New Roman" w:cs="Calibri"/>
                <w:color w:val="000000"/>
              </w:rPr>
              <w:t>247.093</w:t>
            </w:r>
          </w:p>
        </w:tc>
        <w:tc>
          <w:tcPr>
            <w:tcW w:w="1920" w:type="dxa"/>
            <w:noWrap/>
            <w:vAlign w:val="center"/>
            <w:hideMark/>
          </w:tcPr>
          <w:p w14:paraId="26769A93" w14:textId="77777777" w:rsidR="003E245D" w:rsidRPr="003E245D" w:rsidRDefault="003E245D" w:rsidP="003E245D">
            <w:pPr>
              <w:spacing w:after="0" w:line="240" w:lineRule="auto"/>
              <w:jc w:val="right"/>
              <w:rPr>
                <w:rFonts w:eastAsia="Times New Roman" w:cs="Calibri"/>
                <w:color w:val="000000"/>
              </w:rPr>
            </w:pPr>
            <w:r w:rsidRPr="003E245D">
              <w:rPr>
                <w:rFonts w:eastAsia="Times New Roman" w:cs="Calibri"/>
                <w:color w:val="000000"/>
              </w:rPr>
              <w:t>1.414.960</w:t>
            </w:r>
          </w:p>
        </w:tc>
        <w:tc>
          <w:tcPr>
            <w:tcW w:w="1920" w:type="dxa"/>
            <w:noWrap/>
            <w:vAlign w:val="center"/>
            <w:hideMark/>
          </w:tcPr>
          <w:p w14:paraId="2F14C30F" w14:textId="77777777" w:rsidR="003E245D" w:rsidRPr="003E245D" w:rsidRDefault="003E245D" w:rsidP="003E245D">
            <w:pPr>
              <w:spacing w:after="0" w:line="240" w:lineRule="auto"/>
              <w:jc w:val="right"/>
              <w:rPr>
                <w:rFonts w:eastAsia="Times New Roman" w:cs="Calibri"/>
                <w:color w:val="000000"/>
              </w:rPr>
            </w:pPr>
            <w:r w:rsidRPr="003E245D">
              <w:rPr>
                <w:rFonts w:eastAsia="Times New Roman" w:cs="Calibri"/>
                <w:color w:val="000000"/>
              </w:rPr>
              <w:t>1.662.053</w:t>
            </w:r>
          </w:p>
        </w:tc>
      </w:tr>
      <w:tr w:rsidR="003E245D" w:rsidRPr="003E245D" w14:paraId="7E31E7EF" w14:textId="77777777" w:rsidTr="00131AB1">
        <w:trPr>
          <w:trHeight w:val="300"/>
        </w:trPr>
        <w:tc>
          <w:tcPr>
            <w:tcW w:w="3040" w:type="dxa"/>
            <w:noWrap/>
            <w:vAlign w:val="bottom"/>
            <w:hideMark/>
          </w:tcPr>
          <w:p w14:paraId="72FBD62B" w14:textId="77777777" w:rsidR="003E245D" w:rsidRPr="003E245D" w:rsidRDefault="003E245D" w:rsidP="003E245D">
            <w:pPr>
              <w:spacing w:after="0" w:line="240" w:lineRule="auto"/>
              <w:ind w:firstLineChars="100" w:firstLine="220"/>
              <w:jc w:val="left"/>
              <w:rPr>
                <w:rFonts w:eastAsia="Times New Roman" w:cs="Calibri"/>
                <w:color w:val="000000"/>
              </w:rPr>
            </w:pPr>
            <w:r w:rsidRPr="003E245D">
              <w:rPr>
                <w:rFonts w:eastAsia="Times New Roman" w:cs="Calibri"/>
                <w:color w:val="000000"/>
              </w:rPr>
              <w:t>U-Pinerolo</w:t>
            </w:r>
          </w:p>
        </w:tc>
        <w:tc>
          <w:tcPr>
            <w:tcW w:w="1920" w:type="dxa"/>
            <w:noWrap/>
            <w:vAlign w:val="center"/>
            <w:hideMark/>
          </w:tcPr>
          <w:p w14:paraId="42542004" w14:textId="77777777" w:rsidR="003E245D" w:rsidRPr="003E245D" w:rsidRDefault="003E245D" w:rsidP="003E245D">
            <w:pPr>
              <w:spacing w:after="0" w:line="240" w:lineRule="auto"/>
              <w:jc w:val="right"/>
              <w:rPr>
                <w:rFonts w:eastAsia="Times New Roman" w:cs="Calibri"/>
                <w:color w:val="000000"/>
              </w:rPr>
            </w:pPr>
            <w:r w:rsidRPr="003E245D">
              <w:rPr>
                <w:rFonts w:eastAsia="Times New Roman" w:cs="Calibri"/>
                <w:color w:val="000000"/>
              </w:rPr>
              <w:t>88.720</w:t>
            </w:r>
          </w:p>
        </w:tc>
        <w:tc>
          <w:tcPr>
            <w:tcW w:w="1920" w:type="dxa"/>
            <w:noWrap/>
            <w:vAlign w:val="center"/>
            <w:hideMark/>
          </w:tcPr>
          <w:p w14:paraId="305CFE9D" w14:textId="77777777" w:rsidR="003E245D" w:rsidRPr="003E245D" w:rsidRDefault="003E245D" w:rsidP="003E245D">
            <w:pPr>
              <w:spacing w:after="0" w:line="240" w:lineRule="auto"/>
              <w:jc w:val="right"/>
              <w:rPr>
                <w:rFonts w:eastAsia="Times New Roman" w:cs="Calibri"/>
                <w:color w:val="000000"/>
              </w:rPr>
            </w:pPr>
            <w:r w:rsidRPr="003E245D">
              <w:rPr>
                <w:rFonts w:eastAsia="Times New Roman" w:cs="Calibri"/>
                <w:color w:val="000000"/>
              </w:rPr>
              <w:t>289.327</w:t>
            </w:r>
          </w:p>
        </w:tc>
        <w:tc>
          <w:tcPr>
            <w:tcW w:w="1920" w:type="dxa"/>
            <w:noWrap/>
            <w:vAlign w:val="center"/>
            <w:hideMark/>
          </w:tcPr>
          <w:p w14:paraId="7AA0999C" w14:textId="77777777" w:rsidR="003E245D" w:rsidRPr="003E245D" w:rsidRDefault="003E245D" w:rsidP="003E245D">
            <w:pPr>
              <w:spacing w:after="0" w:line="240" w:lineRule="auto"/>
              <w:jc w:val="right"/>
              <w:rPr>
                <w:rFonts w:eastAsia="Times New Roman" w:cs="Calibri"/>
                <w:color w:val="000000"/>
              </w:rPr>
            </w:pPr>
            <w:r w:rsidRPr="003E245D">
              <w:rPr>
                <w:rFonts w:eastAsia="Times New Roman" w:cs="Calibri"/>
                <w:color w:val="000000"/>
              </w:rPr>
              <w:t>378.047</w:t>
            </w:r>
          </w:p>
        </w:tc>
      </w:tr>
      <w:tr w:rsidR="003E245D" w:rsidRPr="003E245D" w14:paraId="500DABD9" w14:textId="77777777" w:rsidTr="00131AB1">
        <w:trPr>
          <w:trHeight w:val="315"/>
        </w:trPr>
        <w:tc>
          <w:tcPr>
            <w:tcW w:w="3040" w:type="dxa"/>
            <w:noWrap/>
            <w:vAlign w:val="bottom"/>
            <w:hideMark/>
          </w:tcPr>
          <w:p w14:paraId="5B9BBC2D" w14:textId="77777777" w:rsidR="003E245D" w:rsidRPr="003E245D" w:rsidRDefault="003E245D" w:rsidP="003E245D">
            <w:pPr>
              <w:spacing w:after="0" w:line="240" w:lineRule="auto"/>
              <w:jc w:val="left"/>
              <w:rPr>
                <w:rFonts w:eastAsia="Times New Roman" w:cs="Calibri"/>
                <w:b/>
                <w:color w:val="000000"/>
              </w:rPr>
            </w:pPr>
            <w:r w:rsidRPr="003E245D">
              <w:rPr>
                <w:rFonts w:eastAsia="Times New Roman" w:cs="Calibri"/>
                <w:b/>
                <w:color w:val="000000"/>
              </w:rPr>
              <w:t>Totale complessivo</w:t>
            </w:r>
          </w:p>
        </w:tc>
        <w:tc>
          <w:tcPr>
            <w:tcW w:w="1920" w:type="dxa"/>
            <w:noWrap/>
            <w:vAlign w:val="center"/>
            <w:hideMark/>
          </w:tcPr>
          <w:p w14:paraId="008EEA09" w14:textId="77777777" w:rsidR="003E245D" w:rsidRPr="003E245D" w:rsidRDefault="003E245D" w:rsidP="003E245D">
            <w:pPr>
              <w:spacing w:after="0" w:line="240" w:lineRule="auto"/>
              <w:jc w:val="right"/>
              <w:rPr>
                <w:rFonts w:eastAsia="Times New Roman" w:cs="Calibri"/>
                <w:b/>
                <w:color w:val="000000"/>
              </w:rPr>
            </w:pPr>
            <w:r w:rsidRPr="003E245D">
              <w:rPr>
                <w:rFonts w:eastAsia="Times New Roman" w:cs="Calibri"/>
                <w:b/>
                <w:color w:val="000000"/>
              </w:rPr>
              <w:t>2.394.793</w:t>
            </w:r>
          </w:p>
        </w:tc>
        <w:tc>
          <w:tcPr>
            <w:tcW w:w="1920" w:type="dxa"/>
            <w:noWrap/>
            <w:vAlign w:val="center"/>
            <w:hideMark/>
          </w:tcPr>
          <w:p w14:paraId="05B50D07" w14:textId="77777777" w:rsidR="003E245D" w:rsidRPr="003E245D" w:rsidRDefault="003E245D" w:rsidP="003E245D">
            <w:pPr>
              <w:spacing w:after="0" w:line="240" w:lineRule="auto"/>
              <w:jc w:val="right"/>
              <w:rPr>
                <w:rFonts w:eastAsia="Times New Roman" w:cs="Calibri"/>
                <w:b/>
                <w:color w:val="000000"/>
              </w:rPr>
            </w:pPr>
            <w:r w:rsidRPr="003E245D">
              <w:rPr>
                <w:rFonts w:eastAsia="Times New Roman" w:cs="Calibri"/>
                <w:b/>
                <w:color w:val="000000"/>
              </w:rPr>
              <w:t>15.957.910</w:t>
            </w:r>
          </w:p>
        </w:tc>
        <w:tc>
          <w:tcPr>
            <w:tcW w:w="1920" w:type="dxa"/>
            <w:noWrap/>
            <w:vAlign w:val="center"/>
            <w:hideMark/>
          </w:tcPr>
          <w:p w14:paraId="0DC16A0A" w14:textId="77777777" w:rsidR="003E245D" w:rsidRPr="003E245D" w:rsidRDefault="003E245D" w:rsidP="003E245D">
            <w:pPr>
              <w:spacing w:after="0" w:line="240" w:lineRule="auto"/>
              <w:jc w:val="right"/>
              <w:rPr>
                <w:rFonts w:eastAsia="Times New Roman" w:cs="Calibri"/>
                <w:b/>
                <w:color w:val="000000"/>
              </w:rPr>
            </w:pPr>
            <w:r w:rsidRPr="003E245D">
              <w:rPr>
                <w:rFonts w:eastAsia="Times New Roman" w:cs="Calibri"/>
                <w:b/>
                <w:color w:val="000000"/>
              </w:rPr>
              <w:t>18.352.703</w:t>
            </w:r>
          </w:p>
        </w:tc>
      </w:tr>
      <w:tr w:rsidR="003E245D" w:rsidRPr="003E245D" w14:paraId="4F76A663" w14:textId="77777777" w:rsidTr="00131AB1">
        <w:trPr>
          <w:trHeight w:val="315"/>
        </w:trPr>
        <w:tc>
          <w:tcPr>
            <w:tcW w:w="3040" w:type="dxa"/>
            <w:noWrap/>
            <w:vAlign w:val="bottom"/>
            <w:hideMark/>
          </w:tcPr>
          <w:p w14:paraId="378696D4" w14:textId="77777777" w:rsidR="003E245D" w:rsidRPr="003E245D" w:rsidRDefault="003E245D" w:rsidP="003E245D">
            <w:pPr>
              <w:spacing w:after="0" w:line="240" w:lineRule="auto"/>
              <w:jc w:val="left"/>
              <w:rPr>
                <w:rFonts w:eastAsia="Times New Roman" w:cs="Calibri"/>
                <w:b/>
                <w:color w:val="000000"/>
              </w:rPr>
            </w:pPr>
          </w:p>
        </w:tc>
        <w:tc>
          <w:tcPr>
            <w:tcW w:w="1920" w:type="dxa"/>
            <w:noWrap/>
            <w:vAlign w:val="bottom"/>
            <w:hideMark/>
          </w:tcPr>
          <w:p w14:paraId="41551DC1" w14:textId="77777777" w:rsidR="003E245D" w:rsidRPr="003E245D" w:rsidRDefault="003E245D" w:rsidP="003E245D">
            <w:pPr>
              <w:spacing w:after="0" w:line="240" w:lineRule="auto"/>
              <w:jc w:val="left"/>
              <w:rPr>
                <w:rFonts w:ascii="Times New Roman" w:eastAsia="Times New Roman" w:hAnsi="Times New Roman" w:cs="Times New Roman"/>
                <w:sz w:val="20"/>
                <w:szCs w:val="20"/>
              </w:rPr>
            </w:pPr>
          </w:p>
        </w:tc>
        <w:tc>
          <w:tcPr>
            <w:tcW w:w="1920" w:type="dxa"/>
            <w:noWrap/>
            <w:vAlign w:val="bottom"/>
            <w:hideMark/>
          </w:tcPr>
          <w:p w14:paraId="79634DAD" w14:textId="77777777" w:rsidR="003E245D" w:rsidRPr="003E245D" w:rsidRDefault="003E245D" w:rsidP="003E245D">
            <w:pPr>
              <w:spacing w:after="0" w:line="240" w:lineRule="auto"/>
              <w:jc w:val="left"/>
              <w:rPr>
                <w:rFonts w:ascii="Times New Roman" w:eastAsia="Times New Roman" w:hAnsi="Times New Roman" w:cs="Times New Roman"/>
                <w:sz w:val="20"/>
                <w:szCs w:val="20"/>
              </w:rPr>
            </w:pPr>
          </w:p>
        </w:tc>
        <w:tc>
          <w:tcPr>
            <w:tcW w:w="1920" w:type="dxa"/>
            <w:noWrap/>
            <w:vAlign w:val="bottom"/>
            <w:hideMark/>
          </w:tcPr>
          <w:p w14:paraId="71A7DA82" w14:textId="77777777" w:rsidR="003E245D" w:rsidRPr="003E245D" w:rsidRDefault="003E245D" w:rsidP="003E245D">
            <w:pPr>
              <w:spacing w:after="0" w:line="240" w:lineRule="auto"/>
              <w:jc w:val="left"/>
              <w:rPr>
                <w:rFonts w:ascii="Times New Roman" w:eastAsia="Times New Roman" w:hAnsi="Times New Roman" w:cs="Times New Roman"/>
                <w:sz w:val="20"/>
                <w:szCs w:val="20"/>
              </w:rPr>
            </w:pPr>
          </w:p>
        </w:tc>
      </w:tr>
      <w:tr w:rsidR="003E245D" w:rsidRPr="003E245D" w14:paraId="556F9227" w14:textId="77777777" w:rsidTr="00131AB1">
        <w:trPr>
          <w:trHeight w:val="300"/>
        </w:trPr>
        <w:tc>
          <w:tcPr>
            <w:tcW w:w="3040" w:type="dxa"/>
            <w:shd w:val="clear" w:color="808080" w:fill="FF0000"/>
            <w:noWrap/>
            <w:vAlign w:val="bottom"/>
            <w:hideMark/>
          </w:tcPr>
          <w:p w14:paraId="15D9F2DE" w14:textId="77777777" w:rsidR="003E245D" w:rsidRPr="003E245D" w:rsidRDefault="003E245D" w:rsidP="003E245D">
            <w:pPr>
              <w:spacing w:after="0" w:line="240" w:lineRule="auto"/>
              <w:jc w:val="left"/>
              <w:rPr>
                <w:rFonts w:eastAsia="Times New Roman" w:cs="Calibri"/>
                <w:b/>
                <w:color w:val="FFFFFF"/>
              </w:rPr>
            </w:pPr>
            <w:r w:rsidRPr="003E245D">
              <w:rPr>
                <w:rFonts w:eastAsia="Times New Roman" w:cs="Calibri"/>
                <w:b/>
                <w:color w:val="FFFFFF"/>
              </w:rPr>
              <w:t>Passeggeri saliti 2019</w:t>
            </w:r>
          </w:p>
        </w:tc>
        <w:tc>
          <w:tcPr>
            <w:tcW w:w="1920" w:type="dxa"/>
            <w:shd w:val="clear" w:color="808080" w:fill="FF0000"/>
            <w:noWrap/>
            <w:vAlign w:val="bottom"/>
            <w:hideMark/>
          </w:tcPr>
          <w:p w14:paraId="6546EC63" w14:textId="77777777" w:rsidR="003E245D" w:rsidRPr="003E245D" w:rsidRDefault="003E245D" w:rsidP="003E245D">
            <w:pPr>
              <w:spacing w:after="0" w:line="240" w:lineRule="auto"/>
              <w:jc w:val="left"/>
              <w:rPr>
                <w:rFonts w:eastAsia="Times New Roman" w:cs="Calibri"/>
                <w:b/>
                <w:color w:val="FFFFFF"/>
              </w:rPr>
            </w:pPr>
            <w:r w:rsidRPr="003E245D">
              <w:rPr>
                <w:rFonts w:eastAsia="Times New Roman" w:cs="Calibri"/>
                <w:b/>
                <w:color w:val="FFFFFF"/>
              </w:rPr>
              <w:t> </w:t>
            </w:r>
          </w:p>
        </w:tc>
        <w:tc>
          <w:tcPr>
            <w:tcW w:w="1920" w:type="dxa"/>
            <w:shd w:val="clear" w:color="808080" w:fill="FF0000"/>
            <w:noWrap/>
            <w:vAlign w:val="bottom"/>
            <w:hideMark/>
          </w:tcPr>
          <w:p w14:paraId="6CE78594" w14:textId="77777777" w:rsidR="003E245D" w:rsidRPr="003E245D" w:rsidRDefault="003E245D" w:rsidP="003E245D">
            <w:pPr>
              <w:spacing w:after="0" w:line="240" w:lineRule="auto"/>
              <w:jc w:val="left"/>
              <w:rPr>
                <w:rFonts w:eastAsia="Times New Roman" w:cs="Calibri"/>
                <w:b/>
                <w:color w:val="FFFFFF"/>
              </w:rPr>
            </w:pPr>
            <w:r w:rsidRPr="003E245D">
              <w:rPr>
                <w:rFonts w:eastAsia="Times New Roman" w:cs="Calibri"/>
                <w:b/>
                <w:color w:val="FFFFFF"/>
              </w:rPr>
              <w:t> </w:t>
            </w:r>
          </w:p>
        </w:tc>
        <w:tc>
          <w:tcPr>
            <w:tcW w:w="1920" w:type="dxa"/>
            <w:shd w:val="clear" w:color="808080" w:fill="FF0000"/>
            <w:noWrap/>
            <w:vAlign w:val="bottom"/>
            <w:hideMark/>
          </w:tcPr>
          <w:p w14:paraId="08FC6306" w14:textId="77777777" w:rsidR="003E245D" w:rsidRPr="003E245D" w:rsidRDefault="003E245D" w:rsidP="003E245D">
            <w:pPr>
              <w:spacing w:after="0" w:line="240" w:lineRule="auto"/>
              <w:jc w:val="left"/>
              <w:rPr>
                <w:rFonts w:eastAsia="Times New Roman" w:cs="Calibri"/>
                <w:b/>
                <w:color w:val="FFFFFF"/>
              </w:rPr>
            </w:pPr>
            <w:r w:rsidRPr="003E245D">
              <w:rPr>
                <w:rFonts w:eastAsia="Times New Roman" w:cs="Calibri"/>
                <w:b/>
                <w:color w:val="FFFFFF"/>
              </w:rPr>
              <w:t> </w:t>
            </w:r>
          </w:p>
        </w:tc>
      </w:tr>
      <w:tr w:rsidR="003E245D" w:rsidRPr="003E245D" w14:paraId="060D7AAB" w14:textId="77777777" w:rsidTr="00131AB1">
        <w:trPr>
          <w:trHeight w:val="300"/>
        </w:trPr>
        <w:tc>
          <w:tcPr>
            <w:tcW w:w="3040" w:type="dxa"/>
            <w:shd w:val="clear" w:color="808080" w:fill="FF7C80"/>
            <w:noWrap/>
            <w:vAlign w:val="bottom"/>
            <w:hideMark/>
          </w:tcPr>
          <w:p w14:paraId="3446CC1E" w14:textId="33EA518A" w:rsidR="003E245D" w:rsidRPr="003E245D" w:rsidRDefault="003E245D" w:rsidP="003E245D">
            <w:pPr>
              <w:spacing w:after="0" w:line="240" w:lineRule="auto"/>
              <w:jc w:val="left"/>
              <w:rPr>
                <w:rFonts w:eastAsia="Times New Roman" w:cs="Calibri"/>
                <w:b/>
                <w:color w:val="000000"/>
              </w:rPr>
            </w:pPr>
          </w:p>
        </w:tc>
        <w:tc>
          <w:tcPr>
            <w:tcW w:w="1920" w:type="dxa"/>
            <w:shd w:val="clear" w:color="808080" w:fill="FF7C80"/>
            <w:noWrap/>
            <w:vAlign w:val="bottom"/>
            <w:hideMark/>
          </w:tcPr>
          <w:p w14:paraId="1B116E99" w14:textId="77777777" w:rsidR="003E245D" w:rsidRPr="003E245D" w:rsidRDefault="003E245D" w:rsidP="00131AB1">
            <w:pPr>
              <w:spacing w:after="0" w:line="240" w:lineRule="auto"/>
              <w:jc w:val="center"/>
              <w:rPr>
                <w:rFonts w:eastAsia="Times New Roman" w:cs="Calibri"/>
                <w:b/>
                <w:color w:val="000000"/>
              </w:rPr>
            </w:pPr>
            <w:r w:rsidRPr="003E245D">
              <w:rPr>
                <w:rFonts w:eastAsia="Times New Roman" w:cs="Calibri"/>
                <w:b/>
                <w:color w:val="000000"/>
              </w:rPr>
              <w:t>luglio</w:t>
            </w:r>
          </w:p>
        </w:tc>
        <w:tc>
          <w:tcPr>
            <w:tcW w:w="1920" w:type="dxa"/>
            <w:shd w:val="clear" w:color="808080" w:fill="FF7C80"/>
            <w:noWrap/>
            <w:vAlign w:val="bottom"/>
            <w:hideMark/>
          </w:tcPr>
          <w:p w14:paraId="06CC92F1" w14:textId="77777777" w:rsidR="003E245D" w:rsidRPr="003E245D" w:rsidRDefault="003E245D" w:rsidP="00131AB1">
            <w:pPr>
              <w:spacing w:after="0" w:line="240" w:lineRule="auto"/>
              <w:jc w:val="center"/>
              <w:rPr>
                <w:rFonts w:eastAsia="Times New Roman" w:cs="Calibri"/>
                <w:b/>
                <w:color w:val="000000"/>
              </w:rPr>
            </w:pPr>
            <w:r w:rsidRPr="003E245D">
              <w:rPr>
                <w:rFonts w:eastAsia="Times New Roman" w:cs="Calibri"/>
                <w:b/>
                <w:color w:val="000000"/>
              </w:rPr>
              <w:t>novembre</w:t>
            </w:r>
          </w:p>
        </w:tc>
        <w:tc>
          <w:tcPr>
            <w:tcW w:w="1920" w:type="dxa"/>
            <w:shd w:val="clear" w:color="808080" w:fill="FF7C80"/>
            <w:noWrap/>
            <w:vAlign w:val="bottom"/>
            <w:hideMark/>
          </w:tcPr>
          <w:p w14:paraId="712DD33B" w14:textId="77777777" w:rsidR="003E245D" w:rsidRPr="003E245D" w:rsidRDefault="003E245D" w:rsidP="00131AB1">
            <w:pPr>
              <w:spacing w:after="0" w:line="240" w:lineRule="auto"/>
              <w:jc w:val="center"/>
              <w:rPr>
                <w:rFonts w:eastAsia="Times New Roman" w:cs="Calibri"/>
                <w:b/>
                <w:color w:val="000000"/>
              </w:rPr>
            </w:pPr>
            <w:r w:rsidRPr="003E245D">
              <w:rPr>
                <w:rFonts w:eastAsia="Times New Roman" w:cs="Calibri"/>
                <w:b/>
                <w:color w:val="000000"/>
              </w:rPr>
              <w:t>TOTALE ANNO</w:t>
            </w:r>
          </w:p>
        </w:tc>
      </w:tr>
      <w:tr w:rsidR="003E245D" w:rsidRPr="003E245D" w14:paraId="66B9BA9A" w14:textId="77777777" w:rsidTr="00131AB1">
        <w:trPr>
          <w:trHeight w:val="300"/>
        </w:trPr>
        <w:tc>
          <w:tcPr>
            <w:tcW w:w="3040" w:type="dxa"/>
            <w:shd w:val="clear" w:color="D9D9D9" w:fill="D9D9D9"/>
            <w:noWrap/>
            <w:vAlign w:val="bottom"/>
            <w:hideMark/>
          </w:tcPr>
          <w:p w14:paraId="4E27ABE4" w14:textId="77777777" w:rsidR="003E245D" w:rsidRPr="003E245D" w:rsidRDefault="003E245D" w:rsidP="003E245D">
            <w:pPr>
              <w:spacing w:after="0" w:line="240" w:lineRule="auto"/>
              <w:jc w:val="left"/>
              <w:rPr>
                <w:rFonts w:eastAsia="Times New Roman" w:cs="Calibri"/>
                <w:b/>
                <w:color w:val="000000"/>
              </w:rPr>
            </w:pPr>
            <w:r w:rsidRPr="003E245D">
              <w:rPr>
                <w:rFonts w:eastAsia="Times New Roman" w:cs="Calibri"/>
                <w:b/>
                <w:color w:val="000000"/>
              </w:rPr>
              <w:t>Extraurbano</w:t>
            </w:r>
          </w:p>
        </w:tc>
        <w:tc>
          <w:tcPr>
            <w:tcW w:w="1920" w:type="dxa"/>
            <w:shd w:val="clear" w:color="D9D9D9" w:fill="D9D9D9"/>
            <w:noWrap/>
            <w:vAlign w:val="center"/>
            <w:hideMark/>
          </w:tcPr>
          <w:p w14:paraId="62FA2564" w14:textId="77777777" w:rsidR="003E245D" w:rsidRPr="003E245D" w:rsidRDefault="003E245D" w:rsidP="003E245D">
            <w:pPr>
              <w:spacing w:after="0" w:line="240" w:lineRule="auto"/>
              <w:jc w:val="right"/>
              <w:rPr>
                <w:rFonts w:eastAsia="Times New Roman" w:cs="Calibri"/>
                <w:b/>
                <w:color w:val="000000"/>
              </w:rPr>
            </w:pPr>
            <w:r w:rsidRPr="003E245D">
              <w:rPr>
                <w:rFonts w:eastAsia="Times New Roman" w:cs="Calibri"/>
                <w:b/>
                <w:color w:val="000000"/>
              </w:rPr>
              <w:t xml:space="preserve"> 2.057.862</w:t>
            </w:r>
          </w:p>
        </w:tc>
        <w:tc>
          <w:tcPr>
            <w:tcW w:w="1920" w:type="dxa"/>
            <w:shd w:val="clear" w:color="D9D9D9" w:fill="D9D9D9"/>
            <w:noWrap/>
            <w:vAlign w:val="center"/>
            <w:hideMark/>
          </w:tcPr>
          <w:p w14:paraId="317945D2" w14:textId="77777777" w:rsidR="003E245D" w:rsidRPr="003E245D" w:rsidRDefault="003E245D" w:rsidP="003E245D">
            <w:pPr>
              <w:spacing w:after="0" w:line="240" w:lineRule="auto"/>
              <w:jc w:val="right"/>
              <w:rPr>
                <w:rFonts w:eastAsia="Times New Roman" w:cs="Calibri"/>
                <w:b/>
                <w:color w:val="000000"/>
              </w:rPr>
            </w:pPr>
            <w:r w:rsidRPr="003E245D">
              <w:rPr>
                <w:rFonts w:eastAsia="Times New Roman" w:cs="Calibri"/>
                <w:b/>
                <w:color w:val="000000"/>
              </w:rPr>
              <w:t xml:space="preserve"> 13.855.550</w:t>
            </w:r>
          </w:p>
        </w:tc>
        <w:tc>
          <w:tcPr>
            <w:tcW w:w="1920" w:type="dxa"/>
            <w:shd w:val="clear" w:color="D9D9D9" w:fill="D9D9D9"/>
            <w:noWrap/>
            <w:vAlign w:val="center"/>
            <w:hideMark/>
          </w:tcPr>
          <w:p w14:paraId="147850A0" w14:textId="77777777" w:rsidR="003E245D" w:rsidRPr="003E245D" w:rsidRDefault="003E245D" w:rsidP="003E245D">
            <w:pPr>
              <w:spacing w:after="0" w:line="240" w:lineRule="auto"/>
              <w:jc w:val="right"/>
              <w:rPr>
                <w:rFonts w:eastAsia="Times New Roman" w:cs="Calibri"/>
                <w:b/>
                <w:color w:val="000000"/>
              </w:rPr>
            </w:pPr>
            <w:r w:rsidRPr="003E245D">
              <w:rPr>
                <w:rFonts w:eastAsia="Times New Roman" w:cs="Calibri"/>
                <w:b/>
                <w:color w:val="000000"/>
              </w:rPr>
              <w:t xml:space="preserve"> 15.913.412</w:t>
            </w:r>
          </w:p>
        </w:tc>
      </w:tr>
      <w:tr w:rsidR="003E245D" w:rsidRPr="003E245D" w14:paraId="75858A34" w14:textId="77777777" w:rsidTr="00131AB1">
        <w:trPr>
          <w:trHeight w:val="300"/>
        </w:trPr>
        <w:tc>
          <w:tcPr>
            <w:tcW w:w="3040" w:type="dxa"/>
            <w:noWrap/>
            <w:vAlign w:val="bottom"/>
            <w:hideMark/>
          </w:tcPr>
          <w:p w14:paraId="7E3893C9" w14:textId="77777777" w:rsidR="003E245D" w:rsidRPr="003E245D" w:rsidRDefault="003E245D" w:rsidP="003E245D">
            <w:pPr>
              <w:spacing w:after="0" w:line="240" w:lineRule="auto"/>
              <w:ind w:firstLineChars="100" w:firstLine="220"/>
              <w:jc w:val="left"/>
              <w:rPr>
                <w:rFonts w:eastAsia="Times New Roman" w:cs="Calibri"/>
                <w:color w:val="000000"/>
              </w:rPr>
            </w:pPr>
            <w:r w:rsidRPr="003E245D">
              <w:rPr>
                <w:rFonts w:eastAsia="Times New Roman" w:cs="Calibri"/>
                <w:color w:val="000000"/>
              </w:rPr>
              <w:t>Extraurbano intero bacino</w:t>
            </w:r>
          </w:p>
        </w:tc>
        <w:tc>
          <w:tcPr>
            <w:tcW w:w="1920" w:type="dxa"/>
            <w:noWrap/>
            <w:vAlign w:val="center"/>
            <w:hideMark/>
          </w:tcPr>
          <w:p w14:paraId="5B8A9129" w14:textId="77777777" w:rsidR="003E245D" w:rsidRPr="003E245D" w:rsidRDefault="003E245D" w:rsidP="003E245D">
            <w:pPr>
              <w:spacing w:after="0" w:line="240" w:lineRule="auto"/>
              <w:jc w:val="right"/>
              <w:rPr>
                <w:rFonts w:eastAsia="Times New Roman" w:cs="Calibri"/>
                <w:color w:val="000000"/>
              </w:rPr>
            </w:pPr>
            <w:r w:rsidRPr="003E245D">
              <w:rPr>
                <w:rFonts w:eastAsia="Times New Roman" w:cs="Calibri"/>
                <w:color w:val="000000"/>
              </w:rPr>
              <w:t xml:space="preserve"> 2.057.862</w:t>
            </w:r>
          </w:p>
        </w:tc>
        <w:tc>
          <w:tcPr>
            <w:tcW w:w="1920" w:type="dxa"/>
            <w:noWrap/>
            <w:vAlign w:val="center"/>
            <w:hideMark/>
          </w:tcPr>
          <w:p w14:paraId="6DEFB792" w14:textId="77777777" w:rsidR="003E245D" w:rsidRPr="003E245D" w:rsidRDefault="003E245D" w:rsidP="003E245D">
            <w:pPr>
              <w:spacing w:after="0" w:line="240" w:lineRule="auto"/>
              <w:jc w:val="right"/>
              <w:rPr>
                <w:rFonts w:eastAsia="Times New Roman" w:cs="Calibri"/>
                <w:color w:val="000000"/>
              </w:rPr>
            </w:pPr>
            <w:r w:rsidRPr="003E245D">
              <w:rPr>
                <w:rFonts w:eastAsia="Times New Roman" w:cs="Calibri"/>
                <w:color w:val="000000"/>
              </w:rPr>
              <w:t xml:space="preserve"> 13.855.550</w:t>
            </w:r>
          </w:p>
        </w:tc>
        <w:tc>
          <w:tcPr>
            <w:tcW w:w="1920" w:type="dxa"/>
            <w:noWrap/>
            <w:vAlign w:val="center"/>
            <w:hideMark/>
          </w:tcPr>
          <w:p w14:paraId="2062488A" w14:textId="77777777" w:rsidR="003E245D" w:rsidRPr="003E245D" w:rsidRDefault="003E245D" w:rsidP="003E245D">
            <w:pPr>
              <w:spacing w:after="0" w:line="240" w:lineRule="auto"/>
              <w:jc w:val="right"/>
              <w:rPr>
                <w:rFonts w:eastAsia="Times New Roman" w:cs="Calibri"/>
                <w:color w:val="000000"/>
              </w:rPr>
            </w:pPr>
            <w:r w:rsidRPr="003E245D">
              <w:rPr>
                <w:rFonts w:eastAsia="Times New Roman" w:cs="Calibri"/>
                <w:color w:val="000000"/>
              </w:rPr>
              <w:t xml:space="preserve"> 15.913.412</w:t>
            </w:r>
          </w:p>
        </w:tc>
      </w:tr>
      <w:tr w:rsidR="003E245D" w:rsidRPr="003E245D" w14:paraId="28DDA216" w14:textId="77777777" w:rsidTr="00131AB1">
        <w:trPr>
          <w:trHeight w:val="300"/>
        </w:trPr>
        <w:tc>
          <w:tcPr>
            <w:tcW w:w="3040" w:type="dxa"/>
            <w:shd w:val="clear" w:color="D9D9D9" w:fill="D9D9D9"/>
            <w:noWrap/>
            <w:vAlign w:val="bottom"/>
            <w:hideMark/>
          </w:tcPr>
          <w:p w14:paraId="1F13F650" w14:textId="77777777" w:rsidR="003E245D" w:rsidRPr="003E245D" w:rsidRDefault="003E245D" w:rsidP="003E245D">
            <w:pPr>
              <w:spacing w:after="0" w:line="240" w:lineRule="auto"/>
              <w:jc w:val="left"/>
              <w:rPr>
                <w:rFonts w:eastAsia="Times New Roman" w:cs="Calibri"/>
                <w:b/>
                <w:color w:val="000000"/>
              </w:rPr>
            </w:pPr>
            <w:r w:rsidRPr="003E245D">
              <w:rPr>
                <w:rFonts w:eastAsia="Times New Roman" w:cs="Calibri"/>
                <w:b/>
                <w:color w:val="000000"/>
              </w:rPr>
              <w:lastRenderedPageBreak/>
              <w:t>Urbani</w:t>
            </w:r>
          </w:p>
        </w:tc>
        <w:tc>
          <w:tcPr>
            <w:tcW w:w="1920" w:type="dxa"/>
            <w:shd w:val="clear" w:color="D9D9D9" w:fill="D9D9D9"/>
            <w:noWrap/>
            <w:vAlign w:val="center"/>
            <w:hideMark/>
          </w:tcPr>
          <w:p w14:paraId="5BDD13A2" w14:textId="77777777" w:rsidR="003E245D" w:rsidRPr="003E245D" w:rsidRDefault="003E245D" w:rsidP="003E245D">
            <w:pPr>
              <w:spacing w:after="0" w:line="240" w:lineRule="auto"/>
              <w:jc w:val="right"/>
              <w:rPr>
                <w:rFonts w:eastAsia="Times New Roman" w:cs="Calibri"/>
                <w:b/>
                <w:color w:val="000000"/>
              </w:rPr>
            </w:pPr>
            <w:r w:rsidRPr="003E245D">
              <w:rPr>
                <w:rFonts w:eastAsia="Times New Roman" w:cs="Calibri"/>
                <w:b/>
                <w:color w:val="000000"/>
              </w:rPr>
              <w:t xml:space="preserve"> 396.818</w:t>
            </w:r>
          </w:p>
        </w:tc>
        <w:tc>
          <w:tcPr>
            <w:tcW w:w="1920" w:type="dxa"/>
            <w:shd w:val="clear" w:color="D9D9D9" w:fill="D9D9D9"/>
            <w:noWrap/>
            <w:vAlign w:val="center"/>
            <w:hideMark/>
          </w:tcPr>
          <w:p w14:paraId="4B470D03" w14:textId="77777777" w:rsidR="003E245D" w:rsidRPr="003E245D" w:rsidRDefault="003E245D" w:rsidP="003E245D">
            <w:pPr>
              <w:spacing w:after="0" w:line="240" w:lineRule="auto"/>
              <w:jc w:val="right"/>
              <w:rPr>
                <w:rFonts w:eastAsia="Times New Roman" w:cs="Calibri"/>
                <w:b/>
                <w:color w:val="000000"/>
              </w:rPr>
            </w:pPr>
            <w:r w:rsidRPr="003E245D">
              <w:rPr>
                <w:rFonts w:eastAsia="Times New Roman" w:cs="Calibri"/>
                <w:b/>
                <w:color w:val="000000"/>
              </w:rPr>
              <w:t xml:space="preserve"> 1.830.469</w:t>
            </w:r>
          </w:p>
        </w:tc>
        <w:tc>
          <w:tcPr>
            <w:tcW w:w="1920" w:type="dxa"/>
            <w:shd w:val="clear" w:color="D9D9D9" w:fill="D9D9D9"/>
            <w:noWrap/>
            <w:vAlign w:val="center"/>
            <w:hideMark/>
          </w:tcPr>
          <w:p w14:paraId="7FCAF9C9" w14:textId="77777777" w:rsidR="003E245D" w:rsidRPr="003E245D" w:rsidRDefault="003E245D" w:rsidP="003E245D">
            <w:pPr>
              <w:spacing w:after="0" w:line="240" w:lineRule="auto"/>
              <w:jc w:val="right"/>
              <w:rPr>
                <w:rFonts w:eastAsia="Times New Roman" w:cs="Calibri"/>
                <w:b/>
                <w:color w:val="000000"/>
              </w:rPr>
            </w:pPr>
            <w:r w:rsidRPr="003E245D">
              <w:rPr>
                <w:rFonts w:eastAsia="Times New Roman" w:cs="Calibri"/>
                <w:b/>
                <w:color w:val="000000"/>
              </w:rPr>
              <w:t xml:space="preserve"> 2.227.287</w:t>
            </w:r>
          </w:p>
        </w:tc>
      </w:tr>
      <w:tr w:rsidR="003E245D" w:rsidRPr="003E245D" w14:paraId="74FC6376" w14:textId="77777777" w:rsidTr="00131AB1">
        <w:trPr>
          <w:trHeight w:val="300"/>
        </w:trPr>
        <w:tc>
          <w:tcPr>
            <w:tcW w:w="3040" w:type="dxa"/>
            <w:noWrap/>
            <w:vAlign w:val="bottom"/>
            <w:hideMark/>
          </w:tcPr>
          <w:p w14:paraId="599FE874" w14:textId="77777777" w:rsidR="003E245D" w:rsidRPr="003E245D" w:rsidRDefault="003E245D" w:rsidP="003E245D">
            <w:pPr>
              <w:spacing w:after="0" w:line="240" w:lineRule="auto"/>
              <w:ind w:firstLineChars="100" w:firstLine="220"/>
              <w:jc w:val="left"/>
              <w:rPr>
                <w:rFonts w:eastAsia="Times New Roman" w:cs="Calibri"/>
                <w:color w:val="000000"/>
              </w:rPr>
            </w:pPr>
            <w:r w:rsidRPr="003E245D">
              <w:rPr>
                <w:rFonts w:eastAsia="Times New Roman" w:cs="Calibri"/>
                <w:color w:val="000000"/>
              </w:rPr>
              <w:t>U-Carmagnola</w:t>
            </w:r>
          </w:p>
        </w:tc>
        <w:tc>
          <w:tcPr>
            <w:tcW w:w="1920" w:type="dxa"/>
            <w:noWrap/>
            <w:vAlign w:val="center"/>
            <w:hideMark/>
          </w:tcPr>
          <w:p w14:paraId="66A58866" w14:textId="77777777" w:rsidR="003E245D" w:rsidRPr="003E245D" w:rsidRDefault="003E245D" w:rsidP="003E245D">
            <w:pPr>
              <w:spacing w:after="0" w:line="240" w:lineRule="auto"/>
              <w:jc w:val="right"/>
              <w:rPr>
                <w:rFonts w:eastAsia="Times New Roman" w:cs="Calibri"/>
                <w:color w:val="000000"/>
              </w:rPr>
            </w:pPr>
            <w:r w:rsidRPr="003E245D">
              <w:rPr>
                <w:rFonts w:eastAsia="Times New Roman" w:cs="Calibri"/>
                <w:color w:val="000000"/>
              </w:rPr>
              <w:t xml:space="preserve"> 15.778</w:t>
            </w:r>
          </w:p>
        </w:tc>
        <w:tc>
          <w:tcPr>
            <w:tcW w:w="1920" w:type="dxa"/>
            <w:noWrap/>
            <w:vAlign w:val="center"/>
            <w:hideMark/>
          </w:tcPr>
          <w:p w14:paraId="776E9E39" w14:textId="77777777" w:rsidR="003E245D" w:rsidRPr="003E245D" w:rsidRDefault="003E245D" w:rsidP="003E245D">
            <w:pPr>
              <w:spacing w:after="0" w:line="240" w:lineRule="auto"/>
              <w:jc w:val="right"/>
              <w:rPr>
                <w:rFonts w:eastAsia="Times New Roman" w:cs="Calibri"/>
                <w:color w:val="000000"/>
              </w:rPr>
            </w:pPr>
            <w:r w:rsidRPr="003E245D">
              <w:rPr>
                <w:rFonts w:eastAsia="Times New Roman" w:cs="Calibri"/>
                <w:color w:val="000000"/>
              </w:rPr>
              <w:t xml:space="preserve"> 205.676</w:t>
            </w:r>
          </w:p>
        </w:tc>
        <w:tc>
          <w:tcPr>
            <w:tcW w:w="1920" w:type="dxa"/>
            <w:noWrap/>
            <w:vAlign w:val="center"/>
            <w:hideMark/>
          </w:tcPr>
          <w:p w14:paraId="69B8E37F" w14:textId="77777777" w:rsidR="003E245D" w:rsidRPr="003E245D" w:rsidRDefault="003E245D" w:rsidP="003E245D">
            <w:pPr>
              <w:spacing w:after="0" w:line="240" w:lineRule="auto"/>
              <w:jc w:val="right"/>
              <w:rPr>
                <w:rFonts w:eastAsia="Times New Roman" w:cs="Calibri"/>
                <w:color w:val="000000"/>
              </w:rPr>
            </w:pPr>
            <w:r w:rsidRPr="003E245D">
              <w:rPr>
                <w:rFonts w:eastAsia="Times New Roman" w:cs="Calibri"/>
                <w:color w:val="000000"/>
              </w:rPr>
              <w:t xml:space="preserve"> 221.453</w:t>
            </w:r>
          </w:p>
        </w:tc>
      </w:tr>
      <w:tr w:rsidR="003E245D" w:rsidRPr="003E245D" w14:paraId="0EC323C3" w14:textId="77777777" w:rsidTr="00131AB1">
        <w:trPr>
          <w:trHeight w:val="300"/>
        </w:trPr>
        <w:tc>
          <w:tcPr>
            <w:tcW w:w="3040" w:type="dxa"/>
            <w:noWrap/>
            <w:vAlign w:val="bottom"/>
            <w:hideMark/>
          </w:tcPr>
          <w:p w14:paraId="1180AE64" w14:textId="77777777" w:rsidR="003E245D" w:rsidRPr="003E245D" w:rsidRDefault="003E245D" w:rsidP="003E245D">
            <w:pPr>
              <w:spacing w:after="0" w:line="240" w:lineRule="auto"/>
              <w:ind w:firstLineChars="100" w:firstLine="220"/>
              <w:jc w:val="left"/>
              <w:rPr>
                <w:rFonts w:eastAsia="Times New Roman" w:cs="Calibri"/>
                <w:color w:val="000000"/>
              </w:rPr>
            </w:pPr>
            <w:r w:rsidRPr="003E245D">
              <w:rPr>
                <w:rFonts w:eastAsia="Times New Roman" w:cs="Calibri"/>
                <w:color w:val="000000"/>
              </w:rPr>
              <w:t>U-Ivrea</w:t>
            </w:r>
          </w:p>
        </w:tc>
        <w:tc>
          <w:tcPr>
            <w:tcW w:w="1920" w:type="dxa"/>
            <w:noWrap/>
            <w:vAlign w:val="center"/>
            <w:hideMark/>
          </w:tcPr>
          <w:p w14:paraId="10AEE402" w14:textId="77777777" w:rsidR="003E245D" w:rsidRPr="003E245D" w:rsidRDefault="003E245D" w:rsidP="003E245D">
            <w:pPr>
              <w:spacing w:after="0" w:line="240" w:lineRule="auto"/>
              <w:jc w:val="right"/>
              <w:rPr>
                <w:rFonts w:eastAsia="Times New Roman" w:cs="Calibri"/>
                <w:color w:val="000000"/>
              </w:rPr>
            </w:pPr>
            <w:r w:rsidRPr="003E245D">
              <w:rPr>
                <w:rFonts w:eastAsia="Times New Roman" w:cs="Calibri"/>
                <w:color w:val="000000"/>
              </w:rPr>
              <w:t xml:space="preserve"> 290.667</w:t>
            </w:r>
          </w:p>
        </w:tc>
        <w:tc>
          <w:tcPr>
            <w:tcW w:w="1920" w:type="dxa"/>
            <w:noWrap/>
            <w:vAlign w:val="center"/>
            <w:hideMark/>
          </w:tcPr>
          <w:p w14:paraId="206DE49D" w14:textId="77777777" w:rsidR="003E245D" w:rsidRPr="003E245D" w:rsidRDefault="003E245D" w:rsidP="003E245D">
            <w:pPr>
              <w:spacing w:after="0" w:line="240" w:lineRule="auto"/>
              <w:jc w:val="right"/>
              <w:rPr>
                <w:rFonts w:eastAsia="Times New Roman" w:cs="Calibri"/>
                <w:color w:val="000000"/>
              </w:rPr>
            </w:pPr>
            <w:r w:rsidRPr="003E245D">
              <w:rPr>
                <w:rFonts w:eastAsia="Times New Roman" w:cs="Calibri"/>
                <w:color w:val="000000"/>
              </w:rPr>
              <w:t xml:space="preserve"> 1.332.852</w:t>
            </w:r>
          </w:p>
        </w:tc>
        <w:tc>
          <w:tcPr>
            <w:tcW w:w="1920" w:type="dxa"/>
            <w:noWrap/>
            <w:vAlign w:val="center"/>
            <w:hideMark/>
          </w:tcPr>
          <w:p w14:paraId="32E8243E" w14:textId="77777777" w:rsidR="003E245D" w:rsidRPr="003E245D" w:rsidRDefault="003E245D" w:rsidP="003E245D">
            <w:pPr>
              <w:spacing w:after="0" w:line="240" w:lineRule="auto"/>
              <w:jc w:val="right"/>
              <w:rPr>
                <w:rFonts w:eastAsia="Times New Roman" w:cs="Calibri"/>
                <w:color w:val="000000"/>
              </w:rPr>
            </w:pPr>
            <w:r w:rsidRPr="003E245D">
              <w:rPr>
                <w:rFonts w:eastAsia="Times New Roman" w:cs="Calibri"/>
                <w:color w:val="000000"/>
              </w:rPr>
              <w:t xml:space="preserve"> 1.623.519</w:t>
            </w:r>
          </w:p>
        </w:tc>
      </w:tr>
      <w:tr w:rsidR="003E245D" w:rsidRPr="003E245D" w14:paraId="6867437B" w14:textId="77777777" w:rsidTr="00131AB1">
        <w:trPr>
          <w:trHeight w:val="300"/>
        </w:trPr>
        <w:tc>
          <w:tcPr>
            <w:tcW w:w="3040" w:type="dxa"/>
            <w:noWrap/>
            <w:vAlign w:val="bottom"/>
            <w:hideMark/>
          </w:tcPr>
          <w:p w14:paraId="6F3F9D05" w14:textId="77777777" w:rsidR="003E245D" w:rsidRPr="003E245D" w:rsidRDefault="003E245D" w:rsidP="003E245D">
            <w:pPr>
              <w:spacing w:after="0" w:line="240" w:lineRule="auto"/>
              <w:ind w:firstLineChars="100" w:firstLine="220"/>
              <w:jc w:val="left"/>
              <w:rPr>
                <w:rFonts w:eastAsia="Times New Roman" w:cs="Calibri"/>
                <w:color w:val="000000"/>
              </w:rPr>
            </w:pPr>
            <w:r w:rsidRPr="003E245D">
              <w:rPr>
                <w:rFonts w:eastAsia="Times New Roman" w:cs="Calibri"/>
                <w:color w:val="000000"/>
              </w:rPr>
              <w:t>U-Pinerolo</w:t>
            </w:r>
          </w:p>
        </w:tc>
        <w:tc>
          <w:tcPr>
            <w:tcW w:w="1920" w:type="dxa"/>
            <w:noWrap/>
            <w:vAlign w:val="center"/>
            <w:hideMark/>
          </w:tcPr>
          <w:p w14:paraId="7677B6F5" w14:textId="77777777" w:rsidR="003E245D" w:rsidRPr="003E245D" w:rsidRDefault="003E245D" w:rsidP="003E245D">
            <w:pPr>
              <w:spacing w:after="0" w:line="240" w:lineRule="auto"/>
              <w:jc w:val="right"/>
              <w:rPr>
                <w:rFonts w:eastAsia="Times New Roman" w:cs="Calibri"/>
                <w:color w:val="000000"/>
              </w:rPr>
            </w:pPr>
            <w:r w:rsidRPr="003E245D">
              <w:rPr>
                <w:rFonts w:eastAsia="Times New Roman" w:cs="Calibri"/>
                <w:color w:val="000000"/>
              </w:rPr>
              <w:t xml:space="preserve"> 90.373</w:t>
            </w:r>
          </w:p>
        </w:tc>
        <w:tc>
          <w:tcPr>
            <w:tcW w:w="1920" w:type="dxa"/>
            <w:noWrap/>
            <w:vAlign w:val="center"/>
            <w:hideMark/>
          </w:tcPr>
          <w:p w14:paraId="69B2D5CE" w14:textId="77777777" w:rsidR="003E245D" w:rsidRPr="003E245D" w:rsidRDefault="003E245D" w:rsidP="003E245D">
            <w:pPr>
              <w:spacing w:after="0" w:line="240" w:lineRule="auto"/>
              <w:jc w:val="right"/>
              <w:rPr>
                <w:rFonts w:eastAsia="Times New Roman" w:cs="Calibri"/>
                <w:color w:val="000000"/>
              </w:rPr>
            </w:pPr>
            <w:r w:rsidRPr="003E245D">
              <w:rPr>
                <w:rFonts w:eastAsia="Times New Roman" w:cs="Calibri"/>
                <w:color w:val="000000"/>
              </w:rPr>
              <w:t xml:space="preserve"> 291.941</w:t>
            </w:r>
          </w:p>
        </w:tc>
        <w:tc>
          <w:tcPr>
            <w:tcW w:w="1920" w:type="dxa"/>
            <w:noWrap/>
            <w:vAlign w:val="center"/>
            <w:hideMark/>
          </w:tcPr>
          <w:p w14:paraId="0CC122F8" w14:textId="77777777" w:rsidR="003E245D" w:rsidRPr="003E245D" w:rsidRDefault="003E245D" w:rsidP="003E245D">
            <w:pPr>
              <w:spacing w:after="0" w:line="240" w:lineRule="auto"/>
              <w:jc w:val="right"/>
              <w:rPr>
                <w:rFonts w:eastAsia="Times New Roman" w:cs="Calibri"/>
                <w:color w:val="000000"/>
              </w:rPr>
            </w:pPr>
            <w:r w:rsidRPr="003E245D">
              <w:rPr>
                <w:rFonts w:eastAsia="Times New Roman" w:cs="Calibri"/>
                <w:color w:val="000000"/>
              </w:rPr>
              <w:t xml:space="preserve"> 382.314</w:t>
            </w:r>
          </w:p>
        </w:tc>
      </w:tr>
      <w:tr w:rsidR="003E245D" w:rsidRPr="003E245D" w14:paraId="20792D4C" w14:textId="77777777" w:rsidTr="00131AB1">
        <w:trPr>
          <w:trHeight w:val="315"/>
        </w:trPr>
        <w:tc>
          <w:tcPr>
            <w:tcW w:w="3040" w:type="dxa"/>
            <w:noWrap/>
            <w:vAlign w:val="bottom"/>
            <w:hideMark/>
          </w:tcPr>
          <w:p w14:paraId="5C94B926" w14:textId="77777777" w:rsidR="003E245D" w:rsidRPr="003E245D" w:rsidRDefault="003E245D" w:rsidP="003E245D">
            <w:pPr>
              <w:spacing w:after="0" w:line="240" w:lineRule="auto"/>
              <w:jc w:val="left"/>
              <w:rPr>
                <w:rFonts w:eastAsia="Times New Roman" w:cs="Calibri"/>
                <w:b/>
                <w:color w:val="000000"/>
              </w:rPr>
            </w:pPr>
            <w:r w:rsidRPr="003E245D">
              <w:rPr>
                <w:rFonts w:eastAsia="Times New Roman" w:cs="Calibri"/>
                <w:b/>
                <w:color w:val="000000"/>
              </w:rPr>
              <w:t>Totale complessivo</w:t>
            </w:r>
          </w:p>
        </w:tc>
        <w:tc>
          <w:tcPr>
            <w:tcW w:w="1920" w:type="dxa"/>
            <w:noWrap/>
            <w:vAlign w:val="center"/>
            <w:hideMark/>
          </w:tcPr>
          <w:p w14:paraId="508FBD1F" w14:textId="77777777" w:rsidR="003E245D" w:rsidRPr="003E245D" w:rsidRDefault="003E245D" w:rsidP="003E245D">
            <w:pPr>
              <w:spacing w:after="0" w:line="240" w:lineRule="auto"/>
              <w:jc w:val="right"/>
              <w:rPr>
                <w:rFonts w:eastAsia="Times New Roman" w:cs="Calibri"/>
                <w:b/>
                <w:color w:val="000000"/>
              </w:rPr>
            </w:pPr>
            <w:r w:rsidRPr="003E245D">
              <w:rPr>
                <w:rFonts w:eastAsia="Times New Roman" w:cs="Calibri"/>
                <w:b/>
                <w:color w:val="000000"/>
              </w:rPr>
              <w:t xml:space="preserve"> 2.454.680</w:t>
            </w:r>
          </w:p>
        </w:tc>
        <w:tc>
          <w:tcPr>
            <w:tcW w:w="1920" w:type="dxa"/>
            <w:noWrap/>
            <w:vAlign w:val="center"/>
            <w:hideMark/>
          </w:tcPr>
          <w:p w14:paraId="355731B1" w14:textId="77777777" w:rsidR="003E245D" w:rsidRPr="003E245D" w:rsidRDefault="003E245D" w:rsidP="003E245D">
            <w:pPr>
              <w:spacing w:after="0" w:line="240" w:lineRule="auto"/>
              <w:jc w:val="right"/>
              <w:rPr>
                <w:rFonts w:eastAsia="Times New Roman" w:cs="Calibri"/>
                <w:b/>
                <w:color w:val="000000"/>
              </w:rPr>
            </w:pPr>
            <w:r w:rsidRPr="003E245D">
              <w:rPr>
                <w:rFonts w:eastAsia="Times New Roman" w:cs="Calibri"/>
                <w:b/>
                <w:color w:val="000000"/>
              </w:rPr>
              <w:t xml:space="preserve"> 15.686.019</w:t>
            </w:r>
          </w:p>
        </w:tc>
        <w:tc>
          <w:tcPr>
            <w:tcW w:w="1920" w:type="dxa"/>
            <w:noWrap/>
            <w:vAlign w:val="center"/>
            <w:hideMark/>
          </w:tcPr>
          <w:p w14:paraId="6D1A2E90" w14:textId="77777777" w:rsidR="003E245D" w:rsidRPr="003E245D" w:rsidRDefault="003E245D" w:rsidP="003E245D">
            <w:pPr>
              <w:spacing w:after="0" w:line="240" w:lineRule="auto"/>
              <w:jc w:val="right"/>
              <w:rPr>
                <w:rFonts w:eastAsia="Times New Roman" w:cs="Calibri"/>
                <w:b/>
                <w:color w:val="000000"/>
              </w:rPr>
            </w:pPr>
            <w:r w:rsidRPr="003E245D">
              <w:rPr>
                <w:rFonts w:eastAsia="Times New Roman" w:cs="Calibri"/>
                <w:b/>
                <w:color w:val="000000"/>
              </w:rPr>
              <w:t xml:space="preserve"> 18.140.699</w:t>
            </w:r>
          </w:p>
        </w:tc>
      </w:tr>
    </w:tbl>
    <w:p w14:paraId="0E4D1108" w14:textId="71D9DAD9" w:rsidR="003E245D" w:rsidRPr="007A7684" w:rsidRDefault="003E245D" w:rsidP="007A7684">
      <w:pPr>
        <w:spacing w:after="200" w:line="240" w:lineRule="auto"/>
        <w:jc w:val="center"/>
        <w:rPr>
          <w:i/>
          <w:color w:val="003366"/>
          <w:sz w:val="18"/>
          <w:szCs w:val="18"/>
        </w:rPr>
      </w:pPr>
      <w:r w:rsidRPr="003E245D">
        <w:rPr>
          <w:i/>
          <w:iCs/>
          <w:color w:val="003366"/>
          <w:sz w:val="18"/>
          <w:szCs w:val="18"/>
        </w:rPr>
        <w:t xml:space="preserve">Tabella </w:t>
      </w:r>
      <w:r w:rsidRPr="003E245D">
        <w:rPr>
          <w:i/>
          <w:iCs/>
          <w:color w:val="003366"/>
          <w:sz w:val="18"/>
          <w:szCs w:val="18"/>
        </w:rPr>
        <w:fldChar w:fldCharType="begin"/>
      </w:r>
      <w:r w:rsidRPr="003E245D">
        <w:rPr>
          <w:i/>
          <w:iCs/>
          <w:color w:val="003366"/>
          <w:sz w:val="18"/>
          <w:szCs w:val="18"/>
        </w:rPr>
        <w:instrText xml:space="preserve"> SEQ Tabella \* ARABIC </w:instrText>
      </w:r>
      <w:r w:rsidRPr="003E245D">
        <w:rPr>
          <w:i/>
          <w:iCs/>
          <w:color w:val="003366"/>
          <w:sz w:val="18"/>
          <w:szCs w:val="18"/>
        </w:rPr>
        <w:fldChar w:fldCharType="separate"/>
      </w:r>
      <w:r w:rsidR="00073B6D">
        <w:rPr>
          <w:i/>
          <w:iCs/>
          <w:noProof/>
          <w:color w:val="003366"/>
          <w:sz w:val="18"/>
          <w:szCs w:val="18"/>
        </w:rPr>
        <w:t>22</w:t>
      </w:r>
      <w:r w:rsidRPr="003E245D">
        <w:rPr>
          <w:i/>
          <w:iCs/>
          <w:noProof/>
          <w:color w:val="003366"/>
          <w:sz w:val="18"/>
          <w:szCs w:val="18"/>
        </w:rPr>
        <w:fldChar w:fldCharType="end"/>
      </w:r>
      <w:r w:rsidRPr="003E245D">
        <w:rPr>
          <w:i/>
          <w:iCs/>
          <w:color w:val="003366"/>
          <w:sz w:val="18"/>
          <w:szCs w:val="18"/>
        </w:rPr>
        <w:t>–Totale Passeggeri saliti annui</w:t>
      </w:r>
    </w:p>
    <w:p w14:paraId="3D930AFE" w14:textId="77777777" w:rsidR="003E245D" w:rsidRPr="003E245D" w:rsidRDefault="003E245D" w:rsidP="003E245D">
      <w:pPr>
        <w:spacing w:before="120" w:after="0" w:line="240" w:lineRule="auto"/>
      </w:pPr>
      <w:r w:rsidRPr="003E245D">
        <w:t>A seguito dell’emergenza Covid e nelle more di una digitalizzazione completa delle rilevazioni tramite validazione a bordo dei titoli di viaggio, tali rilevazioni sono state sospese. Nel 2025, non essendo stato ancora completato il processo di trasferimento al Centro Servizi Regionale delle validazioni registrate a bordo mezzo durante il servizio, la Regione Piemonte ha disposto una nuova campagna di rilievo a bordo, i cui dati sono ancora in fase di caricamento e validazione. Non appena disponibili, tali dati saranno resi pubblici e messi a disposizione nel dataset dei bandi di gara.</w:t>
      </w:r>
    </w:p>
    <w:p w14:paraId="4D1976C2" w14:textId="77777777" w:rsidR="003E245D" w:rsidRPr="003E245D" w:rsidRDefault="003E245D" w:rsidP="00E31C27">
      <w:pPr>
        <w:spacing w:before="120" w:line="240" w:lineRule="auto"/>
      </w:pPr>
      <w:r w:rsidRPr="003E245D">
        <w:t>Di seguito si riportano i dettagli delle validazioni per linea, attualmente gestite nell’ambito dei contratti del Bacino per l’anno 2024, scaricabili dal Centro Servizi Regionale. Il sistema non è ancora per allineato al reale servizio, in quanto alcune aziende non hanno ancora fatto tutti i passi necessari per trasferire le informazioni. Pertanto, i dati sulle validazioni a “zero” non necessariamente sono corrispondenti ad un’assenza di passeggeri, al pari delle linee con dicitura "n.d.", il cui dato non è riscontrabile all’interno della banca dati.</w:t>
      </w:r>
    </w:p>
    <w:tbl>
      <w:tblPr>
        <w:tblW w:w="5000" w:type="pct"/>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left w:w="70" w:type="dxa"/>
          <w:right w:w="70" w:type="dxa"/>
        </w:tblCellMar>
        <w:tblLook w:val="04A0" w:firstRow="1" w:lastRow="0" w:firstColumn="1" w:lastColumn="0" w:noHBand="0" w:noVBand="1"/>
      </w:tblPr>
      <w:tblGrid>
        <w:gridCol w:w="1056"/>
        <w:gridCol w:w="6617"/>
        <w:gridCol w:w="1387"/>
      </w:tblGrid>
      <w:tr w:rsidR="003E245D" w:rsidRPr="003E245D" w14:paraId="119415CF" w14:textId="77777777" w:rsidTr="007779E2">
        <w:trPr>
          <w:trHeight w:val="315"/>
        </w:trPr>
        <w:tc>
          <w:tcPr>
            <w:tcW w:w="5000" w:type="pct"/>
            <w:gridSpan w:val="3"/>
            <w:shd w:val="clear" w:color="000000" w:fill="EE3438"/>
            <w:noWrap/>
            <w:vAlign w:val="bottom"/>
            <w:hideMark/>
          </w:tcPr>
          <w:p w14:paraId="64EDCB10" w14:textId="77777777" w:rsidR="003E245D" w:rsidRPr="003E245D" w:rsidRDefault="003E245D" w:rsidP="003E245D">
            <w:pPr>
              <w:spacing w:after="0" w:line="240" w:lineRule="auto"/>
              <w:jc w:val="left"/>
              <w:rPr>
                <w:rFonts w:eastAsia="Times New Roman" w:cs="Calibri"/>
                <w:color w:val="FFFFFF"/>
              </w:rPr>
            </w:pPr>
            <w:r w:rsidRPr="003E245D">
              <w:rPr>
                <w:rFonts w:eastAsia="Times New Roman" w:cs="Calibri"/>
                <w:b/>
                <w:color w:val="FFFFFF"/>
              </w:rPr>
              <w:t>SERVIZIO EXTRAURBANO DELLA CITTA' METROPOLITANA DI TORINO</w:t>
            </w:r>
            <w:r w:rsidRPr="003E245D">
              <w:rPr>
                <w:rFonts w:eastAsia="Times New Roman" w:cs="Calibri"/>
                <w:color w:val="FFFFFF"/>
              </w:rPr>
              <w:t> </w:t>
            </w:r>
          </w:p>
        </w:tc>
      </w:tr>
      <w:tr w:rsidR="003E245D" w:rsidRPr="003E245D" w14:paraId="56261ACC" w14:textId="77777777" w:rsidTr="007779E2">
        <w:trPr>
          <w:trHeight w:val="465"/>
        </w:trPr>
        <w:tc>
          <w:tcPr>
            <w:tcW w:w="2137" w:type="pct"/>
            <w:shd w:val="clear" w:color="000000" w:fill="FF7C80"/>
            <w:noWrap/>
            <w:vAlign w:val="center"/>
            <w:hideMark/>
          </w:tcPr>
          <w:p w14:paraId="79155660" w14:textId="77777777" w:rsidR="003E245D" w:rsidRPr="003E245D" w:rsidRDefault="003E245D" w:rsidP="003E245D">
            <w:pPr>
              <w:spacing w:after="0" w:line="240" w:lineRule="auto"/>
              <w:jc w:val="center"/>
              <w:rPr>
                <w:rFonts w:eastAsia="Times New Roman" w:cs="Calibri"/>
                <w:b/>
                <w:color w:val="000000"/>
              </w:rPr>
            </w:pPr>
            <w:r w:rsidRPr="003E245D">
              <w:rPr>
                <w:rFonts w:eastAsia="Times New Roman" w:cs="Calibri"/>
                <w:b/>
                <w:color w:val="000000"/>
              </w:rPr>
              <w:t>Codice linea</w:t>
            </w:r>
          </w:p>
        </w:tc>
        <w:tc>
          <w:tcPr>
            <w:tcW w:w="2288" w:type="pct"/>
            <w:shd w:val="clear" w:color="000000" w:fill="FF7C80"/>
            <w:noWrap/>
            <w:vAlign w:val="center"/>
            <w:hideMark/>
          </w:tcPr>
          <w:p w14:paraId="429F9936" w14:textId="77777777" w:rsidR="003E245D" w:rsidRPr="003E245D" w:rsidRDefault="003E245D" w:rsidP="003E245D">
            <w:pPr>
              <w:spacing w:after="0" w:line="240" w:lineRule="auto"/>
              <w:jc w:val="left"/>
              <w:rPr>
                <w:rFonts w:eastAsia="Times New Roman" w:cs="Calibri"/>
                <w:b/>
                <w:color w:val="000000"/>
              </w:rPr>
            </w:pPr>
            <w:r w:rsidRPr="003E245D">
              <w:rPr>
                <w:rFonts w:eastAsia="Times New Roman" w:cs="Calibri"/>
                <w:b/>
                <w:color w:val="000000"/>
              </w:rPr>
              <w:t>Linea</w:t>
            </w:r>
          </w:p>
        </w:tc>
        <w:tc>
          <w:tcPr>
            <w:tcW w:w="575" w:type="pct"/>
            <w:shd w:val="clear" w:color="000000" w:fill="FF7C80"/>
            <w:noWrap/>
            <w:vAlign w:val="center"/>
            <w:hideMark/>
          </w:tcPr>
          <w:p w14:paraId="7FC57BAA" w14:textId="77777777" w:rsidR="003E245D" w:rsidRPr="003E245D" w:rsidRDefault="003E245D" w:rsidP="003E245D">
            <w:pPr>
              <w:spacing w:after="0" w:line="240" w:lineRule="auto"/>
              <w:jc w:val="left"/>
              <w:rPr>
                <w:rFonts w:eastAsia="Times New Roman" w:cs="Calibri"/>
                <w:b/>
                <w:color w:val="000000"/>
              </w:rPr>
            </w:pPr>
            <w:r w:rsidRPr="003E245D">
              <w:rPr>
                <w:rFonts w:eastAsia="Times New Roman" w:cs="Calibri"/>
                <w:b/>
                <w:color w:val="000000"/>
              </w:rPr>
              <w:t>Saliti Validazioni</w:t>
            </w:r>
          </w:p>
        </w:tc>
      </w:tr>
      <w:tr w:rsidR="003E245D" w:rsidRPr="003E245D" w14:paraId="1B905934" w14:textId="77777777" w:rsidTr="007779E2">
        <w:trPr>
          <w:trHeight w:val="300"/>
        </w:trPr>
        <w:tc>
          <w:tcPr>
            <w:tcW w:w="2137" w:type="pct"/>
            <w:noWrap/>
            <w:vAlign w:val="bottom"/>
            <w:hideMark/>
          </w:tcPr>
          <w:p w14:paraId="0EDEEFA3"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2</w:t>
            </w:r>
          </w:p>
        </w:tc>
        <w:tc>
          <w:tcPr>
            <w:tcW w:w="2288" w:type="pct"/>
            <w:noWrap/>
            <w:vAlign w:val="bottom"/>
            <w:hideMark/>
          </w:tcPr>
          <w:p w14:paraId="199BE66E"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IVREA - MILANO -IVREA</w:t>
            </w:r>
          </w:p>
        </w:tc>
        <w:tc>
          <w:tcPr>
            <w:tcW w:w="575" w:type="pct"/>
            <w:noWrap/>
            <w:vAlign w:val="bottom"/>
            <w:hideMark/>
          </w:tcPr>
          <w:p w14:paraId="0CE3D5DE"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74</w:t>
            </w:r>
          </w:p>
        </w:tc>
      </w:tr>
      <w:tr w:rsidR="003E245D" w:rsidRPr="003E245D" w14:paraId="6FA9C930" w14:textId="77777777" w:rsidTr="007779E2">
        <w:trPr>
          <w:trHeight w:val="300"/>
        </w:trPr>
        <w:tc>
          <w:tcPr>
            <w:tcW w:w="2137" w:type="pct"/>
            <w:noWrap/>
            <w:vAlign w:val="bottom"/>
            <w:hideMark/>
          </w:tcPr>
          <w:p w14:paraId="0BBAD22C"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4</w:t>
            </w:r>
          </w:p>
        </w:tc>
        <w:tc>
          <w:tcPr>
            <w:tcW w:w="2288" w:type="pct"/>
            <w:vAlign w:val="center"/>
            <w:hideMark/>
          </w:tcPr>
          <w:p w14:paraId="191D90E4" w14:textId="77777777" w:rsidR="003E245D" w:rsidRPr="003E245D" w:rsidRDefault="003E245D" w:rsidP="003E245D">
            <w:pPr>
              <w:spacing w:after="0" w:line="240" w:lineRule="auto"/>
              <w:jc w:val="left"/>
              <w:rPr>
                <w:rFonts w:eastAsia="Times New Roman" w:cs="Calibri"/>
                <w:sz w:val="20"/>
                <w:szCs w:val="20"/>
              </w:rPr>
            </w:pPr>
            <w:r w:rsidRPr="003E245D">
              <w:rPr>
                <w:rFonts w:eastAsia="Times New Roman" w:cs="Calibri"/>
                <w:sz w:val="20"/>
                <w:szCs w:val="20"/>
              </w:rPr>
              <w:t>MILANO-TORINO</w:t>
            </w:r>
          </w:p>
        </w:tc>
        <w:tc>
          <w:tcPr>
            <w:tcW w:w="575" w:type="pct"/>
            <w:noWrap/>
            <w:vAlign w:val="bottom"/>
            <w:hideMark/>
          </w:tcPr>
          <w:p w14:paraId="1E4C496E"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n.d.</w:t>
            </w:r>
          </w:p>
        </w:tc>
      </w:tr>
      <w:tr w:rsidR="003E245D" w:rsidRPr="003E245D" w14:paraId="71C92163" w14:textId="77777777" w:rsidTr="007779E2">
        <w:trPr>
          <w:trHeight w:val="300"/>
        </w:trPr>
        <w:tc>
          <w:tcPr>
            <w:tcW w:w="2137" w:type="pct"/>
            <w:noWrap/>
            <w:vAlign w:val="bottom"/>
            <w:hideMark/>
          </w:tcPr>
          <w:p w14:paraId="5F983A89"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70</w:t>
            </w:r>
          </w:p>
        </w:tc>
        <w:tc>
          <w:tcPr>
            <w:tcW w:w="2288" w:type="pct"/>
            <w:noWrap/>
            <w:vAlign w:val="bottom"/>
            <w:hideMark/>
          </w:tcPr>
          <w:p w14:paraId="6E0A7C99"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CARMAGNOLA - BRA E DIRAMAZIONE RACCONIGI</w:t>
            </w:r>
          </w:p>
        </w:tc>
        <w:tc>
          <w:tcPr>
            <w:tcW w:w="575" w:type="pct"/>
            <w:noWrap/>
            <w:vAlign w:val="bottom"/>
            <w:hideMark/>
          </w:tcPr>
          <w:p w14:paraId="235AE9D4"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0</w:t>
            </w:r>
          </w:p>
        </w:tc>
      </w:tr>
      <w:tr w:rsidR="003E245D" w:rsidRPr="003E245D" w14:paraId="645BA788" w14:textId="77777777" w:rsidTr="007779E2">
        <w:trPr>
          <w:trHeight w:val="300"/>
        </w:trPr>
        <w:tc>
          <w:tcPr>
            <w:tcW w:w="2137" w:type="pct"/>
            <w:noWrap/>
            <w:vAlign w:val="bottom"/>
            <w:hideMark/>
          </w:tcPr>
          <w:p w14:paraId="4C12B5B8"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125</w:t>
            </w:r>
          </w:p>
        </w:tc>
        <w:tc>
          <w:tcPr>
            <w:tcW w:w="2288" w:type="pct"/>
            <w:noWrap/>
            <w:vAlign w:val="bottom"/>
            <w:hideMark/>
          </w:tcPr>
          <w:p w14:paraId="04D23D46"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CHIERI-MARENTINO-VERNONE-SCIOLZE</w:t>
            </w:r>
          </w:p>
        </w:tc>
        <w:tc>
          <w:tcPr>
            <w:tcW w:w="575" w:type="pct"/>
            <w:noWrap/>
            <w:vAlign w:val="bottom"/>
            <w:hideMark/>
          </w:tcPr>
          <w:p w14:paraId="10854959"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4.029</w:t>
            </w:r>
          </w:p>
        </w:tc>
      </w:tr>
      <w:tr w:rsidR="003E245D" w:rsidRPr="003E245D" w14:paraId="1A3ECE9D" w14:textId="77777777" w:rsidTr="007779E2">
        <w:trPr>
          <w:trHeight w:val="300"/>
        </w:trPr>
        <w:tc>
          <w:tcPr>
            <w:tcW w:w="2137" w:type="pct"/>
            <w:noWrap/>
            <w:vAlign w:val="bottom"/>
            <w:hideMark/>
          </w:tcPr>
          <w:p w14:paraId="2B370232"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131</w:t>
            </w:r>
          </w:p>
        </w:tc>
        <w:tc>
          <w:tcPr>
            <w:tcW w:w="2288" w:type="pct"/>
            <w:noWrap/>
            <w:vAlign w:val="bottom"/>
            <w:hideMark/>
          </w:tcPr>
          <w:p w14:paraId="785C0051"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TORINO-LEINI'-RIVAROLO</w:t>
            </w:r>
          </w:p>
        </w:tc>
        <w:tc>
          <w:tcPr>
            <w:tcW w:w="575" w:type="pct"/>
            <w:noWrap/>
            <w:vAlign w:val="bottom"/>
            <w:hideMark/>
          </w:tcPr>
          <w:p w14:paraId="7C85208D"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0</w:t>
            </w:r>
          </w:p>
        </w:tc>
      </w:tr>
      <w:tr w:rsidR="003E245D" w:rsidRPr="003E245D" w14:paraId="7B693492" w14:textId="77777777" w:rsidTr="007779E2">
        <w:trPr>
          <w:trHeight w:val="300"/>
        </w:trPr>
        <w:tc>
          <w:tcPr>
            <w:tcW w:w="2137" w:type="pct"/>
            <w:noWrap/>
            <w:vAlign w:val="bottom"/>
            <w:hideMark/>
          </w:tcPr>
          <w:p w14:paraId="76892D94"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132</w:t>
            </w:r>
          </w:p>
        </w:tc>
        <w:tc>
          <w:tcPr>
            <w:tcW w:w="2288" w:type="pct"/>
            <w:noWrap/>
            <w:vAlign w:val="bottom"/>
            <w:hideMark/>
          </w:tcPr>
          <w:p w14:paraId="07A69116"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RIVAROLO-CASTELLAMONTE</w:t>
            </w:r>
          </w:p>
        </w:tc>
        <w:tc>
          <w:tcPr>
            <w:tcW w:w="575" w:type="pct"/>
            <w:noWrap/>
            <w:vAlign w:val="bottom"/>
            <w:hideMark/>
          </w:tcPr>
          <w:p w14:paraId="1C18B875"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594</w:t>
            </w:r>
          </w:p>
        </w:tc>
      </w:tr>
      <w:tr w:rsidR="003E245D" w:rsidRPr="003E245D" w14:paraId="5E9BFB05" w14:textId="77777777" w:rsidTr="007779E2">
        <w:trPr>
          <w:trHeight w:val="300"/>
        </w:trPr>
        <w:tc>
          <w:tcPr>
            <w:tcW w:w="2137" w:type="pct"/>
            <w:noWrap/>
            <w:vAlign w:val="bottom"/>
            <w:hideMark/>
          </w:tcPr>
          <w:p w14:paraId="0E12BD9A"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133</w:t>
            </w:r>
          </w:p>
        </w:tc>
        <w:tc>
          <w:tcPr>
            <w:tcW w:w="2288" w:type="pct"/>
            <w:noWrap/>
            <w:vAlign w:val="bottom"/>
            <w:hideMark/>
          </w:tcPr>
          <w:p w14:paraId="00007A77"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TORINO-IVREA</w:t>
            </w:r>
          </w:p>
        </w:tc>
        <w:tc>
          <w:tcPr>
            <w:tcW w:w="575" w:type="pct"/>
            <w:noWrap/>
            <w:vAlign w:val="bottom"/>
            <w:hideMark/>
          </w:tcPr>
          <w:p w14:paraId="2D66DF94"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45</w:t>
            </w:r>
          </w:p>
        </w:tc>
      </w:tr>
      <w:tr w:rsidR="003E245D" w:rsidRPr="003E245D" w14:paraId="4B07FCCC" w14:textId="77777777" w:rsidTr="007779E2">
        <w:trPr>
          <w:trHeight w:val="300"/>
        </w:trPr>
        <w:tc>
          <w:tcPr>
            <w:tcW w:w="2137" w:type="pct"/>
            <w:noWrap/>
            <w:vAlign w:val="bottom"/>
            <w:hideMark/>
          </w:tcPr>
          <w:p w14:paraId="20F9D6AB"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134</w:t>
            </w:r>
          </w:p>
        </w:tc>
        <w:tc>
          <w:tcPr>
            <w:tcW w:w="2288" w:type="pct"/>
            <w:noWrap/>
            <w:vAlign w:val="bottom"/>
            <w:hideMark/>
          </w:tcPr>
          <w:p w14:paraId="2BAD2E85"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FORNO C.SE-CUORGNÉ CON DIR. E DEV.</w:t>
            </w:r>
          </w:p>
        </w:tc>
        <w:tc>
          <w:tcPr>
            <w:tcW w:w="575" w:type="pct"/>
            <w:noWrap/>
            <w:vAlign w:val="bottom"/>
            <w:hideMark/>
          </w:tcPr>
          <w:p w14:paraId="2DDE7A56"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0</w:t>
            </w:r>
          </w:p>
        </w:tc>
      </w:tr>
      <w:tr w:rsidR="003E245D" w:rsidRPr="003E245D" w14:paraId="33CCCBCF" w14:textId="77777777" w:rsidTr="007779E2">
        <w:trPr>
          <w:trHeight w:val="300"/>
        </w:trPr>
        <w:tc>
          <w:tcPr>
            <w:tcW w:w="2137" w:type="pct"/>
            <w:noWrap/>
            <w:vAlign w:val="bottom"/>
            <w:hideMark/>
          </w:tcPr>
          <w:p w14:paraId="0C7A09DC"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137</w:t>
            </w:r>
          </w:p>
        </w:tc>
        <w:tc>
          <w:tcPr>
            <w:tcW w:w="2288" w:type="pct"/>
            <w:noWrap/>
            <w:vAlign w:val="bottom"/>
            <w:hideMark/>
          </w:tcPr>
          <w:p w14:paraId="40D8F80A"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CERESOLE-PONT C.SE</w:t>
            </w:r>
          </w:p>
        </w:tc>
        <w:tc>
          <w:tcPr>
            <w:tcW w:w="575" w:type="pct"/>
            <w:noWrap/>
            <w:vAlign w:val="bottom"/>
            <w:hideMark/>
          </w:tcPr>
          <w:p w14:paraId="5EB07D89"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1.579</w:t>
            </w:r>
          </w:p>
        </w:tc>
      </w:tr>
      <w:tr w:rsidR="003E245D" w:rsidRPr="003E245D" w14:paraId="7B97F1F5" w14:textId="77777777" w:rsidTr="007779E2">
        <w:trPr>
          <w:trHeight w:val="300"/>
        </w:trPr>
        <w:tc>
          <w:tcPr>
            <w:tcW w:w="2137" w:type="pct"/>
            <w:noWrap/>
            <w:vAlign w:val="bottom"/>
            <w:hideMark/>
          </w:tcPr>
          <w:p w14:paraId="52B39246"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141</w:t>
            </w:r>
          </w:p>
        </w:tc>
        <w:tc>
          <w:tcPr>
            <w:tcW w:w="2288" w:type="pct"/>
            <w:noWrap/>
            <w:vAlign w:val="bottom"/>
            <w:hideMark/>
          </w:tcPr>
          <w:p w14:paraId="4DFF6B9C"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FRASSINETTO-PONT C.SE</w:t>
            </w:r>
          </w:p>
        </w:tc>
        <w:tc>
          <w:tcPr>
            <w:tcW w:w="575" w:type="pct"/>
            <w:noWrap/>
            <w:vAlign w:val="bottom"/>
            <w:hideMark/>
          </w:tcPr>
          <w:p w14:paraId="5AD013E4"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0</w:t>
            </w:r>
          </w:p>
        </w:tc>
      </w:tr>
      <w:tr w:rsidR="003E245D" w:rsidRPr="003E245D" w14:paraId="03610116" w14:textId="77777777" w:rsidTr="007779E2">
        <w:trPr>
          <w:trHeight w:val="300"/>
        </w:trPr>
        <w:tc>
          <w:tcPr>
            <w:tcW w:w="2137" w:type="pct"/>
            <w:noWrap/>
            <w:vAlign w:val="bottom"/>
            <w:hideMark/>
          </w:tcPr>
          <w:p w14:paraId="0F2A45EF"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143</w:t>
            </w:r>
          </w:p>
        </w:tc>
        <w:tc>
          <w:tcPr>
            <w:tcW w:w="2288" w:type="pct"/>
            <w:noWrap/>
            <w:vAlign w:val="bottom"/>
            <w:hideMark/>
          </w:tcPr>
          <w:p w14:paraId="63C99419"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CUORGNÉ-CASTELLAMONTE-IVREA</w:t>
            </w:r>
          </w:p>
        </w:tc>
        <w:tc>
          <w:tcPr>
            <w:tcW w:w="575" w:type="pct"/>
            <w:noWrap/>
            <w:vAlign w:val="bottom"/>
            <w:hideMark/>
          </w:tcPr>
          <w:p w14:paraId="47437EB7"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1</w:t>
            </w:r>
          </w:p>
        </w:tc>
      </w:tr>
      <w:tr w:rsidR="003E245D" w:rsidRPr="003E245D" w14:paraId="6F862A4B" w14:textId="77777777" w:rsidTr="007779E2">
        <w:trPr>
          <w:trHeight w:val="300"/>
        </w:trPr>
        <w:tc>
          <w:tcPr>
            <w:tcW w:w="2137" w:type="pct"/>
            <w:noWrap/>
            <w:vAlign w:val="bottom"/>
            <w:hideMark/>
          </w:tcPr>
          <w:p w14:paraId="3B734ADC"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146</w:t>
            </w:r>
          </w:p>
        </w:tc>
        <w:tc>
          <w:tcPr>
            <w:tcW w:w="2288" w:type="pct"/>
            <w:noWrap/>
            <w:vAlign w:val="bottom"/>
            <w:hideMark/>
          </w:tcPr>
          <w:p w14:paraId="510BB7A8" w14:textId="77777777" w:rsidR="003E245D" w:rsidRPr="003E245D" w:rsidRDefault="003E245D" w:rsidP="003E245D">
            <w:pPr>
              <w:spacing w:after="0" w:line="240" w:lineRule="auto"/>
              <w:jc w:val="left"/>
              <w:rPr>
                <w:rFonts w:ascii="Aptos Narrow" w:eastAsia="Times New Roman" w:hAnsi="Aptos Narrow" w:cs="Times New Roman"/>
              </w:rPr>
            </w:pPr>
            <w:r w:rsidRPr="003E245D">
              <w:rPr>
                <w:rFonts w:ascii="Aptos Narrow" w:eastAsia="Times New Roman" w:hAnsi="Aptos Narrow" w:cs="Times New Roman"/>
              </w:rPr>
              <w:t>LA CASSA - GIVOLETTO - SAN GILLIO - PIANEZZA</w:t>
            </w:r>
          </w:p>
        </w:tc>
        <w:tc>
          <w:tcPr>
            <w:tcW w:w="575" w:type="pct"/>
            <w:noWrap/>
            <w:vAlign w:val="bottom"/>
            <w:hideMark/>
          </w:tcPr>
          <w:p w14:paraId="49918AC9"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n.d.</w:t>
            </w:r>
          </w:p>
        </w:tc>
      </w:tr>
      <w:tr w:rsidR="003E245D" w:rsidRPr="003E245D" w14:paraId="608C0E78" w14:textId="77777777" w:rsidTr="007779E2">
        <w:trPr>
          <w:trHeight w:val="300"/>
        </w:trPr>
        <w:tc>
          <w:tcPr>
            <w:tcW w:w="2137" w:type="pct"/>
            <w:noWrap/>
            <w:vAlign w:val="bottom"/>
            <w:hideMark/>
          </w:tcPr>
          <w:p w14:paraId="091160F5"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147</w:t>
            </w:r>
          </w:p>
        </w:tc>
        <w:tc>
          <w:tcPr>
            <w:tcW w:w="2288" w:type="pct"/>
            <w:noWrap/>
            <w:vAlign w:val="bottom"/>
            <w:hideMark/>
          </w:tcPr>
          <w:p w14:paraId="7AC14515"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VIALFRE - CASTELLAMONTE</w:t>
            </w:r>
          </w:p>
        </w:tc>
        <w:tc>
          <w:tcPr>
            <w:tcW w:w="575" w:type="pct"/>
            <w:noWrap/>
            <w:vAlign w:val="bottom"/>
            <w:hideMark/>
          </w:tcPr>
          <w:p w14:paraId="63842BAA"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3</w:t>
            </w:r>
          </w:p>
        </w:tc>
      </w:tr>
      <w:tr w:rsidR="003E245D" w:rsidRPr="003E245D" w14:paraId="5A8CC1BE" w14:textId="77777777" w:rsidTr="007779E2">
        <w:trPr>
          <w:trHeight w:val="300"/>
        </w:trPr>
        <w:tc>
          <w:tcPr>
            <w:tcW w:w="2137" w:type="pct"/>
            <w:noWrap/>
            <w:vAlign w:val="bottom"/>
            <w:hideMark/>
          </w:tcPr>
          <w:p w14:paraId="7813F924"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148</w:t>
            </w:r>
          </w:p>
        </w:tc>
        <w:tc>
          <w:tcPr>
            <w:tcW w:w="2288" w:type="pct"/>
            <w:noWrap/>
            <w:vAlign w:val="bottom"/>
            <w:hideMark/>
          </w:tcPr>
          <w:p w14:paraId="3149DB55" w14:textId="77777777" w:rsidR="003E245D" w:rsidRPr="003E245D" w:rsidRDefault="003E245D" w:rsidP="003E245D">
            <w:pPr>
              <w:spacing w:after="0" w:line="240" w:lineRule="auto"/>
              <w:jc w:val="left"/>
              <w:rPr>
                <w:rFonts w:ascii="Aptos Narrow" w:eastAsia="Times New Roman" w:hAnsi="Aptos Narrow" w:cs="Times New Roman"/>
              </w:rPr>
            </w:pPr>
            <w:r w:rsidRPr="003E245D">
              <w:rPr>
                <w:rFonts w:ascii="Aptos Narrow" w:eastAsia="Times New Roman" w:hAnsi="Aptos Narrow" w:cs="Times New Roman"/>
              </w:rPr>
              <w:t>MOLINO - VAL DELLA TORRE - ALPIGNANO FS</w:t>
            </w:r>
          </w:p>
        </w:tc>
        <w:tc>
          <w:tcPr>
            <w:tcW w:w="575" w:type="pct"/>
            <w:noWrap/>
            <w:vAlign w:val="bottom"/>
            <w:hideMark/>
          </w:tcPr>
          <w:p w14:paraId="79700C17"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n.d.</w:t>
            </w:r>
          </w:p>
        </w:tc>
      </w:tr>
      <w:tr w:rsidR="003E245D" w:rsidRPr="003E245D" w14:paraId="48549E58" w14:textId="77777777" w:rsidTr="007779E2">
        <w:trPr>
          <w:trHeight w:val="300"/>
        </w:trPr>
        <w:tc>
          <w:tcPr>
            <w:tcW w:w="2137" w:type="pct"/>
            <w:noWrap/>
            <w:vAlign w:val="bottom"/>
            <w:hideMark/>
          </w:tcPr>
          <w:p w14:paraId="64F18BBC"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5150</w:t>
            </w:r>
          </w:p>
        </w:tc>
        <w:tc>
          <w:tcPr>
            <w:tcW w:w="2288" w:type="pct"/>
            <w:noWrap/>
            <w:vAlign w:val="bottom"/>
            <w:hideMark/>
          </w:tcPr>
          <w:p w14:paraId="218A92DA"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CASTELNUOVO NIGRA-CUORGNÉ</w:t>
            </w:r>
          </w:p>
        </w:tc>
        <w:tc>
          <w:tcPr>
            <w:tcW w:w="575" w:type="pct"/>
            <w:noWrap/>
            <w:vAlign w:val="bottom"/>
            <w:hideMark/>
          </w:tcPr>
          <w:p w14:paraId="5C3069B8"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390</w:t>
            </w:r>
          </w:p>
        </w:tc>
      </w:tr>
      <w:tr w:rsidR="003E245D" w:rsidRPr="003E245D" w14:paraId="099094C0" w14:textId="77777777" w:rsidTr="007779E2">
        <w:trPr>
          <w:trHeight w:val="300"/>
        </w:trPr>
        <w:tc>
          <w:tcPr>
            <w:tcW w:w="2137" w:type="pct"/>
            <w:noWrap/>
            <w:vAlign w:val="bottom"/>
            <w:hideMark/>
          </w:tcPr>
          <w:p w14:paraId="714B8263"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170</w:t>
            </w:r>
          </w:p>
        </w:tc>
        <w:tc>
          <w:tcPr>
            <w:tcW w:w="2288" w:type="pct"/>
            <w:noWrap/>
            <w:vAlign w:val="bottom"/>
            <w:hideMark/>
          </w:tcPr>
          <w:p w14:paraId="78D609CC"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MONTECHIARO - CHIERI - TORINO</w:t>
            </w:r>
          </w:p>
        </w:tc>
        <w:tc>
          <w:tcPr>
            <w:tcW w:w="575" w:type="pct"/>
            <w:noWrap/>
            <w:vAlign w:val="bottom"/>
            <w:hideMark/>
          </w:tcPr>
          <w:p w14:paraId="4642BE6F"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1.817</w:t>
            </w:r>
          </w:p>
        </w:tc>
      </w:tr>
      <w:tr w:rsidR="003E245D" w:rsidRPr="003E245D" w14:paraId="49BE1C7F" w14:textId="77777777" w:rsidTr="007779E2">
        <w:trPr>
          <w:trHeight w:val="300"/>
        </w:trPr>
        <w:tc>
          <w:tcPr>
            <w:tcW w:w="2137" w:type="pct"/>
            <w:noWrap/>
            <w:vAlign w:val="bottom"/>
            <w:hideMark/>
          </w:tcPr>
          <w:p w14:paraId="0AA736DC"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171</w:t>
            </w:r>
          </w:p>
        </w:tc>
        <w:tc>
          <w:tcPr>
            <w:tcW w:w="2288" w:type="pct"/>
            <w:noWrap/>
            <w:vAlign w:val="bottom"/>
            <w:hideMark/>
          </w:tcPr>
          <w:p w14:paraId="4BF056BC"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ALBUGNANO - CHIERI</w:t>
            </w:r>
          </w:p>
        </w:tc>
        <w:tc>
          <w:tcPr>
            <w:tcW w:w="575" w:type="pct"/>
            <w:noWrap/>
            <w:vAlign w:val="bottom"/>
            <w:hideMark/>
          </w:tcPr>
          <w:p w14:paraId="5E3C48B4"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104</w:t>
            </w:r>
          </w:p>
        </w:tc>
      </w:tr>
      <w:tr w:rsidR="003E245D" w:rsidRPr="003E245D" w14:paraId="5058AEB3" w14:textId="77777777" w:rsidTr="007779E2">
        <w:trPr>
          <w:trHeight w:val="300"/>
        </w:trPr>
        <w:tc>
          <w:tcPr>
            <w:tcW w:w="2137" w:type="pct"/>
            <w:noWrap/>
            <w:vAlign w:val="bottom"/>
            <w:hideMark/>
          </w:tcPr>
          <w:p w14:paraId="1D581EB0"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173</w:t>
            </w:r>
          </w:p>
        </w:tc>
        <w:tc>
          <w:tcPr>
            <w:tcW w:w="2288" w:type="pct"/>
            <w:noWrap/>
            <w:vAlign w:val="bottom"/>
            <w:hideMark/>
          </w:tcPr>
          <w:p w14:paraId="589E04A7"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CERES - FORNO ALPI GRAIE</w:t>
            </w:r>
          </w:p>
        </w:tc>
        <w:tc>
          <w:tcPr>
            <w:tcW w:w="575" w:type="pct"/>
            <w:noWrap/>
            <w:vAlign w:val="bottom"/>
            <w:hideMark/>
          </w:tcPr>
          <w:p w14:paraId="412555C8"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38</w:t>
            </w:r>
          </w:p>
        </w:tc>
      </w:tr>
      <w:tr w:rsidR="003E245D" w:rsidRPr="003E245D" w14:paraId="5823FAA3" w14:textId="77777777" w:rsidTr="007779E2">
        <w:trPr>
          <w:trHeight w:val="300"/>
        </w:trPr>
        <w:tc>
          <w:tcPr>
            <w:tcW w:w="2137" w:type="pct"/>
            <w:noWrap/>
            <w:vAlign w:val="bottom"/>
            <w:hideMark/>
          </w:tcPr>
          <w:p w14:paraId="7532E915"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174</w:t>
            </w:r>
          </w:p>
        </w:tc>
        <w:tc>
          <w:tcPr>
            <w:tcW w:w="2288" w:type="pct"/>
            <w:noWrap/>
            <w:vAlign w:val="bottom"/>
            <w:hideMark/>
          </w:tcPr>
          <w:p w14:paraId="3D24C596"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TORINO - CIRIÉ - CORIO</w:t>
            </w:r>
          </w:p>
        </w:tc>
        <w:tc>
          <w:tcPr>
            <w:tcW w:w="575" w:type="pct"/>
            <w:noWrap/>
            <w:vAlign w:val="bottom"/>
            <w:hideMark/>
          </w:tcPr>
          <w:p w14:paraId="46BCE82E"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0</w:t>
            </w:r>
          </w:p>
        </w:tc>
      </w:tr>
      <w:tr w:rsidR="003E245D" w:rsidRPr="003E245D" w14:paraId="46A05EE2" w14:textId="77777777" w:rsidTr="007779E2">
        <w:trPr>
          <w:trHeight w:val="300"/>
        </w:trPr>
        <w:tc>
          <w:tcPr>
            <w:tcW w:w="2137" w:type="pct"/>
            <w:noWrap/>
            <w:vAlign w:val="bottom"/>
            <w:hideMark/>
          </w:tcPr>
          <w:p w14:paraId="77531574"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175</w:t>
            </w:r>
          </w:p>
        </w:tc>
        <w:tc>
          <w:tcPr>
            <w:tcW w:w="2288" w:type="pct"/>
            <w:noWrap/>
            <w:vAlign w:val="bottom"/>
            <w:hideMark/>
          </w:tcPr>
          <w:p w14:paraId="496B05F7"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TORINO-SUPERGA-BALDISSERO-CHIERI</w:t>
            </w:r>
          </w:p>
        </w:tc>
        <w:tc>
          <w:tcPr>
            <w:tcW w:w="575" w:type="pct"/>
            <w:noWrap/>
            <w:vAlign w:val="bottom"/>
            <w:hideMark/>
          </w:tcPr>
          <w:p w14:paraId="29D0B444"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3.039</w:t>
            </w:r>
          </w:p>
        </w:tc>
      </w:tr>
      <w:tr w:rsidR="003E245D" w:rsidRPr="003E245D" w14:paraId="0B58A710" w14:textId="77777777" w:rsidTr="007779E2">
        <w:trPr>
          <w:trHeight w:val="300"/>
        </w:trPr>
        <w:tc>
          <w:tcPr>
            <w:tcW w:w="2137" w:type="pct"/>
            <w:noWrap/>
            <w:vAlign w:val="bottom"/>
            <w:hideMark/>
          </w:tcPr>
          <w:p w14:paraId="1164D733"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179</w:t>
            </w:r>
          </w:p>
        </w:tc>
        <w:tc>
          <w:tcPr>
            <w:tcW w:w="2288" w:type="pct"/>
            <w:noWrap/>
            <w:vAlign w:val="bottom"/>
            <w:hideMark/>
          </w:tcPr>
          <w:p w14:paraId="64A083DC"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TORINO-EREMO-PECETTO-CHIERI</w:t>
            </w:r>
          </w:p>
        </w:tc>
        <w:tc>
          <w:tcPr>
            <w:tcW w:w="575" w:type="pct"/>
            <w:noWrap/>
            <w:vAlign w:val="bottom"/>
            <w:hideMark/>
          </w:tcPr>
          <w:p w14:paraId="7CEF81EF"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18.845</w:t>
            </w:r>
          </w:p>
        </w:tc>
      </w:tr>
      <w:tr w:rsidR="003E245D" w:rsidRPr="003E245D" w14:paraId="1C499681" w14:textId="77777777" w:rsidTr="007779E2">
        <w:trPr>
          <w:trHeight w:val="300"/>
        </w:trPr>
        <w:tc>
          <w:tcPr>
            <w:tcW w:w="2137" w:type="pct"/>
            <w:noWrap/>
            <w:vAlign w:val="bottom"/>
            <w:hideMark/>
          </w:tcPr>
          <w:p w14:paraId="630DC064"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180</w:t>
            </w:r>
          </w:p>
        </w:tc>
        <w:tc>
          <w:tcPr>
            <w:tcW w:w="2288" w:type="pct"/>
            <w:noWrap/>
            <w:vAlign w:val="bottom"/>
            <w:hideMark/>
          </w:tcPr>
          <w:p w14:paraId="219AA348"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TORINO-MONCALIERI-SANTENA-CHIERI</w:t>
            </w:r>
          </w:p>
        </w:tc>
        <w:tc>
          <w:tcPr>
            <w:tcW w:w="575" w:type="pct"/>
            <w:noWrap/>
            <w:vAlign w:val="bottom"/>
            <w:hideMark/>
          </w:tcPr>
          <w:p w14:paraId="4476CAA9"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6.719</w:t>
            </w:r>
          </w:p>
        </w:tc>
      </w:tr>
      <w:tr w:rsidR="003E245D" w:rsidRPr="003E245D" w14:paraId="7974FD79" w14:textId="77777777" w:rsidTr="007779E2">
        <w:trPr>
          <w:trHeight w:val="300"/>
        </w:trPr>
        <w:tc>
          <w:tcPr>
            <w:tcW w:w="2137" w:type="pct"/>
            <w:noWrap/>
            <w:vAlign w:val="bottom"/>
            <w:hideMark/>
          </w:tcPr>
          <w:p w14:paraId="4E1F95EC"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184</w:t>
            </w:r>
          </w:p>
        </w:tc>
        <w:tc>
          <w:tcPr>
            <w:tcW w:w="2288" w:type="pct"/>
            <w:noWrap/>
            <w:vAlign w:val="bottom"/>
            <w:hideMark/>
          </w:tcPr>
          <w:p w14:paraId="2CC76E61"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POIRINO-PESSIONE-RIVA-CHIERI</w:t>
            </w:r>
          </w:p>
        </w:tc>
        <w:tc>
          <w:tcPr>
            <w:tcW w:w="575" w:type="pct"/>
            <w:noWrap/>
            <w:vAlign w:val="bottom"/>
            <w:hideMark/>
          </w:tcPr>
          <w:p w14:paraId="79E24B70"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13.277</w:t>
            </w:r>
          </w:p>
        </w:tc>
      </w:tr>
      <w:tr w:rsidR="003E245D" w:rsidRPr="003E245D" w14:paraId="027DF571" w14:textId="77777777" w:rsidTr="007779E2">
        <w:trPr>
          <w:trHeight w:val="300"/>
        </w:trPr>
        <w:tc>
          <w:tcPr>
            <w:tcW w:w="2137" w:type="pct"/>
            <w:noWrap/>
            <w:vAlign w:val="bottom"/>
            <w:hideMark/>
          </w:tcPr>
          <w:p w14:paraId="182CF97B"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lastRenderedPageBreak/>
              <w:t>185</w:t>
            </w:r>
          </w:p>
        </w:tc>
        <w:tc>
          <w:tcPr>
            <w:tcW w:w="2288" w:type="pct"/>
            <w:noWrap/>
            <w:vAlign w:val="bottom"/>
            <w:hideMark/>
          </w:tcPr>
          <w:p w14:paraId="106B942A"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CHIERI-CAMBIANO-SANTENA-CARIGNANO</w:t>
            </w:r>
          </w:p>
        </w:tc>
        <w:tc>
          <w:tcPr>
            <w:tcW w:w="575" w:type="pct"/>
            <w:noWrap/>
            <w:vAlign w:val="bottom"/>
            <w:hideMark/>
          </w:tcPr>
          <w:p w14:paraId="0A1FD6BE"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23.242</w:t>
            </w:r>
          </w:p>
        </w:tc>
      </w:tr>
      <w:tr w:rsidR="003E245D" w:rsidRPr="003E245D" w14:paraId="2DA78D5F" w14:textId="77777777" w:rsidTr="007779E2">
        <w:trPr>
          <w:trHeight w:val="300"/>
        </w:trPr>
        <w:tc>
          <w:tcPr>
            <w:tcW w:w="2137" w:type="pct"/>
            <w:noWrap/>
            <w:vAlign w:val="bottom"/>
            <w:hideMark/>
          </w:tcPr>
          <w:p w14:paraId="353DAF4B"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188</w:t>
            </w:r>
          </w:p>
        </w:tc>
        <w:tc>
          <w:tcPr>
            <w:tcW w:w="2288" w:type="pct"/>
            <w:noWrap/>
            <w:vAlign w:val="bottom"/>
            <w:hideMark/>
          </w:tcPr>
          <w:p w14:paraId="1A7A8F6A"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CERES-ALA DI STURA-BALME-P.MUSSA</w:t>
            </w:r>
          </w:p>
        </w:tc>
        <w:tc>
          <w:tcPr>
            <w:tcW w:w="575" w:type="pct"/>
            <w:noWrap/>
            <w:vAlign w:val="bottom"/>
            <w:hideMark/>
          </w:tcPr>
          <w:p w14:paraId="6ADCA4B4"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1.211</w:t>
            </w:r>
          </w:p>
        </w:tc>
      </w:tr>
      <w:tr w:rsidR="003E245D" w:rsidRPr="003E245D" w14:paraId="7B3489AE" w14:textId="77777777" w:rsidTr="007779E2">
        <w:trPr>
          <w:trHeight w:val="300"/>
        </w:trPr>
        <w:tc>
          <w:tcPr>
            <w:tcW w:w="2137" w:type="pct"/>
            <w:noWrap/>
            <w:vAlign w:val="bottom"/>
            <w:hideMark/>
          </w:tcPr>
          <w:p w14:paraId="0FE73248"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194</w:t>
            </w:r>
          </w:p>
        </w:tc>
        <w:tc>
          <w:tcPr>
            <w:tcW w:w="2288" w:type="pct"/>
            <w:noWrap/>
            <w:vAlign w:val="bottom"/>
            <w:hideMark/>
          </w:tcPr>
          <w:p w14:paraId="3380B38C"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BUSSOLENO - BORGONE - AVIGLIANA - GIAVENO</w:t>
            </w:r>
          </w:p>
        </w:tc>
        <w:tc>
          <w:tcPr>
            <w:tcW w:w="575" w:type="pct"/>
            <w:noWrap/>
            <w:vAlign w:val="bottom"/>
            <w:hideMark/>
          </w:tcPr>
          <w:p w14:paraId="6B74CEF5"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388</w:t>
            </w:r>
          </w:p>
        </w:tc>
      </w:tr>
      <w:tr w:rsidR="003E245D" w:rsidRPr="003E245D" w14:paraId="4AEAC984" w14:textId="77777777" w:rsidTr="007779E2">
        <w:trPr>
          <w:trHeight w:val="300"/>
        </w:trPr>
        <w:tc>
          <w:tcPr>
            <w:tcW w:w="2137" w:type="pct"/>
            <w:noWrap/>
            <w:vAlign w:val="bottom"/>
            <w:hideMark/>
          </w:tcPr>
          <w:p w14:paraId="2992E201"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196</w:t>
            </w:r>
          </w:p>
        </w:tc>
        <w:tc>
          <w:tcPr>
            <w:tcW w:w="2288" w:type="pct"/>
            <w:noWrap/>
            <w:vAlign w:val="bottom"/>
            <w:hideMark/>
          </w:tcPr>
          <w:p w14:paraId="02F51BB4"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MATTIE - BUSSOLENO</w:t>
            </w:r>
          </w:p>
        </w:tc>
        <w:tc>
          <w:tcPr>
            <w:tcW w:w="575" w:type="pct"/>
            <w:noWrap/>
            <w:vAlign w:val="bottom"/>
            <w:hideMark/>
          </w:tcPr>
          <w:p w14:paraId="10348BFB"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0</w:t>
            </w:r>
          </w:p>
        </w:tc>
      </w:tr>
      <w:tr w:rsidR="003E245D" w:rsidRPr="003E245D" w14:paraId="3A3408BD" w14:textId="77777777" w:rsidTr="007779E2">
        <w:trPr>
          <w:trHeight w:val="300"/>
        </w:trPr>
        <w:tc>
          <w:tcPr>
            <w:tcW w:w="2137" w:type="pct"/>
            <w:noWrap/>
            <w:vAlign w:val="bottom"/>
            <w:hideMark/>
          </w:tcPr>
          <w:p w14:paraId="2C41B9AD"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208</w:t>
            </w:r>
          </w:p>
        </w:tc>
        <w:tc>
          <w:tcPr>
            <w:tcW w:w="2288" w:type="pct"/>
            <w:noWrap/>
            <w:vAlign w:val="bottom"/>
            <w:hideMark/>
          </w:tcPr>
          <w:p w14:paraId="707CEAD3"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GIAVENO-AVIGLIANA-BUSSOLENO</w:t>
            </w:r>
          </w:p>
        </w:tc>
        <w:tc>
          <w:tcPr>
            <w:tcW w:w="575" w:type="pct"/>
            <w:noWrap/>
            <w:vAlign w:val="bottom"/>
            <w:hideMark/>
          </w:tcPr>
          <w:p w14:paraId="03499DB6"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0</w:t>
            </w:r>
          </w:p>
        </w:tc>
      </w:tr>
      <w:tr w:rsidR="003E245D" w:rsidRPr="003E245D" w14:paraId="4ED14D39" w14:textId="77777777" w:rsidTr="007779E2">
        <w:trPr>
          <w:trHeight w:val="300"/>
        </w:trPr>
        <w:tc>
          <w:tcPr>
            <w:tcW w:w="2137" w:type="pct"/>
            <w:noWrap/>
            <w:vAlign w:val="bottom"/>
            <w:hideMark/>
          </w:tcPr>
          <w:p w14:paraId="79400849"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209</w:t>
            </w:r>
          </w:p>
        </w:tc>
        <w:tc>
          <w:tcPr>
            <w:tcW w:w="2288" w:type="pct"/>
            <w:noWrap/>
            <w:vAlign w:val="bottom"/>
            <w:hideMark/>
          </w:tcPr>
          <w:p w14:paraId="288AD042"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S.GIORIO-GIAVENO</w:t>
            </w:r>
          </w:p>
        </w:tc>
        <w:tc>
          <w:tcPr>
            <w:tcW w:w="575" w:type="pct"/>
            <w:noWrap/>
            <w:vAlign w:val="bottom"/>
            <w:hideMark/>
          </w:tcPr>
          <w:p w14:paraId="706431A4"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0</w:t>
            </w:r>
          </w:p>
        </w:tc>
      </w:tr>
      <w:tr w:rsidR="003E245D" w:rsidRPr="003E245D" w14:paraId="38D1D727" w14:textId="77777777" w:rsidTr="007779E2">
        <w:trPr>
          <w:trHeight w:val="300"/>
        </w:trPr>
        <w:tc>
          <w:tcPr>
            <w:tcW w:w="2137" w:type="pct"/>
            <w:noWrap/>
            <w:vAlign w:val="bottom"/>
            <w:hideMark/>
          </w:tcPr>
          <w:p w14:paraId="4E8C6C3B"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213</w:t>
            </w:r>
          </w:p>
        </w:tc>
        <w:tc>
          <w:tcPr>
            <w:tcW w:w="2288" w:type="pct"/>
            <w:noWrap/>
            <w:vAlign w:val="bottom"/>
            <w:hideMark/>
          </w:tcPr>
          <w:p w14:paraId="7C20FC2E"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CANTALUPA-CUMIANA-PISCINA</w:t>
            </w:r>
          </w:p>
        </w:tc>
        <w:tc>
          <w:tcPr>
            <w:tcW w:w="575" w:type="pct"/>
            <w:noWrap/>
            <w:vAlign w:val="bottom"/>
            <w:hideMark/>
          </w:tcPr>
          <w:p w14:paraId="18776E5E"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273</w:t>
            </w:r>
          </w:p>
        </w:tc>
      </w:tr>
      <w:tr w:rsidR="003E245D" w:rsidRPr="003E245D" w14:paraId="4CF34A30" w14:textId="77777777" w:rsidTr="007779E2">
        <w:trPr>
          <w:trHeight w:val="300"/>
        </w:trPr>
        <w:tc>
          <w:tcPr>
            <w:tcW w:w="2137" w:type="pct"/>
            <w:noWrap/>
            <w:vAlign w:val="bottom"/>
            <w:hideMark/>
          </w:tcPr>
          <w:p w14:paraId="6537C630"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214</w:t>
            </w:r>
          </w:p>
        </w:tc>
        <w:tc>
          <w:tcPr>
            <w:tcW w:w="2288" w:type="pct"/>
            <w:noWrap/>
            <w:vAlign w:val="bottom"/>
            <w:hideMark/>
          </w:tcPr>
          <w:p w14:paraId="27BB032B"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PRAROSTINO-PINEROLO</w:t>
            </w:r>
          </w:p>
        </w:tc>
        <w:tc>
          <w:tcPr>
            <w:tcW w:w="575" w:type="pct"/>
            <w:noWrap/>
            <w:vAlign w:val="bottom"/>
            <w:hideMark/>
          </w:tcPr>
          <w:p w14:paraId="4C755965"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6.631</w:t>
            </w:r>
          </w:p>
        </w:tc>
      </w:tr>
      <w:tr w:rsidR="003E245D" w:rsidRPr="003E245D" w14:paraId="04352492" w14:textId="77777777" w:rsidTr="007779E2">
        <w:trPr>
          <w:trHeight w:val="300"/>
        </w:trPr>
        <w:tc>
          <w:tcPr>
            <w:tcW w:w="2137" w:type="pct"/>
            <w:noWrap/>
            <w:vAlign w:val="bottom"/>
            <w:hideMark/>
          </w:tcPr>
          <w:p w14:paraId="2C71ECC1"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216</w:t>
            </w:r>
          </w:p>
        </w:tc>
        <w:tc>
          <w:tcPr>
            <w:tcW w:w="2288" w:type="pct"/>
            <w:noWrap/>
            <w:vAlign w:val="bottom"/>
            <w:hideMark/>
          </w:tcPr>
          <w:p w14:paraId="29946F5F"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BARGE-CAVOUR-TORRE PELLICE</w:t>
            </w:r>
          </w:p>
        </w:tc>
        <w:tc>
          <w:tcPr>
            <w:tcW w:w="575" w:type="pct"/>
            <w:noWrap/>
            <w:vAlign w:val="bottom"/>
            <w:hideMark/>
          </w:tcPr>
          <w:p w14:paraId="3E815F63"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13.914</w:t>
            </w:r>
          </w:p>
        </w:tc>
      </w:tr>
      <w:tr w:rsidR="003E245D" w:rsidRPr="003E245D" w14:paraId="1C93D2EC" w14:textId="77777777" w:rsidTr="007779E2">
        <w:trPr>
          <w:trHeight w:val="300"/>
        </w:trPr>
        <w:tc>
          <w:tcPr>
            <w:tcW w:w="2137" w:type="pct"/>
            <w:noWrap/>
            <w:vAlign w:val="bottom"/>
            <w:hideMark/>
          </w:tcPr>
          <w:p w14:paraId="05C8B315"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220</w:t>
            </w:r>
          </w:p>
        </w:tc>
        <w:tc>
          <w:tcPr>
            <w:tcW w:w="2288" w:type="pct"/>
            <w:noWrap/>
            <w:vAlign w:val="bottom"/>
            <w:hideMark/>
          </w:tcPr>
          <w:p w14:paraId="7F8AEF63"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PINEROLO-TORINO</w:t>
            </w:r>
          </w:p>
        </w:tc>
        <w:tc>
          <w:tcPr>
            <w:tcW w:w="575" w:type="pct"/>
            <w:noWrap/>
            <w:vAlign w:val="bottom"/>
            <w:hideMark/>
          </w:tcPr>
          <w:p w14:paraId="100EA31A"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68.007</w:t>
            </w:r>
          </w:p>
        </w:tc>
      </w:tr>
      <w:tr w:rsidR="003E245D" w:rsidRPr="003E245D" w14:paraId="0A4D8901" w14:textId="77777777" w:rsidTr="007779E2">
        <w:trPr>
          <w:trHeight w:val="300"/>
        </w:trPr>
        <w:tc>
          <w:tcPr>
            <w:tcW w:w="2137" w:type="pct"/>
            <w:noWrap/>
            <w:vAlign w:val="bottom"/>
            <w:hideMark/>
          </w:tcPr>
          <w:p w14:paraId="6E0F5D3B"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226</w:t>
            </w:r>
          </w:p>
        </w:tc>
        <w:tc>
          <w:tcPr>
            <w:tcW w:w="2288" w:type="pct"/>
            <w:noWrap/>
            <w:vAlign w:val="bottom"/>
            <w:hideMark/>
          </w:tcPr>
          <w:p w14:paraId="5E7894CC"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VARISELLA - CAFASSE - TORINO</w:t>
            </w:r>
          </w:p>
        </w:tc>
        <w:tc>
          <w:tcPr>
            <w:tcW w:w="575" w:type="pct"/>
            <w:noWrap/>
            <w:vAlign w:val="bottom"/>
            <w:hideMark/>
          </w:tcPr>
          <w:p w14:paraId="52F13365"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131.815</w:t>
            </w:r>
          </w:p>
        </w:tc>
      </w:tr>
      <w:tr w:rsidR="003E245D" w:rsidRPr="003E245D" w14:paraId="1265D2AB" w14:textId="77777777" w:rsidTr="007779E2">
        <w:trPr>
          <w:trHeight w:val="300"/>
        </w:trPr>
        <w:tc>
          <w:tcPr>
            <w:tcW w:w="2137" w:type="pct"/>
            <w:noWrap/>
            <w:vAlign w:val="bottom"/>
            <w:hideMark/>
          </w:tcPr>
          <w:p w14:paraId="5B8DA0A3"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229</w:t>
            </w:r>
          </w:p>
        </w:tc>
        <w:tc>
          <w:tcPr>
            <w:tcW w:w="2288" w:type="pct"/>
            <w:noWrap/>
            <w:vAlign w:val="bottom"/>
            <w:hideMark/>
          </w:tcPr>
          <w:p w14:paraId="63586CAC"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VARISELLA - CIRIÉ</w:t>
            </w:r>
          </w:p>
        </w:tc>
        <w:tc>
          <w:tcPr>
            <w:tcW w:w="575" w:type="pct"/>
            <w:noWrap/>
            <w:vAlign w:val="bottom"/>
            <w:hideMark/>
          </w:tcPr>
          <w:p w14:paraId="524DEC0F"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15.861</w:t>
            </w:r>
          </w:p>
        </w:tc>
      </w:tr>
      <w:tr w:rsidR="003E245D" w:rsidRPr="003E245D" w14:paraId="748AC445" w14:textId="77777777" w:rsidTr="007779E2">
        <w:trPr>
          <w:trHeight w:val="300"/>
        </w:trPr>
        <w:tc>
          <w:tcPr>
            <w:tcW w:w="2137" w:type="pct"/>
            <w:noWrap/>
            <w:vAlign w:val="bottom"/>
            <w:hideMark/>
          </w:tcPr>
          <w:p w14:paraId="674FAE14"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230</w:t>
            </w:r>
          </w:p>
        </w:tc>
        <w:tc>
          <w:tcPr>
            <w:tcW w:w="2288" w:type="pct"/>
            <w:noWrap/>
            <w:vAlign w:val="bottom"/>
            <w:hideMark/>
          </w:tcPr>
          <w:p w14:paraId="76D62BCD"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ROBASSOMERO - LANZO</w:t>
            </w:r>
          </w:p>
        </w:tc>
        <w:tc>
          <w:tcPr>
            <w:tcW w:w="575" w:type="pct"/>
            <w:noWrap/>
            <w:vAlign w:val="bottom"/>
            <w:hideMark/>
          </w:tcPr>
          <w:p w14:paraId="115B3EF4"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9.562</w:t>
            </w:r>
          </w:p>
        </w:tc>
      </w:tr>
      <w:tr w:rsidR="003E245D" w:rsidRPr="003E245D" w14:paraId="3AB3C469" w14:textId="77777777" w:rsidTr="007779E2">
        <w:trPr>
          <w:trHeight w:val="300"/>
        </w:trPr>
        <w:tc>
          <w:tcPr>
            <w:tcW w:w="2137" w:type="pct"/>
            <w:noWrap/>
            <w:vAlign w:val="bottom"/>
            <w:hideMark/>
          </w:tcPr>
          <w:p w14:paraId="0A987CA9"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232</w:t>
            </w:r>
          </w:p>
        </w:tc>
        <w:tc>
          <w:tcPr>
            <w:tcW w:w="2288" w:type="pct"/>
            <w:noWrap/>
            <w:vAlign w:val="bottom"/>
            <w:hideMark/>
          </w:tcPr>
          <w:p w14:paraId="16F320F6"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COCCONATO-CHIVASSO FS-TORINO</w:t>
            </w:r>
          </w:p>
        </w:tc>
        <w:tc>
          <w:tcPr>
            <w:tcW w:w="575" w:type="pct"/>
            <w:noWrap/>
            <w:vAlign w:val="bottom"/>
            <w:hideMark/>
          </w:tcPr>
          <w:p w14:paraId="08442E60"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0</w:t>
            </w:r>
          </w:p>
        </w:tc>
      </w:tr>
      <w:tr w:rsidR="003E245D" w:rsidRPr="003E245D" w14:paraId="4DFD2D0F" w14:textId="77777777" w:rsidTr="007779E2">
        <w:trPr>
          <w:trHeight w:val="300"/>
        </w:trPr>
        <w:tc>
          <w:tcPr>
            <w:tcW w:w="2137" w:type="pct"/>
            <w:noWrap/>
            <w:vAlign w:val="bottom"/>
            <w:hideMark/>
          </w:tcPr>
          <w:p w14:paraId="1D82B814"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234</w:t>
            </w:r>
          </w:p>
        </w:tc>
        <w:tc>
          <w:tcPr>
            <w:tcW w:w="2288" w:type="pct"/>
            <w:noWrap/>
            <w:vAlign w:val="bottom"/>
            <w:hideMark/>
          </w:tcPr>
          <w:p w14:paraId="3ADC9921"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LEVONE - CIRIÉ</w:t>
            </w:r>
          </w:p>
        </w:tc>
        <w:tc>
          <w:tcPr>
            <w:tcW w:w="575" w:type="pct"/>
            <w:noWrap/>
            <w:vAlign w:val="bottom"/>
            <w:hideMark/>
          </w:tcPr>
          <w:p w14:paraId="3BEB53DE"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83</w:t>
            </w:r>
          </w:p>
        </w:tc>
      </w:tr>
      <w:tr w:rsidR="003E245D" w:rsidRPr="003E245D" w14:paraId="685D1274" w14:textId="77777777" w:rsidTr="007779E2">
        <w:trPr>
          <w:trHeight w:val="300"/>
        </w:trPr>
        <w:tc>
          <w:tcPr>
            <w:tcW w:w="2137" w:type="pct"/>
            <w:noWrap/>
            <w:vAlign w:val="bottom"/>
            <w:hideMark/>
          </w:tcPr>
          <w:p w14:paraId="04B6883F"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240</w:t>
            </w:r>
          </w:p>
        </w:tc>
        <w:tc>
          <w:tcPr>
            <w:tcW w:w="2288" w:type="pct"/>
            <w:noWrap/>
            <w:vAlign w:val="bottom"/>
            <w:hideMark/>
          </w:tcPr>
          <w:p w14:paraId="69958CA9"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CARMAGNOLA-CANDIOLO- FIAT RIVALTA</w:t>
            </w:r>
          </w:p>
        </w:tc>
        <w:tc>
          <w:tcPr>
            <w:tcW w:w="575" w:type="pct"/>
            <w:noWrap/>
            <w:vAlign w:val="bottom"/>
            <w:hideMark/>
          </w:tcPr>
          <w:p w14:paraId="29421CF1"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515.979</w:t>
            </w:r>
          </w:p>
        </w:tc>
      </w:tr>
      <w:tr w:rsidR="003E245D" w:rsidRPr="003E245D" w14:paraId="721D4DF1" w14:textId="77777777" w:rsidTr="007779E2">
        <w:trPr>
          <w:trHeight w:val="300"/>
        </w:trPr>
        <w:tc>
          <w:tcPr>
            <w:tcW w:w="2137" w:type="pct"/>
            <w:noWrap/>
            <w:vAlign w:val="bottom"/>
            <w:hideMark/>
          </w:tcPr>
          <w:p w14:paraId="5599E23A"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241</w:t>
            </w:r>
          </w:p>
        </w:tc>
        <w:tc>
          <w:tcPr>
            <w:tcW w:w="2288" w:type="pct"/>
            <w:noWrap/>
            <w:vAlign w:val="bottom"/>
            <w:hideMark/>
          </w:tcPr>
          <w:p w14:paraId="0B88AF1A"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CARMAGNOLA-PRALORMO-POIRINO-FAVARI</w:t>
            </w:r>
          </w:p>
        </w:tc>
        <w:tc>
          <w:tcPr>
            <w:tcW w:w="575" w:type="pct"/>
            <w:noWrap/>
            <w:vAlign w:val="bottom"/>
            <w:hideMark/>
          </w:tcPr>
          <w:p w14:paraId="15B23EBB"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0</w:t>
            </w:r>
          </w:p>
        </w:tc>
      </w:tr>
      <w:tr w:rsidR="003E245D" w:rsidRPr="003E245D" w14:paraId="0E3B8829" w14:textId="77777777" w:rsidTr="007779E2">
        <w:trPr>
          <w:trHeight w:val="300"/>
        </w:trPr>
        <w:tc>
          <w:tcPr>
            <w:tcW w:w="2137" w:type="pct"/>
            <w:noWrap/>
            <w:vAlign w:val="bottom"/>
            <w:hideMark/>
          </w:tcPr>
          <w:p w14:paraId="694417BA"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242</w:t>
            </w:r>
          </w:p>
        </w:tc>
        <w:tc>
          <w:tcPr>
            <w:tcW w:w="2288" w:type="pct"/>
            <w:noWrap/>
            <w:vAlign w:val="bottom"/>
            <w:hideMark/>
          </w:tcPr>
          <w:p w14:paraId="744F1A1A"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CARMAGNOLA-CARIGNANO-POIRINO</w:t>
            </w:r>
          </w:p>
        </w:tc>
        <w:tc>
          <w:tcPr>
            <w:tcW w:w="575" w:type="pct"/>
            <w:noWrap/>
            <w:vAlign w:val="bottom"/>
            <w:hideMark/>
          </w:tcPr>
          <w:p w14:paraId="19A947FE"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0</w:t>
            </w:r>
          </w:p>
        </w:tc>
      </w:tr>
      <w:tr w:rsidR="003E245D" w:rsidRPr="003E245D" w14:paraId="261910FA" w14:textId="77777777" w:rsidTr="007779E2">
        <w:trPr>
          <w:trHeight w:val="300"/>
        </w:trPr>
        <w:tc>
          <w:tcPr>
            <w:tcW w:w="2137" w:type="pct"/>
            <w:noWrap/>
            <w:vAlign w:val="bottom"/>
            <w:hideMark/>
          </w:tcPr>
          <w:p w14:paraId="1CE338CE"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244</w:t>
            </w:r>
          </w:p>
        </w:tc>
        <w:tc>
          <w:tcPr>
            <w:tcW w:w="2288" w:type="pct"/>
            <w:noWrap/>
            <w:vAlign w:val="bottom"/>
            <w:hideMark/>
          </w:tcPr>
          <w:p w14:paraId="5406FB3F"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CANDIOLO-VINOVO-CARMAGNOLA</w:t>
            </w:r>
          </w:p>
        </w:tc>
        <w:tc>
          <w:tcPr>
            <w:tcW w:w="575" w:type="pct"/>
            <w:noWrap/>
            <w:vAlign w:val="bottom"/>
            <w:hideMark/>
          </w:tcPr>
          <w:p w14:paraId="2AE17382"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0</w:t>
            </w:r>
          </w:p>
        </w:tc>
      </w:tr>
      <w:tr w:rsidR="003E245D" w:rsidRPr="003E245D" w14:paraId="22C28CF8" w14:textId="77777777" w:rsidTr="007779E2">
        <w:trPr>
          <w:trHeight w:val="300"/>
        </w:trPr>
        <w:tc>
          <w:tcPr>
            <w:tcW w:w="2137" w:type="pct"/>
            <w:noWrap/>
            <w:vAlign w:val="bottom"/>
            <w:hideMark/>
          </w:tcPr>
          <w:p w14:paraId="2AAD1CFD"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252</w:t>
            </w:r>
          </w:p>
        </w:tc>
        <w:tc>
          <w:tcPr>
            <w:tcW w:w="2288" w:type="pct"/>
            <w:noWrap/>
            <w:vAlign w:val="bottom"/>
            <w:hideMark/>
          </w:tcPr>
          <w:p w14:paraId="4E3DEB67"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COAZZE-GIAVENO-ORBASSANO-TORINO</w:t>
            </w:r>
          </w:p>
        </w:tc>
        <w:tc>
          <w:tcPr>
            <w:tcW w:w="575" w:type="pct"/>
            <w:noWrap/>
            <w:vAlign w:val="bottom"/>
            <w:hideMark/>
          </w:tcPr>
          <w:p w14:paraId="387CB1EC"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19759</w:t>
            </w:r>
          </w:p>
        </w:tc>
      </w:tr>
      <w:tr w:rsidR="003E245D" w:rsidRPr="003E245D" w14:paraId="4EB7E909" w14:textId="77777777" w:rsidTr="007779E2">
        <w:trPr>
          <w:trHeight w:val="300"/>
        </w:trPr>
        <w:tc>
          <w:tcPr>
            <w:tcW w:w="2137" w:type="pct"/>
            <w:noWrap/>
            <w:vAlign w:val="bottom"/>
            <w:hideMark/>
          </w:tcPr>
          <w:p w14:paraId="1CA6BE98"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253</w:t>
            </w:r>
          </w:p>
        </w:tc>
        <w:tc>
          <w:tcPr>
            <w:tcW w:w="2288" w:type="pct"/>
            <w:noWrap/>
            <w:vAlign w:val="bottom"/>
            <w:hideMark/>
          </w:tcPr>
          <w:p w14:paraId="43EA7F0C"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COAZZE-FERRIERA</w:t>
            </w:r>
          </w:p>
        </w:tc>
        <w:tc>
          <w:tcPr>
            <w:tcW w:w="575" w:type="pct"/>
            <w:noWrap/>
            <w:vAlign w:val="bottom"/>
            <w:hideMark/>
          </w:tcPr>
          <w:p w14:paraId="1618C12F"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77.316</w:t>
            </w:r>
          </w:p>
        </w:tc>
      </w:tr>
      <w:tr w:rsidR="003E245D" w:rsidRPr="003E245D" w14:paraId="76FBC1C4" w14:textId="77777777" w:rsidTr="007779E2">
        <w:trPr>
          <w:trHeight w:val="300"/>
        </w:trPr>
        <w:tc>
          <w:tcPr>
            <w:tcW w:w="2137" w:type="pct"/>
            <w:noWrap/>
            <w:vAlign w:val="bottom"/>
            <w:hideMark/>
          </w:tcPr>
          <w:p w14:paraId="0073EA9F"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254</w:t>
            </w:r>
          </w:p>
        </w:tc>
        <w:tc>
          <w:tcPr>
            <w:tcW w:w="2288" w:type="pct"/>
            <w:noWrap/>
            <w:vAlign w:val="bottom"/>
            <w:hideMark/>
          </w:tcPr>
          <w:p w14:paraId="79FC7BE6"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GIAVENO-COLLE BRAIDA</w:t>
            </w:r>
          </w:p>
        </w:tc>
        <w:tc>
          <w:tcPr>
            <w:tcW w:w="575" w:type="pct"/>
            <w:noWrap/>
            <w:vAlign w:val="bottom"/>
            <w:hideMark/>
          </w:tcPr>
          <w:p w14:paraId="662A11DA"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828</w:t>
            </w:r>
          </w:p>
        </w:tc>
      </w:tr>
      <w:tr w:rsidR="003E245D" w:rsidRPr="003E245D" w14:paraId="1602F28A" w14:textId="77777777" w:rsidTr="007779E2">
        <w:trPr>
          <w:trHeight w:val="300"/>
        </w:trPr>
        <w:tc>
          <w:tcPr>
            <w:tcW w:w="2137" w:type="pct"/>
            <w:noWrap/>
            <w:vAlign w:val="bottom"/>
            <w:hideMark/>
          </w:tcPr>
          <w:p w14:paraId="334579C9"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B259</w:t>
            </w:r>
          </w:p>
        </w:tc>
        <w:tc>
          <w:tcPr>
            <w:tcW w:w="2288" w:type="pct"/>
            <w:noWrap/>
            <w:vAlign w:val="bottom"/>
            <w:hideMark/>
          </w:tcPr>
          <w:p w14:paraId="0B5DD7FC"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TORINO - LA LOGGIA - CARIGNANO - CARMAGNOLA</w:t>
            </w:r>
          </w:p>
        </w:tc>
        <w:tc>
          <w:tcPr>
            <w:tcW w:w="575" w:type="pct"/>
            <w:noWrap/>
            <w:vAlign w:val="bottom"/>
            <w:hideMark/>
          </w:tcPr>
          <w:p w14:paraId="2A33885C"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2.383</w:t>
            </w:r>
          </w:p>
        </w:tc>
      </w:tr>
      <w:tr w:rsidR="003E245D" w:rsidRPr="003E245D" w14:paraId="18E2D5C8" w14:textId="77777777" w:rsidTr="007779E2">
        <w:trPr>
          <w:trHeight w:val="300"/>
        </w:trPr>
        <w:tc>
          <w:tcPr>
            <w:tcW w:w="2137" w:type="pct"/>
            <w:noWrap/>
            <w:vAlign w:val="bottom"/>
            <w:hideMark/>
          </w:tcPr>
          <w:p w14:paraId="0A1F45B1"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260</w:t>
            </w:r>
          </w:p>
        </w:tc>
        <w:tc>
          <w:tcPr>
            <w:tcW w:w="2288" w:type="pct"/>
            <w:noWrap/>
            <w:vAlign w:val="bottom"/>
            <w:hideMark/>
          </w:tcPr>
          <w:p w14:paraId="6CC15B8F"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PANCALIERI - TORINO</w:t>
            </w:r>
          </w:p>
        </w:tc>
        <w:tc>
          <w:tcPr>
            <w:tcW w:w="575" w:type="pct"/>
            <w:noWrap/>
            <w:vAlign w:val="bottom"/>
            <w:hideMark/>
          </w:tcPr>
          <w:p w14:paraId="50E268FF"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33.017</w:t>
            </w:r>
          </w:p>
        </w:tc>
      </w:tr>
      <w:tr w:rsidR="003E245D" w:rsidRPr="003E245D" w14:paraId="0441D705" w14:textId="77777777" w:rsidTr="007779E2">
        <w:trPr>
          <w:trHeight w:val="300"/>
        </w:trPr>
        <w:tc>
          <w:tcPr>
            <w:tcW w:w="2137" w:type="pct"/>
            <w:noWrap/>
            <w:vAlign w:val="bottom"/>
            <w:hideMark/>
          </w:tcPr>
          <w:p w14:paraId="513016A6"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261</w:t>
            </w:r>
          </w:p>
        </w:tc>
        <w:tc>
          <w:tcPr>
            <w:tcW w:w="2288" w:type="pct"/>
            <w:noWrap/>
            <w:vAlign w:val="bottom"/>
            <w:hideMark/>
          </w:tcPr>
          <w:p w14:paraId="3CE1B299"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CARIGNANO - LA LOGGIA - NONE STAB.INDESIT</w:t>
            </w:r>
          </w:p>
        </w:tc>
        <w:tc>
          <w:tcPr>
            <w:tcW w:w="575" w:type="pct"/>
            <w:noWrap/>
            <w:vAlign w:val="bottom"/>
            <w:hideMark/>
          </w:tcPr>
          <w:p w14:paraId="398D7EAF"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0</w:t>
            </w:r>
          </w:p>
        </w:tc>
      </w:tr>
      <w:tr w:rsidR="003E245D" w:rsidRPr="003E245D" w14:paraId="16B8684D" w14:textId="77777777" w:rsidTr="007779E2">
        <w:trPr>
          <w:trHeight w:val="300"/>
        </w:trPr>
        <w:tc>
          <w:tcPr>
            <w:tcW w:w="2137" w:type="pct"/>
            <w:noWrap/>
            <w:vAlign w:val="bottom"/>
            <w:hideMark/>
          </w:tcPr>
          <w:p w14:paraId="6CE28D51"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264</w:t>
            </w:r>
          </w:p>
        </w:tc>
        <w:tc>
          <w:tcPr>
            <w:tcW w:w="2288" w:type="pct"/>
            <w:noWrap/>
            <w:vAlign w:val="bottom"/>
            <w:hideMark/>
          </w:tcPr>
          <w:p w14:paraId="4A544699"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CASTAGNOLE - NONE - PIOBESI - CARIGNANO</w:t>
            </w:r>
          </w:p>
        </w:tc>
        <w:tc>
          <w:tcPr>
            <w:tcW w:w="575" w:type="pct"/>
            <w:noWrap/>
            <w:vAlign w:val="bottom"/>
            <w:hideMark/>
          </w:tcPr>
          <w:p w14:paraId="1E254442"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20.241</w:t>
            </w:r>
          </w:p>
        </w:tc>
      </w:tr>
      <w:tr w:rsidR="003E245D" w:rsidRPr="003E245D" w14:paraId="53897977" w14:textId="77777777" w:rsidTr="007779E2">
        <w:trPr>
          <w:trHeight w:val="300"/>
        </w:trPr>
        <w:tc>
          <w:tcPr>
            <w:tcW w:w="2137" w:type="pct"/>
            <w:noWrap/>
            <w:vAlign w:val="bottom"/>
            <w:hideMark/>
          </w:tcPr>
          <w:p w14:paraId="3B862106"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265</w:t>
            </w:r>
          </w:p>
        </w:tc>
        <w:tc>
          <w:tcPr>
            <w:tcW w:w="2288" w:type="pct"/>
            <w:noWrap/>
            <w:vAlign w:val="bottom"/>
            <w:hideMark/>
          </w:tcPr>
          <w:p w14:paraId="23ADAEDC" w14:textId="77777777" w:rsidR="003E245D" w:rsidRPr="003E245D" w:rsidRDefault="003E245D" w:rsidP="003E245D">
            <w:pPr>
              <w:spacing w:after="0" w:line="240" w:lineRule="auto"/>
              <w:jc w:val="left"/>
              <w:rPr>
                <w:rFonts w:ascii="Aptos Narrow" w:eastAsia="Times New Roman" w:hAnsi="Aptos Narrow" w:cs="Times New Roman"/>
              </w:rPr>
            </w:pPr>
            <w:r w:rsidRPr="003E245D">
              <w:rPr>
                <w:rFonts w:ascii="Aptos Narrow" w:eastAsia="Times New Roman" w:hAnsi="Aptos Narrow" w:cs="Times New Roman"/>
              </w:rPr>
              <w:t>PONT-CAREMA-IVREA-TORINO</w:t>
            </w:r>
          </w:p>
        </w:tc>
        <w:tc>
          <w:tcPr>
            <w:tcW w:w="575" w:type="pct"/>
            <w:noWrap/>
            <w:vAlign w:val="bottom"/>
            <w:hideMark/>
          </w:tcPr>
          <w:p w14:paraId="5919F2EE"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64.403</w:t>
            </w:r>
          </w:p>
        </w:tc>
      </w:tr>
      <w:tr w:rsidR="003E245D" w:rsidRPr="003E245D" w14:paraId="22A5B08B" w14:textId="77777777" w:rsidTr="007779E2">
        <w:trPr>
          <w:trHeight w:val="300"/>
        </w:trPr>
        <w:tc>
          <w:tcPr>
            <w:tcW w:w="2137" w:type="pct"/>
            <w:noWrap/>
            <w:vAlign w:val="bottom"/>
            <w:hideMark/>
          </w:tcPr>
          <w:p w14:paraId="5C059E60"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266</w:t>
            </w:r>
          </w:p>
        </w:tc>
        <w:tc>
          <w:tcPr>
            <w:tcW w:w="2288" w:type="pct"/>
            <w:noWrap/>
            <w:vAlign w:val="bottom"/>
            <w:hideMark/>
          </w:tcPr>
          <w:p w14:paraId="5E99A20A"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TORINO-SALUGGIA STAB. SORIN</w:t>
            </w:r>
          </w:p>
        </w:tc>
        <w:tc>
          <w:tcPr>
            <w:tcW w:w="575" w:type="pct"/>
            <w:noWrap/>
            <w:vAlign w:val="bottom"/>
            <w:hideMark/>
          </w:tcPr>
          <w:p w14:paraId="46EA3951"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1.853</w:t>
            </w:r>
          </w:p>
        </w:tc>
      </w:tr>
      <w:tr w:rsidR="003E245D" w:rsidRPr="003E245D" w14:paraId="4660DABA" w14:textId="77777777" w:rsidTr="007779E2">
        <w:trPr>
          <w:trHeight w:val="300"/>
        </w:trPr>
        <w:tc>
          <w:tcPr>
            <w:tcW w:w="2137" w:type="pct"/>
            <w:noWrap/>
            <w:vAlign w:val="bottom"/>
            <w:hideMark/>
          </w:tcPr>
          <w:p w14:paraId="49728F59"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267</w:t>
            </w:r>
          </w:p>
        </w:tc>
        <w:tc>
          <w:tcPr>
            <w:tcW w:w="2288" w:type="pct"/>
            <w:noWrap/>
            <w:vAlign w:val="bottom"/>
            <w:hideMark/>
          </w:tcPr>
          <w:p w14:paraId="4AF234C7"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TORINO-VINOVO-PIOBESI-CARIGNANO</w:t>
            </w:r>
          </w:p>
        </w:tc>
        <w:tc>
          <w:tcPr>
            <w:tcW w:w="575" w:type="pct"/>
            <w:noWrap/>
            <w:vAlign w:val="bottom"/>
            <w:hideMark/>
          </w:tcPr>
          <w:p w14:paraId="48DFA244"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194.922</w:t>
            </w:r>
          </w:p>
        </w:tc>
      </w:tr>
      <w:tr w:rsidR="003E245D" w:rsidRPr="003E245D" w14:paraId="0BF49BEB" w14:textId="77777777" w:rsidTr="007779E2">
        <w:trPr>
          <w:trHeight w:val="300"/>
        </w:trPr>
        <w:tc>
          <w:tcPr>
            <w:tcW w:w="2137" w:type="pct"/>
            <w:noWrap/>
            <w:vAlign w:val="bottom"/>
            <w:hideMark/>
          </w:tcPr>
          <w:p w14:paraId="0CB3EB1D"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268</w:t>
            </w:r>
          </w:p>
        </w:tc>
        <w:tc>
          <w:tcPr>
            <w:tcW w:w="2288" w:type="pct"/>
            <w:noWrap/>
            <w:vAlign w:val="bottom"/>
            <w:hideMark/>
          </w:tcPr>
          <w:p w14:paraId="6D4F6D55"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TORINO-CASELLE AEROPORTO</w:t>
            </w:r>
          </w:p>
        </w:tc>
        <w:tc>
          <w:tcPr>
            <w:tcW w:w="575" w:type="pct"/>
            <w:noWrap/>
            <w:vAlign w:val="bottom"/>
            <w:hideMark/>
          </w:tcPr>
          <w:p w14:paraId="1B223FC1"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5.805</w:t>
            </w:r>
          </w:p>
        </w:tc>
      </w:tr>
      <w:tr w:rsidR="003E245D" w:rsidRPr="003E245D" w14:paraId="4A3A07B2" w14:textId="77777777" w:rsidTr="007779E2">
        <w:trPr>
          <w:trHeight w:val="300"/>
        </w:trPr>
        <w:tc>
          <w:tcPr>
            <w:tcW w:w="2137" w:type="pct"/>
            <w:noWrap/>
            <w:vAlign w:val="bottom"/>
            <w:hideMark/>
          </w:tcPr>
          <w:p w14:paraId="420E40D1"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274</w:t>
            </w:r>
          </w:p>
        </w:tc>
        <w:tc>
          <w:tcPr>
            <w:tcW w:w="2288" w:type="pct"/>
            <w:noWrap/>
            <w:vAlign w:val="bottom"/>
            <w:hideMark/>
          </w:tcPr>
          <w:p w14:paraId="37D95F7A"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SUSA FS-BUSSOLENO-FERRIERA TEKSID</w:t>
            </w:r>
          </w:p>
        </w:tc>
        <w:tc>
          <w:tcPr>
            <w:tcW w:w="575" w:type="pct"/>
            <w:noWrap/>
            <w:vAlign w:val="bottom"/>
            <w:hideMark/>
          </w:tcPr>
          <w:p w14:paraId="2930A516"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24.418</w:t>
            </w:r>
          </w:p>
        </w:tc>
      </w:tr>
      <w:tr w:rsidR="003E245D" w:rsidRPr="003E245D" w14:paraId="1B26B50F" w14:textId="77777777" w:rsidTr="007779E2">
        <w:trPr>
          <w:trHeight w:val="300"/>
        </w:trPr>
        <w:tc>
          <w:tcPr>
            <w:tcW w:w="2137" w:type="pct"/>
            <w:noWrap/>
            <w:vAlign w:val="bottom"/>
            <w:hideMark/>
          </w:tcPr>
          <w:p w14:paraId="2F46152D"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275</w:t>
            </w:r>
          </w:p>
        </w:tc>
        <w:tc>
          <w:tcPr>
            <w:tcW w:w="2288" w:type="pct"/>
            <w:noWrap/>
            <w:vAlign w:val="bottom"/>
            <w:hideMark/>
          </w:tcPr>
          <w:p w14:paraId="2EA72D33"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SESTRIERE-PEROSA A.-TORINO</w:t>
            </w:r>
          </w:p>
        </w:tc>
        <w:tc>
          <w:tcPr>
            <w:tcW w:w="575" w:type="pct"/>
            <w:noWrap/>
            <w:vAlign w:val="bottom"/>
            <w:hideMark/>
          </w:tcPr>
          <w:p w14:paraId="5E7DCCCD"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146.194</w:t>
            </w:r>
          </w:p>
        </w:tc>
      </w:tr>
      <w:tr w:rsidR="003E245D" w:rsidRPr="003E245D" w14:paraId="21968539" w14:textId="77777777" w:rsidTr="007779E2">
        <w:trPr>
          <w:trHeight w:val="300"/>
        </w:trPr>
        <w:tc>
          <w:tcPr>
            <w:tcW w:w="2137" w:type="pct"/>
            <w:noWrap/>
            <w:vAlign w:val="bottom"/>
            <w:hideMark/>
          </w:tcPr>
          <w:p w14:paraId="36FCB919"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277</w:t>
            </w:r>
          </w:p>
        </w:tc>
        <w:tc>
          <w:tcPr>
            <w:tcW w:w="2288" w:type="pct"/>
            <w:noWrap/>
            <w:vAlign w:val="bottom"/>
            <w:hideMark/>
          </w:tcPr>
          <w:p w14:paraId="1855B3D9"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TORINO-TROFARELLO-AIRASCA-NONE</w:t>
            </w:r>
          </w:p>
        </w:tc>
        <w:tc>
          <w:tcPr>
            <w:tcW w:w="575" w:type="pct"/>
            <w:noWrap/>
            <w:vAlign w:val="bottom"/>
            <w:hideMark/>
          </w:tcPr>
          <w:p w14:paraId="2AE1556A"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2.880</w:t>
            </w:r>
          </w:p>
        </w:tc>
      </w:tr>
      <w:tr w:rsidR="003E245D" w:rsidRPr="003E245D" w14:paraId="7EEAAE8A" w14:textId="77777777" w:rsidTr="007779E2">
        <w:trPr>
          <w:trHeight w:val="300"/>
        </w:trPr>
        <w:tc>
          <w:tcPr>
            <w:tcW w:w="2137" w:type="pct"/>
            <w:noWrap/>
            <w:vAlign w:val="bottom"/>
            <w:hideMark/>
          </w:tcPr>
          <w:p w14:paraId="26819AA6"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278</w:t>
            </w:r>
          </w:p>
        </w:tc>
        <w:tc>
          <w:tcPr>
            <w:tcW w:w="2288" w:type="pct"/>
            <w:noWrap/>
            <w:vAlign w:val="bottom"/>
            <w:hideMark/>
          </w:tcPr>
          <w:p w14:paraId="55169BF5"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PINEROLO-VIGONE-CERCENASCO CON PROL.</w:t>
            </w:r>
          </w:p>
        </w:tc>
        <w:tc>
          <w:tcPr>
            <w:tcW w:w="575" w:type="pct"/>
            <w:noWrap/>
            <w:vAlign w:val="bottom"/>
            <w:hideMark/>
          </w:tcPr>
          <w:p w14:paraId="5F69F50C"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39.649</w:t>
            </w:r>
          </w:p>
        </w:tc>
      </w:tr>
      <w:tr w:rsidR="003E245D" w:rsidRPr="003E245D" w14:paraId="789EC67E" w14:textId="77777777" w:rsidTr="007779E2">
        <w:trPr>
          <w:trHeight w:val="300"/>
        </w:trPr>
        <w:tc>
          <w:tcPr>
            <w:tcW w:w="2137" w:type="pct"/>
            <w:noWrap/>
            <w:vAlign w:val="bottom"/>
            <w:hideMark/>
          </w:tcPr>
          <w:p w14:paraId="0C36D487"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279</w:t>
            </w:r>
          </w:p>
        </w:tc>
        <w:tc>
          <w:tcPr>
            <w:tcW w:w="2288" w:type="pct"/>
            <w:noWrap/>
            <w:vAlign w:val="bottom"/>
            <w:hideMark/>
          </w:tcPr>
          <w:p w14:paraId="2E840434"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BOBBIO PELLICE-PINEROLO</w:t>
            </w:r>
          </w:p>
        </w:tc>
        <w:tc>
          <w:tcPr>
            <w:tcW w:w="575" w:type="pct"/>
            <w:noWrap/>
            <w:vAlign w:val="bottom"/>
            <w:hideMark/>
          </w:tcPr>
          <w:p w14:paraId="19A20B78"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41.522</w:t>
            </w:r>
          </w:p>
        </w:tc>
      </w:tr>
      <w:tr w:rsidR="003E245D" w:rsidRPr="003E245D" w14:paraId="5DFECB8E" w14:textId="77777777" w:rsidTr="007779E2">
        <w:trPr>
          <w:trHeight w:val="300"/>
        </w:trPr>
        <w:tc>
          <w:tcPr>
            <w:tcW w:w="2137" w:type="pct"/>
            <w:noWrap/>
            <w:vAlign w:val="bottom"/>
            <w:hideMark/>
          </w:tcPr>
          <w:p w14:paraId="7E31D00C"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280</w:t>
            </w:r>
          </w:p>
        </w:tc>
        <w:tc>
          <w:tcPr>
            <w:tcW w:w="2288" w:type="pct"/>
            <w:noWrap/>
            <w:vAlign w:val="bottom"/>
            <w:hideMark/>
          </w:tcPr>
          <w:p w14:paraId="58075B5D"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BARGE-PINEROLO</w:t>
            </w:r>
          </w:p>
        </w:tc>
        <w:tc>
          <w:tcPr>
            <w:tcW w:w="575" w:type="pct"/>
            <w:noWrap/>
            <w:vAlign w:val="bottom"/>
            <w:hideMark/>
          </w:tcPr>
          <w:p w14:paraId="2D48D421"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95</w:t>
            </w:r>
          </w:p>
        </w:tc>
      </w:tr>
      <w:tr w:rsidR="003E245D" w:rsidRPr="003E245D" w14:paraId="2DAA52BF" w14:textId="77777777" w:rsidTr="007779E2">
        <w:trPr>
          <w:trHeight w:val="300"/>
        </w:trPr>
        <w:tc>
          <w:tcPr>
            <w:tcW w:w="2137" w:type="pct"/>
            <w:noWrap/>
            <w:vAlign w:val="bottom"/>
            <w:hideMark/>
          </w:tcPr>
          <w:p w14:paraId="12D3F110"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281</w:t>
            </w:r>
          </w:p>
        </w:tc>
        <w:tc>
          <w:tcPr>
            <w:tcW w:w="2288" w:type="pct"/>
            <w:noWrap/>
            <w:vAlign w:val="bottom"/>
            <w:hideMark/>
          </w:tcPr>
          <w:p w14:paraId="67D3AA8F"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LINEE SCOLASTICHE DEL PINEROLESE</w:t>
            </w:r>
          </w:p>
        </w:tc>
        <w:tc>
          <w:tcPr>
            <w:tcW w:w="575" w:type="pct"/>
            <w:noWrap/>
            <w:vAlign w:val="bottom"/>
            <w:hideMark/>
          </w:tcPr>
          <w:p w14:paraId="3E430F2F"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52.256</w:t>
            </w:r>
          </w:p>
        </w:tc>
      </w:tr>
      <w:tr w:rsidR="003E245D" w:rsidRPr="003E245D" w14:paraId="0AAB2E48" w14:textId="77777777" w:rsidTr="007779E2">
        <w:trPr>
          <w:trHeight w:val="300"/>
        </w:trPr>
        <w:tc>
          <w:tcPr>
            <w:tcW w:w="2137" w:type="pct"/>
            <w:noWrap/>
            <w:vAlign w:val="bottom"/>
            <w:hideMark/>
          </w:tcPr>
          <w:p w14:paraId="7A35269A"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282</w:t>
            </w:r>
          </w:p>
        </w:tc>
        <w:tc>
          <w:tcPr>
            <w:tcW w:w="2288" w:type="pct"/>
            <w:noWrap/>
            <w:vAlign w:val="bottom"/>
            <w:hideMark/>
          </w:tcPr>
          <w:p w14:paraId="6416CB25"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PEROSA ARG.-PINEROLO-TORINO</w:t>
            </w:r>
          </w:p>
        </w:tc>
        <w:tc>
          <w:tcPr>
            <w:tcW w:w="575" w:type="pct"/>
            <w:noWrap/>
            <w:vAlign w:val="bottom"/>
            <w:hideMark/>
          </w:tcPr>
          <w:p w14:paraId="597C252E"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145.770</w:t>
            </w:r>
          </w:p>
        </w:tc>
      </w:tr>
      <w:tr w:rsidR="003E245D" w:rsidRPr="003E245D" w14:paraId="35A98E8A" w14:textId="77777777" w:rsidTr="007779E2">
        <w:trPr>
          <w:trHeight w:val="300"/>
        </w:trPr>
        <w:tc>
          <w:tcPr>
            <w:tcW w:w="2137" w:type="pct"/>
            <w:noWrap/>
            <w:vAlign w:val="bottom"/>
            <w:hideMark/>
          </w:tcPr>
          <w:p w14:paraId="641B2817"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283</w:t>
            </w:r>
          </w:p>
        </w:tc>
        <w:tc>
          <w:tcPr>
            <w:tcW w:w="2288" w:type="pct"/>
            <w:noWrap/>
            <w:vAlign w:val="bottom"/>
            <w:hideMark/>
          </w:tcPr>
          <w:p w14:paraId="00DDF372"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PINEROLO-CANTALUPA</w:t>
            </w:r>
          </w:p>
        </w:tc>
        <w:tc>
          <w:tcPr>
            <w:tcW w:w="575" w:type="pct"/>
            <w:noWrap/>
            <w:vAlign w:val="bottom"/>
            <w:hideMark/>
          </w:tcPr>
          <w:p w14:paraId="5DD0FDE8"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31.741</w:t>
            </w:r>
          </w:p>
        </w:tc>
      </w:tr>
      <w:tr w:rsidR="003E245D" w:rsidRPr="003E245D" w14:paraId="09485090" w14:textId="77777777" w:rsidTr="007779E2">
        <w:trPr>
          <w:trHeight w:val="300"/>
        </w:trPr>
        <w:tc>
          <w:tcPr>
            <w:tcW w:w="2137" w:type="pct"/>
            <w:noWrap/>
            <w:vAlign w:val="bottom"/>
            <w:hideMark/>
          </w:tcPr>
          <w:p w14:paraId="44CE2098"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284</w:t>
            </w:r>
          </w:p>
        </w:tc>
        <w:tc>
          <w:tcPr>
            <w:tcW w:w="2288" w:type="pct"/>
            <w:noWrap/>
            <w:vAlign w:val="bottom"/>
            <w:hideMark/>
          </w:tcPr>
          <w:p w14:paraId="32C5469B"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BOBBIO PELLICE-PINEROLO-TORINO</w:t>
            </w:r>
          </w:p>
        </w:tc>
        <w:tc>
          <w:tcPr>
            <w:tcW w:w="575" w:type="pct"/>
            <w:noWrap/>
            <w:vAlign w:val="bottom"/>
            <w:hideMark/>
          </w:tcPr>
          <w:p w14:paraId="5532648D"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27.021</w:t>
            </w:r>
          </w:p>
        </w:tc>
      </w:tr>
      <w:tr w:rsidR="003E245D" w:rsidRPr="003E245D" w14:paraId="3ABD1E24" w14:textId="77777777" w:rsidTr="007779E2">
        <w:trPr>
          <w:trHeight w:val="300"/>
        </w:trPr>
        <w:tc>
          <w:tcPr>
            <w:tcW w:w="2137" w:type="pct"/>
            <w:noWrap/>
            <w:vAlign w:val="bottom"/>
            <w:hideMark/>
          </w:tcPr>
          <w:p w14:paraId="364767E6"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285</w:t>
            </w:r>
          </w:p>
        </w:tc>
        <w:tc>
          <w:tcPr>
            <w:tcW w:w="2288" w:type="pct"/>
            <w:noWrap/>
            <w:vAlign w:val="bottom"/>
            <w:hideMark/>
          </w:tcPr>
          <w:p w14:paraId="6C69B63F"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OULX-CESANA-CLAVIERE</w:t>
            </w:r>
          </w:p>
        </w:tc>
        <w:tc>
          <w:tcPr>
            <w:tcW w:w="575" w:type="pct"/>
            <w:noWrap/>
            <w:vAlign w:val="bottom"/>
            <w:hideMark/>
          </w:tcPr>
          <w:p w14:paraId="2E818AF8"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19.586</w:t>
            </w:r>
          </w:p>
        </w:tc>
      </w:tr>
      <w:tr w:rsidR="003E245D" w:rsidRPr="003E245D" w14:paraId="1B0BF172" w14:textId="77777777" w:rsidTr="007779E2">
        <w:trPr>
          <w:trHeight w:val="300"/>
        </w:trPr>
        <w:tc>
          <w:tcPr>
            <w:tcW w:w="2137" w:type="pct"/>
            <w:noWrap/>
            <w:vAlign w:val="bottom"/>
            <w:hideMark/>
          </w:tcPr>
          <w:p w14:paraId="043A20F3"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286</w:t>
            </w:r>
          </w:p>
        </w:tc>
        <w:tc>
          <w:tcPr>
            <w:tcW w:w="2288" w:type="pct"/>
            <w:noWrap/>
            <w:vAlign w:val="bottom"/>
            <w:hideMark/>
          </w:tcPr>
          <w:p w14:paraId="450EC3E6"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SUSA FS-BUSSOLENO FS-VILLARFOCCHIARDO CON DIR E PROL.</w:t>
            </w:r>
          </w:p>
        </w:tc>
        <w:tc>
          <w:tcPr>
            <w:tcW w:w="575" w:type="pct"/>
            <w:noWrap/>
            <w:vAlign w:val="bottom"/>
            <w:hideMark/>
          </w:tcPr>
          <w:p w14:paraId="627E1C2E"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16.993</w:t>
            </w:r>
          </w:p>
        </w:tc>
      </w:tr>
      <w:tr w:rsidR="003E245D" w:rsidRPr="003E245D" w14:paraId="325AECC3" w14:textId="77777777" w:rsidTr="007779E2">
        <w:trPr>
          <w:trHeight w:val="300"/>
        </w:trPr>
        <w:tc>
          <w:tcPr>
            <w:tcW w:w="2137" w:type="pct"/>
            <w:noWrap/>
            <w:vAlign w:val="bottom"/>
            <w:hideMark/>
          </w:tcPr>
          <w:p w14:paraId="343A68FF"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287</w:t>
            </w:r>
          </w:p>
        </w:tc>
        <w:tc>
          <w:tcPr>
            <w:tcW w:w="2288" w:type="pct"/>
            <w:noWrap/>
            <w:vAlign w:val="bottom"/>
            <w:hideMark/>
          </w:tcPr>
          <w:p w14:paraId="3FDADC86"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MERCATALE MOMPANTERO-SUSA</w:t>
            </w:r>
          </w:p>
        </w:tc>
        <w:tc>
          <w:tcPr>
            <w:tcW w:w="575" w:type="pct"/>
            <w:noWrap/>
            <w:vAlign w:val="bottom"/>
            <w:hideMark/>
          </w:tcPr>
          <w:p w14:paraId="4A4ACB02"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63</w:t>
            </w:r>
          </w:p>
        </w:tc>
      </w:tr>
      <w:tr w:rsidR="003E245D" w:rsidRPr="003E245D" w14:paraId="5DD7D480" w14:textId="77777777" w:rsidTr="007779E2">
        <w:trPr>
          <w:trHeight w:val="300"/>
        </w:trPr>
        <w:tc>
          <w:tcPr>
            <w:tcW w:w="2137" w:type="pct"/>
            <w:noWrap/>
            <w:vAlign w:val="bottom"/>
            <w:hideMark/>
          </w:tcPr>
          <w:p w14:paraId="6539B0EE"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294</w:t>
            </w:r>
          </w:p>
        </w:tc>
        <w:tc>
          <w:tcPr>
            <w:tcW w:w="2288" w:type="pct"/>
            <w:noWrap/>
            <w:vAlign w:val="bottom"/>
            <w:hideMark/>
          </w:tcPr>
          <w:p w14:paraId="71458E39"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LUSERNETTA-LUSERNA SAN GIOVANNI-TORRE PELLICE</w:t>
            </w:r>
          </w:p>
        </w:tc>
        <w:tc>
          <w:tcPr>
            <w:tcW w:w="575" w:type="pct"/>
            <w:noWrap/>
            <w:vAlign w:val="bottom"/>
            <w:hideMark/>
          </w:tcPr>
          <w:p w14:paraId="146E12E7"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3.959</w:t>
            </w:r>
          </w:p>
        </w:tc>
      </w:tr>
      <w:tr w:rsidR="003E245D" w:rsidRPr="003E245D" w14:paraId="4C26A935" w14:textId="77777777" w:rsidTr="007779E2">
        <w:trPr>
          <w:trHeight w:val="300"/>
        </w:trPr>
        <w:tc>
          <w:tcPr>
            <w:tcW w:w="2137" w:type="pct"/>
            <w:noWrap/>
            <w:vAlign w:val="bottom"/>
            <w:hideMark/>
          </w:tcPr>
          <w:p w14:paraId="3C000F43"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lastRenderedPageBreak/>
              <w:t>296</w:t>
            </w:r>
          </w:p>
        </w:tc>
        <w:tc>
          <w:tcPr>
            <w:tcW w:w="2288" w:type="pct"/>
            <w:noWrap/>
            <w:vAlign w:val="bottom"/>
            <w:hideMark/>
          </w:tcPr>
          <w:p w14:paraId="6956523B"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TORRE PELLICE-LUSERNA SAN GIOVANNI-PINEROLO</w:t>
            </w:r>
          </w:p>
        </w:tc>
        <w:tc>
          <w:tcPr>
            <w:tcW w:w="575" w:type="pct"/>
            <w:noWrap/>
            <w:vAlign w:val="bottom"/>
            <w:hideMark/>
          </w:tcPr>
          <w:p w14:paraId="2F9D99EB"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3.750</w:t>
            </w:r>
          </w:p>
        </w:tc>
      </w:tr>
      <w:tr w:rsidR="003E245D" w:rsidRPr="003E245D" w14:paraId="53A3789F" w14:textId="77777777" w:rsidTr="007779E2">
        <w:trPr>
          <w:trHeight w:val="300"/>
        </w:trPr>
        <w:tc>
          <w:tcPr>
            <w:tcW w:w="2137" w:type="pct"/>
            <w:noWrap/>
            <w:vAlign w:val="bottom"/>
            <w:hideMark/>
          </w:tcPr>
          <w:p w14:paraId="0236321F"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298</w:t>
            </w:r>
          </w:p>
        </w:tc>
        <w:tc>
          <w:tcPr>
            <w:tcW w:w="2288" w:type="pct"/>
            <w:noWrap/>
            <w:vAlign w:val="bottom"/>
            <w:hideMark/>
          </w:tcPr>
          <w:p w14:paraId="742D76E5"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BARGE-BRICHERASIO-PINEROLO</w:t>
            </w:r>
          </w:p>
        </w:tc>
        <w:tc>
          <w:tcPr>
            <w:tcW w:w="575" w:type="pct"/>
            <w:noWrap/>
            <w:vAlign w:val="bottom"/>
            <w:hideMark/>
          </w:tcPr>
          <w:p w14:paraId="0F3732C5"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71.925</w:t>
            </w:r>
          </w:p>
        </w:tc>
      </w:tr>
      <w:tr w:rsidR="003E245D" w:rsidRPr="003E245D" w14:paraId="0963E1F4" w14:textId="77777777" w:rsidTr="007779E2">
        <w:trPr>
          <w:trHeight w:val="300"/>
        </w:trPr>
        <w:tc>
          <w:tcPr>
            <w:tcW w:w="2137" w:type="pct"/>
            <w:noWrap/>
            <w:vAlign w:val="bottom"/>
            <w:hideMark/>
          </w:tcPr>
          <w:p w14:paraId="4157496C"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301</w:t>
            </w:r>
          </w:p>
        </w:tc>
        <w:tc>
          <w:tcPr>
            <w:tcW w:w="2288" w:type="pct"/>
            <w:noWrap/>
            <w:vAlign w:val="bottom"/>
            <w:hideMark/>
          </w:tcPr>
          <w:p w14:paraId="4CA89005"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MORETTA - AIRASCA SKF</w:t>
            </w:r>
          </w:p>
        </w:tc>
        <w:tc>
          <w:tcPr>
            <w:tcW w:w="575" w:type="pct"/>
            <w:noWrap/>
            <w:vAlign w:val="bottom"/>
            <w:hideMark/>
          </w:tcPr>
          <w:p w14:paraId="79A9FD35"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258</w:t>
            </w:r>
          </w:p>
        </w:tc>
      </w:tr>
      <w:tr w:rsidR="003E245D" w:rsidRPr="003E245D" w14:paraId="12FF2C53" w14:textId="77777777" w:rsidTr="007779E2">
        <w:trPr>
          <w:trHeight w:val="300"/>
        </w:trPr>
        <w:tc>
          <w:tcPr>
            <w:tcW w:w="2137" w:type="pct"/>
            <w:noWrap/>
            <w:vAlign w:val="bottom"/>
            <w:hideMark/>
          </w:tcPr>
          <w:p w14:paraId="57DFFF51"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303</w:t>
            </w:r>
          </w:p>
        </w:tc>
        <w:tc>
          <w:tcPr>
            <w:tcW w:w="2288" w:type="pct"/>
            <w:noWrap/>
            <w:vAlign w:val="bottom"/>
            <w:hideMark/>
          </w:tcPr>
          <w:p w14:paraId="4752B0AD"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PEROSA A.-PRALI</w:t>
            </w:r>
          </w:p>
        </w:tc>
        <w:tc>
          <w:tcPr>
            <w:tcW w:w="575" w:type="pct"/>
            <w:noWrap/>
            <w:vAlign w:val="bottom"/>
            <w:hideMark/>
          </w:tcPr>
          <w:p w14:paraId="4A50A60D"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2.484</w:t>
            </w:r>
          </w:p>
        </w:tc>
      </w:tr>
      <w:tr w:rsidR="003E245D" w:rsidRPr="003E245D" w14:paraId="033050B7" w14:textId="77777777" w:rsidTr="007779E2">
        <w:trPr>
          <w:trHeight w:val="300"/>
        </w:trPr>
        <w:tc>
          <w:tcPr>
            <w:tcW w:w="2137" w:type="pct"/>
            <w:noWrap/>
            <w:vAlign w:val="bottom"/>
            <w:hideMark/>
          </w:tcPr>
          <w:p w14:paraId="62541955"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304</w:t>
            </w:r>
          </w:p>
        </w:tc>
        <w:tc>
          <w:tcPr>
            <w:tcW w:w="2288" w:type="pct"/>
            <w:noWrap/>
            <w:vAlign w:val="bottom"/>
            <w:hideMark/>
          </w:tcPr>
          <w:p w14:paraId="4F5CC006"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MURIAGLIO-CASTELLAMONTE-VALPERGA</w:t>
            </w:r>
          </w:p>
        </w:tc>
        <w:tc>
          <w:tcPr>
            <w:tcW w:w="575" w:type="pct"/>
            <w:noWrap/>
            <w:vAlign w:val="bottom"/>
            <w:hideMark/>
          </w:tcPr>
          <w:p w14:paraId="343F8078"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103</w:t>
            </w:r>
          </w:p>
        </w:tc>
      </w:tr>
      <w:tr w:rsidR="003E245D" w:rsidRPr="003E245D" w14:paraId="5C6A0F3D" w14:textId="77777777" w:rsidTr="007779E2">
        <w:trPr>
          <w:trHeight w:val="300"/>
        </w:trPr>
        <w:tc>
          <w:tcPr>
            <w:tcW w:w="2137" w:type="pct"/>
            <w:noWrap/>
            <w:vAlign w:val="bottom"/>
            <w:hideMark/>
          </w:tcPr>
          <w:p w14:paraId="6F953D24" w14:textId="77777777" w:rsidR="003E245D" w:rsidRPr="003E245D" w:rsidRDefault="003E245D" w:rsidP="003E245D">
            <w:pPr>
              <w:spacing w:after="0" w:line="240" w:lineRule="auto"/>
              <w:jc w:val="center"/>
              <w:rPr>
                <w:rFonts w:ascii="Aptos Narrow" w:eastAsia="Times New Roman" w:hAnsi="Aptos Narrow" w:cs="Times New Roman"/>
              </w:rPr>
            </w:pPr>
            <w:r w:rsidRPr="003E245D">
              <w:rPr>
                <w:rFonts w:ascii="Aptos Narrow" w:eastAsia="Times New Roman" w:hAnsi="Aptos Narrow" w:cs="Times New Roman"/>
              </w:rPr>
              <w:t>308</w:t>
            </w:r>
          </w:p>
        </w:tc>
        <w:tc>
          <w:tcPr>
            <w:tcW w:w="2288" w:type="pct"/>
            <w:noWrap/>
            <w:vAlign w:val="bottom"/>
            <w:hideMark/>
          </w:tcPr>
          <w:p w14:paraId="4B5784EB" w14:textId="77777777" w:rsidR="003E245D" w:rsidRPr="003E245D" w:rsidRDefault="003E245D" w:rsidP="003E245D">
            <w:pPr>
              <w:spacing w:after="0" w:line="240" w:lineRule="auto"/>
              <w:jc w:val="left"/>
              <w:rPr>
                <w:rFonts w:ascii="Aptos Narrow" w:eastAsia="Times New Roman" w:hAnsi="Aptos Narrow" w:cs="Times New Roman"/>
              </w:rPr>
            </w:pPr>
            <w:r w:rsidRPr="003E245D">
              <w:rPr>
                <w:rFonts w:ascii="Aptos Narrow" w:eastAsia="Times New Roman" w:hAnsi="Aptos Narrow" w:cs="Times New Roman"/>
              </w:rPr>
              <w:t>CASTELLAMONTE-AGLIÉ-CALUSO</w:t>
            </w:r>
          </w:p>
        </w:tc>
        <w:tc>
          <w:tcPr>
            <w:tcW w:w="575" w:type="pct"/>
            <w:noWrap/>
            <w:vAlign w:val="bottom"/>
            <w:hideMark/>
          </w:tcPr>
          <w:p w14:paraId="7792F912"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n.d.</w:t>
            </w:r>
          </w:p>
        </w:tc>
      </w:tr>
      <w:tr w:rsidR="003E245D" w:rsidRPr="003E245D" w14:paraId="784ED8E4" w14:textId="77777777" w:rsidTr="007779E2">
        <w:trPr>
          <w:trHeight w:val="300"/>
        </w:trPr>
        <w:tc>
          <w:tcPr>
            <w:tcW w:w="2137" w:type="pct"/>
            <w:noWrap/>
            <w:vAlign w:val="bottom"/>
            <w:hideMark/>
          </w:tcPr>
          <w:p w14:paraId="6BD77FFC" w14:textId="77777777" w:rsidR="003E245D" w:rsidRPr="003E245D" w:rsidRDefault="003E245D" w:rsidP="003E245D">
            <w:pPr>
              <w:spacing w:after="0" w:line="240" w:lineRule="auto"/>
              <w:jc w:val="center"/>
              <w:rPr>
                <w:rFonts w:ascii="Aptos Narrow" w:eastAsia="Times New Roman" w:hAnsi="Aptos Narrow" w:cs="Times New Roman"/>
              </w:rPr>
            </w:pPr>
            <w:r w:rsidRPr="003E245D">
              <w:rPr>
                <w:rFonts w:ascii="Aptos Narrow" w:eastAsia="Times New Roman" w:hAnsi="Aptos Narrow" w:cs="Times New Roman"/>
              </w:rPr>
              <w:t>309</w:t>
            </w:r>
          </w:p>
        </w:tc>
        <w:tc>
          <w:tcPr>
            <w:tcW w:w="2288" w:type="pct"/>
            <w:noWrap/>
            <w:vAlign w:val="bottom"/>
            <w:hideMark/>
          </w:tcPr>
          <w:p w14:paraId="4555C4CF" w14:textId="77777777" w:rsidR="003E245D" w:rsidRPr="003E245D" w:rsidRDefault="003E245D" w:rsidP="003E245D">
            <w:pPr>
              <w:spacing w:after="0" w:line="240" w:lineRule="auto"/>
              <w:jc w:val="left"/>
              <w:rPr>
                <w:rFonts w:ascii="Aptos Narrow" w:eastAsia="Times New Roman" w:hAnsi="Aptos Narrow" w:cs="Times New Roman"/>
              </w:rPr>
            </w:pPr>
            <w:r w:rsidRPr="003E245D">
              <w:rPr>
                <w:rFonts w:ascii="Aptos Narrow" w:eastAsia="Times New Roman" w:hAnsi="Aptos Narrow" w:cs="Times New Roman"/>
              </w:rPr>
              <w:t>VIALFRÉ-ORIO-BARONE-CALUSO</w:t>
            </w:r>
          </w:p>
        </w:tc>
        <w:tc>
          <w:tcPr>
            <w:tcW w:w="575" w:type="pct"/>
            <w:noWrap/>
            <w:vAlign w:val="bottom"/>
            <w:hideMark/>
          </w:tcPr>
          <w:p w14:paraId="066C0029"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n.d</w:t>
            </w:r>
          </w:p>
        </w:tc>
      </w:tr>
      <w:tr w:rsidR="003E245D" w:rsidRPr="003E245D" w14:paraId="51CD7ABB" w14:textId="77777777" w:rsidTr="007779E2">
        <w:trPr>
          <w:trHeight w:val="300"/>
        </w:trPr>
        <w:tc>
          <w:tcPr>
            <w:tcW w:w="2137" w:type="pct"/>
            <w:noWrap/>
            <w:vAlign w:val="bottom"/>
            <w:hideMark/>
          </w:tcPr>
          <w:p w14:paraId="03E3A548"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310</w:t>
            </w:r>
          </w:p>
        </w:tc>
        <w:tc>
          <w:tcPr>
            <w:tcW w:w="2288" w:type="pct"/>
            <w:noWrap/>
            <w:vAlign w:val="bottom"/>
            <w:hideMark/>
          </w:tcPr>
          <w:p w14:paraId="4F4877C6"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VILLAREGGIA-CALUSO</w:t>
            </w:r>
          </w:p>
        </w:tc>
        <w:tc>
          <w:tcPr>
            <w:tcW w:w="575" w:type="pct"/>
            <w:noWrap/>
            <w:vAlign w:val="bottom"/>
            <w:hideMark/>
          </w:tcPr>
          <w:p w14:paraId="2A27BEBF"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94</w:t>
            </w:r>
          </w:p>
        </w:tc>
      </w:tr>
      <w:tr w:rsidR="003E245D" w:rsidRPr="003E245D" w14:paraId="7DD708E8" w14:textId="77777777" w:rsidTr="007779E2">
        <w:trPr>
          <w:trHeight w:val="300"/>
        </w:trPr>
        <w:tc>
          <w:tcPr>
            <w:tcW w:w="2137" w:type="pct"/>
            <w:noWrap/>
            <w:vAlign w:val="bottom"/>
            <w:hideMark/>
          </w:tcPr>
          <w:p w14:paraId="52EA2D80"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318</w:t>
            </w:r>
          </w:p>
        </w:tc>
        <w:tc>
          <w:tcPr>
            <w:tcW w:w="2288" w:type="pct"/>
            <w:noWrap/>
            <w:vAlign w:val="bottom"/>
            <w:hideMark/>
          </w:tcPr>
          <w:p w14:paraId="7CE071F8"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CASTELNUOVO NIGRA-CASTELLAMONTE</w:t>
            </w:r>
          </w:p>
        </w:tc>
        <w:tc>
          <w:tcPr>
            <w:tcW w:w="575" w:type="pct"/>
            <w:noWrap/>
            <w:vAlign w:val="bottom"/>
            <w:hideMark/>
          </w:tcPr>
          <w:p w14:paraId="49813B91"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121</w:t>
            </w:r>
          </w:p>
        </w:tc>
      </w:tr>
      <w:tr w:rsidR="003E245D" w:rsidRPr="003E245D" w14:paraId="2B91AFD0" w14:textId="77777777" w:rsidTr="007779E2">
        <w:trPr>
          <w:trHeight w:val="300"/>
        </w:trPr>
        <w:tc>
          <w:tcPr>
            <w:tcW w:w="2137" w:type="pct"/>
            <w:noWrap/>
            <w:vAlign w:val="bottom"/>
            <w:hideMark/>
          </w:tcPr>
          <w:p w14:paraId="3D7DA750"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319</w:t>
            </w:r>
          </w:p>
        </w:tc>
        <w:tc>
          <w:tcPr>
            <w:tcW w:w="2288" w:type="pct"/>
            <w:noWrap/>
            <w:vAlign w:val="bottom"/>
            <w:hideMark/>
          </w:tcPr>
          <w:p w14:paraId="18888BCB"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MURIAGLIO-RIVAROLO EATON CON DIR.</w:t>
            </w:r>
          </w:p>
        </w:tc>
        <w:tc>
          <w:tcPr>
            <w:tcW w:w="575" w:type="pct"/>
            <w:noWrap/>
            <w:vAlign w:val="bottom"/>
            <w:hideMark/>
          </w:tcPr>
          <w:p w14:paraId="4967BB85"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0</w:t>
            </w:r>
          </w:p>
        </w:tc>
      </w:tr>
      <w:tr w:rsidR="003E245D" w:rsidRPr="003E245D" w14:paraId="02697C32" w14:textId="77777777" w:rsidTr="007779E2">
        <w:trPr>
          <w:trHeight w:val="300"/>
        </w:trPr>
        <w:tc>
          <w:tcPr>
            <w:tcW w:w="2137" w:type="pct"/>
            <w:noWrap/>
            <w:vAlign w:val="bottom"/>
            <w:hideMark/>
          </w:tcPr>
          <w:p w14:paraId="0F1297E1"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331</w:t>
            </w:r>
          </w:p>
        </w:tc>
        <w:tc>
          <w:tcPr>
            <w:tcW w:w="2288" w:type="pct"/>
            <w:noWrap/>
            <w:vAlign w:val="bottom"/>
            <w:hideMark/>
          </w:tcPr>
          <w:p w14:paraId="575959FE"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VERRUA SAVOIA-CRESCENTINO-BRUSASCO</w:t>
            </w:r>
          </w:p>
        </w:tc>
        <w:tc>
          <w:tcPr>
            <w:tcW w:w="575" w:type="pct"/>
            <w:noWrap/>
            <w:vAlign w:val="bottom"/>
            <w:hideMark/>
          </w:tcPr>
          <w:p w14:paraId="19DE5B83"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0</w:t>
            </w:r>
          </w:p>
        </w:tc>
      </w:tr>
      <w:tr w:rsidR="003E245D" w:rsidRPr="003E245D" w14:paraId="7C0334B0" w14:textId="77777777" w:rsidTr="007779E2">
        <w:trPr>
          <w:trHeight w:val="300"/>
        </w:trPr>
        <w:tc>
          <w:tcPr>
            <w:tcW w:w="2137" w:type="pct"/>
            <w:noWrap/>
            <w:vAlign w:val="bottom"/>
            <w:hideMark/>
          </w:tcPr>
          <w:p w14:paraId="23CE4835"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344</w:t>
            </w:r>
          </w:p>
        </w:tc>
        <w:tc>
          <w:tcPr>
            <w:tcW w:w="2288" w:type="pct"/>
            <w:noWrap/>
            <w:vAlign w:val="bottom"/>
            <w:hideMark/>
          </w:tcPr>
          <w:p w14:paraId="3BB4DC05"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BRUINO-AVIGLIANA</w:t>
            </w:r>
          </w:p>
        </w:tc>
        <w:tc>
          <w:tcPr>
            <w:tcW w:w="575" w:type="pct"/>
            <w:noWrap/>
            <w:vAlign w:val="bottom"/>
            <w:hideMark/>
          </w:tcPr>
          <w:p w14:paraId="2469703A"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7.962</w:t>
            </w:r>
          </w:p>
        </w:tc>
      </w:tr>
      <w:tr w:rsidR="003E245D" w:rsidRPr="003E245D" w14:paraId="1D6BBC30" w14:textId="77777777" w:rsidTr="007779E2">
        <w:trPr>
          <w:trHeight w:val="300"/>
        </w:trPr>
        <w:tc>
          <w:tcPr>
            <w:tcW w:w="2137" w:type="pct"/>
            <w:noWrap/>
            <w:vAlign w:val="bottom"/>
            <w:hideMark/>
          </w:tcPr>
          <w:p w14:paraId="2209390D"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345</w:t>
            </w:r>
          </w:p>
        </w:tc>
        <w:tc>
          <w:tcPr>
            <w:tcW w:w="2288" w:type="pct"/>
            <w:noWrap/>
            <w:vAlign w:val="bottom"/>
            <w:hideMark/>
          </w:tcPr>
          <w:p w14:paraId="56DE7DF7"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CAVAGLIÀ-ALICE CASTELLO-CIGLIANO-TORINO</w:t>
            </w:r>
          </w:p>
        </w:tc>
        <w:tc>
          <w:tcPr>
            <w:tcW w:w="575" w:type="pct"/>
            <w:noWrap/>
            <w:vAlign w:val="bottom"/>
            <w:hideMark/>
          </w:tcPr>
          <w:p w14:paraId="30934931"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311</w:t>
            </w:r>
          </w:p>
        </w:tc>
      </w:tr>
      <w:tr w:rsidR="003E245D" w:rsidRPr="003E245D" w14:paraId="6CBEA7E4" w14:textId="77777777" w:rsidTr="007779E2">
        <w:trPr>
          <w:trHeight w:val="300"/>
        </w:trPr>
        <w:tc>
          <w:tcPr>
            <w:tcW w:w="2137" w:type="pct"/>
            <w:noWrap/>
            <w:vAlign w:val="bottom"/>
            <w:hideMark/>
          </w:tcPr>
          <w:p w14:paraId="491F39AE"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346</w:t>
            </w:r>
          </w:p>
        </w:tc>
        <w:tc>
          <w:tcPr>
            <w:tcW w:w="2288" w:type="pct"/>
            <w:noWrap/>
            <w:vAlign w:val="bottom"/>
            <w:hideMark/>
          </w:tcPr>
          <w:p w14:paraId="4DF4A38C"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ALICE C.-CIGLIANO-VILLAREGGIA-RONDISSONE -CASTELROSSO</w:t>
            </w:r>
          </w:p>
        </w:tc>
        <w:tc>
          <w:tcPr>
            <w:tcW w:w="575" w:type="pct"/>
            <w:noWrap/>
            <w:vAlign w:val="bottom"/>
            <w:hideMark/>
          </w:tcPr>
          <w:p w14:paraId="3D331BCF"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28</w:t>
            </w:r>
          </w:p>
        </w:tc>
      </w:tr>
      <w:tr w:rsidR="003E245D" w:rsidRPr="003E245D" w14:paraId="36C16E9B" w14:textId="77777777" w:rsidTr="007779E2">
        <w:trPr>
          <w:trHeight w:val="300"/>
        </w:trPr>
        <w:tc>
          <w:tcPr>
            <w:tcW w:w="2137" w:type="pct"/>
            <w:noWrap/>
            <w:vAlign w:val="bottom"/>
            <w:hideMark/>
          </w:tcPr>
          <w:p w14:paraId="693BD1E8"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348</w:t>
            </w:r>
          </w:p>
        </w:tc>
        <w:tc>
          <w:tcPr>
            <w:tcW w:w="2288" w:type="pct"/>
            <w:noWrap/>
            <w:vAlign w:val="bottom"/>
            <w:hideMark/>
          </w:tcPr>
          <w:p w14:paraId="36F0A9B1"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CAVAGLIÀ-CIGLIANO-BORGOMASINO-VESTIGNÉ-IVREA</w:t>
            </w:r>
          </w:p>
        </w:tc>
        <w:tc>
          <w:tcPr>
            <w:tcW w:w="575" w:type="pct"/>
            <w:noWrap/>
            <w:vAlign w:val="bottom"/>
            <w:hideMark/>
          </w:tcPr>
          <w:p w14:paraId="49AAC12B"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671</w:t>
            </w:r>
          </w:p>
        </w:tc>
      </w:tr>
      <w:tr w:rsidR="003E245D" w:rsidRPr="003E245D" w14:paraId="1E870D4B" w14:textId="77777777" w:rsidTr="007779E2">
        <w:trPr>
          <w:trHeight w:val="300"/>
        </w:trPr>
        <w:tc>
          <w:tcPr>
            <w:tcW w:w="2137" w:type="pct"/>
            <w:noWrap/>
            <w:vAlign w:val="bottom"/>
            <w:hideMark/>
          </w:tcPr>
          <w:p w14:paraId="35BCFDEF"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353</w:t>
            </w:r>
          </w:p>
        </w:tc>
        <w:tc>
          <w:tcPr>
            <w:tcW w:w="2288" w:type="pct"/>
            <w:noWrap/>
            <w:vAlign w:val="bottom"/>
            <w:hideMark/>
          </w:tcPr>
          <w:p w14:paraId="2E669A8F"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CASELETTE-ALPIGNANO-AVIGLIANA</w:t>
            </w:r>
          </w:p>
        </w:tc>
        <w:tc>
          <w:tcPr>
            <w:tcW w:w="575" w:type="pct"/>
            <w:noWrap/>
            <w:vAlign w:val="bottom"/>
            <w:hideMark/>
          </w:tcPr>
          <w:p w14:paraId="31442688"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20.782</w:t>
            </w:r>
          </w:p>
        </w:tc>
      </w:tr>
      <w:tr w:rsidR="003E245D" w:rsidRPr="003E245D" w14:paraId="7698A20E" w14:textId="77777777" w:rsidTr="007779E2">
        <w:trPr>
          <w:trHeight w:val="300"/>
        </w:trPr>
        <w:tc>
          <w:tcPr>
            <w:tcW w:w="2137" w:type="pct"/>
            <w:noWrap/>
            <w:vAlign w:val="bottom"/>
            <w:hideMark/>
          </w:tcPr>
          <w:p w14:paraId="3E15C093"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357</w:t>
            </w:r>
          </w:p>
        </w:tc>
        <w:tc>
          <w:tcPr>
            <w:tcW w:w="2288" w:type="pct"/>
            <w:noWrap/>
            <w:vAlign w:val="bottom"/>
            <w:hideMark/>
          </w:tcPr>
          <w:p w14:paraId="6389A86F" w14:textId="77777777" w:rsidR="003E245D" w:rsidRPr="003E245D" w:rsidRDefault="003E245D" w:rsidP="003E245D">
            <w:pPr>
              <w:spacing w:after="0" w:line="240" w:lineRule="auto"/>
              <w:jc w:val="left"/>
              <w:rPr>
                <w:rFonts w:ascii="Aptos Narrow" w:eastAsia="Times New Roman" w:hAnsi="Aptos Narrow" w:cs="Times New Roman"/>
              </w:rPr>
            </w:pPr>
            <w:r w:rsidRPr="003E245D">
              <w:rPr>
                <w:rFonts w:ascii="Aptos Narrow" w:eastAsia="Times New Roman" w:hAnsi="Aptos Narrow" w:cs="Times New Roman"/>
              </w:rPr>
              <w:t>PEROSA-CALUSO</w:t>
            </w:r>
          </w:p>
        </w:tc>
        <w:tc>
          <w:tcPr>
            <w:tcW w:w="575" w:type="pct"/>
            <w:noWrap/>
            <w:vAlign w:val="bottom"/>
            <w:hideMark/>
          </w:tcPr>
          <w:p w14:paraId="330F8CC8"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n.d.</w:t>
            </w:r>
          </w:p>
        </w:tc>
      </w:tr>
      <w:tr w:rsidR="003E245D" w:rsidRPr="003E245D" w14:paraId="0C443622" w14:textId="77777777" w:rsidTr="007779E2">
        <w:trPr>
          <w:trHeight w:val="300"/>
        </w:trPr>
        <w:tc>
          <w:tcPr>
            <w:tcW w:w="2137" w:type="pct"/>
            <w:noWrap/>
            <w:vAlign w:val="bottom"/>
            <w:hideMark/>
          </w:tcPr>
          <w:p w14:paraId="588DE547"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358</w:t>
            </w:r>
          </w:p>
        </w:tc>
        <w:tc>
          <w:tcPr>
            <w:tcW w:w="2288" w:type="pct"/>
            <w:noWrap/>
            <w:vAlign w:val="bottom"/>
            <w:hideMark/>
          </w:tcPr>
          <w:p w14:paraId="56A1A7BD"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CAVAGLIÀ-IVREA</w:t>
            </w:r>
          </w:p>
        </w:tc>
        <w:tc>
          <w:tcPr>
            <w:tcW w:w="575" w:type="pct"/>
            <w:noWrap/>
            <w:vAlign w:val="bottom"/>
            <w:hideMark/>
          </w:tcPr>
          <w:p w14:paraId="12ACDA6D"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461</w:t>
            </w:r>
          </w:p>
        </w:tc>
      </w:tr>
      <w:tr w:rsidR="003E245D" w:rsidRPr="003E245D" w14:paraId="1635A7DC" w14:textId="77777777" w:rsidTr="007779E2">
        <w:trPr>
          <w:trHeight w:val="300"/>
        </w:trPr>
        <w:tc>
          <w:tcPr>
            <w:tcW w:w="2137" w:type="pct"/>
            <w:noWrap/>
            <w:vAlign w:val="bottom"/>
            <w:hideMark/>
          </w:tcPr>
          <w:p w14:paraId="2FDD621C"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364</w:t>
            </w:r>
          </w:p>
        </w:tc>
        <w:tc>
          <w:tcPr>
            <w:tcW w:w="2288" w:type="pct"/>
            <w:noWrap/>
            <w:vAlign w:val="bottom"/>
            <w:hideMark/>
          </w:tcPr>
          <w:p w14:paraId="5B09A902"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LOMBRIASCO-CARMAGNOLA</w:t>
            </w:r>
          </w:p>
        </w:tc>
        <w:tc>
          <w:tcPr>
            <w:tcW w:w="575" w:type="pct"/>
            <w:noWrap/>
            <w:vAlign w:val="bottom"/>
            <w:hideMark/>
          </w:tcPr>
          <w:p w14:paraId="1CA58D97"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0</w:t>
            </w:r>
          </w:p>
        </w:tc>
      </w:tr>
      <w:tr w:rsidR="003E245D" w:rsidRPr="003E245D" w14:paraId="4573B4B8" w14:textId="77777777" w:rsidTr="007779E2">
        <w:trPr>
          <w:trHeight w:val="300"/>
        </w:trPr>
        <w:tc>
          <w:tcPr>
            <w:tcW w:w="2137" w:type="pct"/>
            <w:noWrap/>
            <w:vAlign w:val="bottom"/>
            <w:hideMark/>
          </w:tcPr>
          <w:p w14:paraId="237559C5"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379</w:t>
            </w:r>
          </w:p>
        </w:tc>
        <w:tc>
          <w:tcPr>
            <w:tcW w:w="2288" w:type="pct"/>
            <w:noWrap/>
            <w:vAlign w:val="bottom"/>
            <w:hideMark/>
          </w:tcPr>
          <w:p w14:paraId="6801B2E8"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RIVAROLO-CIRIÈ</w:t>
            </w:r>
          </w:p>
        </w:tc>
        <w:tc>
          <w:tcPr>
            <w:tcW w:w="575" w:type="pct"/>
            <w:noWrap/>
            <w:vAlign w:val="bottom"/>
            <w:hideMark/>
          </w:tcPr>
          <w:p w14:paraId="24394E0B"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0</w:t>
            </w:r>
          </w:p>
        </w:tc>
      </w:tr>
      <w:tr w:rsidR="003E245D" w:rsidRPr="003E245D" w14:paraId="32FB3A51" w14:textId="77777777" w:rsidTr="007779E2">
        <w:trPr>
          <w:trHeight w:val="300"/>
        </w:trPr>
        <w:tc>
          <w:tcPr>
            <w:tcW w:w="2137" w:type="pct"/>
            <w:noWrap/>
            <w:vAlign w:val="bottom"/>
            <w:hideMark/>
          </w:tcPr>
          <w:p w14:paraId="02E8BD95"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381</w:t>
            </w:r>
          </w:p>
        </w:tc>
        <w:tc>
          <w:tcPr>
            <w:tcW w:w="2288" w:type="pct"/>
            <w:noWrap/>
            <w:vAlign w:val="bottom"/>
            <w:hideMark/>
          </w:tcPr>
          <w:p w14:paraId="35BD9C3A"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CUORGNÈ-CASELLE</w:t>
            </w:r>
          </w:p>
        </w:tc>
        <w:tc>
          <w:tcPr>
            <w:tcW w:w="575" w:type="pct"/>
            <w:noWrap/>
            <w:vAlign w:val="bottom"/>
            <w:hideMark/>
          </w:tcPr>
          <w:p w14:paraId="461F1F29"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0</w:t>
            </w:r>
          </w:p>
        </w:tc>
      </w:tr>
      <w:tr w:rsidR="003E245D" w:rsidRPr="003E245D" w14:paraId="7C3A1377" w14:textId="77777777" w:rsidTr="007779E2">
        <w:trPr>
          <w:trHeight w:val="300"/>
        </w:trPr>
        <w:tc>
          <w:tcPr>
            <w:tcW w:w="2137" w:type="pct"/>
            <w:noWrap/>
            <w:vAlign w:val="bottom"/>
            <w:hideMark/>
          </w:tcPr>
          <w:p w14:paraId="6AF907C5"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386</w:t>
            </w:r>
          </w:p>
        </w:tc>
        <w:tc>
          <w:tcPr>
            <w:tcW w:w="2288" w:type="pct"/>
            <w:noWrap/>
            <w:vAlign w:val="bottom"/>
            <w:hideMark/>
          </w:tcPr>
          <w:p w14:paraId="6EAC024E"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PONTE PIETRA-PINEROLO</w:t>
            </w:r>
          </w:p>
        </w:tc>
        <w:tc>
          <w:tcPr>
            <w:tcW w:w="575" w:type="pct"/>
            <w:noWrap/>
            <w:vAlign w:val="bottom"/>
            <w:hideMark/>
          </w:tcPr>
          <w:p w14:paraId="57E16059"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45.923</w:t>
            </w:r>
          </w:p>
        </w:tc>
      </w:tr>
      <w:tr w:rsidR="003E245D" w:rsidRPr="003E245D" w14:paraId="23EF0EA4" w14:textId="77777777" w:rsidTr="007779E2">
        <w:trPr>
          <w:trHeight w:val="300"/>
        </w:trPr>
        <w:tc>
          <w:tcPr>
            <w:tcW w:w="2137" w:type="pct"/>
            <w:noWrap/>
            <w:vAlign w:val="bottom"/>
            <w:hideMark/>
          </w:tcPr>
          <w:p w14:paraId="5B09B3F7" w14:textId="77777777" w:rsidR="003E245D" w:rsidRPr="003E245D" w:rsidRDefault="003E245D" w:rsidP="003E245D">
            <w:pPr>
              <w:spacing w:after="0" w:line="240" w:lineRule="auto"/>
              <w:jc w:val="center"/>
              <w:rPr>
                <w:rFonts w:ascii="Aptos Narrow" w:eastAsia="Times New Roman" w:hAnsi="Aptos Narrow" w:cs="Times New Roman"/>
              </w:rPr>
            </w:pPr>
            <w:r w:rsidRPr="003E245D">
              <w:rPr>
                <w:rFonts w:ascii="Aptos Narrow" w:eastAsia="Times New Roman" w:hAnsi="Aptos Narrow" w:cs="Times New Roman"/>
              </w:rPr>
              <w:t>400</w:t>
            </w:r>
          </w:p>
        </w:tc>
        <w:tc>
          <w:tcPr>
            <w:tcW w:w="2288" w:type="pct"/>
            <w:noWrap/>
            <w:vAlign w:val="bottom"/>
            <w:hideMark/>
          </w:tcPr>
          <w:p w14:paraId="1E49EEC3" w14:textId="77777777" w:rsidR="003E245D" w:rsidRPr="003E245D" w:rsidRDefault="003E245D" w:rsidP="003E245D">
            <w:pPr>
              <w:spacing w:after="0" w:line="240" w:lineRule="auto"/>
              <w:jc w:val="left"/>
              <w:rPr>
                <w:rFonts w:ascii="Aptos Narrow" w:eastAsia="Times New Roman" w:hAnsi="Aptos Narrow" w:cs="Times New Roman"/>
              </w:rPr>
            </w:pPr>
            <w:r w:rsidRPr="003E245D">
              <w:rPr>
                <w:rFonts w:ascii="Aptos Narrow" w:eastAsia="Times New Roman" w:hAnsi="Aptos Narrow" w:cs="Times New Roman"/>
              </w:rPr>
              <w:t>BALME-CERES-LANZO</w:t>
            </w:r>
          </w:p>
        </w:tc>
        <w:tc>
          <w:tcPr>
            <w:tcW w:w="575" w:type="pct"/>
            <w:noWrap/>
            <w:vAlign w:val="bottom"/>
            <w:hideMark/>
          </w:tcPr>
          <w:p w14:paraId="15597520"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n.d.</w:t>
            </w:r>
          </w:p>
        </w:tc>
      </w:tr>
      <w:tr w:rsidR="003E245D" w:rsidRPr="003E245D" w14:paraId="25A10F83" w14:textId="77777777" w:rsidTr="007779E2">
        <w:trPr>
          <w:trHeight w:val="300"/>
        </w:trPr>
        <w:tc>
          <w:tcPr>
            <w:tcW w:w="2137" w:type="pct"/>
            <w:noWrap/>
            <w:vAlign w:val="bottom"/>
            <w:hideMark/>
          </w:tcPr>
          <w:p w14:paraId="25115E08" w14:textId="77777777" w:rsidR="003E245D" w:rsidRPr="003E245D" w:rsidRDefault="003E245D" w:rsidP="003E245D">
            <w:pPr>
              <w:spacing w:after="0" w:line="240" w:lineRule="auto"/>
              <w:jc w:val="center"/>
              <w:rPr>
                <w:rFonts w:ascii="Aptos Narrow" w:eastAsia="Times New Roman" w:hAnsi="Aptos Narrow" w:cs="Times New Roman"/>
              </w:rPr>
            </w:pPr>
            <w:r w:rsidRPr="003E245D">
              <w:rPr>
                <w:rFonts w:ascii="Aptos Narrow" w:eastAsia="Times New Roman" w:hAnsi="Aptos Narrow" w:cs="Times New Roman"/>
              </w:rPr>
              <w:t>401</w:t>
            </w:r>
          </w:p>
        </w:tc>
        <w:tc>
          <w:tcPr>
            <w:tcW w:w="2288" w:type="pct"/>
            <w:noWrap/>
            <w:vAlign w:val="bottom"/>
            <w:hideMark/>
          </w:tcPr>
          <w:p w14:paraId="26511214" w14:textId="77777777" w:rsidR="003E245D" w:rsidRPr="003E245D" w:rsidRDefault="003E245D" w:rsidP="003E245D">
            <w:pPr>
              <w:spacing w:after="0" w:line="240" w:lineRule="auto"/>
              <w:jc w:val="left"/>
              <w:rPr>
                <w:rFonts w:ascii="Aptos Narrow" w:eastAsia="Times New Roman" w:hAnsi="Aptos Narrow" w:cs="Times New Roman"/>
              </w:rPr>
            </w:pPr>
            <w:r w:rsidRPr="003E245D">
              <w:rPr>
                <w:rFonts w:ascii="Aptos Narrow" w:eastAsia="Times New Roman" w:hAnsi="Aptos Narrow" w:cs="Times New Roman"/>
              </w:rPr>
              <w:t>LANZO-CORIO</w:t>
            </w:r>
          </w:p>
        </w:tc>
        <w:tc>
          <w:tcPr>
            <w:tcW w:w="575" w:type="pct"/>
            <w:noWrap/>
            <w:vAlign w:val="bottom"/>
            <w:hideMark/>
          </w:tcPr>
          <w:p w14:paraId="0F2F5373"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n.d.</w:t>
            </w:r>
          </w:p>
        </w:tc>
      </w:tr>
      <w:tr w:rsidR="003E245D" w:rsidRPr="003E245D" w14:paraId="54DFE98E" w14:textId="77777777" w:rsidTr="007779E2">
        <w:trPr>
          <w:trHeight w:val="300"/>
        </w:trPr>
        <w:tc>
          <w:tcPr>
            <w:tcW w:w="2137" w:type="pct"/>
            <w:noWrap/>
            <w:vAlign w:val="bottom"/>
            <w:hideMark/>
          </w:tcPr>
          <w:p w14:paraId="2EDCD8ED" w14:textId="77777777" w:rsidR="003E245D" w:rsidRPr="003E245D" w:rsidRDefault="003E245D" w:rsidP="003E245D">
            <w:pPr>
              <w:spacing w:after="0" w:line="240" w:lineRule="auto"/>
              <w:jc w:val="center"/>
              <w:rPr>
                <w:rFonts w:ascii="Aptos Narrow" w:eastAsia="Times New Roman" w:hAnsi="Aptos Narrow" w:cs="Times New Roman"/>
              </w:rPr>
            </w:pPr>
            <w:r w:rsidRPr="003E245D">
              <w:rPr>
                <w:rFonts w:ascii="Aptos Narrow" w:eastAsia="Times New Roman" w:hAnsi="Aptos Narrow" w:cs="Times New Roman"/>
              </w:rPr>
              <w:t>402</w:t>
            </w:r>
          </w:p>
        </w:tc>
        <w:tc>
          <w:tcPr>
            <w:tcW w:w="2288" w:type="pct"/>
            <w:noWrap/>
            <w:vAlign w:val="bottom"/>
            <w:hideMark/>
          </w:tcPr>
          <w:p w14:paraId="697AC8BF" w14:textId="77777777" w:rsidR="003E245D" w:rsidRPr="003E245D" w:rsidRDefault="003E245D" w:rsidP="003E245D">
            <w:pPr>
              <w:spacing w:after="0" w:line="240" w:lineRule="auto"/>
              <w:jc w:val="left"/>
              <w:rPr>
                <w:rFonts w:ascii="Aptos Narrow" w:eastAsia="Times New Roman" w:hAnsi="Aptos Narrow" w:cs="Times New Roman"/>
              </w:rPr>
            </w:pPr>
            <w:r w:rsidRPr="003E245D">
              <w:rPr>
                <w:rFonts w:ascii="Aptos Narrow" w:eastAsia="Times New Roman" w:hAnsi="Aptos Narrow" w:cs="Times New Roman"/>
              </w:rPr>
              <w:t>FORNO ALPI GRAIE-GROSCAVALLO-CIRIÉ</w:t>
            </w:r>
          </w:p>
        </w:tc>
        <w:tc>
          <w:tcPr>
            <w:tcW w:w="575" w:type="pct"/>
            <w:noWrap/>
            <w:vAlign w:val="bottom"/>
            <w:hideMark/>
          </w:tcPr>
          <w:p w14:paraId="2674409F"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n.d.</w:t>
            </w:r>
          </w:p>
        </w:tc>
      </w:tr>
      <w:tr w:rsidR="003E245D" w:rsidRPr="003E245D" w14:paraId="0E10D181" w14:textId="77777777" w:rsidTr="007779E2">
        <w:trPr>
          <w:trHeight w:val="300"/>
        </w:trPr>
        <w:tc>
          <w:tcPr>
            <w:tcW w:w="2137" w:type="pct"/>
            <w:noWrap/>
            <w:vAlign w:val="bottom"/>
            <w:hideMark/>
          </w:tcPr>
          <w:p w14:paraId="2D0FC59A" w14:textId="77777777" w:rsidR="003E245D" w:rsidRPr="003E245D" w:rsidRDefault="003E245D" w:rsidP="003E245D">
            <w:pPr>
              <w:spacing w:after="0" w:line="240" w:lineRule="auto"/>
              <w:jc w:val="center"/>
              <w:rPr>
                <w:rFonts w:ascii="Aptos Narrow" w:eastAsia="Times New Roman" w:hAnsi="Aptos Narrow" w:cs="Times New Roman"/>
              </w:rPr>
            </w:pPr>
            <w:r w:rsidRPr="003E245D">
              <w:rPr>
                <w:rFonts w:ascii="Aptos Narrow" w:eastAsia="Times New Roman" w:hAnsi="Aptos Narrow" w:cs="Times New Roman"/>
              </w:rPr>
              <w:t>403</w:t>
            </w:r>
          </w:p>
        </w:tc>
        <w:tc>
          <w:tcPr>
            <w:tcW w:w="2288" w:type="pct"/>
            <w:noWrap/>
            <w:vAlign w:val="bottom"/>
            <w:hideMark/>
          </w:tcPr>
          <w:p w14:paraId="511C76B1" w14:textId="77777777" w:rsidR="003E245D" w:rsidRPr="003E245D" w:rsidRDefault="003E245D" w:rsidP="003E245D">
            <w:pPr>
              <w:spacing w:after="0" w:line="240" w:lineRule="auto"/>
              <w:jc w:val="left"/>
              <w:rPr>
                <w:rFonts w:ascii="Aptos Narrow" w:eastAsia="Times New Roman" w:hAnsi="Aptos Narrow" w:cs="Times New Roman"/>
              </w:rPr>
            </w:pPr>
            <w:r w:rsidRPr="003E245D">
              <w:rPr>
                <w:rFonts w:ascii="Aptos Narrow" w:eastAsia="Times New Roman" w:hAnsi="Aptos Narrow" w:cs="Times New Roman"/>
              </w:rPr>
              <w:t>BALME-CERES (TRASPORTO DISABILI)</w:t>
            </w:r>
          </w:p>
        </w:tc>
        <w:tc>
          <w:tcPr>
            <w:tcW w:w="575" w:type="pct"/>
            <w:noWrap/>
            <w:vAlign w:val="bottom"/>
            <w:hideMark/>
          </w:tcPr>
          <w:p w14:paraId="4C0244A8"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n.d.</w:t>
            </w:r>
          </w:p>
        </w:tc>
      </w:tr>
      <w:tr w:rsidR="003E245D" w:rsidRPr="003E245D" w14:paraId="5C4AA931" w14:textId="77777777" w:rsidTr="007779E2">
        <w:trPr>
          <w:trHeight w:val="300"/>
        </w:trPr>
        <w:tc>
          <w:tcPr>
            <w:tcW w:w="2137" w:type="pct"/>
            <w:noWrap/>
            <w:vAlign w:val="bottom"/>
            <w:hideMark/>
          </w:tcPr>
          <w:p w14:paraId="3641E7A1"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431</w:t>
            </w:r>
          </w:p>
        </w:tc>
        <w:tc>
          <w:tcPr>
            <w:tcW w:w="2288" w:type="pct"/>
            <w:noWrap/>
            <w:vAlign w:val="bottom"/>
            <w:hideMark/>
          </w:tcPr>
          <w:p w14:paraId="195FD3F2"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PIOBESI-VINOVO-LA LOGGIA-MONCALIERI</w:t>
            </w:r>
          </w:p>
        </w:tc>
        <w:tc>
          <w:tcPr>
            <w:tcW w:w="575" w:type="pct"/>
            <w:noWrap/>
            <w:vAlign w:val="bottom"/>
            <w:hideMark/>
          </w:tcPr>
          <w:p w14:paraId="0C52B732"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121.430</w:t>
            </w:r>
          </w:p>
        </w:tc>
      </w:tr>
      <w:tr w:rsidR="003E245D" w:rsidRPr="003E245D" w14:paraId="1A5A899E" w14:textId="77777777" w:rsidTr="007779E2">
        <w:trPr>
          <w:trHeight w:val="300"/>
        </w:trPr>
        <w:tc>
          <w:tcPr>
            <w:tcW w:w="2137" w:type="pct"/>
            <w:noWrap/>
            <w:vAlign w:val="bottom"/>
            <w:hideMark/>
          </w:tcPr>
          <w:p w14:paraId="3749A733"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436</w:t>
            </w:r>
          </w:p>
        </w:tc>
        <w:tc>
          <w:tcPr>
            <w:tcW w:w="2288" w:type="pct"/>
            <w:noWrap/>
            <w:vAlign w:val="bottom"/>
            <w:hideMark/>
          </w:tcPr>
          <w:p w14:paraId="1FA026AC"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CASELETTE - ALMESE - CONDOVE - BUSSOLENO - SUSA</w:t>
            </w:r>
          </w:p>
        </w:tc>
        <w:tc>
          <w:tcPr>
            <w:tcW w:w="575" w:type="pct"/>
            <w:noWrap/>
            <w:vAlign w:val="bottom"/>
            <w:hideMark/>
          </w:tcPr>
          <w:p w14:paraId="5DF85179"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601</w:t>
            </w:r>
          </w:p>
        </w:tc>
      </w:tr>
      <w:tr w:rsidR="003E245D" w:rsidRPr="003E245D" w14:paraId="7AFE6CDD" w14:textId="77777777" w:rsidTr="007779E2">
        <w:trPr>
          <w:trHeight w:val="300"/>
        </w:trPr>
        <w:tc>
          <w:tcPr>
            <w:tcW w:w="2137" w:type="pct"/>
            <w:noWrap/>
            <w:vAlign w:val="bottom"/>
            <w:hideMark/>
          </w:tcPr>
          <w:p w14:paraId="1E5E3324"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437</w:t>
            </w:r>
          </w:p>
        </w:tc>
        <w:tc>
          <w:tcPr>
            <w:tcW w:w="2288" w:type="pct"/>
            <w:noWrap/>
            <w:vAlign w:val="bottom"/>
            <w:hideMark/>
          </w:tcPr>
          <w:p w14:paraId="1EDC9D29"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CIRIÈ- RIVAROLO</w:t>
            </w:r>
          </w:p>
        </w:tc>
        <w:tc>
          <w:tcPr>
            <w:tcW w:w="575" w:type="pct"/>
            <w:noWrap/>
            <w:vAlign w:val="bottom"/>
            <w:hideMark/>
          </w:tcPr>
          <w:p w14:paraId="1085E066"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95</w:t>
            </w:r>
          </w:p>
        </w:tc>
      </w:tr>
      <w:tr w:rsidR="003E245D" w:rsidRPr="003E245D" w14:paraId="1B2FF82C" w14:textId="77777777" w:rsidTr="007779E2">
        <w:trPr>
          <w:trHeight w:val="300"/>
        </w:trPr>
        <w:tc>
          <w:tcPr>
            <w:tcW w:w="2137" w:type="pct"/>
            <w:noWrap/>
            <w:vAlign w:val="bottom"/>
            <w:hideMark/>
          </w:tcPr>
          <w:p w14:paraId="0DA342E3"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438</w:t>
            </w:r>
          </w:p>
        </w:tc>
        <w:tc>
          <w:tcPr>
            <w:tcW w:w="2288" w:type="pct"/>
            <w:noWrap/>
            <w:vAlign w:val="bottom"/>
            <w:hideMark/>
          </w:tcPr>
          <w:p w14:paraId="4B49C7D2"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TORRE PELLICE-OSASCO</w:t>
            </w:r>
          </w:p>
        </w:tc>
        <w:tc>
          <w:tcPr>
            <w:tcW w:w="575" w:type="pct"/>
            <w:noWrap/>
            <w:vAlign w:val="bottom"/>
            <w:hideMark/>
          </w:tcPr>
          <w:p w14:paraId="68839675"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6.864</w:t>
            </w:r>
          </w:p>
        </w:tc>
      </w:tr>
      <w:tr w:rsidR="003E245D" w:rsidRPr="003E245D" w14:paraId="487965E2" w14:textId="77777777" w:rsidTr="007779E2">
        <w:trPr>
          <w:trHeight w:val="300"/>
        </w:trPr>
        <w:tc>
          <w:tcPr>
            <w:tcW w:w="2137" w:type="pct"/>
            <w:noWrap/>
            <w:vAlign w:val="bottom"/>
            <w:hideMark/>
          </w:tcPr>
          <w:p w14:paraId="1A507885"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445</w:t>
            </w:r>
          </w:p>
        </w:tc>
        <w:tc>
          <w:tcPr>
            <w:tcW w:w="2288" w:type="pct"/>
            <w:noWrap/>
            <w:vAlign w:val="bottom"/>
            <w:hideMark/>
          </w:tcPr>
          <w:p w14:paraId="1C2C3333"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CHIVASSO-CALUSO</w:t>
            </w:r>
          </w:p>
        </w:tc>
        <w:tc>
          <w:tcPr>
            <w:tcW w:w="575" w:type="pct"/>
            <w:noWrap/>
            <w:vAlign w:val="bottom"/>
            <w:hideMark/>
          </w:tcPr>
          <w:p w14:paraId="66B4FDCC"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50</w:t>
            </w:r>
          </w:p>
        </w:tc>
      </w:tr>
      <w:tr w:rsidR="003E245D" w:rsidRPr="003E245D" w14:paraId="56716F59" w14:textId="77777777" w:rsidTr="007779E2">
        <w:trPr>
          <w:trHeight w:val="300"/>
        </w:trPr>
        <w:tc>
          <w:tcPr>
            <w:tcW w:w="2137" w:type="pct"/>
            <w:noWrap/>
            <w:vAlign w:val="bottom"/>
            <w:hideMark/>
          </w:tcPr>
          <w:p w14:paraId="744662B8"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446</w:t>
            </w:r>
          </w:p>
        </w:tc>
        <w:tc>
          <w:tcPr>
            <w:tcW w:w="2288" w:type="pct"/>
            <w:noWrap/>
            <w:vAlign w:val="bottom"/>
            <w:hideMark/>
          </w:tcPr>
          <w:p w14:paraId="4B4621F5"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TORRE PELLICE-SALUZZO</w:t>
            </w:r>
          </w:p>
        </w:tc>
        <w:tc>
          <w:tcPr>
            <w:tcW w:w="575" w:type="pct"/>
            <w:noWrap/>
            <w:vAlign w:val="bottom"/>
            <w:hideMark/>
          </w:tcPr>
          <w:p w14:paraId="5C918A3F"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400</w:t>
            </w:r>
          </w:p>
        </w:tc>
      </w:tr>
      <w:tr w:rsidR="003E245D" w:rsidRPr="003E245D" w14:paraId="21EA5A77" w14:textId="77777777" w:rsidTr="007779E2">
        <w:trPr>
          <w:trHeight w:val="300"/>
        </w:trPr>
        <w:tc>
          <w:tcPr>
            <w:tcW w:w="2137" w:type="pct"/>
            <w:noWrap/>
            <w:vAlign w:val="bottom"/>
            <w:hideMark/>
          </w:tcPr>
          <w:p w14:paraId="58C988B7"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500</w:t>
            </w:r>
          </w:p>
        </w:tc>
        <w:tc>
          <w:tcPr>
            <w:tcW w:w="2288" w:type="pct"/>
            <w:noWrap/>
            <w:vAlign w:val="bottom"/>
            <w:hideMark/>
          </w:tcPr>
          <w:p w14:paraId="468EB716"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PEROSA ARGENTINA - VILLAR PEROSA</w:t>
            </w:r>
          </w:p>
        </w:tc>
        <w:tc>
          <w:tcPr>
            <w:tcW w:w="575" w:type="pct"/>
            <w:noWrap/>
            <w:vAlign w:val="bottom"/>
            <w:hideMark/>
          </w:tcPr>
          <w:p w14:paraId="6C12A254"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0</w:t>
            </w:r>
          </w:p>
        </w:tc>
      </w:tr>
      <w:tr w:rsidR="003E245D" w:rsidRPr="003E245D" w14:paraId="2D1320BB" w14:textId="77777777" w:rsidTr="007779E2">
        <w:trPr>
          <w:trHeight w:val="300"/>
        </w:trPr>
        <w:tc>
          <w:tcPr>
            <w:tcW w:w="2137" w:type="pct"/>
            <w:noWrap/>
            <w:vAlign w:val="bottom"/>
            <w:hideMark/>
          </w:tcPr>
          <w:p w14:paraId="369D5B13"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502</w:t>
            </w:r>
          </w:p>
        </w:tc>
        <w:tc>
          <w:tcPr>
            <w:tcW w:w="2288" w:type="pct"/>
            <w:noWrap/>
            <w:vAlign w:val="bottom"/>
            <w:hideMark/>
          </w:tcPr>
          <w:p w14:paraId="4DBBCB8E"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SAN MAURIZIO - CASTELLAMONTE</w:t>
            </w:r>
          </w:p>
        </w:tc>
        <w:tc>
          <w:tcPr>
            <w:tcW w:w="575" w:type="pct"/>
            <w:noWrap/>
            <w:vAlign w:val="bottom"/>
            <w:hideMark/>
          </w:tcPr>
          <w:p w14:paraId="387CF6C1"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822</w:t>
            </w:r>
          </w:p>
        </w:tc>
      </w:tr>
      <w:tr w:rsidR="003E245D" w:rsidRPr="003E245D" w14:paraId="5BE7A81C" w14:textId="77777777" w:rsidTr="007779E2">
        <w:trPr>
          <w:trHeight w:val="300"/>
        </w:trPr>
        <w:tc>
          <w:tcPr>
            <w:tcW w:w="2137" w:type="pct"/>
            <w:noWrap/>
            <w:vAlign w:val="bottom"/>
            <w:hideMark/>
          </w:tcPr>
          <w:p w14:paraId="51DB7EDF"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1510</w:t>
            </w:r>
          </w:p>
        </w:tc>
        <w:tc>
          <w:tcPr>
            <w:tcW w:w="2288" w:type="pct"/>
            <w:noWrap/>
            <w:vAlign w:val="bottom"/>
            <w:hideMark/>
          </w:tcPr>
          <w:p w14:paraId="6C9F2227"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TORINO - ORBASSANO - CUMIANA / CUMIANA - PINEROLO</w:t>
            </w:r>
          </w:p>
        </w:tc>
        <w:tc>
          <w:tcPr>
            <w:tcW w:w="575" w:type="pct"/>
            <w:noWrap/>
            <w:vAlign w:val="bottom"/>
            <w:hideMark/>
          </w:tcPr>
          <w:p w14:paraId="2FEE16A6"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39.020</w:t>
            </w:r>
          </w:p>
        </w:tc>
      </w:tr>
      <w:tr w:rsidR="003E245D" w:rsidRPr="003E245D" w14:paraId="68447F16" w14:textId="77777777" w:rsidTr="007779E2">
        <w:trPr>
          <w:trHeight w:val="300"/>
        </w:trPr>
        <w:tc>
          <w:tcPr>
            <w:tcW w:w="2137" w:type="pct"/>
            <w:noWrap/>
            <w:vAlign w:val="bottom"/>
            <w:hideMark/>
          </w:tcPr>
          <w:p w14:paraId="612910CA"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1511</w:t>
            </w:r>
          </w:p>
        </w:tc>
        <w:tc>
          <w:tcPr>
            <w:tcW w:w="2288" w:type="pct"/>
            <w:noWrap/>
            <w:vAlign w:val="bottom"/>
            <w:hideMark/>
          </w:tcPr>
          <w:p w14:paraId="7F75EE52"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TORINO - ORBASSANO - GIAVENO / GIAVENO - PIOSSASCO</w:t>
            </w:r>
          </w:p>
        </w:tc>
        <w:tc>
          <w:tcPr>
            <w:tcW w:w="575" w:type="pct"/>
            <w:noWrap/>
            <w:vAlign w:val="bottom"/>
            <w:hideMark/>
          </w:tcPr>
          <w:p w14:paraId="6A44B0EE"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36.266</w:t>
            </w:r>
          </w:p>
        </w:tc>
      </w:tr>
      <w:tr w:rsidR="003E245D" w:rsidRPr="003E245D" w14:paraId="6D9B61B2" w14:textId="77777777" w:rsidTr="007779E2">
        <w:trPr>
          <w:trHeight w:val="300"/>
        </w:trPr>
        <w:tc>
          <w:tcPr>
            <w:tcW w:w="2137" w:type="pct"/>
            <w:noWrap/>
            <w:vAlign w:val="bottom"/>
            <w:hideMark/>
          </w:tcPr>
          <w:p w14:paraId="26CC6D06"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525</w:t>
            </w:r>
          </w:p>
        </w:tc>
        <w:tc>
          <w:tcPr>
            <w:tcW w:w="2288" w:type="pct"/>
            <w:noWrap/>
            <w:vAlign w:val="bottom"/>
            <w:hideMark/>
          </w:tcPr>
          <w:p w14:paraId="0B7F4697" w14:textId="77777777" w:rsidR="003E245D" w:rsidRPr="003E245D" w:rsidRDefault="003E245D" w:rsidP="003E245D">
            <w:pPr>
              <w:spacing w:after="0" w:line="240" w:lineRule="auto"/>
              <w:jc w:val="left"/>
              <w:rPr>
                <w:rFonts w:ascii="Aptos Narrow" w:eastAsia="Times New Roman" w:hAnsi="Aptos Narrow" w:cs="Times New Roman"/>
              </w:rPr>
            </w:pPr>
            <w:r w:rsidRPr="003E245D">
              <w:rPr>
                <w:rFonts w:ascii="Aptos Narrow" w:eastAsia="Times New Roman" w:hAnsi="Aptos Narrow" w:cs="Times New Roman"/>
              </w:rPr>
              <w:t>CERES - PIANEZZA</w:t>
            </w:r>
          </w:p>
        </w:tc>
        <w:tc>
          <w:tcPr>
            <w:tcW w:w="575" w:type="pct"/>
            <w:noWrap/>
            <w:vAlign w:val="bottom"/>
            <w:hideMark/>
          </w:tcPr>
          <w:p w14:paraId="2CC3C64E"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n.d.</w:t>
            </w:r>
          </w:p>
        </w:tc>
      </w:tr>
      <w:tr w:rsidR="003E245D" w:rsidRPr="003E245D" w14:paraId="15CED778" w14:textId="77777777" w:rsidTr="007779E2">
        <w:trPr>
          <w:trHeight w:val="300"/>
        </w:trPr>
        <w:tc>
          <w:tcPr>
            <w:tcW w:w="2137" w:type="pct"/>
            <w:noWrap/>
            <w:vAlign w:val="bottom"/>
            <w:hideMark/>
          </w:tcPr>
          <w:p w14:paraId="7CFFCED0"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544</w:t>
            </w:r>
          </w:p>
        </w:tc>
        <w:tc>
          <w:tcPr>
            <w:tcW w:w="2288" w:type="pct"/>
            <w:noWrap/>
            <w:vAlign w:val="bottom"/>
            <w:hideMark/>
          </w:tcPr>
          <w:p w14:paraId="7CAE0A27"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CUORGNÈ-FAIALLO-FRASSINETTO</w:t>
            </w:r>
          </w:p>
        </w:tc>
        <w:tc>
          <w:tcPr>
            <w:tcW w:w="575" w:type="pct"/>
            <w:noWrap/>
            <w:vAlign w:val="bottom"/>
            <w:hideMark/>
          </w:tcPr>
          <w:p w14:paraId="3BC87F77"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0</w:t>
            </w:r>
          </w:p>
        </w:tc>
      </w:tr>
      <w:tr w:rsidR="003E245D" w:rsidRPr="003E245D" w14:paraId="7D2F9FF5" w14:textId="77777777" w:rsidTr="007779E2">
        <w:trPr>
          <w:trHeight w:val="300"/>
        </w:trPr>
        <w:tc>
          <w:tcPr>
            <w:tcW w:w="2137" w:type="pct"/>
            <w:noWrap/>
            <w:vAlign w:val="bottom"/>
            <w:hideMark/>
          </w:tcPr>
          <w:p w14:paraId="3B2CC4E6"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720</w:t>
            </w:r>
          </w:p>
        </w:tc>
        <w:tc>
          <w:tcPr>
            <w:tcW w:w="2288" w:type="pct"/>
            <w:noWrap/>
            <w:vAlign w:val="bottom"/>
            <w:hideMark/>
          </w:tcPr>
          <w:p w14:paraId="3F8A8F22" w14:textId="77777777" w:rsidR="003E245D" w:rsidRPr="003E245D" w:rsidRDefault="003E245D" w:rsidP="003E245D">
            <w:pPr>
              <w:spacing w:after="0" w:line="240" w:lineRule="auto"/>
              <w:jc w:val="left"/>
              <w:rPr>
                <w:rFonts w:ascii="Aptos Narrow" w:eastAsia="Times New Roman" w:hAnsi="Aptos Narrow" w:cs="Times New Roman"/>
              </w:rPr>
            </w:pPr>
            <w:r w:rsidRPr="003E245D">
              <w:rPr>
                <w:rFonts w:ascii="Aptos Narrow" w:eastAsia="Times New Roman" w:hAnsi="Aptos Narrow" w:cs="Times New Roman"/>
              </w:rPr>
              <w:t>PUGNETTO-TRAVES-GERMAGNANO-LANZO</w:t>
            </w:r>
          </w:p>
        </w:tc>
        <w:tc>
          <w:tcPr>
            <w:tcW w:w="575" w:type="pct"/>
            <w:noWrap/>
            <w:vAlign w:val="bottom"/>
            <w:hideMark/>
          </w:tcPr>
          <w:p w14:paraId="41A1F48D"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n.d</w:t>
            </w:r>
          </w:p>
        </w:tc>
      </w:tr>
      <w:tr w:rsidR="003E245D" w:rsidRPr="003E245D" w14:paraId="134B871F" w14:textId="77777777" w:rsidTr="007779E2">
        <w:trPr>
          <w:trHeight w:val="300"/>
        </w:trPr>
        <w:tc>
          <w:tcPr>
            <w:tcW w:w="2137" w:type="pct"/>
            <w:noWrap/>
            <w:vAlign w:val="bottom"/>
            <w:hideMark/>
          </w:tcPr>
          <w:p w14:paraId="271878EF"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901</w:t>
            </w:r>
          </w:p>
        </w:tc>
        <w:tc>
          <w:tcPr>
            <w:tcW w:w="2288" w:type="pct"/>
            <w:noWrap/>
            <w:vAlign w:val="bottom"/>
            <w:hideMark/>
          </w:tcPr>
          <w:p w14:paraId="70E43745"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TORINO-PINEROLO-TORRE PELLICE</w:t>
            </w:r>
          </w:p>
        </w:tc>
        <w:tc>
          <w:tcPr>
            <w:tcW w:w="575" w:type="pct"/>
            <w:noWrap/>
            <w:vAlign w:val="bottom"/>
            <w:hideMark/>
          </w:tcPr>
          <w:p w14:paraId="7E295915"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83.210</w:t>
            </w:r>
          </w:p>
        </w:tc>
      </w:tr>
      <w:tr w:rsidR="003E245D" w:rsidRPr="003E245D" w14:paraId="3ED59250" w14:textId="77777777" w:rsidTr="007779E2">
        <w:trPr>
          <w:trHeight w:val="300"/>
        </w:trPr>
        <w:tc>
          <w:tcPr>
            <w:tcW w:w="2137" w:type="pct"/>
            <w:noWrap/>
            <w:vAlign w:val="bottom"/>
            <w:hideMark/>
          </w:tcPr>
          <w:p w14:paraId="538B79EA" w14:textId="77777777" w:rsidR="003E245D" w:rsidRPr="003E245D" w:rsidRDefault="003E245D" w:rsidP="003E245D">
            <w:pPr>
              <w:spacing w:after="0" w:line="240" w:lineRule="auto"/>
              <w:jc w:val="center"/>
              <w:rPr>
                <w:rFonts w:ascii="Aptos Narrow" w:eastAsia="Times New Roman" w:hAnsi="Aptos Narrow" w:cs="Times New Roman"/>
              </w:rPr>
            </w:pPr>
            <w:r w:rsidRPr="003E245D">
              <w:rPr>
                <w:rFonts w:ascii="Aptos Narrow" w:eastAsia="Times New Roman" w:hAnsi="Aptos Narrow" w:cs="Times New Roman"/>
              </w:rPr>
              <w:t>902</w:t>
            </w:r>
          </w:p>
        </w:tc>
        <w:tc>
          <w:tcPr>
            <w:tcW w:w="2288" w:type="pct"/>
            <w:noWrap/>
            <w:vAlign w:val="bottom"/>
            <w:hideMark/>
          </w:tcPr>
          <w:p w14:paraId="28D0F50E" w14:textId="77777777" w:rsidR="003E245D" w:rsidRPr="003E245D" w:rsidRDefault="003E245D" w:rsidP="003E245D">
            <w:pPr>
              <w:spacing w:after="0" w:line="240" w:lineRule="auto"/>
              <w:jc w:val="left"/>
              <w:rPr>
                <w:rFonts w:ascii="Aptos Narrow" w:eastAsia="Times New Roman" w:hAnsi="Aptos Narrow" w:cs="Times New Roman"/>
              </w:rPr>
            </w:pPr>
            <w:r w:rsidRPr="003E245D">
              <w:rPr>
                <w:rFonts w:ascii="Aptos Narrow" w:eastAsia="Times New Roman" w:hAnsi="Aptos Narrow" w:cs="Times New Roman"/>
              </w:rPr>
              <w:t>OULX-BARDONECCHIA-MODANE / SERVIZIO SOSTITUTIVO FERROVIARIO</w:t>
            </w:r>
          </w:p>
        </w:tc>
        <w:tc>
          <w:tcPr>
            <w:tcW w:w="575" w:type="pct"/>
            <w:noWrap/>
            <w:vAlign w:val="bottom"/>
            <w:hideMark/>
          </w:tcPr>
          <w:p w14:paraId="7355D4E7"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n.d.</w:t>
            </w:r>
          </w:p>
        </w:tc>
      </w:tr>
      <w:tr w:rsidR="003E245D" w:rsidRPr="003E245D" w14:paraId="25C6A026" w14:textId="77777777" w:rsidTr="007779E2">
        <w:trPr>
          <w:trHeight w:val="300"/>
        </w:trPr>
        <w:tc>
          <w:tcPr>
            <w:tcW w:w="2137" w:type="pct"/>
            <w:noWrap/>
            <w:vAlign w:val="bottom"/>
            <w:hideMark/>
          </w:tcPr>
          <w:p w14:paraId="225ACC39"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904</w:t>
            </w:r>
          </w:p>
        </w:tc>
        <w:tc>
          <w:tcPr>
            <w:tcW w:w="2288" w:type="pct"/>
            <w:noWrap/>
            <w:vAlign w:val="bottom"/>
            <w:hideMark/>
          </w:tcPr>
          <w:p w14:paraId="10597349"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IVREA FS - CHIVASSO MOVICENTRO</w:t>
            </w:r>
          </w:p>
        </w:tc>
        <w:tc>
          <w:tcPr>
            <w:tcW w:w="575" w:type="pct"/>
            <w:noWrap/>
            <w:vAlign w:val="bottom"/>
            <w:hideMark/>
          </w:tcPr>
          <w:p w14:paraId="52A8836C"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20</w:t>
            </w:r>
          </w:p>
        </w:tc>
      </w:tr>
      <w:tr w:rsidR="003E245D" w:rsidRPr="003E245D" w14:paraId="3C657A94" w14:textId="77777777" w:rsidTr="007779E2">
        <w:trPr>
          <w:trHeight w:val="300"/>
        </w:trPr>
        <w:tc>
          <w:tcPr>
            <w:tcW w:w="2137" w:type="pct"/>
            <w:noWrap/>
            <w:vAlign w:val="bottom"/>
            <w:hideMark/>
          </w:tcPr>
          <w:p w14:paraId="4FFAAA72"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905</w:t>
            </w:r>
          </w:p>
        </w:tc>
        <w:tc>
          <w:tcPr>
            <w:tcW w:w="2288" w:type="pct"/>
            <w:noWrap/>
            <w:vAlign w:val="bottom"/>
            <w:hideMark/>
          </w:tcPr>
          <w:p w14:paraId="5E69ACAE"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SUSA-BUSSOLENO-OULX / SERVIZIO SOSTITUTIVO FERROVIARIO</w:t>
            </w:r>
          </w:p>
        </w:tc>
        <w:tc>
          <w:tcPr>
            <w:tcW w:w="575" w:type="pct"/>
            <w:noWrap/>
            <w:vAlign w:val="bottom"/>
            <w:hideMark/>
          </w:tcPr>
          <w:p w14:paraId="1712842D"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58</w:t>
            </w:r>
          </w:p>
        </w:tc>
      </w:tr>
      <w:tr w:rsidR="003E245D" w:rsidRPr="003E245D" w14:paraId="52FD5E2C" w14:textId="77777777" w:rsidTr="007779E2">
        <w:trPr>
          <w:trHeight w:val="300"/>
        </w:trPr>
        <w:tc>
          <w:tcPr>
            <w:tcW w:w="2137" w:type="pct"/>
            <w:noWrap/>
            <w:vAlign w:val="bottom"/>
            <w:hideMark/>
          </w:tcPr>
          <w:p w14:paraId="1C1C5D81"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1068</w:t>
            </w:r>
          </w:p>
        </w:tc>
        <w:tc>
          <w:tcPr>
            <w:tcW w:w="2288" w:type="pct"/>
            <w:noWrap/>
            <w:vAlign w:val="bottom"/>
            <w:hideMark/>
          </w:tcPr>
          <w:p w14:paraId="073BDA42"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COLLEGNO - CONDOVE</w:t>
            </w:r>
          </w:p>
        </w:tc>
        <w:tc>
          <w:tcPr>
            <w:tcW w:w="575" w:type="pct"/>
            <w:noWrap/>
            <w:vAlign w:val="bottom"/>
            <w:hideMark/>
          </w:tcPr>
          <w:p w14:paraId="1E30D8E4"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12.664</w:t>
            </w:r>
          </w:p>
        </w:tc>
      </w:tr>
      <w:tr w:rsidR="003E245D" w:rsidRPr="003E245D" w14:paraId="47997C1F" w14:textId="77777777" w:rsidTr="007779E2">
        <w:trPr>
          <w:trHeight w:val="300"/>
        </w:trPr>
        <w:tc>
          <w:tcPr>
            <w:tcW w:w="2137" w:type="pct"/>
            <w:noWrap/>
            <w:vAlign w:val="bottom"/>
            <w:hideMark/>
          </w:tcPr>
          <w:p w14:paraId="5D12926D"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lastRenderedPageBreak/>
              <w:t>1085</w:t>
            </w:r>
          </w:p>
        </w:tc>
        <w:tc>
          <w:tcPr>
            <w:tcW w:w="2288" w:type="pct"/>
            <w:noWrap/>
            <w:vAlign w:val="bottom"/>
            <w:hideMark/>
          </w:tcPr>
          <w:p w14:paraId="2C8854A3"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TORINO - FIAT RIVALTA</w:t>
            </w:r>
          </w:p>
        </w:tc>
        <w:tc>
          <w:tcPr>
            <w:tcW w:w="575" w:type="pct"/>
            <w:noWrap/>
            <w:vAlign w:val="bottom"/>
            <w:hideMark/>
          </w:tcPr>
          <w:p w14:paraId="0523C06B"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349</w:t>
            </w:r>
          </w:p>
        </w:tc>
      </w:tr>
      <w:tr w:rsidR="003E245D" w:rsidRPr="003E245D" w14:paraId="51681C40" w14:textId="77777777" w:rsidTr="007779E2">
        <w:trPr>
          <w:trHeight w:val="300"/>
        </w:trPr>
        <w:tc>
          <w:tcPr>
            <w:tcW w:w="2137" w:type="pct"/>
            <w:noWrap/>
            <w:vAlign w:val="bottom"/>
            <w:hideMark/>
          </w:tcPr>
          <w:p w14:paraId="663B9464"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1086</w:t>
            </w:r>
          </w:p>
        </w:tc>
        <w:tc>
          <w:tcPr>
            <w:tcW w:w="2288" w:type="pct"/>
            <w:noWrap/>
            <w:vAlign w:val="bottom"/>
            <w:hideMark/>
          </w:tcPr>
          <w:p w14:paraId="16B8A615"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RIVOLI - TRANA - GIAVENO</w:t>
            </w:r>
          </w:p>
        </w:tc>
        <w:tc>
          <w:tcPr>
            <w:tcW w:w="575" w:type="pct"/>
            <w:noWrap/>
            <w:vAlign w:val="bottom"/>
            <w:hideMark/>
          </w:tcPr>
          <w:p w14:paraId="44C840BB"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553</w:t>
            </w:r>
          </w:p>
        </w:tc>
      </w:tr>
      <w:tr w:rsidR="003E245D" w:rsidRPr="003E245D" w14:paraId="2F575F14" w14:textId="77777777" w:rsidTr="007779E2">
        <w:trPr>
          <w:trHeight w:val="300"/>
        </w:trPr>
        <w:tc>
          <w:tcPr>
            <w:tcW w:w="2137" w:type="pct"/>
            <w:noWrap/>
            <w:vAlign w:val="bottom"/>
            <w:hideMark/>
          </w:tcPr>
          <w:p w14:paraId="2210A6AF"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1087</w:t>
            </w:r>
          </w:p>
        </w:tc>
        <w:tc>
          <w:tcPr>
            <w:tcW w:w="2288" w:type="pct"/>
            <w:noWrap/>
            <w:vAlign w:val="bottom"/>
            <w:hideMark/>
          </w:tcPr>
          <w:p w14:paraId="73D73C79"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RIVOLI - AVIGLIANA - FERRIERA</w:t>
            </w:r>
          </w:p>
        </w:tc>
        <w:tc>
          <w:tcPr>
            <w:tcW w:w="575" w:type="pct"/>
            <w:noWrap/>
            <w:vAlign w:val="bottom"/>
            <w:hideMark/>
          </w:tcPr>
          <w:p w14:paraId="2337D0F0"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458</w:t>
            </w:r>
          </w:p>
        </w:tc>
      </w:tr>
      <w:tr w:rsidR="003E245D" w:rsidRPr="003E245D" w14:paraId="0EBE76D2" w14:textId="77777777" w:rsidTr="007779E2">
        <w:trPr>
          <w:trHeight w:val="300"/>
        </w:trPr>
        <w:tc>
          <w:tcPr>
            <w:tcW w:w="2137" w:type="pct"/>
            <w:noWrap/>
            <w:vAlign w:val="bottom"/>
            <w:hideMark/>
          </w:tcPr>
          <w:p w14:paraId="45E75E94"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1091</w:t>
            </w:r>
          </w:p>
        </w:tc>
        <w:tc>
          <w:tcPr>
            <w:tcW w:w="2288" w:type="pct"/>
            <w:noWrap/>
            <w:vAlign w:val="bottom"/>
            <w:hideMark/>
          </w:tcPr>
          <w:p w14:paraId="58242536"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COLLEGNO - RUBIANA</w:t>
            </w:r>
          </w:p>
        </w:tc>
        <w:tc>
          <w:tcPr>
            <w:tcW w:w="575" w:type="pct"/>
            <w:noWrap/>
            <w:vAlign w:val="bottom"/>
            <w:hideMark/>
          </w:tcPr>
          <w:p w14:paraId="7DB47376"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15.502</w:t>
            </w:r>
          </w:p>
        </w:tc>
      </w:tr>
      <w:tr w:rsidR="003E245D" w:rsidRPr="003E245D" w14:paraId="0C28AB4A" w14:textId="77777777" w:rsidTr="007779E2">
        <w:trPr>
          <w:trHeight w:val="300"/>
        </w:trPr>
        <w:tc>
          <w:tcPr>
            <w:tcW w:w="2137" w:type="pct"/>
            <w:noWrap/>
            <w:vAlign w:val="bottom"/>
            <w:hideMark/>
          </w:tcPr>
          <w:p w14:paraId="3BE120FE"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1117</w:t>
            </w:r>
          </w:p>
        </w:tc>
        <w:tc>
          <w:tcPr>
            <w:tcW w:w="2288" w:type="pct"/>
            <w:noWrap/>
            <w:vAlign w:val="bottom"/>
            <w:hideMark/>
          </w:tcPr>
          <w:p w14:paraId="46BB8DC9"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PIOSSASCO - PIANEZZA VALEO</w:t>
            </w:r>
          </w:p>
        </w:tc>
        <w:tc>
          <w:tcPr>
            <w:tcW w:w="575" w:type="pct"/>
            <w:noWrap/>
            <w:vAlign w:val="bottom"/>
            <w:hideMark/>
          </w:tcPr>
          <w:p w14:paraId="243B25DF"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0</w:t>
            </w:r>
          </w:p>
        </w:tc>
      </w:tr>
      <w:tr w:rsidR="003E245D" w:rsidRPr="003E245D" w14:paraId="6064DCA5" w14:textId="77777777" w:rsidTr="007779E2">
        <w:trPr>
          <w:trHeight w:val="300"/>
        </w:trPr>
        <w:tc>
          <w:tcPr>
            <w:tcW w:w="2137" w:type="pct"/>
            <w:noWrap/>
            <w:vAlign w:val="bottom"/>
            <w:hideMark/>
          </w:tcPr>
          <w:p w14:paraId="0F3FF01B"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1128</w:t>
            </w:r>
          </w:p>
        </w:tc>
        <w:tc>
          <w:tcPr>
            <w:tcW w:w="2288" w:type="pct"/>
            <w:noWrap/>
            <w:vAlign w:val="bottom"/>
            <w:hideMark/>
          </w:tcPr>
          <w:p w14:paraId="22EAF475"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BORGATA ADRIT - SAN GIORIO - BUSSOLENO</w:t>
            </w:r>
          </w:p>
        </w:tc>
        <w:tc>
          <w:tcPr>
            <w:tcW w:w="575" w:type="pct"/>
            <w:noWrap/>
            <w:vAlign w:val="bottom"/>
            <w:hideMark/>
          </w:tcPr>
          <w:p w14:paraId="2AB0EC45"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0</w:t>
            </w:r>
          </w:p>
        </w:tc>
      </w:tr>
      <w:tr w:rsidR="003E245D" w:rsidRPr="003E245D" w14:paraId="20B48109" w14:textId="77777777" w:rsidTr="007779E2">
        <w:trPr>
          <w:trHeight w:val="300"/>
        </w:trPr>
        <w:tc>
          <w:tcPr>
            <w:tcW w:w="2137" w:type="pct"/>
            <w:noWrap/>
            <w:vAlign w:val="bottom"/>
            <w:hideMark/>
          </w:tcPr>
          <w:p w14:paraId="18718E05"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1224</w:t>
            </w:r>
          </w:p>
        </w:tc>
        <w:tc>
          <w:tcPr>
            <w:tcW w:w="2288" w:type="pct"/>
            <w:noWrap/>
            <w:vAlign w:val="bottom"/>
            <w:hideMark/>
          </w:tcPr>
          <w:p w14:paraId="576214C1"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BUSSOLENO - AVIGLIANA - RIVOLI</w:t>
            </w:r>
          </w:p>
        </w:tc>
        <w:tc>
          <w:tcPr>
            <w:tcW w:w="575" w:type="pct"/>
            <w:noWrap/>
            <w:vAlign w:val="bottom"/>
            <w:hideMark/>
          </w:tcPr>
          <w:p w14:paraId="68C32021"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0</w:t>
            </w:r>
          </w:p>
        </w:tc>
      </w:tr>
      <w:tr w:rsidR="003E245D" w:rsidRPr="003E245D" w14:paraId="0350B835" w14:textId="77777777" w:rsidTr="007779E2">
        <w:trPr>
          <w:trHeight w:val="300"/>
        </w:trPr>
        <w:tc>
          <w:tcPr>
            <w:tcW w:w="2137" w:type="pct"/>
            <w:noWrap/>
            <w:vAlign w:val="bottom"/>
            <w:hideMark/>
          </w:tcPr>
          <w:p w14:paraId="47C6F117"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1335</w:t>
            </w:r>
          </w:p>
        </w:tc>
        <w:tc>
          <w:tcPr>
            <w:tcW w:w="2288" w:type="pct"/>
            <w:noWrap/>
            <w:vAlign w:val="bottom"/>
            <w:hideMark/>
          </w:tcPr>
          <w:p w14:paraId="361BC963"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RIVOLI - GRUGLIASCO - SAN MAURO (STAB. NEW HOLLAND KOBELCO)</w:t>
            </w:r>
          </w:p>
        </w:tc>
        <w:tc>
          <w:tcPr>
            <w:tcW w:w="575" w:type="pct"/>
            <w:noWrap/>
            <w:vAlign w:val="bottom"/>
            <w:hideMark/>
          </w:tcPr>
          <w:p w14:paraId="6309A01F"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1.038</w:t>
            </w:r>
          </w:p>
        </w:tc>
      </w:tr>
      <w:tr w:rsidR="003E245D" w:rsidRPr="003E245D" w14:paraId="5555F5FC" w14:textId="77777777" w:rsidTr="007779E2">
        <w:trPr>
          <w:trHeight w:val="300"/>
        </w:trPr>
        <w:tc>
          <w:tcPr>
            <w:tcW w:w="2137" w:type="pct"/>
            <w:noWrap/>
            <w:vAlign w:val="bottom"/>
            <w:hideMark/>
          </w:tcPr>
          <w:p w14:paraId="4AB76ECB"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1432</w:t>
            </w:r>
          </w:p>
        </w:tc>
        <w:tc>
          <w:tcPr>
            <w:tcW w:w="2288" w:type="pct"/>
            <w:noWrap/>
            <w:vAlign w:val="bottom"/>
            <w:hideMark/>
          </w:tcPr>
          <w:p w14:paraId="7A223BA9"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 xml:space="preserve">NONE - ALPIGNANO (LINEA DI GRONDA) </w:t>
            </w:r>
          </w:p>
        </w:tc>
        <w:tc>
          <w:tcPr>
            <w:tcW w:w="575" w:type="pct"/>
            <w:noWrap/>
            <w:vAlign w:val="bottom"/>
            <w:hideMark/>
          </w:tcPr>
          <w:p w14:paraId="0E57B20B"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0</w:t>
            </w:r>
          </w:p>
        </w:tc>
      </w:tr>
      <w:tr w:rsidR="003E245D" w:rsidRPr="003E245D" w14:paraId="417B6510" w14:textId="77777777" w:rsidTr="007779E2">
        <w:trPr>
          <w:trHeight w:val="300"/>
        </w:trPr>
        <w:tc>
          <w:tcPr>
            <w:tcW w:w="2137" w:type="pct"/>
            <w:noWrap/>
            <w:vAlign w:val="bottom"/>
            <w:hideMark/>
          </w:tcPr>
          <w:p w14:paraId="5DCAA1E8"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1435</w:t>
            </w:r>
          </w:p>
        </w:tc>
        <w:tc>
          <w:tcPr>
            <w:tcW w:w="2288" w:type="pct"/>
            <w:noWrap/>
            <w:vAlign w:val="bottom"/>
            <w:hideMark/>
          </w:tcPr>
          <w:p w14:paraId="41B2278F"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TORINO - C.A.A.T. - SITO</w:t>
            </w:r>
          </w:p>
        </w:tc>
        <w:tc>
          <w:tcPr>
            <w:tcW w:w="575" w:type="pct"/>
            <w:noWrap/>
            <w:vAlign w:val="bottom"/>
            <w:hideMark/>
          </w:tcPr>
          <w:p w14:paraId="6AA47077"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0</w:t>
            </w:r>
          </w:p>
        </w:tc>
      </w:tr>
      <w:tr w:rsidR="003E245D" w:rsidRPr="003E245D" w14:paraId="66D077E9" w14:textId="77777777" w:rsidTr="007779E2">
        <w:trPr>
          <w:trHeight w:val="300"/>
        </w:trPr>
        <w:tc>
          <w:tcPr>
            <w:tcW w:w="2137" w:type="pct"/>
            <w:noWrap/>
            <w:vAlign w:val="bottom"/>
            <w:hideMark/>
          </w:tcPr>
          <w:p w14:paraId="35E0FCDE"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1442</w:t>
            </w:r>
          </w:p>
        </w:tc>
        <w:tc>
          <w:tcPr>
            <w:tcW w:w="2288" w:type="pct"/>
            <w:noWrap/>
            <w:vAlign w:val="bottom"/>
            <w:hideMark/>
          </w:tcPr>
          <w:p w14:paraId="13519343"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NICHELINO - TORINO - FERRIERA (STAB. TEKSID)</w:t>
            </w:r>
          </w:p>
        </w:tc>
        <w:tc>
          <w:tcPr>
            <w:tcW w:w="575" w:type="pct"/>
            <w:noWrap/>
            <w:vAlign w:val="bottom"/>
            <w:hideMark/>
          </w:tcPr>
          <w:p w14:paraId="3B8B372C"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1.050</w:t>
            </w:r>
          </w:p>
        </w:tc>
      </w:tr>
      <w:tr w:rsidR="003E245D" w:rsidRPr="003E245D" w14:paraId="0D228E93" w14:textId="77777777" w:rsidTr="007779E2">
        <w:trPr>
          <w:trHeight w:val="300"/>
        </w:trPr>
        <w:tc>
          <w:tcPr>
            <w:tcW w:w="2137" w:type="pct"/>
            <w:noWrap/>
            <w:vAlign w:val="bottom"/>
            <w:hideMark/>
          </w:tcPr>
          <w:p w14:paraId="6695192F"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1514</w:t>
            </w:r>
          </w:p>
        </w:tc>
        <w:tc>
          <w:tcPr>
            <w:tcW w:w="2288" w:type="pct"/>
            <w:noWrap/>
            <w:vAlign w:val="bottom"/>
            <w:hideMark/>
          </w:tcPr>
          <w:p w14:paraId="00F3FD5D"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CUMIANA - FIAT MIRAFIORI</w:t>
            </w:r>
          </w:p>
        </w:tc>
        <w:tc>
          <w:tcPr>
            <w:tcW w:w="575" w:type="pct"/>
            <w:noWrap/>
            <w:vAlign w:val="bottom"/>
            <w:hideMark/>
          </w:tcPr>
          <w:p w14:paraId="2B4B91BB"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701</w:t>
            </w:r>
          </w:p>
        </w:tc>
      </w:tr>
      <w:tr w:rsidR="003E245D" w:rsidRPr="003E245D" w14:paraId="2543454B" w14:textId="77777777" w:rsidTr="007779E2">
        <w:trPr>
          <w:trHeight w:val="300"/>
        </w:trPr>
        <w:tc>
          <w:tcPr>
            <w:tcW w:w="2137" w:type="pct"/>
            <w:noWrap/>
            <w:vAlign w:val="bottom"/>
            <w:hideMark/>
          </w:tcPr>
          <w:p w14:paraId="01C46201"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2073</w:t>
            </w:r>
          </w:p>
        </w:tc>
        <w:tc>
          <w:tcPr>
            <w:tcW w:w="2288" w:type="pct"/>
            <w:noWrap/>
            <w:vAlign w:val="bottom"/>
            <w:hideMark/>
          </w:tcPr>
          <w:p w14:paraId="65F06BDB"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LINEA OPERAIA - BORGO AJE - CAMBIANO - SANTENA - VILLASTELLONE - CARMAGNOLA</w:t>
            </w:r>
          </w:p>
        </w:tc>
        <w:tc>
          <w:tcPr>
            <w:tcW w:w="575" w:type="pct"/>
            <w:noWrap/>
            <w:vAlign w:val="bottom"/>
            <w:hideMark/>
          </w:tcPr>
          <w:p w14:paraId="5366AE8D"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125</w:t>
            </w:r>
          </w:p>
        </w:tc>
      </w:tr>
      <w:tr w:rsidR="003E245D" w:rsidRPr="003E245D" w14:paraId="3C8FF28A" w14:textId="77777777" w:rsidTr="007779E2">
        <w:trPr>
          <w:trHeight w:val="300"/>
        </w:trPr>
        <w:tc>
          <w:tcPr>
            <w:tcW w:w="2137" w:type="pct"/>
            <w:noWrap/>
            <w:vAlign w:val="bottom"/>
            <w:hideMark/>
          </w:tcPr>
          <w:p w14:paraId="20C62192"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2075</w:t>
            </w:r>
          </w:p>
        </w:tc>
        <w:tc>
          <w:tcPr>
            <w:tcW w:w="2288" w:type="pct"/>
            <w:noWrap/>
            <w:vAlign w:val="bottom"/>
            <w:hideMark/>
          </w:tcPr>
          <w:p w14:paraId="6C0290EA"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TROFARELLO - FIAT RIVALTA</w:t>
            </w:r>
          </w:p>
        </w:tc>
        <w:tc>
          <w:tcPr>
            <w:tcW w:w="575" w:type="pct"/>
            <w:noWrap/>
            <w:vAlign w:val="bottom"/>
            <w:hideMark/>
          </w:tcPr>
          <w:p w14:paraId="397E47A9"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3.427</w:t>
            </w:r>
          </w:p>
        </w:tc>
      </w:tr>
      <w:tr w:rsidR="003E245D" w:rsidRPr="003E245D" w14:paraId="4C810B82" w14:textId="77777777" w:rsidTr="007779E2">
        <w:trPr>
          <w:trHeight w:val="300"/>
        </w:trPr>
        <w:tc>
          <w:tcPr>
            <w:tcW w:w="2137" w:type="pct"/>
            <w:noWrap/>
            <w:vAlign w:val="bottom"/>
            <w:hideMark/>
          </w:tcPr>
          <w:p w14:paraId="7958714B"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2354</w:t>
            </w:r>
          </w:p>
        </w:tc>
        <w:tc>
          <w:tcPr>
            <w:tcW w:w="2288" w:type="pct"/>
            <w:noWrap/>
            <w:vAlign w:val="bottom"/>
            <w:hideMark/>
          </w:tcPr>
          <w:p w14:paraId="50FF504B"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CARIGNANO - SANTENA - CAMBIANO</w:t>
            </w:r>
          </w:p>
        </w:tc>
        <w:tc>
          <w:tcPr>
            <w:tcW w:w="575" w:type="pct"/>
            <w:noWrap/>
            <w:vAlign w:val="bottom"/>
            <w:hideMark/>
          </w:tcPr>
          <w:p w14:paraId="6DB8256F"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0</w:t>
            </w:r>
          </w:p>
        </w:tc>
      </w:tr>
      <w:tr w:rsidR="003E245D" w:rsidRPr="003E245D" w14:paraId="1BB68C6F" w14:textId="77777777" w:rsidTr="007779E2">
        <w:trPr>
          <w:trHeight w:val="300"/>
        </w:trPr>
        <w:tc>
          <w:tcPr>
            <w:tcW w:w="2137" w:type="pct"/>
            <w:noWrap/>
            <w:vAlign w:val="bottom"/>
            <w:hideMark/>
          </w:tcPr>
          <w:p w14:paraId="0DA3618E"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3092</w:t>
            </w:r>
          </w:p>
        </w:tc>
        <w:tc>
          <w:tcPr>
            <w:tcW w:w="2288" w:type="pct"/>
            <w:noWrap/>
            <w:vAlign w:val="bottom"/>
            <w:hideMark/>
          </w:tcPr>
          <w:p w14:paraId="4FE24A91"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TORINO - FORNO / SAN MAURIZIO - FORNO</w:t>
            </w:r>
          </w:p>
        </w:tc>
        <w:tc>
          <w:tcPr>
            <w:tcW w:w="575" w:type="pct"/>
            <w:noWrap/>
            <w:vAlign w:val="bottom"/>
            <w:hideMark/>
          </w:tcPr>
          <w:p w14:paraId="37538F8B"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13.259</w:t>
            </w:r>
          </w:p>
        </w:tc>
      </w:tr>
      <w:tr w:rsidR="003E245D" w:rsidRPr="003E245D" w14:paraId="67CCE7F5" w14:textId="77777777" w:rsidTr="007779E2">
        <w:trPr>
          <w:trHeight w:val="300"/>
        </w:trPr>
        <w:tc>
          <w:tcPr>
            <w:tcW w:w="2137" w:type="pct"/>
            <w:noWrap/>
            <w:vAlign w:val="bottom"/>
            <w:hideMark/>
          </w:tcPr>
          <w:p w14:paraId="453635FF"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3096</w:t>
            </w:r>
          </w:p>
        </w:tc>
        <w:tc>
          <w:tcPr>
            <w:tcW w:w="2288" w:type="pct"/>
            <w:noWrap/>
            <w:vAlign w:val="bottom"/>
            <w:hideMark/>
          </w:tcPr>
          <w:p w14:paraId="4BC24FE7"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GASSINO - SCIOLZE</w:t>
            </w:r>
          </w:p>
        </w:tc>
        <w:tc>
          <w:tcPr>
            <w:tcW w:w="575" w:type="pct"/>
            <w:noWrap/>
            <w:vAlign w:val="bottom"/>
            <w:hideMark/>
          </w:tcPr>
          <w:p w14:paraId="788029B4"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448</w:t>
            </w:r>
          </w:p>
        </w:tc>
      </w:tr>
      <w:tr w:rsidR="003E245D" w:rsidRPr="003E245D" w14:paraId="67AE59FD" w14:textId="77777777" w:rsidTr="007779E2">
        <w:trPr>
          <w:trHeight w:val="300"/>
        </w:trPr>
        <w:tc>
          <w:tcPr>
            <w:tcW w:w="2137" w:type="pct"/>
            <w:noWrap/>
            <w:vAlign w:val="bottom"/>
            <w:hideMark/>
          </w:tcPr>
          <w:p w14:paraId="3AEB8EBA"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3106</w:t>
            </w:r>
          </w:p>
        </w:tc>
        <w:tc>
          <w:tcPr>
            <w:tcW w:w="2288" w:type="pct"/>
            <w:noWrap/>
            <w:vAlign w:val="bottom"/>
            <w:hideMark/>
          </w:tcPr>
          <w:p w14:paraId="79CF3E8C"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CRESCENTINO - CHIVASSO - TORINO FCA</w:t>
            </w:r>
          </w:p>
        </w:tc>
        <w:tc>
          <w:tcPr>
            <w:tcW w:w="575" w:type="pct"/>
            <w:noWrap/>
            <w:vAlign w:val="bottom"/>
            <w:hideMark/>
          </w:tcPr>
          <w:p w14:paraId="1E9F7DEB"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2.839</w:t>
            </w:r>
          </w:p>
        </w:tc>
      </w:tr>
      <w:tr w:rsidR="003E245D" w:rsidRPr="003E245D" w14:paraId="48880E1E" w14:textId="77777777" w:rsidTr="007779E2">
        <w:trPr>
          <w:trHeight w:val="300"/>
        </w:trPr>
        <w:tc>
          <w:tcPr>
            <w:tcW w:w="2137" w:type="pct"/>
            <w:noWrap/>
            <w:vAlign w:val="bottom"/>
            <w:hideMark/>
          </w:tcPr>
          <w:p w14:paraId="26BF32E7"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3107</w:t>
            </w:r>
          </w:p>
        </w:tc>
        <w:tc>
          <w:tcPr>
            <w:tcW w:w="2288" w:type="pct"/>
            <w:noWrap/>
            <w:vAlign w:val="bottom"/>
            <w:hideMark/>
          </w:tcPr>
          <w:p w14:paraId="1010824A"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TORINO - SETTIMO - GASSINO - CHIVASSO - PIOVA' MASSAIA</w:t>
            </w:r>
          </w:p>
        </w:tc>
        <w:tc>
          <w:tcPr>
            <w:tcW w:w="575" w:type="pct"/>
            <w:noWrap/>
            <w:vAlign w:val="bottom"/>
            <w:hideMark/>
          </w:tcPr>
          <w:p w14:paraId="64631777"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47.260</w:t>
            </w:r>
          </w:p>
        </w:tc>
      </w:tr>
      <w:tr w:rsidR="003E245D" w:rsidRPr="003E245D" w14:paraId="749F3351" w14:textId="77777777" w:rsidTr="007779E2">
        <w:trPr>
          <w:trHeight w:val="300"/>
        </w:trPr>
        <w:tc>
          <w:tcPr>
            <w:tcW w:w="2137" w:type="pct"/>
            <w:noWrap/>
            <w:vAlign w:val="bottom"/>
            <w:hideMark/>
          </w:tcPr>
          <w:p w14:paraId="26925F3B"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3121</w:t>
            </w:r>
          </w:p>
        </w:tc>
        <w:tc>
          <w:tcPr>
            <w:tcW w:w="2288" w:type="pct"/>
            <w:noWrap/>
            <w:vAlign w:val="bottom"/>
            <w:hideMark/>
          </w:tcPr>
          <w:p w14:paraId="585C151A"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CASTAGNETO PO - CHIVASSO</w:t>
            </w:r>
          </w:p>
        </w:tc>
        <w:tc>
          <w:tcPr>
            <w:tcW w:w="575" w:type="pct"/>
            <w:noWrap/>
            <w:vAlign w:val="bottom"/>
            <w:hideMark/>
          </w:tcPr>
          <w:p w14:paraId="5FA268E6"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0</w:t>
            </w:r>
          </w:p>
        </w:tc>
      </w:tr>
      <w:tr w:rsidR="003E245D" w:rsidRPr="003E245D" w14:paraId="25F2C2D4" w14:textId="77777777" w:rsidTr="007779E2">
        <w:trPr>
          <w:trHeight w:val="300"/>
        </w:trPr>
        <w:tc>
          <w:tcPr>
            <w:tcW w:w="2137" w:type="pct"/>
            <w:noWrap/>
            <w:vAlign w:val="bottom"/>
            <w:hideMark/>
          </w:tcPr>
          <w:p w14:paraId="1A809C9E"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3131</w:t>
            </w:r>
          </w:p>
        </w:tc>
        <w:tc>
          <w:tcPr>
            <w:tcW w:w="2288" w:type="pct"/>
            <w:noWrap/>
            <w:vAlign w:val="bottom"/>
            <w:hideMark/>
          </w:tcPr>
          <w:p w14:paraId="53052C58"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TORINO - LOMBARDORE - RIVAROLO</w:t>
            </w:r>
          </w:p>
        </w:tc>
        <w:tc>
          <w:tcPr>
            <w:tcW w:w="575" w:type="pct"/>
            <w:noWrap/>
            <w:vAlign w:val="bottom"/>
            <w:hideMark/>
          </w:tcPr>
          <w:p w14:paraId="088308BC"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2.153</w:t>
            </w:r>
          </w:p>
        </w:tc>
      </w:tr>
      <w:tr w:rsidR="003E245D" w:rsidRPr="003E245D" w14:paraId="00356ADE" w14:textId="77777777" w:rsidTr="007779E2">
        <w:trPr>
          <w:trHeight w:val="300"/>
        </w:trPr>
        <w:tc>
          <w:tcPr>
            <w:tcW w:w="2137" w:type="pct"/>
            <w:noWrap/>
            <w:vAlign w:val="bottom"/>
            <w:hideMark/>
          </w:tcPr>
          <w:p w14:paraId="6D291122"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3132</w:t>
            </w:r>
          </w:p>
        </w:tc>
        <w:tc>
          <w:tcPr>
            <w:tcW w:w="2288" w:type="pct"/>
            <w:noWrap/>
            <w:vAlign w:val="bottom"/>
            <w:hideMark/>
          </w:tcPr>
          <w:p w14:paraId="5B83488D"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RIVAROLO - CASTELLAMONTE</w:t>
            </w:r>
          </w:p>
        </w:tc>
        <w:tc>
          <w:tcPr>
            <w:tcW w:w="575" w:type="pct"/>
            <w:noWrap/>
            <w:vAlign w:val="bottom"/>
            <w:hideMark/>
          </w:tcPr>
          <w:p w14:paraId="56832529"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2.626</w:t>
            </w:r>
          </w:p>
        </w:tc>
      </w:tr>
      <w:tr w:rsidR="003E245D" w:rsidRPr="003E245D" w14:paraId="14BA6372" w14:textId="77777777" w:rsidTr="007779E2">
        <w:trPr>
          <w:trHeight w:val="300"/>
        </w:trPr>
        <w:tc>
          <w:tcPr>
            <w:tcW w:w="2137" w:type="pct"/>
            <w:noWrap/>
            <w:vAlign w:val="bottom"/>
            <w:hideMark/>
          </w:tcPr>
          <w:p w14:paraId="1C517961"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3133</w:t>
            </w:r>
          </w:p>
        </w:tc>
        <w:tc>
          <w:tcPr>
            <w:tcW w:w="2288" w:type="pct"/>
            <w:noWrap/>
            <w:vAlign w:val="bottom"/>
            <w:hideMark/>
          </w:tcPr>
          <w:p w14:paraId="7CAA3097"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TORINO - IVREA</w:t>
            </w:r>
          </w:p>
        </w:tc>
        <w:tc>
          <w:tcPr>
            <w:tcW w:w="575" w:type="pct"/>
            <w:noWrap/>
            <w:vAlign w:val="bottom"/>
            <w:hideMark/>
          </w:tcPr>
          <w:p w14:paraId="2816FB7B"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697</w:t>
            </w:r>
          </w:p>
        </w:tc>
      </w:tr>
      <w:tr w:rsidR="003E245D" w:rsidRPr="003E245D" w14:paraId="66055634" w14:textId="77777777" w:rsidTr="007779E2">
        <w:trPr>
          <w:trHeight w:val="300"/>
        </w:trPr>
        <w:tc>
          <w:tcPr>
            <w:tcW w:w="2137" w:type="pct"/>
            <w:noWrap/>
            <w:vAlign w:val="bottom"/>
            <w:hideMark/>
          </w:tcPr>
          <w:p w14:paraId="4D85C403"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3160</w:t>
            </w:r>
          </w:p>
        </w:tc>
        <w:tc>
          <w:tcPr>
            <w:tcW w:w="2288" w:type="pct"/>
            <w:noWrap/>
            <w:vAlign w:val="bottom"/>
            <w:hideMark/>
          </w:tcPr>
          <w:p w14:paraId="1FBD7864"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LANZO - VIU' - USSEGLIO</w:t>
            </w:r>
          </w:p>
        </w:tc>
        <w:tc>
          <w:tcPr>
            <w:tcW w:w="575" w:type="pct"/>
            <w:noWrap/>
            <w:vAlign w:val="bottom"/>
            <w:hideMark/>
          </w:tcPr>
          <w:p w14:paraId="42C04AE0"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0</w:t>
            </w:r>
          </w:p>
        </w:tc>
      </w:tr>
      <w:tr w:rsidR="003E245D" w:rsidRPr="003E245D" w14:paraId="12814DC1" w14:textId="77777777" w:rsidTr="007779E2">
        <w:trPr>
          <w:trHeight w:val="300"/>
        </w:trPr>
        <w:tc>
          <w:tcPr>
            <w:tcW w:w="2137" w:type="pct"/>
            <w:noWrap/>
            <w:vAlign w:val="bottom"/>
            <w:hideMark/>
          </w:tcPr>
          <w:p w14:paraId="75C8F921"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3165</w:t>
            </w:r>
          </w:p>
        </w:tc>
        <w:tc>
          <w:tcPr>
            <w:tcW w:w="2288" w:type="pct"/>
            <w:noWrap/>
            <w:vAlign w:val="bottom"/>
            <w:hideMark/>
          </w:tcPr>
          <w:p w14:paraId="3A0A6AF0"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TORINO - GERMAGNANO</w:t>
            </w:r>
          </w:p>
        </w:tc>
        <w:tc>
          <w:tcPr>
            <w:tcW w:w="575" w:type="pct"/>
            <w:noWrap/>
            <w:vAlign w:val="bottom"/>
            <w:hideMark/>
          </w:tcPr>
          <w:p w14:paraId="3CB54E15"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2.956</w:t>
            </w:r>
          </w:p>
        </w:tc>
      </w:tr>
      <w:tr w:rsidR="003E245D" w:rsidRPr="003E245D" w14:paraId="4597B6A9" w14:textId="77777777" w:rsidTr="007779E2">
        <w:trPr>
          <w:trHeight w:val="300"/>
        </w:trPr>
        <w:tc>
          <w:tcPr>
            <w:tcW w:w="2137" w:type="pct"/>
            <w:noWrap/>
            <w:vAlign w:val="bottom"/>
            <w:hideMark/>
          </w:tcPr>
          <w:p w14:paraId="05909B97"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3166</w:t>
            </w:r>
          </w:p>
        </w:tc>
        <w:tc>
          <w:tcPr>
            <w:tcW w:w="2288" w:type="pct"/>
            <w:noWrap/>
            <w:vAlign w:val="bottom"/>
            <w:hideMark/>
          </w:tcPr>
          <w:p w14:paraId="17ADA55B"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TORINO - VOLPIANO - SAN BENIGNO</w:t>
            </w:r>
          </w:p>
        </w:tc>
        <w:tc>
          <w:tcPr>
            <w:tcW w:w="575" w:type="pct"/>
            <w:noWrap/>
            <w:vAlign w:val="bottom"/>
            <w:hideMark/>
          </w:tcPr>
          <w:p w14:paraId="7BAD620E"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443</w:t>
            </w:r>
          </w:p>
        </w:tc>
      </w:tr>
      <w:tr w:rsidR="003E245D" w:rsidRPr="003E245D" w14:paraId="22D64FB8" w14:textId="77777777" w:rsidTr="007779E2">
        <w:trPr>
          <w:trHeight w:val="300"/>
        </w:trPr>
        <w:tc>
          <w:tcPr>
            <w:tcW w:w="2137" w:type="pct"/>
            <w:noWrap/>
            <w:vAlign w:val="bottom"/>
            <w:hideMark/>
          </w:tcPr>
          <w:p w14:paraId="684749BC"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3316</w:t>
            </w:r>
          </w:p>
        </w:tc>
        <w:tc>
          <w:tcPr>
            <w:tcW w:w="2288" w:type="pct"/>
            <w:noWrap/>
            <w:vAlign w:val="bottom"/>
            <w:hideMark/>
          </w:tcPr>
          <w:p w14:paraId="11E4910F"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CHIVASSO F.S. - RONDISSONE</w:t>
            </w:r>
          </w:p>
        </w:tc>
        <w:tc>
          <w:tcPr>
            <w:tcW w:w="575" w:type="pct"/>
            <w:noWrap/>
            <w:vAlign w:val="bottom"/>
            <w:hideMark/>
          </w:tcPr>
          <w:p w14:paraId="089DA52C"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1.864</w:t>
            </w:r>
          </w:p>
        </w:tc>
      </w:tr>
      <w:tr w:rsidR="003E245D" w:rsidRPr="003E245D" w14:paraId="44C75AF1" w14:textId="77777777" w:rsidTr="007779E2">
        <w:trPr>
          <w:trHeight w:val="300"/>
        </w:trPr>
        <w:tc>
          <w:tcPr>
            <w:tcW w:w="2137" w:type="pct"/>
            <w:noWrap/>
            <w:vAlign w:val="bottom"/>
            <w:hideMark/>
          </w:tcPr>
          <w:p w14:paraId="12BD0B4E"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3321</w:t>
            </w:r>
          </w:p>
        </w:tc>
        <w:tc>
          <w:tcPr>
            <w:tcW w:w="2288" w:type="pct"/>
            <w:noWrap/>
            <w:vAlign w:val="bottom"/>
            <w:hideMark/>
          </w:tcPr>
          <w:p w14:paraId="7967716B"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MONTALENGHE - FOGLIZZO - CHIVASSO</w:t>
            </w:r>
          </w:p>
        </w:tc>
        <w:tc>
          <w:tcPr>
            <w:tcW w:w="575" w:type="pct"/>
            <w:noWrap/>
            <w:vAlign w:val="bottom"/>
            <w:hideMark/>
          </w:tcPr>
          <w:p w14:paraId="10771E05"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4.802</w:t>
            </w:r>
          </w:p>
        </w:tc>
      </w:tr>
      <w:tr w:rsidR="003E245D" w:rsidRPr="003E245D" w14:paraId="64B3E40B" w14:textId="77777777" w:rsidTr="007779E2">
        <w:trPr>
          <w:trHeight w:val="300"/>
        </w:trPr>
        <w:tc>
          <w:tcPr>
            <w:tcW w:w="2137" w:type="pct"/>
            <w:noWrap/>
            <w:vAlign w:val="bottom"/>
            <w:hideMark/>
          </w:tcPr>
          <w:p w14:paraId="2EF8A113"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3329</w:t>
            </w:r>
          </w:p>
        </w:tc>
        <w:tc>
          <w:tcPr>
            <w:tcW w:w="2288" w:type="pct"/>
            <w:noWrap/>
            <w:vAlign w:val="bottom"/>
            <w:hideMark/>
          </w:tcPr>
          <w:p w14:paraId="1348215C"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CIRIÉ - TORINO (FIAT MIRAFIORI)</w:t>
            </w:r>
          </w:p>
        </w:tc>
        <w:tc>
          <w:tcPr>
            <w:tcW w:w="575" w:type="pct"/>
            <w:noWrap/>
            <w:vAlign w:val="bottom"/>
            <w:hideMark/>
          </w:tcPr>
          <w:p w14:paraId="51347686"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627</w:t>
            </w:r>
          </w:p>
        </w:tc>
      </w:tr>
      <w:tr w:rsidR="003E245D" w:rsidRPr="003E245D" w14:paraId="1ACFF426" w14:textId="77777777" w:rsidTr="007779E2">
        <w:trPr>
          <w:trHeight w:val="300"/>
        </w:trPr>
        <w:tc>
          <w:tcPr>
            <w:tcW w:w="2137" w:type="pct"/>
            <w:noWrap/>
            <w:vAlign w:val="bottom"/>
            <w:hideMark/>
          </w:tcPr>
          <w:p w14:paraId="64407361"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3381</w:t>
            </w:r>
          </w:p>
        </w:tc>
        <w:tc>
          <w:tcPr>
            <w:tcW w:w="2288" w:type="pct"/>
            <w:noWrap/>
            <w:vAlign w:val="bottom"/>
            <w:hideMark/>
          </w:tcPr>
          <w:p w14:paraId="179733F8"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CUORGNÉ - CASELLE (ALENIA)</w:t>
            </w:r>
          </w:p>
        </w:tc>
        <w:tc>
          <w:tcPr>
            <w:tcW w:w="575" w:type="pct"/>
            <w:noWrap/>
            <w:vAlign w:val="bottom"/>
            <w:hideMark/>
          </w:tcPr>
          <w:p w14:paraId="1EB181DE"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0</w:t>
            </w:r>
          </w:p>
        </w:tc>
      </w:tr>
      <w:tr w:rsidR="003E245D" w:rsidRPr="003E245D" w14:paraId="0EDD7897" w14:textId="77777777" w:rsidTr="007779E2">
        <w:trPr>
          <w:trHeight w:val="300"/>
        </w:trPr>
        <w:tc>
          <w:tcPr>
            <w:tcW w:w="2137" w:type="pct"/>
            <w:noWrap/>
            <w:vAlign w:val="bottom"/>
            <w:hideMark/>
          </w:tcPr>
          <w:p w14:paraId="36D608C2"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3382</w:t>
            </w:r>
          </w:p>
        </w:tc>
        <w:tc>
          <w:tcPr>
            <w:tcW w:w="2288" w:type="pct"/>
            <w:noWrap/>
            <w:vAlign w:val="bottom"/>
            <w:hideMark/>
          </w:tcPr>
          <w:p w14:paraId="4C1AC1BC"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TORINO (C.SO MARCHE) - CASELLE ALENIA</w:t>
            </w:r>
          </w:p>
        </w:tc>
        <w:tc>
          <w:tcPr>
            <w:tcW w:w="575" w:type="pct"/>
            <w:noWrap/>
            <w:vAlign w:val="bottom"/>
            <w:hideMark/>
          </w:tcPr>
          <w:p w14:paraId="3987192C"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2.197</w:t>
            </w:r>
          </w:p>
        </w:tc>
      </w:tr>
      <w:tr w:rsidR="003E245D" w:rsidRPr="003E245D" w14:paraId="04EE6E01" w14:textId="77777777" w:rsidTr="007779E2">
        <w:trPr>
          <w:trHeight w:val="300"/>
        </w:trPr>
        <w:tc>
          <w:tcPr>
            <w:tcW w:w="2137" w:type="pct"/>
            <w:noWrap/>
            <w:vAlign w:val="bottom"/>
            <w:hideMark/>
          </w:tcPr>
          <w:p w14:paraId="6167F6E5"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3428</w:t>
            </w:r>
          </w:p>
        </w:tc>
        <w:tc>
          <w:tcPr>
            <w:tcW w:w="2288" w:type="pct"/>
            <w:noWrap/>
            <w:vAlign w:val="bottom"/>
            <w:hideMark/>
          </w:tcPr>
          <w:p w14:paraId="6C779850"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SERVIZIO COMUNE DI RIVAROSSA</w:t>
            </w:r>
          </w:p>
        </w:tc>
        <w:tc>
          <w:tcPr>
            <w:tcW w:w="575" w:type="pct"/>
            <w:noWrap/>
            <w:vAlign w:val="bottom"/>
            <w:hideMark/>
          </w:tcPr>
          <w:p w14:paraId="431B2F32"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1.026</w:t>
            </w:r>
          </w:p>
        </w:tc>
      </w:tr>
      <w:tr w:rsidR="003E245D" w:rsidRPr="003E245D" w14:paraId="15C8B847" w14:textId="77777777" w:rsidTr="007779E2">
        <w:trPr>
          <w:trHeight w:val="300"/>
        </w:trPr>
        <w:tc>
          <w:tcPr>
            <w:tcW w:w="2137" w:type="pct"/>
            <w:noWrap/>
            <w:vAlign w:val="bottom"/>
            <w:hideMark/>
          </w:tcPr>
          <w:p w14:paraId="49FED1DD"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3429</w:t>
            </w:r>
          </w:p>
        </w:tc>
        <w:tc>
          <w:tcPr>
            <w:tcW w:w="2288" w:type="pct"/>
            <w:noWrap/>
            <w:vAlign w:val="bottom"/>
            <w:hideMark/>
          </w:tcPr>
          <w:p w14:paraId="4FC5D949"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SERVIZIO  SAN BENIGNO - VOLPIANO - CHIVASSO</w:t>
            </w:r>
          </w:p>
        </w:tc>
        <w:tc>
          <w:tcPr>
            <w:tcW w:w="575" w:type="pct"/>
            <w:noWrap/>
            <w:vAlign w:val="bottom"/>
            <w:hideMark/>
          </w:tcPr>
          <w:p w14:paraId="742DA2BA"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5.410</w:t>
            </w:r>
          </w:p>
        </w:tc>
      </w:tr>
      <w:tr w:rsidR="003E245D" w:rsidRPr="003E245D" w14:paraId="566E203E" w14:textId="77777777" w:rsidTr="007779E2">
        <w:trPr>
          <w:trHeight w:val="300"/>
        </w:trPr>
        <w:tc>
          <w:tcPr>
            <w:tcW w:w="2137" w:type="pct"/>
            <w:noWrap/>
            <w:vAlign w:val="bottom"/>
            <w:hideMark/>
          </w:tcPr>
          <w:p w14:paraId="50523543"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3545</w:t>
            </w:r>
          </w:p>
        </w:tc>
        <w:tc>
          <w:tcPr>
            <w:tcW w:w="2288" w:type="pct"/>
            <w:noWrap/>
            <w:vAlign w:val="bottom"/>
            <w:hideMark/>
          </w:tcPr>
          <w:p w14:paraId="7CD23164"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LINEA OPERAIA CARIGNANO - TORINO - CHIVASSO (P.I.CHI)</w:t>
            </w:r>
          </w:p>
        </w:tc>
        <w:tc>
          <w:tcPr>
            <w:tcW w:w="575" w:type="pct"/>
            <w:noWrap/>
            <w:vAlign w:val="bottom"/>
            <w:hideMark/>
          </w:tcPr>
          <w:p w14:paraId="26BDB24E"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0</w:t>
            </w:r>
          </w:p>
        </w:tc>
      </w:tr>
      <w:tr w:rsidR="003E245D" w:rsidRPr="003E245D" w14:paraId="784B3A48" w14:textId="77777777" w:rsidTr="007779E2">
        <w:trPr>
          <w:trHeight w:val="300"/>
        </w:trPr>
        <w:tc>
          <w:tcPr>
            <w:tcW w:w="2137" w:type="pct"/>
            <w:noWrap/>
            <w:vAlign w:val="bottom"/>
            <w:hideMark/>
          </w:tcPr>
          <w:p w14:paraId="59D7D66B"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3902</w:t>
            </w:r>
          </w:p>
        </w:tc>
        <w:tc>
          <w:tcPr>
            <w:tcW w:w="2288" w:type="pct"/>
            <w:noWrap/>
            <w:vAlign w:val="bottom"/>
            <w:hideMark/>
          </w:tcPr>
          <w:p w14:paraId="4849B64A"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NAVETTA POLI UNIVERSITARI VIA GIURIA – VIA QUARELLO</w:t>
            </w:r>
          </w:p>
        </w:tc>
        <w:tc>
          <w:tcPr>
            <w:tcW w:w="575" w:type="pct"/>
            <w:noWrap/>
            <w:vAlign w:val="bottom"/>
            <w:hideMark/>
          </w:tcPr>
          <w:p w14:paraId="4EE3128B"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0</w:t>
            </w:r>
          </w:p>
        </w:tc>
      </w:tr>
      <w:tr w:rsidR="003E245D" w:rsidRPr="003E245D" w14:paraId="0B80A660" w14:textId="77777777" w:rsidTr="007779E2">
        <w:trPr>
          <w:trHeight w:val="300"/>
        </w:trPr>
        <w:tc>
          <w:tcPr>
            <w:tcW w:w="2137" w:type="pct"/>
            <w:noWrap/>
            <w:vAlign w:val="bottom"/>
            <w:hideMark/>
          </w:tcPr>
          <w:p w14:paraId="7907C98C"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3950</w:t>
            </w:r>
          </w:p>
        </w:tc>
        <w:tc>
          <w:tcPr>
            <w:tcW w:w="2288" w:type="pct"/>
            <w:noWrap/>
            <w:vAlign w:val="bottom"/>
            <w:hideMark/>
          </w:tcPr>
          <w:p w14:paraId="3ACC078E"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SERVIZIO SCUOLABUS COMUNE DI VEROLENGO</w:t>
            </w:r>
          </w:p>
        </w:tc>
        <w:tc>
          <w:tcPr>
            <w:tcW w:w="575" w:type="pct"/>
            <w:noWrap/>
            <w:vAlign w:val="bottom"/>
            <w:hideMark/>
          </w:tcPr>
          <w:p w14:paraId="404AAAA1"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0</w:t>
            </w:r>
          </w:p>
        </w:tc>
      </w:tr>
      <w:tr w:rsidR="003E245D" w:rsidRPr="003E245D" w14:paraId="4E9D5C29" w14:textId="77777777" w:rsidTr="007779E2">
        <w:trPr>
          <w:trHeight w:val="300"/>
        </w:trPr>
        <w:tc>
          <w:tcPr>
            <w:tcW w:w="2137" w:type="pct"/>
            <w:noWrap/>
            <w:vAlign w:val="bottom"/>
            <w:hideMark/>
          </w:tcPr>
          <w:p w14:paraId="617B7A14"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3970</w:t>
            </w:r>
          </w:p>
        </w:tc>
        <w:tc>
          <w:tcPr>
            <w:tcW w:w="2288" w:type="pct"/>
            <w:noWrap/>
            <w:vAlign w:val="bottom"/>
            <w:hideMark/>
          </w:tcPr>
          <w:p w14:paraId="59073CDD"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GERMAGNANO - CERES - SOST. TRENO</w:t>
            </w:r>
          </w:p>
        </w:tc>
        <w:tc>
          <w:tcPr>
            <w:tcW w:w="575" w:type="pct"/>
            <w:noWrap/>
            <w:vAlign w:val="bottom"/>
            <w:hideMark/>
          </w:tcPr>
          <w:p w14:paraId="05B6BDD6"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19</w:t>
            </w:r>
          </w:p>
        </w:tc>
      </w:tr>
      <w:tr w:rsidR="003E245D" w:rsidRPr="003E245D" w14:paraId="0BC9127E" w14:textId="77777777" w:rsidTr="007779E2">
        <w:trPr>
          <w:trHeight w:val="300"/>
        </w:trPr>
        <w:tc>
          <w:tcPr>
            <w:tcW w:w="2137" w:type="pct"/>
            <w:noWrap/>
            <w:vAlign w:val="bottom"/>
            <w:hideMark/>
          </w:tcPr>
          <w:p w14:paraId="05E56B30"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3971</w:t>
            </w:r>
          </w:p>
        </w:tc>
        <w:tc>
          <w:tcPr>
            <w:tcW w:w="2288" w:type="pct"/>
            <w:noWrap/>
            <w:vAlign w:val="bottom"/>
            <w:hideMark/>
          </w:tcPr>
          <w:p w14:paraId="4D4DBF31"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STAZIONE  GERMAGNANO - STAZIONE PORTA SUSA</w:t>
            </w:r>
          </w:p>
        </w:tc>
        <w:tc>
          <w:tcPr>
            <w:tcW w:w="575" w:type="pct"/>
            <w:noWrap/>
            <w:vAlign w:val="bottom"/>
            <w:hideMark/>
          </w:tcPr>
          <w:p w14:paraId="3AACA1D4"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3.487</w:t>
            </w:r>
          </w:p>
        </w:tc>
      </w:tr>
      <w:tr w:rsidR="003E245D" w:rsidRPr="003E245D" w14:paraId="5E10005D" w14:textId="77777777" w:rsidTr="007779E2">
        <w:trPr>
          <w:trHeight w:val="300"/>
        </w:trPr>
        <w:tc>
          <w:tcPr>
            <w:tcW w:w="2137" w:type="pct"/>
            <w:noWrap/>
            <w:vAlign w:val="bottom"/>
            <w:hideMark/>
          </w:tcPr>
          <w:p w14:paraId="3BD72266"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4108</w:t>
            </w:r>
          </w:p>
        </w:tc>
        <w:tc>
          <w:tcPr>
            <w:tcW w:w="2288" w:type="pct"/>
            <w:noWrap/>
            <w:vAlign w:val="bottom"/>
            <w:hideMark/>
          </w:tcPr>
          <w:p w14:paraId="474F667D"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IVREA - VISCHE - CHIVASSO</w:t>
            </w:r>
          </w:p>
        </w:tc>
        <w:tc>
          <w:tcPr>
            <w:tcW w:w="575" w:type="pct"/>
            <w:noWrap/>
            <w:vAlign w:val="bottom"/>
            <w:hideMark/>
          </w:tcPr>
          <w:p w14:paraId="4C1BB588"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10.443</w:t>
            </w:r>
          </w:p>
        </w:tc>
      </w:tr>
      <w:tr w:rsidR="003E245D" w:rsidRPr="003E245D" w14:paraId="55CCDC6D" w14:textId="77777777" w:rsidTr="007779E2">
        <w:trPr>
          <w:trHeight w:val="300"/>
        </w:trPr>
        <w:tc>
          <w:tcPr>
            <w:tcW w:w="2137" w:type="pct"/>
            <w:noWrap/>
            <w:vAlign w:val="bottom"/>
            <w:hideMark/>
          </w:tcPr>
          <w:p w14:paraId="26EAE773"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4147</w:t>
            </w:r>
          </w:p>
        </w:tc>
        <w:tc>
          <w:tcPr>
            <w:tcW w:w="2288" w:type="pct"/>
            <w:noWrap/>
            <w:vAlign w:val="bottom"/>
            <w:hideMark/>
          </w:tcPr>
          <w:p w14:paraId="1CBDDD54"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VIALFRÉ - CASTELLAMONTE (MERCATALE)</w:t>
            </w:r>
          </w:p>
        </w:tc>
        <w:tc>
          <w:tcPr>
            <w:tcW w:w="575" w:type="pct"/>
            <w:noWrap/>
            <w:vAlign w:val="bottom"/>
            <w:hideMark/>
          </w:tcPr>
          <w:p w14:paraId="3AE09BFC"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0</w:t>
            </w:r>
          </w:p>
        </w:tc>
      </w:tr>
      <w:tr w:rsidR="003E245D" w:rsidRPr="003E245D" w14:paraId="21C9EEEE" w14:textId="77777777" w:rsidTr="007779E2">
        <w:trPr>
          <w:trHeight w:val="300"/>
        </w:trPr>
        <w:tc>
          <w:tcPr>
            <w:tcW w:w="2137" w:type="pct"/>
            <w:noWrap/>
            <w:vAlign w:val="bottom"/>
            <w:hideMark/>
          </w:tcPr>
          <w:p w14:paraId="2F311F2F"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4151</w:t>
            </w:r>
          </w:p>
        </w:tc>
        <w:tc>
          <w:tcPr>
            <w:tcW w:w="2288" w:type="pct"/>
            <w:noWrap/>
            <w:vAlign w:val="bottom"/>
            <w:hideMark/>
          </w:tcPr>
          <w:p w14:paraId="0A8622E6"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COSSANO - IVREA</w:t>
            </w:r>
          </w:p>
        </w:tc>
        <w:tc>
          <w:tcPr>
            <w:tcW w:w="575" w:type="pct"/>
            <w:noWrap/>
            <w:vAlign w:val="bottom"/>
            <w:hideMark/>
          </w:tcPr>
          <w:p w14:paraId="56F57658"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355</w:t>
            </w:r>
          </w:p>
        </w:tc>
      </w:tr>
      <w:tr w:rsidR="003E245D" w:rsidRPr="003E245D" w14:paraId="317EC3C0" w14:textId="77777777" w:rsidTr="007779E2">
        <w:trPr>
          <w:trHeight w:val="300"/>
        </w:trPr>
        <w:tc>
          <w:tcPr>
            <w:tcW w:w="2137" w:type="pct"/>
            <w:noWrap/>
            <w:vAlign w:val="bottom"/>
            <w:hideMark/>
          </w:tcPr>
          <w:p w14:paraId="5ADFD595"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4152</w:t>
            </w:r>
          </w:p>
        </w:tc>
        <w:tc>
          <w:tcPr>
            <w:tcW w:w="2288" w:type="pct"/>
            <w:noWrap/>
            <w:vAlign w:val="bottom"/>
            <w:hideMark/>
          </w:tcPr>
          <w:p w14:paraId="5811AD03"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SILVA - VIALFRÉ - IVREA</w:t>
            </w:r>
          </w:p>
        </w:tc>
        <w:tc>
          <w:tcPr>
            <w:tcW w:w="575" w:type="pct"/>
            <w:noWrap/>
            <w:vAlign w:val="bottom"/>
            <w:hideMark/>
          </w:tcPr>
          <w:p w14:paraId="39273DE8"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8</w:t>
            </w:r>
          </w:p>
        </w:tc>
      </w:tr>
      <w:tr w:rsidR="003E245D" w:rsidRPr="003E245D" w14:paraId="3C0C7C67" w14:textId="77777777" w:rsidTr="007779E2">
        <w:trPr>
          <w:trHeight w:val="300"/>
        </w:trPr>
        <w:tc>
          <w:tcPr>
            <w:tcW w:w="2137" w:type="pct"/>
            <w:noWrap/>
            <w:vAlign w:val="bottom"/>
            <w:hideMark/>
          </w:tcPr>
          <w:p w14:paraId="672867C0"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4156</w:t>
            </w:r>
          </w:p>
        </w:tc>
        <w:tc>
          <w:tcPr>
            <w:tcW w:w="2288" w:type="pct"/>
            <w:noWrap/>
            <w:vAlign w:val="bottom"/>
            <w:hideMark/>
          </w:tcPr>
          <w:p w14:paraId="14212A23"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ANDRATE - IVREA</w:t>
            </w:r>
          </w:p>
        </w:tc>
        <w:tc>
          <w:tcPr>
            <w:tcW w:w="575" w:type="pct"/>
            <w:noWrap/>
            <w:vAlign w:val="bottom"/>
            <w:hideMark/>
          </w:tcPr>
          <w:p w14:paraId="575A3E14"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0</w:t>
            </w:r>
          </w:p>
        </w:tc>
      </w:tr>
      <w:tr w:rsidR="003E245D" w:rsidRPr="003E245D" w14:paraId="393AC205" w14:textId="77777777" w:rsidTr="007779E2">
        <w:trPr>
          <w:trHeight w:val="300"/>
        </w:trPr>
        <w:tc>
          <w:tcPr>
            <w:tcW w:w="2137" w:type="pct"/>
            <w:noWrap/>
            <w:vAlign w:val="bottom"/>
            <w:hideMark/>
          </w:tcPr>
          <w:p w14:paraId="460D4DEA"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lastRenderedPageBreak/>
              <w:t>4512</w:t>
            </w:r>
          </w:p>
        </w:tc>
        <w:tc>
          <w:tcPr>
            <w:tcW w:w="2288" w:type="pct"/>
            <w:noWrap/>
            <w:vAlign w:val="bottom"/>
            <w:hideMark/>
          </w:tcPr>
          <w:p w14:paraId="0772E353"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IVREA - CASTELLAMONTE - VALCHIUSELLA</w:t>
            </w:r>
          </w:p>
        </w:tc>
        <w:tc>
          <w:tcPr>
            <w:tcW w:w="575" w:type="pct"/>
            <w:noWrap/>
            <w:vAlign w:val="bottom"/>
            <w:hideMark/>
          </w:tcPr>
          <w:p w14:paraId="5D87AE68"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4.162</w:t>
            </w:r>
          </w:p>
        </w:tc>
      </w:tr>
      <w:tr w:rsidR="003E245D" w:rsidRPr="003E245D" w14:paraId="2D57575C" w14:textId="77777777" w:rsidTr="007779E2">
        <w:trPr>
          <w:trHeight w:val="300"/>
        </w:trPr>
        <w:tc>
          <w:tcPr>
            <w:tcW w:w="2137" w:type="pct"/>
            <w:noWrap/>
            <w:vAlign w:val="bottom"/>
            <w:hideMark/>
          </w:tcPr>
          <w:p w14:paraId="1E32056C"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4513</w:t>
            </w:r>
          </w:p>
        </w:tc>
        <w:tc>
          <w:tcPr>
            <w:tcW w:w="2288" w:type="pct"/>
            <w:noWrap/>
            <w:vAlign w:val="bottom"/>
            <w:hideMark/>
          </w:tcPr>
          <w:p w14:paraId="0006BE47"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IVREA - TRAVERSELLA</w:t>
            </w:r>
          </w:p>
        </w:tc>
        <w:tc>
          <w:tcPr>
            <w:tcW w:w="575" w:type="pct"/>
            <w:noWrap/>
            <w:vAlign w:val="bottom"/>
            <w:hideMark/>
          </w:tcPr>
          <w:p w14:paraId="1DBE6C8E"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0</w:t>
            </w:r>
          </w:p>
        </w:tc>
      </w:tr>
      <w:tr w:rsidR="003E245D" w:rsidRPr="003E245D" w14:paraId="26BB4FB4" w14:textId="77777777" w:rsidTr="007779E2">
        <w:trPr>
          <w:trHeight w:val="300"/>
        </w:trPr>
        <w:tc>
          <w:tcPr>
            <w:tcW w:w="2137" w:type="pct"/>
            <w:noWrap/>
            <w:vAlign w:val="bottom"/>
            <w:hideMark/>
          </w:tcPr>
          <w:p w14:paraId="0ABF2863"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4546</w:t>
            </w:r>
          </w:p>
        </w:tc>
        <w:tc>
          <w:tcPr>
            <w:tcW w:w="2288" w:type="pct"/>
            <w:noWrap/>
            <w:vAlign w:val="bottom"/>
            <w:hideMark/>
          </w:tcPr>
          <w:p w14:paraId="627D07C6"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ALBIANO - VESTIGNÉ (SCUOLABUS)</w:t>
            </w:r>
          </w:p>
        </w:tc>
        <w:tc>
          <w:tcPr>
            <w:tcW w:w="575" w:type="pct"/>
            <w:noWrap/>
            <w:vAlign w:val="bottom"/>
            <w:hideMark/>
          </w:tcPr>
          <w:p w14:paraId="71A01E67"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428</w:t>
            </w:r>
          </w:p>
        </w:tc>
      </w:tr>
      <w:tr w:rsidR="003E245D" w:rsidRPr="003E245D" w14:paraId="7E7B7819" w14:textId="77777777" w:rsidTr="007779E2">
        <w:trPr>
          <w:trHeight w:val="300"/>
        </w:trPr>
        <w:tc>
          <w:tcPr>
            <w:tcW w:w="2137" w:type="pct"/>
            <w:noWrap/>
            <w:vAlign w:val="bottom"/>
            <w:hideMark/>
          </w:tcPr>
          <w:p w14:paraId="7AED70A6"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5095</w:t>
            </w:r>
          </w:p>
        </w:tc>
        <w:tc>
          <w:tcPr>
            <w:tcW w:w="2288" w:type="pct"/>
            <w:noWrap/>
            <w:vAlign w:val="bottom"/>
            <w:hideMark/>
          </w:tcPr>
          <w:p w14:paraId="02077C5B"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FORNO - RIVAROLO</w:t>
            </w:r>
          </w:p>
        </w:tc>
        <w:tc>
          <w:tcPr>
            <w:tcW w:w="575" w:type="pct"/>
            <w:noWrap/>
            <w:vAlign w:val="bottom"/>
            <w:hideMark/>
          </w:tcPr>
          <w:p w14:paraId="743A5FD6"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3.869</w:t>
            </w:r>
          </w:p>
        </w:tc>
      </w:tr>
      <w:tr w:rsidR="003E245D" w:rsidRPr="003E245D" w14:paraId="5199498C" w14:textId="77777777" w:rsidTr="007779E2">
        <w:trPr>
          <w:trHeight w:val="300"/>
        </w:trPr>
        <w:tc>
          <w:tcPr>
            <w:tcW w:w="2137" w:type="pct"/>
            <w:noWrap/>
            <w:vAlign w:val="bottom"/>
            <w:hideMark/>
          </w:tcPr>
          <w:p w14:paraId="61BB4274"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5134</w:t>
            </w:r>
          </w:p>
        </w:tc>
        <w:tc>
          <w:tcPr>
            <w:tcW w:w="2288" w:type="pct"/>
            <w:noWrap/>
            <w:vAlign w:val="bottom"/>
            <w:hideMark/>
          </w:tcPr>
          <w:p w14:paraId="67F14137"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FORNO - BUSANO - CUORGNÉ</w:t>
            </w:r>
          </w:p>
        </w:tc>
        <w:tc>
          <w:tcPr>
            <w:tcW w:w="575" w:type="pct"/>
            <w:noWrap/>
            <w:vAlign w:val="bottom"/>
            <w:hideMark/>
          </w:tcPr>
          <w:p w14:paraId="2D5FDC75"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1.751</w:t>
            </w:r>
          </w:p>
        </w:tc>
      </w:tr>
      <w:tr w:rsidR="003E245D" w:rsidRPr="003E245D" w14:paraId="7BCCE06D" w14:textId="77777777" w:rsidTr="007779E2">
        <w:trPr>
          <w:trHeight w:val="300"/>
        </w:trPr>
        <w:tc>
          <w:tcPr>
            <w:tcW w:w="2137" w:type="pct"/>
            <w:noWrap/>
            <w:vAlign w:val="bottom"/>
            <w:hideMark/>
          </w:tcPr>
          <w:p w14:paraId="00A75FEC"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5135</w:t>
            </w:r>
          </w:p>
        </w:tc>
        <w:tc>
          <w:tcPr>
            <w:tcW w:w="2288" w:type="pct"/>
            <w:noWrap/>
            <w:vAlign w:val="bottom"/>
            <w:hideMark/>
          </w:tcPr>
          <w:p w14:paraId="30178EF7"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RIVAROLO - SAN BENIGNO - TORINO</w:t>
            </w:r>
          </w:p>
        </w:tc>
        <w:tc>
          <w:tcPr>
            <w:tcW w:w="575" w:type="pct"/>
            <w:noWrap/>
            <w:vAlign w:val="bottom"/>
            <w:hideMark/>
          </w:tcPr>
          <w:p w14:paraId="12D47659"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803</w:t>
            </w:r>
          </w:p>
        </w:tc>
      </w:tr>
      <w:tr w:rsidR="003E245D" w:rsidRPr="003E245D" w14:paraId="17850EAB" w14:textId="77777777" w:rsidTr="007779E2">
        <w:trPr>
          <w:trHeight w:val="300"/>
        </w:trPr>
        <w:tc>
          <w:tcPr>
            <w:tcW w:w="2137" w:type="pct"/>
            <w:noWrap/>
            <w:vAlign w:val="bottom"/>
            <w:hideMark/>
          </w:tcPr>
          <w:p w14:paraId="7DCA9E9B"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5137</w:t>
            </w:r>
          </w:p>
        </w:tc>
        <w:tc>
          <w:tcPr>
            <w:tcW w:w="2288" w:type="pct"/>
            <w:noWrap/>
            <w:vAlign w:val="bottom"/>
            <w:hideMark/>
          </w:tcPr>
          <w:p w14:paraId="6133A335"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RIVAROLO - PONT - CERESOLE</w:t>
            </w:r>
          </w:p>
        </w:tc>
        <w:tc>
          <w:tcPr>
            <w:tcW w:w="575" w:type="pct"/>
            <w:noWrap/>
            <w:vAlign w:val="bottom"/>
            <w:hideMark/>
          </w:tcPr>
          <w:p w14:paraId="15090EAF"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7.671</w:t>
            </w:r>
          </w:p>
        </w:tc>
      </w:tr>
      <w:tr w:rsidR="003E245D" w:rsidRPr="003E245D" w14:paraId="7BA86D81" w14:textId="77777777" w:rsidTr="007779E2">
        <w:trPr>
          <w:trHeight w:val="300"/>
        </w:trPr>
        <w:tc>
          <w:tcPr>
            <w:tcW w:w="2137" w:type="pct"/>
            <w:noWrap/>
            <w:vAlign w:val="bottom"/>
            <w:hideMark/>
          </w:tcPr>
          <w:p w14:paraId="66906759"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5140</w:t>
            </w:r>
          </w:p>
        </w:tc>
        <w:tc>
          <w:tcPr>
            <w:tcW w:w="2288" w:type="pct"/>
            <w:noWrap/>
            <w:vAlign w:val="bottom"/>
            <w:hideMark/>
          </w:tcPr>
          <w:p w14:paraId="4CD9A822"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PONT - VALPRATO SOANA</w:t>
            </w:r>
          </w:p>
        </w:tc>
        <w:tc>
          <w:tcPr>
            <w:tcW w:w="575" w:type="pct"/>
            <w:noWrap/>
            <w:vAlign w:val="bottom"/>
            <w:hideMark/>
          </w:tcPr>
          <w:p w14:paraId="55140248"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0</w:t>
            </w:r>
          </w:p>
        </w:tc>
      </w:tr>
      <w:tr w:rsidR="003E245D" w:rsidRPr="003E245D" w14:paraId="444F3428" w14:textId="77777777" w:rsidTr="007779E2">
        <w:trPr>
          <w:trHeight w:val="300"/>
        </w:trPr>
        <w:tc>
          <w:tcPr>
            <w:tcW w:w="2137" w:type="pct"/>
            <w:noWrap/>
            <w:vAlign w:val="bottom"/>
            <w:hideMark/>
          </w:tcPr>
          <w:p w14:paraId="077DD68B"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5141</w:t>
            </w:r>
          </w:p>
        </w:tc>
        <w:tc>
          <w:tcPr>
            <w:tcW w:w="2288" w:type="pct"/>
            <w:noWrap/>
            <w:vAlign w:val="bottom"/>
            <w:hideMark/>
          </w:tcPr>
          <w:p w14:paraId="019C3C89"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PONT - FRASSINETTO</w:t>
            </w:r>
          </w:p>
        </w:tc>
        <w:tc>
          <w:tcPr>
            <w:tcW w:w="575" w:type="pct"/>
            <w:noWrap/>
            <w:vAlign w:val="bottom"/>
            <w:hideMark/>
          </w:tcPr>
          <w:p w14:paraId="61CB036C"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0</w:t>
            </w:r>
          </w:p>
        </w:tc>
      </w:tr>
      <w:tr w:rsidR="003E245D" w:rsidRPr="003E245D" w14:paraId="77B2891F" w14:textId="77777777" w:rsidTr="007779E2">
        <w:trPr>
          <w:trHeight w:val="300"/>
        </w:trPr>
        <w:tc>
          <w:tcPr>
            <w:tcW w:w="2137" w:type="pct"/>
            <w:noWrap/>
            <w:vAlign w:val="bottom"/>
            <w:hideMark/>
          </w:tcPr>
          <w:p w14:paraId="2D90B361"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5143</w:t>
            </w:r>
          </w:p>
        </w:tc>
        <w:tc>
          <w:tcPr>
            <w:tcW w:w="2288" w:type="pct"/>
            <w:noWrap/>
            <w:vAlign w:val="bottom"/>
            <w:hideMark/>
          </w:tcPr>
          <w:p w14:paraId="233E69B4"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CUORGNÉ - IVREA</w:t>
            </w:r>
          </w:p>
        </w:tc>
        <w:tc>
          <w:tcPr>
            <w:tcW w:w="575" w:type="pct"/>
            <w:noWrap/>
            <w:vAlign w:val="bottom"/>
            <w:hideMark/>
          </w:tcPr>
          <w:p w14:paraId="2C69F396"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2.500</w:t>
            </w:r>
          </w:p>
        </w:tc>
      </w:tr>
      <w:tr w:rsidR="003E245D" w:rsidRPr="003E245D" w14:paraId="665E4D51" w14:textId="77777777" w:rsidTr="007779E2">
        <w:trPr>
          <w:trHeight w:val="300"/>
        </w:trPr>
        <w:tc>
          <w:tcPr>
            <w:tcW w:w="2137" w:type="pct"/>
            <w:noWrap/>
            <w:vAlign w:val="bottom"/>
            <w:hideMark/>
          </w:tcPr>
          <w:p w14:paraId="17435CFB"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5145</w:t>
            </w:r>
          </w:p>
        </w:tc>
        <w:tc>
          <w:tcPr>
            <w:tcW w:w="2288" w:type="pct"/>
            <w:noWrap/>
            <w:vAlign w:val="bottom"/>
            <w:hideMark/>
          </w:tcPr>
          <w:p w14:paraId="0E52C042"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RIVAROLO - IVREA</w:t>
            </w:r>
          </w:p>
        </w:tc>
        <w:tc>
          <w:tcPr>
            <w:tcW w:w="575" w:type="pct"/>
            <w:noWrap/>
            <w:vAlign w:val="bottom"/>
            <w:hideMark/>
          </w:tcPr>
          <w:p w14:paraId="17A66ADD"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1.366</w:t>
            </w:r>
          </w:p>
        </w:tc>
      </w:tr>
      <w:tr w:rsidR="003E245D" w:rsidRPr="003E245D" w14:paraId="0EE1CC2B" w14:textId="77777777" w:rsidTr="007779E2">
        <w:trPr>
          <w:trHeight w:val="300"/>
        </w:trPr>
        <w:tc>
          <w:tcPr>
            <w:tcW w:w="2137" w:type="pct"/>
            <w:noWrap/>
            <w:vAlign w:val="bottom"/>
            <w:hideMark/>
          </w:tcPr>
          <w:p w14:paraId="4AC8FCA2"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5150</w:t>
            </w:r>
          </w:p>
        </w:tc>
        <w:tc>
          <w:tcPr>
            <w:tcW w:w="2288" w:type="pct"/>
            <w:noWrap/>
            <w:vAlign w:val="bottom"/>
            <w:hideMark/>
          </w:tcPr>
          <w:p w14:paraId="1B90B563"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CASTELNUOVO NIGRA - CUORGNÉ CENTRO</w:t>
            </w:r>
          </w:p>
        </w:tc>
        <w:tc>
          <w:tcPr>
            <w:tcW w:w="575" w:type="pct"/>
            <w:noWrap/>
            <w:vAlign w:val="bottom"/>
            <w:hideMark/>
          </w:tcPr>
          <w:p w14:paraId="198B44F9"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0</w:t>
            </w:r>
          </w:p>
        </w:tc>
      </w:tr>
      <w:tr w:rsidR="003E245D" w:rsidRPr="003E245D" w14:paraId="729FC772" w14:textId="77777777" w:rsidTr="007779E2">
        <w:trPr>
          <w:trHeight w:val="300"/>
        </w:trPr>
        <w:tc>
          <w:tcPr>
            <w:tcW w:w="2137" w:type="pct"/>
            <w:noWrap/>
            <w:vAlign w:val="bottom"/>
            <w:hideMark/>
          </w:tcPr>
          <w:p w14:paraId="07623A95"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5318</w:t>
            </w:r>
          </w:p>
        </w:tc>
        <w:tc>
          <w:tcPr>
            <w:tcW w:w="2288" w:type="pct"/>
            <w:noWrap/>
            <w:vAlign w:val="bottom"/>
            <w:hideMark/>
          </w:tcPr>
          <w:p w14:paraId="5E6E1901"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CASTELNUOVO NIGRA - CASTELLAMONTE - SCARMAGNO</w:t>
            </w:r>
          </w:p>
        </w:tc>
        <w:tc>
          <w:tcPr>
            <w:tcW w:w="575" w:type="pct"/>
            <w:noWrap/>
            <w:vAlign w:val="bottom"/>
            <w:hideMark/>
          </w:tcPr>
          <w:p w14:paraId="40C22204"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0</w:t>
            </w:r>
          </w:p>
        </w:tc>
      </w:tr>
      <w:tr w:rsidR="003E245D" w:rsidRPr="003E245D" w14:paraId="52455704" w14:textId="77777777" w:rsidTr="007779E2">
        <w:trPr>
          <w:trHeight w:val="300"/>
        </w:trPr>
        <w:tc>
          <w:tcPr>
            <w:tcW w:w="2137" w:type="pct"/>
            <w:noWrap/>
            <w:vAlign w:val="bottom"/>
            <w:hideMark/>
          </w:tcPr>
          <w:p w14:paraId="76B35201"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5319</w:t>
            </w:r>
          </w:p>
        </w:tc>
        <w:tc>
          <w:tcPr>
            <w:tcW w:w="2288" w:type="pct"/>
            <w:noWrap/>
            <w:vAlign w:val="bottom"/>
            <w:hideMark/>
          </w:tcPr>
          <w:p w14:paraId="585DD84A"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CAMPO - MURAGLIO - RIVAROLO - BOSCONERO (EATON LIVIA)</w:t>
            </w:r>
          </w:p>
        </w:tc>
        <w:tc>
          <w:tcPr>
            <w:tcW w:w="575" w:type="pct"/>
            <w:noWrap/>
            <w:vAlign w:val="bottom"/>
            <w:hideMark/>
          </w:tcPr>
          <w:p w14:paraId="233F6654"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0</w:t>
            </w:r>
          </w:p>
        </w:tc>
      </w:tr>
      <w:tr w:rsidR="003E245D" w:rsidRPr="003E245D" w14:paraId="29ED6745" w14:textId="77777777" w:rsidTr="007779E2">
        <w:trPr>
          <w:trHeight w:val="300"/>
        </w:trPr>
        <w:tc>
          <w:tcPr>
            <w:tcW w:w="2137" w:type="pct"/>
            <w:noWrap/>
            <w:vAlign w:val="bottom"/>
            <w:hideMark/>
          </w:tcPr>
          <w:p w14:paraId="49281EA0"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5322</w:t>
            </w:r>
          </w:p>
        </w:tc>
        <w:tc>
          <w:tcPr>
            <w:tcW w:w="2288" w:type="pct"/>
            <w:noWrap/>
            <w:vAlign w:val="bottom"/>
            <w:hideMark/>
          </w:tcPr>
          <w:p w14:paraId="232BC8BA"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ALPETTE - CUORGNÉ</w:t>
            </w:r>
          </w:p>
        </w:tc>
        <w:tc>
          <w:tcPr>
            <w:tcW w:w="575" w:type="pct"/>
            <w:noWrap/>
            <w:vAlign w:val="bottom"/>
            <w:hideMark/>
          </w:tcPr>
          <w:p w14:paraId="61C050EC"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0</w:t>
            </w:r>
          </w:p>
        </w:tc>
      </w:tr>
      <w:tr w:rsidR="003E245D" w:rsidRPr="003E245D" w14:paraId="4A7BBFDF" w14:textId="77777777" w:rsidTr="007779E2">
        <w:trPr>
          <w:trHeight w:val="300"/>
        </w:trPr>
        <w:tc>
          <w:tcPr>
            <w:tcW w:w="2137" w:type="pct"/>
            <w:noWrap/>
            <w:vAlign w:val="bottom"/>
            <w:hideMark/>
          </w:tcPr>
          <w:p w14:paraId="139F8D5F"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5379</w:t>
            </w:r>
          </w:p>
        </w:tc>
        <w:tc>
          <w:tcPr>
            <w:tcW w:w="2288" w:type="pct"/>
            <w:noWrap/>
            <w:vAlign w:val="bottom"/>
            <w:hideMark/>
          </w:tcPr>
          <w:p w14:paraId="6AFF3E0A"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RIVAROLO - CIRIÉ</w:t>
            </w:r>
          </w:p>
        </w:tc>
        <w:tc>
          <w:tcPr>
            <w:tcW w:w="575" w:type="pct"/>
            <w:noWrap/>
            <w:vAlign w:val="bottom"/>
            <w:hideMark/>
          </w:tcPr>
          <w:p w14:paraId="5CFBFF3D"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1.184</w:t>
            </w:r>
          </w:p>
        </w:tc>
      </w:tr>
      <w:tr w:rsidR="003E245D" w:rsidRPr="003E245D" w14:paraId="77E45BB9" w14:textId="77777777" w:rsidTr="007779E2">
        <w:trPr>
          <w:trHeight w:val="300"/>
        </w:trPr>
        <w:tc>
          <w:tcPr>
            <w:tcW w:w="2137" w:type="pct"/>
            <w:noWrap/>
            <w:vAlign w:val="bottom"/>
            <w:hideMark/>
          </w:tcPr>
          <w:p w14:paraId="087C9965"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220B</w:t>
            </w:r>
          </w:p>
        </w:tc>
        <w:tc>
          <w:tcPr>
            <w:tcW w:w="2288" w:type="pct"/>
            <w:noWrap/>
            <w:vAlign w:val="bottom"/>
            <w:hideMark/>
          </w:tcPr>
          <w:p w14:paraId="2F1560D4"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CAVOUR-BARGE-PINEROLO</w:t>
            </w:r>
          </w:p>
        </w:tc>
        <w:tc>
          <w:tcPr>
            <w:tcW w:w="575" w:type="pct"/>
            <w:noWrap/>
            <w:vAlign w:val="bottom"/>
            <w:hideMark/>
          </w:tcPr>
          <w:p w14:paraId="62307423"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110.395</w:t>
            </w:r>
          </w:p>
        </w:tc>
      </w:tr>
      <w:tr w:rsidR="003E245D" w:rsidRPr="003E245D" w14:paraId="20B1ADEA" w14:textId="77777777" w:rsidTr="007779E2">
        <w:trPr>
          <w:trHeight w:val="300"/>
        </w:trPr>
        <w:tc>
          <w:tcPr>
            <w:tcW w:w="2137" w:type="pct"/>
            <w:noWrap/>
            <w:vAlign w:val="bottom"/>
            <w:hideMark/>
          </w:tcPr>
          <w:p w14:paraId="0E9FAF76"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B259TK</w:t>
            </w:r>
          </w:p>
        </w:tc>
        <w:tc>
          <w:tcPr>
            <w:tcW w:w="2288" w:type="pct"/>
            <w:noWrap/>
            <w:vAlign w:val="bottom"/>
            <w:hideMark/>
          </w:tcPr>
          <w:p w14:paraId="1F1B0109"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TORINO - LA LOGGIA - CARIGNANO - CARMAGNOLA TEKSID</w:t>
            </w:r>
          </w:p>
        </w:tc>
        <w:tc>
          <w:tcPr>
            <w:tcW w:w="575" w:type="pct"/>
            <w:noWrap/>
            <w:vAlign w:val="bottom"/>
            <w:hideMark/>
          </w:tcPr>
          <w:p w14:paraId="6A036E77"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962</w:t>
            </w:r>
          </w:p>
        </w:tc>
      </w:tr>
      <w:tr w:rsidR="003E245D" w:rsidRPr="003E245D" w14:paraId="34299616" w14:textId="77777777" w:rsidTr="007779E2">
        <w:trPr>
          <w:trHeight w:val="300"/>
        </w:trPr>
        <w:tc>
          <w:tcPr>
            <w:tcW w:w="2137" w:type="pct"/>
            <w:noWrap/>
            <w:vAlign w:val="bottom"/>
            <w:hideMark/>
          </w:tcPr>
          <w:p w14:paraId="5B69A5F3"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260B</w:t>
            </w:r>
          </w:p>
        </w:tc>
        <w:tc>
          <w:tcPr>
            <w:tcW w:w="2288" w:type="pct"/>
            <w:noWrap/>
            <w:vAlign w:val="bottom"/>
            <w:hideMark/>
          </w:tcPr>
          <w:p w14:paraId="7F10411A"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PANCALIERI - OSASIO - TORINO</w:t>
            </w:r>
          </w:p>
        </w:tc>
        <w:tc>
          <w:tcPr>
            <w:tcW w:w="575" w:type="pct"/>
            <w:noWrap/>
            <w:vAlign w:val="bottom"/>
            <w:hideMark/>
          </w:tcPr>
          <w:p w14:paraId="2D9E7CE1"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3.779</w:t>
            </w:r>
          </w:p>
        </w:tc>
      </w:tr>
      <w:tr w:rsidR="003E245D" w:rsidRPr="003E245D" w14:paraId="3A605FA1" w14:textId="77777777" w:rsidTr="007779E2">
        <w:trPr>
          <w:trHeight w:val="300"/>
        </w:trPr>
        <w:tc>
          <w:tcPr>
            <w:tcW w:w="2137" w:type="pct"/>
            <w:noWrap/>
            <w:vAlign w:val="bottom"/>
            <w:hideMark/>
          </w:tcPr>
          <w:p w14:paraId="3A6F955F"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299T</w:t>
            </w:r>
          </w:p>
        </w:tc>
        <w:tc>
          <w:tcPr>
            <w:tcW w:w="2288" w:type="pct"/>
            <w:noWrap/>
            <w:vAlign w:val="bottom"/>
            <w:hideMark/>
          </w:tcPr>
          <w:p w14:paraId="65C22D02"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VILLAFRANCA PIEMONTE - TORINO</w:t>
            </w:r>
          </w:p>
        </w:tc>
        <w:tc>
          <w:tcPr>
            <w:tcW w:w="575" w:type="pct"/>
            <w:noWrap/>
            <w:vAlign w:val="bottom"/>
            <w:hideMark/>
          </w:tcPr>
          <w:p w14:paraId="65459B36"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37.513</w:t>
            </w:r>
          </w:p>
        </w:tc>
      </w:tr>
      <w:tr w:rsidR="003E245D" w:rsidRPr="003E245D" w14:paraId="0955FAB9" w14:textId="77777777" w:rsidTr="007779E2">
        <w:trPr>
          <w:trHeight w:val="300"/>
        </w:trPr>
        <w:tc>
          <w:tcPr>
            <w:tcW w:w="2137" w:type="pct"/>
            <w:noWrap/>
            <w:vAlign w:val="bottom"/>
            <w:hideMark/>
          </w:tcPr>
          <w:p w14:paraId="1E416461"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299V</w:t>
            </w:r>
          </w:p>
        </w:tc>
        <w:tc>
          <w:tcPr>
            <w:tcW w:w="2288" w:type="pct"/>
            <w:noWrap/>
            <w:vAlign w:val="bottom"/>
            <w:hideMark/>
          </w:tcPr>
          <w:p w14:paraId="4DB49C41"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SALUZZO - VILLAFRANCA PIEMONTE</w:t>
            </w:r>
          </w:p>
        </w:tc>
        <w:tc>
          <w:tcPr>
            <w:tcW w:w="575" w:type="pct"/>
            <w:noWrap/>
            <w:vAlign w:val="bottom"/>
            <w:hideMark/>
          </w:tcPr>
          <w:p w14:paraId="24DB3A3D"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24.359</w:t>
            </w:r>
          </w:p>
        </w:tc>
      </w:tr>
      <w:tr w:rsidR="003E245D" w:rsidRPr="003E245D" w14:paraId="059871E8" w14:textId="77777777" w:rsidTr="007779E2">
        <w:trPr>
          <w:trHeight w:val="300"/>
        </w:trPr>
        <w:tc>
          <w:tcPr>
            <w:tcW w:w="2137" w:type="pct"/>
            <w:noWrap/>
            <w:vAlign w:val="bottom"/>
            <w:hideMark/>
          </w:tcPr>
          <w:p w14:paraId="42804667" w14:textId="77777777" w:rsidR="003E245D" w:rsidRPr="003E245D" w:rsidRDefault="003E245D" w:rsidP="003E245D">
            <w:pPr>
              <w:spacing w:after="0" w:line="240" w:lineRule="auto"/>
              <w:jc w:val="center"/>
              <w:rPr>
                <w:rFonts w:eastAsia="Times New Roman" w:cs="Calibri"/>
              </w:rPr>
            </w:pPr>
            <w:r w:rsidRPr="003E245D">
              <w:rPr>
                <w:rFonts w:eastAsia="Times New Roman" w:cs="Calibri"/>
              </w:rPr>
              <w:t>MEOR</w:t>
            </w:r>
          </w:p>
        </w:tc>
        <w:tc>
          <w:tcPr>
            <w:tcW w:w="2288" w:type="pct"/>
            <w:noWrap/>
            <w:vAlign w:val="bottom"/>
            <w:hideMark/>
          </w:tcPr>
          <w:p w14:paraId="4E19A3ED" w14:textId="77777777" w:rsidR="003E245D" w:rsidRPr="003E245D" w:rsidRDefault="003E245D" w:rsidP="003E245D">
            <w:pPr>
              <w:spacing w:after="0" w:line="240" w:lineRule="auto"/>
              <w:jc w:val="left"/>
              <w:rPr>
                <w:rFonts w:eastAsia="Times New Roman" w:cs="Calibri"/>
              </w:rPr>
            </w:pPr>
            <w:r w:rsidRPr="003E245D">
              <w:rPr>
                <w:rFonts w:eastAsia="Times New Roman" w:cs="Calibri"/>
              </w:rPr>
              <w:t>LINEA MERCATO ORBASSANO</w:t>
            </w:r>
          </w:p>
        </w:tc>
        <w:tc>
          <w:tcPr>
            <w:tcW w:w="575" w:type="pct"/>
            <w:noWrap/>
            <w:vAlign w:val="bottom"/>
            <w:hideMark/>
          </w:tcPr>
          <w:p w14:paraId="48B29204" w14:textId="77777777" w:rsidR="003E245D" w:rsidRPr="003E245D" w:rsidRDefault="003E245D" w:rsidP="003E245D">
            <w:pPr>
              <w:spacing w:after="0" w:line="240" w:lineRule="auto"/>
              <w:jc w:val="right"/>
              <w:rPr>
                <w:rFonts w:eastAsia="Times New Roman" w:cs="Calibri"/>
              </w:rPr>
            </w:pPr>
            <w:r w:rsidRPr="003E245D">
              <w:rPr>
                <w:rFonts w:eastAsia="Times New Roman" w:cs="Calibri"/>
              </w:rPr>
              <w:t>0</w:t>
            </w:r>
          </w:p>
        </w:tc>
      </w:tr>
      <w:tr w:rsidR="003E245D" w:rsidRPr="003E245D" w14:paraId="739BE5D7" w14:textId="77777777" w:rsidTr="007779E2">
        <w:trPr>
          <w:trHeight w:val="300"/>
        </w:trPr>
        <w:tc>
          <w:tcPr>
            <w:tcW w:w="2137" w:type="pct"/>
            <w:shd w:val="clear" w:color="000000" w:fill="EE3438"/>
            <w:noWrap/>
            <w:vAlign w:val="bottom"/>
            <w:hideMark/>
          </w:tcPr>
          <w:p w14:paraId="44568B93" w14:textId="77777777" w:rsidR="003E245D" w:rsidRPr="003E245D" w:rsidRDefault="003E245D" w:rsidP="003E245D">
            <w:pPr>
              <w:spacing w:after="0" w:line="240" w:lineRule="auto"/>
              <w:jc w:val="center"/>
              <w:rPr>
                <w:rFonts w:eastAsia="Times New Roman" w:cs="Calibri"/>
                <w:color w:val="FFFFFF"/>
              </w:rPr>
            </w:pPr>
            <w:r w:rsidRPr="003E245D">
              <w:rPr>
                <w:rFonts w:eastAsia="Times New Roman" w:cs="Calibri"/>
                <w:color w:val="FFFFFF"/>
              </w:rPr>
              <w:t> </w:t>
            </w:r>
          </w:p>
        </w:tc>
        <w:tc>
          <w:tcPr>
            <w:tcW w:w="2288" w:type="pct"/>
            <w:shd w:val="clear" w:color="000000" w:fill="EE3438"/>
            <w:noWrap/>
            <w:vAlign w:val="bottom"/>
            <w:hideMark/>
          </w:tcPr>
          <w:p w14:paraId="47356C61" w14:textId="77777777" w:rsidR="003E245D" w:rsidRPr="003E245D" w:rsidRDefault="003E245D" w:rsidP="003E245D">
            <w:pPr>
              <w:spacing w:after="0" w:line="240" w:lineRule="auto"/>
              <w:jc w:val="right"/>
              <w:rPr>
                <w:rFonts w:eastAsia="Times New Roman" w:cs="Calibri"/>
                <w:b/>
                <w:color w:val="FFFFFF"/>
              </w:rPr>
            </w:pPr>
            <w:r w:rsidRPr="003E245D">
              <w:rPr>
                <w:rFonts w:eastAsia="Times New Roman" w:cs="Calibri"/>
                <w:b/>
                <w:color w:val="FFFFFF"/>
              </w:rPr>
              <w:t>TOTALE SERVIZI EXTRAURBANI</w:t>
            </w:r>
          </w:p>
        </w:tc>
        <w:tc>
          <w:tcPr>
            <w:tcW w:w="575" w:type="pct"/>
            <w:shd w:val="clear" w:color="000000" w:fill="EE3438"/>
            <w:noWrap/>
            <w:vAlign w:val="bottom"/>
            <w:hideMark/>
          </w:tcPr>
          <w:p w14:paraId="678BA73E" w14:textId="77777777" w:rsidR="003E245D" w:rsidRPr="003E245D" w:rsidRDefault="003E245D" w:rsidP="003E245D">
            <w:pPr>
              <w:spacing w:after="0" w:line="240" w:lineRule="auto"/>
              <w:jc w:val="right"/>
              <w:rPr>
                <w:rFonts w:eastAsia="Times New Roman" w:cs="Calibri"/>
                <w:b/>
                <w:color w:val="FFFFFF"/>
              </w:rPr>
            </w:pPr>
            <w:r w:rsidRPr="003E245D">
              <w:rPr>
                <w:rFonts w:eastAsia="Times New Roman" w:cs="Calibri"/>
                <w:b/>
                <w:color w:val="FFFFFF"/>
              </w:rPr>
              <w:t>2.593.431</w:t>
            </w:r>
          </w:p>
        </w:tc>
      </w:tr>
      <w:tr w:rsidR="003E245D" w:rsidRPr="003E245D" w14:paraId="26203B1B" w14:textId="77777777" w:rsidTr="007779E2">
        <w:trPr>
          <w:trHeight w:val="300"/>
        </w:trPr>
        <w:tc>
          <w:tcPr>
            <w:tcW w:w="2137" w:type="pct"/>
            <w:noWrap/>
            <w:vAlign w:val="bottom"/>
            <w:hideMark/>
          </w:tcPr>
          <w:p w14:paraId="3ECD4DA9" w14:textId="77777777" w:rsidR="003E245D" w:rsidRPr="003E245D" w:rsidRDefault="003E245D" w:rsidP="003E245D">
            <w:pPr>
              <w:spacing w:after="0" w:line="240" w:lineRule="auto"/>
              <w:jc w:val="center"/>
              <w:rPr>
                <w:rFonts w:eastAsia="Times New Roman" w:cs="Calibri"/>
                <w:color w:val="000000"/>
              </w:rPr>
            </w:pPr>
            <w:r w:rsidRPr="003E245D">
              <w:rPr>
                <w:rFonts w:eastAsia="Times New Roman" w:cs="Calibri"/>
                <w:color w:val="000000"/>
              </w:rPr>
              <w:t>4153</w:t>
            </w:r>
          </w:p>
        </w:tc>
        <w:tc>
          <w:tcPr>
            <w:tcW w:w="2288" w:type="pct"/>
            <w:noWrap/>
            <w:vAlign w:val="bottom"/>
            <w:hideMark/>
          </w:tcPr>
          <w:p w14:paraId="65291D3D" w14:textId="77777777" w:rsidR="003E245D" w:rsidRPr="003E245D" w:rsidRDefault="003E245D" w:rsidP="003E245D">
            <w:pPr>
              <w:spacing w:after="0" w:line="240" w:lineRule="auto"/>
              <w:jc w:val="left"/>
              <w:rPr>
                <w:rFonts w:eastAsia="Times New Roman" w:cs="Calibri"/>
                <w:color w:val="000000"/>
              </w:rPr>
            </w:pPr>
            <w:r w:rsidRPr="003E245D">
              <w:rPr>
                <w:rFonts w:eastAsia="Times New Roman" w:cs="Calibri"/>
                <w:color w:val="000000"/>
              </w:rPr>
              <w:t>QUASSOLO - IVREA SL. (LINEA 5)</w:t>
            </w:r>
          </w:p>
        </w:tc>
        <w:tc>
          <w:tcPr>
            <w:tcW w:w="575" w:type="pct"/>
            <w:noWrap/>
            <w:vAlign w:val="bottom"/>
            <w:hideMark/>
          </w:tcPr>
          <w:p w14:paraId="7553ACFC" w14:textId="77777777" w:rsidR="003E245D" w:rsidRPr="003E245D" w:rsidRDefault="003E245D" w:rsidP="003E245D">
            <w:pPr>
              <w:spacing w:after="0" w:line="240" w:lineRule="auto"/>
              <w:jc w:val="right"/>
              <w:rPr>
                <w:rFonts w:eastAsia="Times New Roman" w:cs="Calibri"/>
                <w:color w:val="000000"/>
              </w:rPr>
            </w:pPr>
            <w:r w:rsidRPr="003E245D">
              <w:rPr>
                <w:rFonts w:eastAsia="Times New Roman" w:cs="Calibri"/>
                <w:color w:val="000000"/>
              </w:rPr>
              <w:t>155</w:t>
            </w:r>
          </w:p>
        </w:tc>
      </w:tr>
      <w:tr w:rsidR="003E245D" w:rsidRPr="003E245D" w14:paraId="7AA6C1C5" w14:textId="77777777" w:rsidTr="007779E2">
        <w:trPr>
          <w:trHeight w:val="300"/>
        </w:trPr>
        <w:tc>
          <w:tcPr>
            <w:tcW w:w="2137" w:type="pct"/>
            <w:noWrap/>
            <w:vAlign w:val="bottom"/>
            <w:hideMark/>
          </w:tcPr>
          <w:p w14:paraId="3D884284" w14:textId="77777777" w:rsidR="003E245D" w:rsidRPr="003E245D" w:rsidRDefault="003E245D" w:rsidP="003E245D">
            <w:pPr>
              <w:spacing w:after="0" w:line="240" w:lineRule="auto"/>
              <w:jc w:val="center"/>
              <w:rPr>
                <w:rFonts w:eastAsia="Times New Roman" w:cs="Calibri"/>
                <w:color w:val="000000"/>
              </w:rPr>
            </w:pPr>
            <w:r w:rsidRPr="003E245D">
              <w:rPr>
                <w:rFonts w:eastAsia="Times New Roman" w:cs="Calibri"/>
                <w:color w:val="000000"/>
              </w:rPr>
              <w:t>4154</w:t>
            </w:r>
          </w:p>
        </w:tc>
        <w:tc>
          <w:tcPr>
            <w:tcW w:w="2288" w:type="pct"/>
            <w:noWrap/>
            <w:vAlign w:val="bottom"/>
            <w:hideMark/>
          </w:tcPr>
          <w:p w14:paraId="2F6C9546" w14:textId="77777777" w:rsidR="003E245D" w:rsidRPr="003E245D" w:rsidRDefault="003E245D" w:rsidP="003E245D">
            <w:pPr>
              <w:spacing w:after="0" w:line="240" w:lineRule="auto"/>
              <w:jc w:val="left"/>
              <w:rPr>
                <w:rFonts w:eastAsia="Times New Roman" w:cs="Calibri"/>
                <w:color w:val="000000"/>
              </w:rPr>
            </w:pPr>
            <w:r w:rsidRPr="003E245D">
              <w:rPr>
                <w:rFonts w:eastAsia="Times New Roman" w:cs="Calibri"/>
                <w:color w:val="000000"/>
              </w:rPr>
              <w:t>S.BERNARDO - IVREA - ALBIANO (LINEA 1-1SB)</w:t>
            </w:r>
          </w:p>
        </w:tc>
        <w:tc>
          <w:tcPr>
            <w:tcW w:w="575" w:type="pct"/>
            <w:noWrap/>
            <w:vAlign w:val="bottom"/>
            <w:hideMark/>
          </w:tcPr>
          <w:p w14:paraId="73A777AB" w14:textId="77777777" w:rsidR="003E245D" w:rsidRPr="003E245D" w:rsidRDefault="003E245D" w:rsidP="003E245D">
            <w:pPr>
              <w:spacing w:after="0" w:line="240" w:lineRule="auto"/>
              <w:jc w:val="right"/>
              <w:rPr>
                <w:rFonts w:eastAsia="Times New Roman" w:cs="Calibri"/>
                <w:color w:val="000000"/>
              </w:rPr>
            </w:pPr>
            <w:r w:rsidRPr="003E245D">
              <w:rPr>
                <w:rFonts w:eastAsia="Times New Roman" w:cs="Calibri"/>
                <w:color w:val="000000"/>
              </w:rPr>
              <w:t>677</w:t>
            </w:r>
          </w:p>
        </w:tc>
      </w:tr>
      <w:tr w:rsidR="003E245D" w:rsidRPr="003E245D" w14:paraId="614BEBED" w14:textId="77777777" w:rsidTr="007779E2">
        <w:trPr>
          <w:trHeight w:val="300"/>
        </w:trPr>
        <w:tc>
          <w:tcPr>
            <w:tcW w:w="2137" w:type="pct"/>
            <w:noWrap/>
            <w:vAlign w:val="bottom"/>
            <w:hideMark/>
          </w:tcPr>
          <w:p w14:paraId="6A649D12" w14:textId="77777777" w:rsidR="003E245D" w:rsidRPr="003E245D" w:rsidRDefault="003E245D" w:rsidP="003E245D">
            <w:pPr>
              <w:spacing w:after="0" w:line="240" w:lineRule="auto"/>
              <w:jc w:val="center"/>
              <w:rPr>
                <w:rFonts w:eastAsia="Times New Roman" w:cs="Calibri"/>
                <w:color w:val="000000"/>
              </w:rPr>
            </w:pPr>
            <w:r w:rsidRPr="003E245D">
              <w:rPr>
                <w:rFonts w:eastAsia="Times New Roman" w:cs="Calibri"/>
                <w:color w:val="000000"/>
              </w:rPr>
              <w:t>4155</w:t>
            </w:r>
          </w:p>
        </w:tc>
        <w:tc>
          <w:tcPr>
            <w:tcW w:w="2288" w:type="pct"/>
            <w:noWrap/>
            <w:vAlign w:val="bottom"/>
            <w:hideMark/>
          </w:tcPr>
          <w:p w14:paraId="30EABB25" w14:textId="77777777" w:rsidR="003E245D" w:rsidRPr="003E245D" w:rsidRDefault="003E245D" w:rsidP="003E245D">
            <w:pPr>
              <w:spacing w:after="0" w:line="240" w:lineRule="auto"/>
              <w:jc w:val="left"/>
              <w:rPr>
                <w:rFonts w:eastAsia="Times New Roman" w:cs="Calibri"/>
                <w:color w:val="000000"/>
              </w:rPr>
            </w:pPr>
            <w:r w:rsidRPr="003E245D">
              <w:rPr>
                <w:rFonts w:eastAsia="Times New Roman" w:cs="Calibri"/>
                <w:color w:val="000000"/>
              </w:rPr>
              <w:t>SAMONE - IVREA - BUROLO (LINEE 2-2SB)</w:t>
            </w:r>
          </w:p>
        </w:tc>
        <w:tc>
          <w:tcPr>
            <w:tcW w:w="575" w:type="pct"/>
            <w:noWrap/>
            <w:vAlign w:val="bottom"/>
            <w:hideMark/>
          </w:tcPr>
          <w:p w14:paraId="381A3ABB" w14:textId="77777777" w:rsidR="003E245D" w:rsidRPr="003E245D" w:rsidRDefault="003E245D" w:rsidP="003E245D">
            <w:pPr>
              <w:spacing w:after="0" w:line="240" w:lineRule="auto"/>
              <w:jc w:val="right"/>
              <w:rPr>
                <w:rFonts w:eastAsia="Times New Roman" w:cs="Calibri"/>
                <w:color w:val="000000"/>
              </w:rPr>
            </w:pPr>
            <w:r w:rsidRPr="003E245D">
              <w:rPr>
                <w:rFonts w:eastAsia="Times New Roman" w:cs="Calibri"/>
                <w:color w:val="000000"/>
              </w:rPr>
              <w:t>1160</w:t>
            </w:r>
          </w:p>
        </w:tc>
      </w:tr>
      <w:tr w:rsidR="003E245D" w:rsidRPr="003E245D" w14:paraId="4459BCB7" w14:textId="77777777" w:rsidTr="007779E2">
        <w:trPr>
          <w:trHeight w:val="300"/>
        </w:trPr>
        <w:tc>
          <w:tcPr>
            <w:tcW w:w="2137" w:type="pct"/>
            <w:noWrap/>
            <w:vAlign w:val="bottom"/>
            <w:hideMark/>
          </w:tcPr>
          <w:p w14:paraId="38A6D4B1" w14:textId="77777777" w:rsidR="003E245D" w:rsidRPr="003E245D" w:rsidRDefault="003E245D" w:rsidP="003E245D">
            <w:pPr>
              <w:spacing w:after="0" w:line="240" w:lineRule="auto"/>
              <w:jc w:val="center"/>
              <w:rPr>
                <w:rFonts w:eastAsia="Times New Roman" w:cs="Calibri"/>
                <w:color w:val="000000"/>
              </w:rPr>
            </w:pPr>
            <w:r w:rsidRPr="003E245D">
              <w:rPr>
                <w:rFonts w:eastAsia="Times New Roman" w:cs="Calibri"/>
                <w:color w:val="000000"/>
              </w:rPr>
              <w:t>4157</w:t>
            </w:r>
          </w:p>
        </w:tc>
        <w:tc>
          <w:tcPr>
            <w:tcW w:w="2288" w:type="pct"/>
            <w:noWrap/>
            <w:vAlign w:val="bottom"/>
            <w:hideMark/>
          </w:tcPr>
          <w:p w14:paraId="733A4BDC" w14:textId="77777777" w:rsidR="003E245D" w:rsidRPr="003E245D" w:rsidRDefault="003E245D" w:rsidP="003E245D">
            <w:pPr>
              <w:spacing w:after="0" w:line="240" w:lineRule="auto"/>
              <w:jc w:val="left"/>
              <w:rPr>
                <w:rFonts w:eastAsia="Times New Roman" w:cs="Calibri"/>
                <w:color w:val="000000"/>
              </w:rPr>
            </w:pPr>
            <w:r w:rsidRPr="003E245D">
              <w:rPr>
                <w:rFonts w:eastAsia="Times New Roman" w:cs="Calibri"/>
                <w:color w:val="000000"/>
              </w:rPr>
              <w:t>S. GERMANO - PAVONE (LINEA 3)</w:t>
            </w:r>
          </w:p>
        </w:tc>
        <w:tc>
          <w:tcPr>
            <w:tcW w:w="575" w:type="pct"/>
            <w:noWrap/>
            <w:vAlign w:val="bottom"/>
            <w:hideMark/>
          </w:tcPr>
          <w:p w14:paraId="1E7D34A7" w14:textId="77777777" w:rsidR="003E245D" w:rsidRPr="003E245D" w:rsidRDefault="003E245D" w:rsidP="003E245D">
            <w:pPr>
              <w:spacing w:after="0" w:line="240" w:lineRule="auto"/>
              <w:jc w:val="right"/>
              <w:rPr>
                <w:rFonts w:eastAsia="Times New Roman" w:cs="Calibri"/>
                <w:color w:val="000000"/>
              </w:rPr>
            </w:pPr>
            <w:r w:rsidRPr="003E245D">
              <w:rPr>
                <w:rFonts w:eastAsia="Times New Roman" w:cs="Calibri"/>
                <w:color w:val="000000"/>
              </w:rPr>
              <w:t>108</w:t>
            </w:r>
          </w:p>
        </w:tc>
      </w:tr>
      <w:tr w:rsidR="003E245D" w:rsidRPr="003E245D" w14:paraId="5B968C74" w14:textId="77777777" w:rsidTr="007779E2">
        <w:trPr>
          <w:trHeight w:val="300"/>
        </w:trPr>
        <w:tc>
          <w:tcPr>
            <w:tcW w:w="2137" w:type="pct"/>
            <w:noWrap/>
            <w:vAlign w:val="bottom"/>
            <w:hideMark/>
          </w:tcPr>
          <w:p w14:paraId="41A98E59" w14:textId="77777777" w:rsidR="003E245D" w:rsidRPr="003E245D" w:rsidRDefault="003E245D" w:rsidP="003E245D">
            <w:pPr>
              <w:spacing w:after="0" w:line="240" w:lineRule="auto"/>
              <w:jc w:val="center"/>
              <w:rPr>
                <w:rFonts w:eastAsia="Times New Roman" w:cs="Calibri"/>
                <w:color w:val="000000"/>
              </w:rPr>
            </w:pPr>
            <w:r w:rsidRPr="003E245D">
              <w:rPr>
                <w:rFonts w:eastAsia="Times New Roman" w:cs="Calibri"/>
                <w:color w:val="000000"/>
              </w:rPr>
              <w:t>4168</w:t>
            </w:r>
          </w:p>
        </w:tc>
        <w:tc>
          <w:tcPr>
            <w:tcW w:w="2288" w:type="pct"/>
            <w:noWrap/>
            <w:vAlign w:val="bottom"/>
            <w:hideMark/>
          </w:tcPr>
          <w:p w14:paraId="20C6CC51" w14:textId="77777777" w:rsidR="003E245D" w:rsidRPr="003E245D" w:rsidRDefault="003E245D" w:rsidP="003E245D">
            <w:pPr>
              <w:spacing w:after="0" w:line="240" w:lineRule="auto"/>
              <w:jc w:val="left"/>
              <w:rPr>
                <w:rFonts w:eastAsia="Times New Roman" w:cs="Calibri"/>
                <w:color w:val="000000"/>
              </w:rPr>
            </w:pPr>
            <w:r w:rsidRPr="003E245D">
              <w:rPr>
                <w:rFonts w:eastAsia="Times New Roman" w:cs="Calibri"/>
                <w:color w:val="000000"/>
              </w:rPr>
              <w:t>BELLAVISTA - IVREA Q. S.GIOVANNI (LINEA 4)</w:t>
            </w:r>
          </w:p>
        </w:tc>
        <w:tc>
          <w:tcPr>
            <w:tcW w:w="575" w:type="pct"/>
            <w:noWrap/>
            <w:vAlign w:val="bottom"/>
            <w:hideMark/>
          </w:tcPr>
          <w:p w14:paraId="05990D0E" w14:textId="77777777" w:rsidR="003E245D" w:rsidRPr="003E245D" w:rsidRDefault="003E245D" w:rsidP="003E245D">
            <w:pPr>
              <w:spacing w:after="0" w:line="240" w:lineRule="auto"/>
              <w:jc w:val="right"/>
              <w:rPr>
                <w:rFonts w:eastAsia="Times New Roman" w:cs="Calibri"/>
                <w:color w:val="000000"/>
              </w:rPr>
            </w:pPr>
            <w:r w:rsidRPr="003E245D">
              <w:rPr>
                <w:rFonts w:eastAsia="Times New Roman" w:cs="Calibri"/>
                <w:color w:val="000000"/>
              </w:rPr>
              <w:t>283</w:t>
            </w:r>
          </w:p>
        </w:tc>
      </w:tr>
      <w:tr w:rsidR="003E245D" w:rsidRPr="003E245D" w14:paraId="51C1AF35" w14:textId="77777777" w:rsidTr="007779E2">
        <w:trPr>
          <w:trHeight w:val="300"/>
        </w:trPr>
        <w:tc>
          <w:tcPr>
            <w:tcW w:w="2137" w:type="pct"/>
            <w:noWrap/>
            <w:vAlign w:val="bottom"/>
            <w:hideMark/>
          </w:tcPr>
          <w:p w14:paraId="39972B16" w14:textId="77777777" w:rsidR="003E245D" w:rsidRPr="003E245D" w:rsidRDefault="003E245D" w:rsidP="003E245D">
            <w:pPr>
              <w:spacing w:after="0" w:line="240" w:lineRule="auto"/>
              <w:jc w:val="center"/>
              <w:rPr>
                <w:rFonts w:eastAsia="Times New Roman" w:cs="Calibri"/>
                <w:color w:val="000000"/>
              </w:rPr>
            </w:pPr>
            <w:r w:rsidRPr="003E245D">
              <w:rPr>
                <w:rFonts w:eastAsia="Times New Roman" w:cs="Calibri"/>
                <w:color w:val="000000"/>
              </w:rPr>
              <w:t>4541</w:t>
            </w:r>
          </w:p>
        </w:tc>
        <w:tc>
          <w:tcPr>
            <w:tcW w:w="2288" w:type="pct"/>
            <w:noWrap/>
            <w:vAlign w:val="bottom"/>
            <w:hideMark/>
          </w:tcPr>
          <w:p w14:paraId="775CC8E0" w14:textId="77777777" w:rsidR="003E245D" w:rsidRPr="003E245D" w:rsidRDefault="003E245D" w:rsidP="003E245D">
            <w:pPr>
              <w:spacing w:after="0" w:line="240" w:lineRule="auto"/>
              <w:jc w:val="left"/>
              <w:rPr>
                <w:rFonts w:eastAsia="Times New Roman" w:cs="Calibri"/>
                <w:color w:val="000000"/>
              </w:rPr>
            </w:pPr>
            <w:r w:rsidRPr="003E245D">
              <w:rPr>
                <w:rFonts w:eastAsia="Times New Roman" w:cs="Calibri"/>
                <w:color w:val="000000"/>
              </w:rPr>
              <w:t>IVREA SL - BIOPARCO - LORANZÉ (LINEA 6 -6SB)</w:t>
            </w:r>
          </w:p>
        </w:tc>
        <w:tc>
          <w:tcPr>
            <w:tcW w:w="575" w:type="pct"/>
            <w:noWrap/>
            <w:vAlign w:val="bottom"/>
            <w:hideMark/>
          </w:tcPr>
          <w:p w14:paraId="3D932A11" w14:textId="77777777" w:rsidR="003E245D" w:rsidRPr="003E245D" w:rsidRDefault="003E245D" w:rsidP="003E245D">
            <w:pPr>
              <w:spacing w:after="0" w:line="240" w:lineRule="auto"/>
              <w:jc w:val="right"/>
              <w:rPr>
                <w:rFonts w:eastAsia="Times New Roman" w:cs="Calibri"/>
                <w:color w:val="000000"/>
              </w:rPr>
            </w:pPr>
            <w:r w:rsidRPr="003E245D">
              <w:rPr>
                <w:rFonts w:eastAsia="Times New Roman" w:cs="Calibri"/>
                <w:color w:val="000000"/>
              </w:rPr>
              <w:t>159</w:t>
            </w:r>
          </w:p>
        </w:tc>
      </w:tr>
      <w:tr w:rsidR="003E245D" w:rsidRPr="003E245D" w14:paraId="28D8D964" w14:textId="77777777" w:rsidTr="007779E2">
        <w:trPr>
          <w:trHeight w:val="300"/>
        </w:trPr>
        <w:tc>
          <w:tcPr>
            <w:tcW w:w="2137" w:type="pct"/>
            <w:shd w:val="clear" w:color="000000" w:fill="EE3438"/>
            <w:noWrap/>
            <w:vAlign w:val="bottom"/>
            <w:hideMark/>
          </w:tcPr>
          <w:p w14:paraId="0E6B66B7" w14:textId="77777777" w:rsidR="003E245D" w:rsidRPr="003E245D" w:rsidRDefault="003E245D" w:rsidP="003E245D">
            <w:pPr>
              <w:spacing w:after="0" w:line="240" w:lineRule="auto"/>
              <w:jc w:val="center"/>
              <w:rPr>
                <w:rFonts w:eastAsia="Times New Roman" w:cs="Calibri"/>
                <w:color w:val="FFFFFF"/>
              </w:rPr>
            </w:pPr>
            <w:r w:rsidRPr="003E245D">
              <w:rPr>
                <w:rFonts w:eastAsia="Times New Roman" w:cs="Calibri"/>
                <w:color w:val="FFFFFF"/>
              </w:rPr>
              <w:t> </w:t>
            </w:r>
          </w:p>
        </w:tc>
        <w:tc>
          <w:tcPr>
            <w:tcW w:w="2288" w:type="pct"/>
            <w:shd w:val="clear" w:color="000000" w:fill="EE3438"/>
            <w:noWrap/>
            <w:vAlign w:val="bottom"/>
            <w:hideMark/>
          </w:tcPr>
          <w:p w14:paraId="49502185" w14:textId="77777777" w:rsidR="003E245D" w:rsidRPr="003E245D" w:rsidRDefault="003E245D" w:rsidP="003E245D">
            <w:pPr>
              <w:spacing w:after="0" w:line="240" w:lineRule="auto"/>
              <w:jc w:val="right"/>
              <w:rPr>
                <w:rFonts w:eastAsia="Times New Roman" w:cs="Calibri"/>
                <w:b/>
                <w:color w:val="FFFFFF"/>
              </w:rPr>
            </w:pPr>
            <w:r w:rsidRPr="003E245D">
              <w:rPr>
                <w:rFonts w:eastAsia="Times New Roman" w:cs="Calibri"/>
                <w:b/>
                <w:color w:val="FFFFFF"/>
              </w:rPr>
              <w:t>TOTALE SERVIZI URBANI DI IVREA</w:t>
            </w:r>
          </w:p>
        </w:tc>
        <w:tc>
          <w:tcPr>
            <w:tcW w:w="575" w:type="pct"/>
            <w:shd w:val="clear" w:color="000000" w:fill="EE3438"/>
            <w:noWrap/>
            <w:vAlign w:val="bottom"/>
            <w:hideMark/>
          </w:tcPr>
          <w:p w14:paraId="2222B725" w14:textId="77777777" w:rsidR="003E245D" w:rsidRPr="003E245D" w:rsidRDefault="003E245D" w:rsidP="003E245D">
            <w:pPr>
              <w:spacing w:after="0" w:line="240" w:lineRule="auto"/>
              <w:jc w:val="right"/>
              <w:rPr>
                <w:rFonts w:eastAsia="Times New Roman" w:cs="Calibri"/>
                <w:b/>
                <w:color w:val="FFFFFF"/>
              </w:rPr>
            </w:pPr>
            <w:r w:rsidRPr="003E245D">
              <w:rPr>
                <w:rFonts w:eastAsia="Times New Roman" w:cs="Calibri"/>
                <w:b/>
                <w:color w:val="FFFFFF"/>
              </w:rPr>
              <w:t>2.542</w:t>
            </w:r>
          </w:p>
        </w:tc>
      </w:tr>
      <w:tr w:rsidR="003E245D" w:rsidRPr="003E245D" w14:paraId="46D2FB88" w14:textId="77777777" w:rsidTr="007779E2">
        <w:trPr>
          <w:trHeight w:val="300"/>
        </w:trPr>
        <w:tc>
          <w:tcPr>
            <w:tcW w:w="2137" w:type="pct"/>
            <w:noWrap/>
            <w:vAlign w:val="bottom"/>
            <w:hideMark/>
          </w:tcPr>
          <w:p w14:paraId="221887BA" w14:textId="77777777" w:rsidR="003E245D" w:rsidRPr="003E245D" w:rsidRDefault="003E245D" w:rsidP="003E245D">
            <w:pPr>
              <w:spacing w:after="0" w:line="240" w:lineRule="auto"/>
              <w:jc w:val="center"/>
              <w:rPr>
                <w:rFonts w:eastAsia="Times New Roman" w:cs="Calibri"/>
                <w:color w:val="000000"/>
              </w:rPr>
            </w:pPr>
            <w:r w:rsidRPr="003E245D">
              <w:rPr>
                <w:rFonts w:eastAsia="Times New Roman" w:cs="Calibri"/>
                <w:color w:val="000000"/>
              </w:rPr>
              <w:t>700</w:t>
            </w:r>
          </w:p>
        </w:tc>
        <w:tc>
          <w:tcPr>
            <w:tcW w:w="2288" w:type="pct"/>
            <w:noWrap/>
            <w:vAlign w:val="bottom"/>
            <w:hideMark/>
          </w:tcPr>
          <w:p w14:paraId="221BBF77" w14:textId="77777777" w:rsidR="003E245D" w:rsidRPr="003E245D" w:rsidRDefault="003E245D" w:rsidP="003E245D">
            <w:pPr>
              <w:spacing w:after="0" w:line="240" w:lineRule="auto"/>
              <w:jc w:val="left"/>
              <w:rPr>
                <w:rFonts w:eastAsia="Times New Roman" w:cs="Calibri"/>
                <w:color w:val="000000"/>
              </w:rPr>
            </w:pPr>
            <w:r w:rsidRPr="003E245D">
              <w:rPr>
                <w:rFonts w:eastAsia="Times New Roman" w:cs="Calibri"/>
                <w:color w:val="000000"/>
              </w:rPr>
              <w:t>AREA VASTA DI PINEROLO (SAPAV) L.7 STUDENTESCA</w:t>
            </w:r>
          </w:p>
        </w:tc>
        <w:tc>
          <w:tcPr>
            <w:tcW w:w="575" w:type="pct"/>
            <w:noWrap/>
            <w:vAlign w:val="bottom"/>
            <w:hideMark/>
          </w:tcPr>
          <w:p w14:paraId="1D8D0A5B" w14:textId="77777777" w:rsidR="003E245D" w:rsidRPr="003E245D" w:rsidRDefault="003E245D" w:rsidP="003E245D">
            <w:pPr>
              <w:spacing w:after="0" w:line="240" w:lineRule="auto"/>
              <w:jc w:val="right"/>
              <w:rPr>
                <w:rFonts w:eastAsia="Times New Roman" w:cs="Calibri"/>
                <w:color w:val="000000"/>
              </w:rPr>
            </w:pPr>
            <w:r w:rsidRPr="003E245D">
              <w:rPr>
                <w:rFonts w:eastAsia="Times New Roman" w:cs="Calibri"/>
                <w:color w:val="000000"/>
              </w:rPr>
              <w:t>149</w:t>
            </w:r>
          </w:p>
        </w:tc>
      </w:tr>
      <w:tr w:rsidR="003E245D" w:rsidRPr="003E245D" w14:paraId="0B51FC4F" w14:textId="77777777" w:rsidTr="007779E2">
        <w:trPr>
          <w:trHeight w:val="300"/>
        </w:trPr>
        <w:tc>
          <w:tcPr>
            <w:tcW w:w="2137" w:type="pct"/>
            <w:noWrap/>
            <w:vAlign w:val="bottom"/>
            <w:hideMark/>
          </w:tcPr>
          <w:p w14:paraId="27086C45" w14:textId="77777777" w:rsidR="003E245D" w:rsidRPr="003E245D" w:rsidRDefault="003E245D" w:rsidP="003E245D">
            <w:pPr>
              <w:spacing w:after="0" w:line="240" w:lineRule="auto"/>
              <w:jc w:val="center"/>
              <w:rPr>
                <w:rFonts w:eastAsia="Times New Roman" w:cs="Calibri"/>
                <w:color w:val="000000"/>
              </w:rPr>
            </w:pPr>
            <w:r w:rsidRPr="003E245D">
              <w:rPr>
                <w:rFonts w:eastAsia="Times New Roman" w:cs="Calibri"/>
                <w:color w:val="000000"/>
              </w:rPr>
              <w:t>701</w:t>
            </w:r>
          </w:p>
        </w:tc>
        <w:tc>
          <w:tcPr>
            <w:tcW w:w="2288" w:type="pct"/>
            <w:noWrap/>
            <w:vAlign w:val="bottom"/>
            <w:hideMark/>
          </w:tcPr>
          <w:p w14:paraId="092E6112" w14:textId="77777777" w:rsidR="003E245D" w:rsidRPr="003E245D" w:rsidRDefault="003E245D" w:rsidP="003E245D">
            <w:pPr>
              <w:spacing w:after="0" w:line="240" w:lineRule="auto"/>
              <w:jc w:val="left"/>
              <w:rPr>
                <w:rFonts w:eastAsia="Times New Roman" w:cs="Calibri"/>
                <w:color w:val="000000"/>
              </w:rPr>
            </w:pPr>
            <w:r w:rsidRPr="003E245D">
              <w:rPr>
                <w:rFonts w:eastAsia="Times New Roman" w:cs="Calibri"/>
                <w:color w:val="000000"/>
              </w:rPr>
              <w:t>AREA VASTA DI PINEROLO - (SAPAV) L.3</w:t>
            </w:r>
          </w:p>
        </w:tc>
        <w:tc>
          <w:tcPr>
            <w:tcW w:w="575" w:type="pct"/>
            <w:noWrap/>
            <w:vAlign w:val="bottom"/>
            <w:hideMark/>
          </w:tcPr>
          <w:p w14:paraId="534EA663" w14:textId="77777777" w:rsidR="003E245D" w:rsidRPr="003E245D" w:rsidRDefault="003E245D" w:rsidP="003E245D">
            <w:pPr>
              <w:spacing w:after="0" w:line="240" w:lineRule="auto"/>
              <w:jc w:val="right"/>
              <w:rPr>
                <w:rFonts w:eastAsia="Times New Roman" w:cs="Calibri"/>
                <w:color w:val="000000"/>
              </w:rPr>
            </w:pPr>
            <w:r w:rsidRPr="003E245D">
              <w:rPr>
                <w:rFonts w:eastAsia="Times New Roman" w:cs="Calibri"/>
                <w:color w:val="000000"/>
              </w:rPr>
              <w:t>9.073</w:t>
            </w:r>
          </w:p>
        </w:tc>
      </w:tr>
      <w:tr w:rsidR="003E245D" w:rsidRPr="003E245D" w14:paraId="4791927F" w14:textId="77777777" w:rsidTr="007779E2">
        <w:trPr>
          <w:trHeight w:val="300"/>
        </w:trPr>
        <w:tc>
          <w:tcPr>
            <w:tcW w:w="2137" w:type="pct"/>
            <w:noWrap/>
            <w:vAlign w:val="bottom"/>
            <w:hideMark/>
          </w:tcPr>
          <w:p w14:paraId="63491C18" w14:textId="77777777" w:rsidR="003E245D" w:rsidRPr="003E245D" w:rsidRDefault="003E245D" w:rsidP="003E245D">
            <w:pPr>
              <w:spacing w:after="0" w:line="240" w:lineRule="auto"/>
              <w:jc w:val="center"/>
              <w:rPr>
                <w:rFonts w:eastAsia="Times New Roman" w:cs="Calibri"/>
                <w:color w:val="000000"/>
              </w:rPr>
            </w:pPr>
            <w:r w:rsidRPr="003E245D">
              <w:rPr>
                <w:rFonts w:eastAsia="Times New Roman" w:cs="Calibri"/>
                <w:color w:val="000000"/>
              </w:rPr>
              <w:t>702</w:t>
            </w:r>
          </w:p>
        </w:tc>
        <w:tc>
          <w:tcPr>
            <w:tcW w:w="2288" w:type="pct"/>
            <w:noWrap/>
            <w:vAlign w:val="bottom"/>
            <w:hideMark/>
          </w:tcPr>
          <w:p w14:paraId="06C7A3CE" w14:textId="77777777" w:rsidR="003E245D" w:rsidRPr="003E245D" w:rsidRDefault="003E245D" w:rsidP="003E245D">
            <w:pPr>
              <w:spacing w:after="0" w:line="240" w:lineRule="auto"/>
              <w:jc w:val="left"/>
              <w:rPr>
                <w:rFonts w:eastAsia="Times New Roman" w:cs="Calibri"/>
                <w:color w:val="000000"/>
              </w:rPr>
            </w:pPr>
            <w:r w:rsidRPr="003E245D">
              <w:rPr>
                <w:rFonts w:eastAsia="Times New Roman" w:cs="Calibri"/>
                <w:color w:val="000000"/>
              </w:rPr>
              <w:t>AREA VASTA DI PINEROLO (SAPAV) L.4B MERCATALE</w:t>
            </w:r>
          </w:p>
        </w:tc>
        <w:tc>
          <w:tcPr>
            <w:tcW w:w="575" w:type="pct"/>
            <w:noWrap/>
            <w:vAlign w:val="bottom"/>
            <w:hideMark/>
          </w:tcPr>
          <w:p w14:paraId="33E3DC92" w14:textId="77777777" w:rsidR="003E245D" w:rsidRPr="003E245D" w:rsidRDefault="003E245D" w:rsidP="003E245D">
            <w:pPr>
              <w:spacing w:after="0" w:line="240" w:lineRule="auto"/>
              <w:jc w:val="right"/>
              <w:rPr>
                <w:rFonts w:eastAsia="Times New Roman" w:cs="Calibri"/>
                <w:color w:val="000000"/>
              </w:rPr>
            </w:pPr>
            <w:r w:rsidRPr="003E245D">
              <w:rPr>
                <w:rFonts w:eastAsia="Times New Roman" w:cs="Calibri"/>
                <w:color w:val="000000"/>
              </w:rPr>
              <w:t>96</w:t>
            </w:r>
          </w:p>
        </w:tc>
      </w:tr>
      <w:tr w:rsidR="003E245D" w:rsidRPr="003E245D" w14:paraId="021D3F07" w14:textId="77777777" w:rsidTr="007779E2">
        <w:trPr>
          <w:trHeight w:val="300"/>
        </w:trPr>
        <w:tc>
          <w:tcPr>
            <w:tcW w:w="2137" w:type="pct"/>
            <w:noWrap/>
            <w:vAlign w:val="bottom"/>
            <w:hideMark/>
          </w:tcPr>
          <w:p w14:paraId="36ADFA96" w14:textId="77777777" w:rsidR="003E245D" w:rsidRPr="003E245D" w:rsidRDefault="003E245D" w:rsidP="003E245D">
            <w:pPr>
              <w:spacing w:after="0" w:line="240" w:lineRule="auto"/>
              <w:jc w:val="center"/>
              <w:rPr>
                <w:rFonts w:eastAsia="Times New Roman" w:cs="Calibri"/>
                <w:color w:val="000000"/>
              </w:rPr>
            </w:pPr>
            <w:r w:rsidRPr="003E245D">
              <w:rPr>
                <w:rFonts w:eastAsia="Times New Roman" w:cs="Calibri"/>
                <w:color w:val="000000"/>
              </w:rPr>
              <w:t>703</w:t>
            </w:r>
          </w:p>
        </w:tc>
        <w:tc>
          <w:tcPr>
            <w:tcW w:w="2288" w:type="pct"/>
            <w:noWrap/>
            <w:vAlign w:val="bottom"/>
            <w:hideMark/>
          </w:tcPr>
          <w:p w14:paraId="4B732E46" w14:textId="77777777" w:rsidR="003E245D" w:rsidRPr="003E245D" w:rsidRDefault="003E245D" w:rsidP="003E245D">
            <w:pPr>
              <w:spacing w:after="0" w:line="240" w:lineRule="auto"/>
              <w:jc w:val="left"/>
              <w:rPr>
                <w:rFonts w:eastAsia="Times New Roman" w:cs="Calibri"/>
                <w:color w:val="000000"/>
              </w:rPr>
            </w:pPr>
            <w:r w:rsidRPr="003E245D">
              <w:rPr>
                <w:rFonts w:eastAsia="Times New Roman" w:cs="Calibri"/>
                <w:color w:val="000000"/>
              </w:rPr>
              <w:t xml:space="preserve">AREA VASTA DI PINEROLO - (SAPAV) L.4 </w:t>
            </w:r>
          </w:p>
        </w:tc>
        <w:tc>
          <w:tcPr>
            <w:tcW w:w="575" w:type="pct"/>
            <w:noWrap/>
            <w:vAlign w:val="bottom"/>
            <w:hideMark/>
          </w:tcPr>
          <w:p w14:paraId="1CC30ED8" w14:textId="77777777" w:rsidR="003E245D" w:rsidRPr="003E245D" w:rsidRDefault="003E245D" w:rsidP="003E245D">
            <w:pPr>
              <w:spacing w:after="0" w:line="240" w:lineRule="auto"/>
              <w:jc w:val="right"/>
              <w:rPr>
                <w:rFonts w:eastAsia="Times New Roman" w:cs="Calibri"/>
                <w:color w:val="000000"/>
              </w:rPr>
            </w:pPr>
            <w:r w:rsidRPr="003E245D">
              <w:rPr>
                <w:rFonts w:eastAsia="Times New Roman" w:cs="Calibri"/>
                <w:color w:val="000000"/>
              </w:rPr>
              <w:t>12.018</w:t>
            </w:r>
          </w:p>
        </w:tc>
      </w:tr>
      <w:tr w:rsidR="003E245D" w:rsidRPr="003E245D" w14:paraId="3969DF37" w14:textId="77777777" w:rsidTr="007779E2">
        <w:trPr>
          <w:trHeight w:val="300"/>
        </w:trPr>
        <w:tc>
          <w:tcPr>
            <w:tcW w:w="2137" w:type="pct"/>
            <w:noWrap/>
            <w:vAlign w:val="bottom"/>
            <w:hideMark/>
          </w:tcPr>
          <w:p w14:paraId="370798C1" w14:textId="77777777" w:rsidR="003E245D" w:rsidRPr="003E245D" w:rsidRDefault="003E245D" w:rsidP="003E245D">
            <w:pPr>
              <w:spacing w:after="0" w:line="240" w:lineRule="auto"/>
              <w:jc w:val="center"/>
              <w:rPr>
                <w:rFonts w:eastAsia="Times New Roman" w:cs="Calibri"/>
                <w:color w:val="000000"/>
              </w:rPr>
            </w:pPr>
            <w:r w:rsidRPr="003E245D">
              <w:rPr>
                <w:rFonts w:eastAsia="Times New Roman" w:cs="Calibri"/>
                <w:color w:val="000000"/>
              </w:rPr>
              <w:t>705</w:t>
            </w:r>
          </w:p>
        </w:tc>
        <w:tc>
          <w:tcPr>
            <w:tcW w:w="2288" w:type="pct"/>
            <w:noWrap/>
            <w:vAlign w:val="bottom"/>
            <w:hideMark/>
          </w:tcPr>
          <w:p w14:paraId="397BFA35" w14:textId="77777777" w:rsidR="003E245D" w:rsidRPr="003E245D" w:rsidRDefault="003E245D" w:rsidP="003E245D">
            <w:pPr>
              <w:spacing w:after="0" w:line="240" w:lineRule="auto"/>
              <w:jc w:val="left"/>
              <w:rPr>
                <w:rFonts w:eastAsia="Times New Roman" w:cs="Calibri"/>
                <w:color w:val="000000"/>
              </w:rPr>
            </w:pPr>
            <w:r w:rsidRPr="003E245D">
              <w:rPr>
                <w:rFonts w:eastAsia="Times New Roman" w:cs="Calibri"/>
                <w:color w:val="000000"/>
              </w:rPr>
              <w:t>AREA VASTA DI PINEROLO (CAVOURESE)  L.2</w:t>
            </w:r>
          </w:p>
        </w:tc>
        <w:tc>
          <w:tcPr>
            <w:tcW w:w="575" w:type="pct"/>
            <w:noWrap/>
            <w:vAlign w:val="bottom"/>
            <w:hideMark/>
          </w:tcPr>
          <w:p w14:paraId="643AA8C8" w14:textId="77777777" w:rsidR="003E245D" w:rsidRPr="003E245D" w:rsidRDefault="003E245D" w:rsidP="003E245D">
            <w:pPr>
              <w:spacing w:after="0" w:line="240" w:lineRule="auto"/>
              <w:jc w:val="right"/>
              <w:rPr>
                <w:rFonts w:eastAsia="Times New Roman" w:cs="Calibri"/>
                <w:color w:val="000000"/>
              </w:rPr>
            </w:pPr>
            <w:r w:rsidRPr="003E245D">
              <w:rPr>
                <w:rFonts w:eastAsia="Times New Roman" w:cs="Calibri"/>
                <w:color w:val="000000"/>
              </w:rPr>
              <w:t>18.507</w:t>
            </w:r>
          </w:p>
        </w:tc>
      </w:tr>
      <w:tr w:rsidR="003E245D" w:rsidRPr="003E245D" w14:paraId="2F9DC9A1" w14:textId="77777777" w:rsidTr="007779E2">
        <w:trPr>
          <w:trHeight w:val="300"/>
        </w:trPr>
        <w:tc>
          <w:tcPr>
            <w:tcW w:w="2137" w:type="pct"/>
            <w:noWrap/>
            <w:vAlign w:val="bottom"/>
            <w:hideMark/>
          </w:tcPr>
          <w:p w14:paraId="2DA523AA" w14:textId="77777777" w:rsidR="003E245D" w:rsidRPr="003E245D" w:rsidRDefault="003E245D" w:rsidP="003E245D">
            <w:pPr>
              <w:spacing w:after="0" w:line="240" w:lineRule="auto"/>
              <w:jc w:val="center"/>
              <w:rPr>
                <w:rFonts w:eastAsia="Times New Roman" w:cs="Calibri"/>
                <w:color w:val="000000"/>
              </w:rPr>
            </w:pPr>
            <w:r w:rsidRPr="003E245D">
              <w:rPr>
                <w:rFonts w:eastAsia="Times New Roman" w:cs="Calibri"/>
                <w:color w:val="000000"/>
              </w:rPr>
              <w:t>706</w:t>
            </w:r>
          </w:p>
        </w:tc>
        <w:tc>
          <w:tcPr>
            <w:tcW w:w="2288" w:type="pct"/>
            <w:noWrap/>
            <w:vAlign w:val="bottom"/>
            <w:hideMark/>
          </w:tcPr>
          <w:p w14:paraId="3355ECB4" w14:textId="77777777" w:rsidR="003E245D" w:rsidRPr="003E245D" w:rsidRDefault="003E245D" w:rsidP="003E245D">
            <w:pPr>
              <w:spacing w:after="0" w:line="240" w:lineRule="auto"/>
              <w:jc w:val="left"/>
              <w:rPr>
                <w:rFonts w:eastAsia="Times New Roman" w:cs="Calibri"/>
                <w:color w:val="000000"/>
              </w:rPr>
            </w:pPr>
            <w:r w:rsidRPr="003E245D">
              <w:rPr>
                <w:rFonts w:eastAsia="Times New Roman" w:cs="Calibri"/>
                <w:color w:val="000000"/>
              </w:rPr>
              <w:t>URBANO B.GO NUOVO</w:t>
            </w:r>
          </w:p>
        </w:tc>
        <w:tc>
          <w:tcPr>
            <w:tcW w:w="575" w:type="pct"/>
            <w:noWrap/>
            <w:vAlign w:val="bottom"/>
            <w:hideMark/>
          </w:tcPr>
          <w:p w14:paraId="026674DC" w14:textId="77777777" w:rsidR="003E245D" w:rsidRPr="003E245D" w:rsidRDefault="003E245D" w:rsidP="003E245D">
            <w:pPr>
              <w:spacing w:after="0" w:line="240" w:lineRule="auto"/>
              <w:jc w:val="right"/>
              <w:rPr>
                <w:rFonts w:eastAsia="Times New Roman" w:cs="Calibri"/>
                <w:color w:val="000000"/>
              </w:rPr>
            </w:pPr>
            <w:r w:rsidRPr="003E245D">
              <w:rPr>
                <w:rFonts w:eastAsia="Times New Roman" w:cs="Calibri"/>
                <w:color w:val="000000"/>
              </w:rPr>
              <w:t>6.577</w:t>
            </w:r>
          </w:p>
        </w:tc>
      </w:tr>
      <w:tr w:rsidR="003E245D" w:rsidRPr="003E245D" w14:paraId="6E6CDFFD" w14:textId="77777777" w:rsidTr="007779E2">
        <w:trPr>
          <w:trHeight w:val="300"/>
        </w:trPr>
        <w:tc>
          <w:tcPr>
            <w:tcW w:w="2137" w:type="pct"/>
            <w:noWrap/>
            <w:vAlign w:val="bottom"/>
            <w:hideMark/>
          </w:tcPr>
          <w:p w14:paraId="534CF7B0" w14:textId="77777777" w:rsidR="003E245D" w:rsidRPr="003E245D" w:rsidRDefault="003E245D" w:rsidP="003E245D">
            <w:pPr>
              <w:spacing w:after="0" w:line="240" w:lineRule="auto"/>
              <w:jc w:val="center"/>
              <w:rPr>
                <w:rFonts w:eastAsia="Times New Roman" w:cs="Calibri"/>
                <w:color w:val="000000"/>
              </w:rPr>
            </w:pPr>
            <w:r w:rsidRPr="003E245D">
              <w:rPr>
                <w:rFonts w:eastAsia="Times New Roman" w:cs="Calibri"/>
                <w:color w:val="000000"/>
              </w:rPr>
              <w:t>707</w:t>
            </w:r>
          </w:p>
        </w:tc>
        <w:tc>
          <w:tcPr>
            <w:tcW w:w="2288" w:type="pct"/>
            <w:noWrap/>
            <w:vAlign w:val="bottom"/>
            <w:hideMark/>
          </w:tcPr>
          <w:p w14:paraId="4AC6EF62" w14:textId="77777777" w:rsidR="003E245D" w:rsidRPr="003E245D" w:rsidRDefault="003E245D" w:rsidP="003E245D">
            <w:pPr>
              <w:spacing w:after="0" w:line="240" w:lineRule="auto"/>
              <w:jc w:val="left"/>
              <w:rPr>
                <w:rFonts w:eastAsia="Times New Roman" w:cs="Calibri"/>
                <w:color w:val="000000"/>
              </w:rPr>
            </w:pPr>
            <w:r w:rsidRPr="003E245D">
              <w:rPr>
                <w:rFonts w:eastAsia="Times New Roman" w:cs="Calibri"/>
                <w:color w:val="000000"/>
              </w:rPr>
              <w:t>URBANO ABBADIA-PINEROLO</w:t>
            </w:r>
          </w:p>
        </w:tc>
        <w:tc>
          <w:tcPr>
            <w:tcW w:w="575" w:type="pct"/>
            <w:noWrap/>
            <w:vAlign w:val="bottom"/>
            <w:hideMark/>
          </w:tcPr>
          <w:p w14:paraId="4CDA5147" w14:textId="77777777" w:rsidR="003E245D" w:rsidRPr="003E245D" w:rsidRDefault="003E245D" w:rsidP="003E245D">
            <w:pPr>
              <w:spacing w:after="0" w:line="240" w:lineRule="auto"/>
              <w:jc w:val="right"/>
              <w:rPr>
                <w:rFonts w:eastAsia="Times New Roman" w:cs="Calibri"/>
                <w:color w:val="000000"/>
              </w:rPr>
            </w:pPr>
            <w:r w:rsidRPr="003E245D">
              <w:rPr>
                <w:rFonts w:eastAsia="Times New Roman" w:cs="Calibri"/>
                <w:color w:val="000000"/>
              </w:rPr>
              <w:t>5.859</w:t>
            </w:r>
          </w:p>
        </w:tc>
      </w:tr>
      <w:tr w:rsidR="003E245D" w:rsidRPr="003E245D" w14:paraId="41AF948F" w14:textId="77777777" w:rsidTr="007779E2">
        <w:trPr>
          <w:trHeight w:val="300"/>
        </w:trPr>
        <w:tc>
          <w:tcPr>
            <w:tcW w:w="2137" w:type="pct"/>
            <w:noWrap/>
            <w:vAlign w:val="bottom"/>
            <w:hideMark/>
          </w:tcPr>
          <w:p w14:paraId="61D9ECE3" w14:textId="77777777" w:rsidR="003E245D" w:rsidRPr="003E245D" w:rsidRDefault="003E245D" w:rsidP="003E245D">
            <w:pPr>
              <w:spacing w:after="0" w:line="240" w:lineRule="auto"/>
              <w:jc w:val="center"/>
              <w:rPr>
                <w:rFonts w:eastAsia="Times New Roman" w:cs="Calibri"/>
                <w:color w:val="000000"/>
              </w:rPr>
            </w:pPr>
            <w:r w:rsidRPr="003E245D">
              <w:rPr>
                <w:rFonts w:eastAsia="Times New Roman" w:cs="Calibri"/>
                <w:color w:val="000000"/>
              </w:rPr>
              <w:t>708</w:t>
            </w:r>
          </w:p>
        </w:tc>
        <w:tc>
          <w:tcPr>
            <w:tcW w:w="2288" w:type="pct"/>
            <w:noWrap/>
            <w:vAlign w:val="bottom"/>
            <w:hideMark/>
          </w:tcPr>
          <w:p w14:paraId="0061A399" w14:textId="77777777" w:rsidR="003E245D" w:rsidRPr="003E245D" w:rsidRDefault="003E245D" w:rsidP="003E245D">
            <w:pPr>
              <w:spacing w:after="0" w:line="240" w:lineRule="auto"/>
              <w:jc w:val="left"/>
              <w:rPr>
                <w:rFonts w:eastAsia="Times New Roman" w:cs="Calibri"/>
                <w:color w:val="000000"/>
              </w:rPr>
            </w:pPr>
            <w:r w:rsidRPr="003E245D">
              <w:rPr>
                <w:rFonts w:eastAsia="Times New Roman" w:cs="Calibri"/>
                <w:color w:val="000000"/>
              </w:rPr>
              <w:t>AREA VASTA DI PINEROLO - NAVETTA MERCATALE A</w:t>
            </w:r>
          </w:p>
        </w:tc>
        <w:tc>
          <w:tcPr>
            <w:tcW w:w="575" w:type="pct"/>
            <w:noWrap/>
            <w:vAlign w:val="bottom"/>
            <w:hideMark/>
          </w:tcPr>
          <w:p w14:paraId="3CCDE3F9" w14:textId="77777777" w:rsidR="003E245D" w:rsidRPr="003E245D" w:rsidRDefault="003E245D" w:rsidP="003E245D">
            <w:pPr>
              <w:spacing w:after="0" w:line="240" w:lineRule="auto"/>
              <w:jc w:val="right"/>
              <w:rPr>
                <w:rFonts w:eastAsia="Times New Roman" w:cs="Calibri"/>
                <w:color w:val="000000"/>
              </w:rPr>
            </w:pPr>
            <w:r w:rsidRPr="003E245D">
              <w:rPr>
                <w:rFonts w:eastAsia="Times New Roman" w:cs="Calibri"/>
                <w:color w:val="000000"/>
              </w:rPr>
              <w:t>0</w:t>
            </w:r>
          </w:p>
        </w:tc>
      </w:tr>
      <w:tr w:rsidR="003E245D" w:rsidRPr="003E245D" w14:paraId="6C89B3F2" w14:textId="77777777" w:rsidTr="007779E2">
        <w:trPr>
          <w:trHeight w:val="300"/>
        </w:trPr>
        <w:tc>
          <w:tcPr>
            <w:tcW w:w="2137" w:type="pct"/>
            <w:noWrap/>
            <w:vAlign w:val="bottom"/>
            <w:hideMark/>
          </w:tcPr>
          <w:p w14:paraId="07E316A8" w14:textId="77777777" w:rsidR="003E245D" w:rsidRPr="003E245D" w:rsidRDefault="003E245D" w:rsidP="003E245D">
            <w:pPr>
              <w:spacing w:after="0" w:line="240" w:lineRule="auto"/>
              <w:jc w:val="center"/>
              <w:rPr>
                <w:rFonts w:eastAsia="Times New Roman" w:cs="Calibri"/>
                <w:color w:val="000000"/>
              </w:rPr>
            </w:pPr>
            <w:r w:rsidRPr="003E245D">
              <w:rPr>
                <w:rFonts w:eastAsia="Times New Roman" w:cs="Calibri"/>
                <w:color w:val="000000"/>
              </w:rPr>
              <w:t>709</w:t>
            </w:r>
          </w:p>
        </w:tc>
        <w:tc>
          <w:tcPr>
            <w:tcW w:w="2288" w:type="pct"/>
            <w:noWrap/>
            <w:vAlign w:val="bottom"/>
            <w:hideMark/>
          </w:tcPr>
          <w:p w14:paraId="2DE8E34E" w14:textId="77777777" w:rsidR="003E245D" w:rsidRPr="003E245D" w:rsidRDefault="003E245D" w:rsidP="003E245D">
            <w:pPr>
              <w:spacing w:after="0" w:line="240" w:lineRule="auto"/>
              <w:jc w:val="left"/>
              <w:rPr>
                <w:rFonts w:eastAsia="Times New Roman" w:cs="Calibri"/>
                <w:color w:val="000000"/>
              </w:rPr>
            </w:pPr>
            <w:r w:rsidRPr="003E245D">
              <w:rPr>
                <w:rFonts w:eastAsia="Times New Roman" w:cs="Calibri"/>
                <w:color w:val="000000"/>
              </w:rPr>
              <w:t>NAVETTA MERCATALE DI PINEROLO</w:t>
            </w:r>
          </w:p>
        </w:tc>
        <w:tc>
          <w:tcPr>
            <w:tcW w:w="575" w:type="pct"/>
            <w:noWrap/>
            <w:vAlign w:val="bottom"/>
            <w:hideMark/>
          </w:tcPr>
          <w:p w14:paraId="5A64EA9F" w14:textId="77777777" w:rsidR="003E245D" w:rsidRPr="003E245D" w:rsidRDefault="003E245D" w:rsidP="003E245D">
            <w:pPr>
              <w:spacing w:after="0" w:line="240" w:lineRule="auto"/>
              <w:jc w:val="right"/>
              <w:rPr>
                <w:rFonts w:eastAsia="Times New Roman" w:cs="Calibri"/>
                <w:color w:val="000000"/>
              </w:rPr>
            </w:pPr>
            <w:r w:rsidRPr="003E245D">
              <w:rPr>
                <w:rFonts w:eastAsia="Times New Roman" w:cs="Calibri"/>
                <w:color w:val="000000"/>
              </w:rPr>
              <w:t>0</w:t>
            </w:r>
          </w:p>
        </w:tc>
      </w:tr>
      <w:tr w:rsidR="003E245D" w:rsidRPr="003E245D" w14:paraId="53174CB2" w14:textId="77777777" w:rsidTr="007779E2">
        <w:trPr>
          <w:trHeight w:val="300"/>
        </w:trPr>
        <w:tc>
          <w:tcPr>
            <w:tcW w:w="2137" w:type="pct"/>
            <w:shd w:val="clear" w:color="000000" w:fill="EE3438"/>
            <w:noWrap/>
            <w:vAlign w:val="bottom"/>
            <w:hideMark/>
          </w:tcPr>
          <w:p w14:paraId="79C9311D" w14:textId="77777777" w:rsidR="003E245D" w:rsidRPr="003E245D" w:rsidRDefault="003E245D" w:rsidP="003E245D">
            <w:pPr>
              <w:spacing w:after="0" w:line="240" w:lineRule="auto"/>
              <w:jc w:val="center"/>
              <w:rPr>
                <w:rFonts w:eastAsia="Times New Roman" w:cs="Calibri"/>
                <w:color w:val="FFFFFF"/>
              </w:rPr>
            </w:pPr>
            <w:r w:rsidRPr="003E245D">
              <w:rPr>
                <w:rFonts w:eastAsia="Times New Roman" w:cs="Calibri"/>
                <w:color w:val="FFFFFF"/>
              </w:rPr>
              <w:t> </w:t>
            </w:r>
          </w:p>
        </w:tc>
        <w:tc>
          <w:tcPr>
            <w:tcW w:w="2288" w:type="pct"/>
            <w:shd w:val="clear" w:color="000000" w:fill="EE3438"/>
            <w:noWrap/>
            <w:vAlign w:val="bottom"/>
            <w:hideMark/>
          </w:tcPr>
          <w:p w14:paraId="366E1C73" w14:textId="77777777" w:rsidR="003E245D" w:rsidRPr="003E245D" w:rsidRDefault="003E245D" w:rsidP="003E245D">
            <w:pPr>
              <w:spacing w:after="0" w:line="240" w:lineRule="auto"/>
              <w:jc w:val="right"/>
              <w:rPr>
                <w:rFonts w:eastAsia="Times New Roman" w:cs="Calibri"/>
                <w:b/>
                <w:color w:val="FFFFFF"/>
              </w:rPr>
            </w:pPr>
            <w:r w:rsidRPr="003E245D">
              <w:rPr>
                <w:rFonts w:eastAsia="Times New Roman" w:cs="Calibri"/>
                <w:b/>
                <w:color w:val="FFFFFF"/>
              </w:rPr>
              <w:t>TOTALE SERVIZI URBANI DI PINEROLO</w:t>
            </w:r>
          </w:p>
        </w:tc>
        <w:tc>
          <w:tcPr>
            <w:tcW w:w="575" w:type="pct"/>
            <w:shd w:val="clear" w:color="000000" w:fill="EE3438"/>
            <w:noWrap/>
            <w:vAlign w:val="bottom"/>
            <w:hideMark/>
          </w:tcPr>
          <w:p w14:paraId="39462572" w14:textId="77777777" w:rsidR="003E245D" w:rsidRPr="003E245D" w:rsidRDefault="003E245D" w:rsidP="003E245D">
            <w:pPr>
              <w:spacing w:after="0" w:line="240" w:lineRule="auto"/>
              <w:jc w:val="right"/>
              <w:rPr>
                <w:rFonts w:eastAsia="Times New Roman" w:cs="Calibri"/>
                <w:b/>
                <w:color w:val="FFFFFF"/>
              </w:rPr>
            </w:pPr>
            <w:r w:rsidRPr="003E245D">
              <w:rPr>
                <w:rFonts w:eastAsia="Times New Roman" w:cs="Calibri"/>
                <w:b/>
                <w:color w:val="FFFFFF"/>
              </w:rPr>
              <w:t>52.279</w:t>
            </w:r>
          </w:p>
        </w:tc>
      </w:tr>
      <w:tr w:rsidR="003E245D" w:rsidRPr="003E245D" w14:paraId="5CC87788" w14:textId="77777777" w:rsidTr="007779E2">
        <w:trPr>
          <w:trHeight w:val="300"/>
        </w:trPr>
        <w:tc>
          <w:tcPr>
            <w:tcW w:w="2137" w:type="pct"/>
            <w:noWrap/>
            <w:vAlign w:val="center"/>
            <w:hideMark/>
          </w:tcPr>
          <w:p w14:paraId="3FE6310A" w14:textId="77777777" w:rsidR="003E245D" w:rsidRPr="003E245D" w:rsidRDefault="003E245D" w:rsidP="003E245D">
            <w:pPr>
              <w:spacing w:after="0" w:line="240" w:lineRule="auto"/>
              <w:jc w:val="center"/>
              <w:rPr>
                <w:rFonts w:eastAsia="Times New Roman" w:cs="Calibri"/>
                <w:color w:val="000000"/>
              </w:rPr>
            </w:pPr>
            <w:r w:rsidRPr="003E245D">
              <w:rPr>
                <w:rFonts w:eastAsia="Times New Roman" w:cs="Calibri"/>
                <w:color w:val="000000"/>
              </w:rPr>
              <w:t>600</w:t>
            </w:r>
          </w:p>
        </w:tc>
        <w:tc>
          <w:tcPr>
            <w:tcW w:w="2288" w:type="pct"/>
            <w:vAlign w:val="center"/>
            <w:hideMark/>
          </w:tcPr>
          <w:p w14:paraId="7CF42771" w14:textId="77777777" w:rsidR="003E245D" w:rsidRPr="003E245D" w:rsidRDefault="003E245D" w:rsidP="003E245D">
            <w:pPr>
              <w:spacing w:after="0" w:line="240" w:lineRule="auto"/>
              <w:jc w:val="left"/>
              <w:rPr>
                <w:rFonts w:eastAsia="Times New Roman" w:cs="Calibri"/>
                <w:color w:val="000000"/>
              </w:rPr>
            </w:pPr>
            <w:r w:rsidRPr="003E245D">
              <w:rPr>
                <w:rFonts w:eastAsia="Times New Roman" w:cs="Calibri"/>
                <w:color w:val="000000"/>
              </w:rPr>
              <w:t>URBANO CARMAGNOLA - LINEA A</w:t>
            </w:r>
          </w:p>
        </w:tc>
        <w:tc>
          <w:tcPr>
            <w:tcW w:w="575" w:type="pct"/>
            <w:noWrap/>
            <w:vAlign w:val="bottom"/>
            <w:hideMark/>
          </w:tcPr>
          <w:p w14:paraId="3D9A1FF3" w14:textId="77777777" w:rsidR="003E245D" w:rsidRPr="003E245D" w:rsidRDefault="003E245D" w:rsidP="003E245D">
            <w:pPr>
              <w:spacing w:after="0" w:line="240" w:lineRule="auto"/>
              <w:jc w:val="right"/>
              <w:rPr>
                <w:rFonts w:eastAsia="Times New Roman" w:cs="Calibri"/>
                <w:color w:val="000000"/>
              </w:rPr>
            </w:pPr>
            <w:r w:rsidRPr="003E245D">
              <w:rPr>
                <w:rFonts w:eastAsia="Times New Roman" w:cs="Calibri"/>
                <w:color w:val="000000"/>
              </w:rPr>
              <w:t>n.d</w:t>
            </w:r>
          </w:p>
        </w:tc>
      </w:tr>
      <w:tr w:rsidR="003E245D" w:rsidRPr="003E245D" w14:paraId="6E78B370" w14:textId="77777777" w:rsidTr="007779E2">
        <w:trPr>
          <w:trHeight w:val="300"/>
        </w:trPr>
        <w:tc>
          <w:tcPr>
            <w:tcW w:w="2137" w:type="pct"/>
            <w:noWrap/>
            <w:vAlign w:val="center"/>
            <w:hideMark/>
          </w:tcPr>
          <w:p w14:paraId="119E7679" w14:textId="77777777" w:rsidR="003E245D" w:rsidRPr="003E245D" w:rsidRDefault="003E245D" w:rsidP="003E245D">
            <w:pPr>
              <w:spacing w:after="0" w:line="240" w:lineRule="auto"/>
              <w:jc w:val="center"/>
              <w:rPr>
                <w:rFonts w:eastAsia="Times New Roman" w:cs="Calibri"/>
                <w:color w:val="000000"/>
              </w:rPr>
            </w:pPr>
            <w:r w:rsidRPr="003E245D">
              <w:rPr>
                <w:rFonts w:eastAsia="Times New Roman" w:cs="Calibri"/>
                <w:color w:val="000000"/>
              </w:rPr>
              <w:t>602</w:t>
            </w:r>
          </w:p>
        </w:tc>
        <w:tc>
          <w:tcPr>
            <w:tcW w:w="2288" w:type="pct"/>
            <w:vAlign w:val="center"/>
            <w:hideMark/>
          </w:tcPr>
          <w:p w14:paraId="0733C02D" w14:textId="77777777" w:rsidR="003E245D" w:rsidRPr="003E245D" w:rsidRDefault="003E245D" w:rsidP="003E245D">
            <w:pPr>
              <w:spacing w:after="0" w:line="240" w:lineRule="auto"/>
              <w:jc w:val="left"/>
              <w:rPr>
                <w:rFonts w:eastAsia="Times New Roman" w:cs="Calibri"/>
                <w:color w:val="000000"/>
              </w:rPr>
            </w:pPr>
            <w:r w:rsidRPr="003E245D">
              <w:rPr>
                <w:rFonts w:eastAsia="Times New Roman" w:cs="Calibri"/>
                <w:color w:val="000000"/>
              </w:rPr>
              <w:t>URBANO CARMAGNOLA - LINEA C</w:t>
            </w:r>
          </w:p>
        </w:tc>
        <w:tc>
          <w:tcPr>
            <w:tcW w:w="575" w:type="pct"/>
            <w:noWrap/>
            <w:vAlign w:val="bottom"/>
            <w:hideMark/>
          </w:tcPr>
          <w:p w14:paraId="67602502" w14:textId="77777777" w:rsidR="003E245D" w:rsidRPr="003E245D" w:rsidRDefault="003E245D" w:rsidP="003E245D">
            <w:pPr>
              <w:spacing w:after="0" w:line="240" w:lineRule="auto"/>
              <w:jc w:val="right"/>
              <w:rPr>
                <w:rFonts w:eastAsia="Times New Roman" w:cs="Calibri"/>
                <w:color w:val="000000"/>
              </w:rPr>
            </w:pPr>
            <w:r w:rsidRPr="003E245D">
              <w:rPr>
                <w:rFonts w:eastAsia="Times New Roman" w:cs="Calibri"/>
                <w:color w:val="000000"/>
              </w:rPr>
              <w:t>n.d</w:t>
            </w:r>
          </w:p>
        </w:tc>
      </w:tr>
      <w:tr w:rsidR="003E245D" w:rsidRPr="003E245D" w14:paraId="26A92C20" w14:textId="77777777" w:rsidTr="007779E2">
        <w:trPr>
          <w:trHeight w:val="300"/>
        </w:trPr>
        <w:tc>
          <w:tcPr>
            <w:tcW w:w="2137" w:type="pct"/>
            <w:noWrap/>
            <w:vAlign w:val="center"/>
            <w:hideMark/>
          </w:tcPr>
          <w:p w14:paraId="2788B73D" w14:textId="77777777" w:rsidR="003E245D" w:rsidRPr="003E245D" w:rsidRDefault="003E245D" w:rsidP="003E245D">
            <w:pPr>
              <w:spacing w:after="0" w:line="240" w:lineRule="auto"/>
              <w:jc w:val="center"/>
              <w:rPr>
                <w:rFonts w:eastAsia="Times New Roman" w:cs="Calibri"/>
                <w:color w:val="000000"/>
              </w:rPr>
            </w:pPr>
            <w:r w:rsidRPr="003E245D">
              <w:rPr>
                <w:rFonts w:eastAsia="Times New Roman" w:cs="Calibri"/>
                <w:color w:val="000000"/>
              </w:rPr>
              <w:t>604</w:t>
            </w:r>
          </w:p>
        </w:tc>
        <w:tc>
          <w:tcPr>
            <w:tcW w:w="2288" w:type="pct"/>
            <w:vAlign w:val="center"/>
            <w:hideMark/>
          </w:tcPr>
          <w:p w14:paraId="42EA7A33" w14:textId="77777777" w:rsidR="003E245D" w:rsidRPr="003E245D" w:rsidRDefault="003E245D" w:rsidP="003E245D">
            <w:pPr>
              <w:spacing w:after="0" w:line="240" w:lineRule="auto"/>
              <w:jc w:val="left"/>
              <w:rPr>
                <w:rFonts w:eastAsia="Times New Roman" w:cs="Calibri"/>
                <w:color w:val="000000"/>
              </w:rPr>
            </w:pPr>
            <w:r w:rsidRPr="003E245D">
              <w:rPr>
                <w:rFonts w:eastAsia="Times New Roman" w:cs="Calibri"/>
                <w:color w:val="000000"/>
              </w:rPr>
              <w:t>URBANO CARMAGNOLA - LINEA D</w:t>
            </w:r>
          </w:p>
        </w:tc>
        <w:tc>
          <w:tcPr>
            <w:tcW w:w="575" w:type="pct"/>
            <w:noWrap/>
            <w:vAlign w:val="bottom"/>
            <w:hideMark/>
          </w:tcPr>
          <w:p w14:paraId="385EC49A" w14:textId="77777777" w:rsidR="003E245D" w:rsidRPr="003E245D" w:rsidRDefault="003E245D" w:rsidP="003E245D">
            <w:pPr>
              <w:spacing w:after="0" w:line="240" w:lineRule="auto"/>
              <w:jc w:val="right"/>
              <w:rPr>
                <w:rFonts w:eastAsia="Times New Roman" w:cs="Calibri"/>
                <w:color w:val="000000"/>
              </w:rPr>
            </w:pPr>
            <w:r w:rsidRPr="003E245D">
              <w:rPr>
                <w:rFonts w:eastAsia="Times New Roman" w:cs="Calibri"/>
                <w:color w:val="000000"/>
              </w:rPr>
              <w:t>n.d</w:t>
            </w:r>
          </w:p>
        </w:tc>
      </w:tr>
      <w:tr w:rsidR="003E245D" w:rsidRPr="003E245D" w14:paraId="4554DBB8" w14:textId="77777777" w:rsidTr="007779E2">
        <w:trPr>
          <w:trHeight w:val="300"/>
        </w:trPr>
        <w:tc>
          <w:tcPr>
            <w:tcW w:w="2137" w:type="pct"/>
            <w:noWrap/>
            <w:vAlign w:val="center"/>
            <w:hideMark/>
          </w:tcPr>
          <w:p w14:paraId="430E9BD8" w14:textId="77777777" w:rsidR="003E245D" w:rsidRPr="003E245D" w:rsidRDefault="003E245D" w:rsidP="003E245D">
            <w:pPr>
              <w:spacing w:after="0" w:line="240" w:lineRule="auto"/>
              <w:jc w:val="center"/>
              <w:rPr>
                <w:rFonts w:eastAsia="Times New Roman" w:cs="Calibri"/>
                <w:color w:val="000000"/>
              </w:rPr>
            </w:pPr>
            <w:r w:rsidRPr="003E245D">
              <w:rPr>
                <w:rFonts w:eastAsia="Times New Roman" w:cs="Calibri"/>
                <w:color w:val="000000"/>
              </w:rPr>
              <w:t>605</w:t>
            </w:r>
          </w:p>
        </w:tc>
        <w:tc>
          <w:tcPr>
            <w:tcW w:w="2288" w:type="pct"/>
            <w:vAlign w:val="center"/>
            <w:hideMark/>
          </w:tcPr>
          <w:p w14:paraId="227D8D9B" w14:textId="77777777" w:rsidR="003E245D" w:rsidRPr="003E245D" w:rsidRDefault="003E245D" w:rsidP="003E245D">
            <w:pPr>
              <w:spacing w:after="0" w:line="240" w:lineRule="auto"/>
              <w:jc w:val="left"/>
              <w:rPr>
                <w:rFonts w:eastAsia="Times New Roman" w:cs="Calibri"/>
                <w:color w:val="000000"/>
              </w:rPr>
            </w:pPr>
            <w:r w:rsidRPr="003E245D">
              <w:rPr>
                <w:rFonts w:eastAsia="Times New Roman" w:cs="Calibri"/>
                <w:color w:val="000000"/>
              </w:rPr>
              <w:t>URBANO CARMAGNOLA - LINEA E  e  F</w:t>
            </w:r>
          </w:p>
        </w:tc>
        <w:tc>
          <w:tcPr>
            <w:tcW w:w="575" w:type="pct"/>
            <w:noWrap/>
            <w:vAlign w:val="bottom"/>
            <w:hideMark/>
          </w:tcPr>
          <w:p w14:paraId="45AE2882" w14:textId="77777777" w:rsidR="003E245D" w:rsidRPr="003E245D" w:rsidRDefault="003E245D" w:rsidP="003E245D">
            <w:pPr>
              <w:spacing w:after="0" w:line="240" w:lineRule="auto"/>
              <w:jc w:val="right"/>
              <w:rPr>
                <w:rFonts w:eastAsia="Times New Roman" w:cs="Calibri"/>
                <w:color w:val="000000"/>
              </w:rPr>
            </w:pPr>
            <w:r w:rsidRPr="003E245D">
              <w:rPr>
                <w:rFonts w:eastAsia="Times New Roman" w:cs="Calibri"/>
                <w:color w:val="000000"/>
              </w:rPr>
              <w:t>n.d</w:t>
            </w:r>
          </w:p>
        </w:tc>
      </w:tr>
      <w:tr w:rsidR="003E245D" w:rsidRPr="003E245D" w14:paraId="2ADF7C16" w14:textId="77777777" w:rsidTr="007779E2">
        <w:trPr>
          <w:trHeight w:val="300"/>
        </w:trPr>
        <w:tc>
          <w:tcPr>
            <w:tcW w:w="2137" w:type="pct"/>
            <w:noWrap/>
            <w:vAlign w:val="center"/>
            <w:hideMark/>
          </w:tcPr>
          <w:p w14:paraId="637DE92C" w14:textId="77777777" w:rsidR="003E245D" w:rsidRPr="003E245D" w:rsidRDefault="003E245D" w:rsidP="003E245D">
            <w:pPr>
              <w:spacing w:after="0" w:line="240" w:lineRule="auto"/>
              <w:jc w:val="center"/>
              <w:rPr>
                <w:rFonts w:eastAsia="Times New Roman" w:cs="Calibri"/>
                <w:color w:val="000000"/>
              </w:rPr>
            </w:pPr>
            <w:r w:rsidRPr="003E245D">
              <w:rPr>
                <w:rFonts w:eastAsia="Times New Roman" w:cs="Calibri"/>
                <w:color w:val="000000"/>
              </w:rPr>
              <w:lastRenderedPageBreak/>
              <w:t>607</w:t>
            </w:r>
          </w:p>
        </w:tc>
        <w:tc>
          <w:tcPr>
            <w:tcW w:w="2288" w:type="pct"/>
            <w:vAlign w:val="center"/>
            <w:hideMark/>
          </w:tcPr>
          <w:p w14:paraId="70673A30" w14:textId="77777777" w:rsidR="003E245D" w:rsidRPr="003E245D" w:rsidRDefault="003E245D" w:rsidP="003E245D">
            <w:pPr>
              <w:spacing w:after="0" w:line="240" w:lineRule="auto"/>
              <w:jc w:val="left"/>
              <w:rPr>
                <w:rFonts w:eastAsia="Times New Roman" w:cs="Calibri"/>
                <w:color w:val="000000"/>
              </w:rPr>
            </w:pPr>
            <w:r w:rsidRPr="003E245D">
              <w:rPr>
                <w:rFonts w:eastAsia="Times New Roman" w:cs="Calibri"/>
                <w:color w:val="000000"/>
              </w:rPr>
              <w:t>URBANO CARMAGNOLA - LINEA G</w:t>
            </w:r>
          </w:p>
        </w:tc>
        <w:tc>
          <w:tcPr>
            <w:tcW w:w="575" w:type="pct"/>
            <w:noWrap/>
            <w:vAlign w:val="bottom"/>
            <w:hideMark/>
          </w:tcPr>
          <w:p w14:paraId="43303148" w14:textId="77777777" w:rsidR="003E245D" w:rsidRPr="003E245D" w:rsidRDefault="003E245D" w:rsidP="003E245D">
            <w:pPr>
              <w:spacing w:after="0" w:line="240" w:lineRule="auto"/>
              <w:jc w:val="right"/>
              <w:rPr>
                <w:rFonts w:eastAsia="Times New Roman" w:cs="Calibri"/>
                <w:color w:val="000000"/>
              </w:rPr>
            </w:pPr>
            <w:r w:rsidRPr="003E245D">
              <w:rPr>
                <w:rFonts w:eastAsia="Times New Roman" w:cs="Calibri"/>
                <w:color w:val="000000"/>
              </w:rPr>
              <w:t>n.d</w:t>
            </w:r>
          </w:p>
        </w:tc>
      </w:tr>
      <w:tr w:rsidR="003E245D" w:rsidRPr="003E245D" w14:paraId="6392AA7E" w14:textId="77777777" w:rsidTr="007779E2">
        <w:trPr>
          <w:trHeight w:val="300"/>
        </w:trPr>
        <w:tc>
          <w:tcPr>
            <w:tcW w:w="2137" w:type="pct"/>
            <w:noWrap/>
            <w:vAlign w:val="center"/>
            <w:hideMark/>
          </w:tcPr>
          <w:p w14:paraId="5AA8252B" w14:textId="77777777" w:rsidR="003E245D" w:rsidRPr="003E245D" w:rsidRDefault="003E245D" w:rsidP="003E245D">
            <w:pPr>
              <w:spacing w:after="0" w:line="240" w:lineRule="auto"/>
              <w:jc w:val="center"/>
              <w:rPr>
                <w:rFonts w:eastAsia="Times New Roman" w:cs="Calibri"/>
                <w:color w:val="000000"/>
              </w:rPr>
            </w:pPr>
            <w:r w:rsidRPr="003E245D">
              <w:rPr>
                <w:rFonts w:eastAsia="Times New Roman" w:cs="Calibri"/>
                <w:color w:val="000000"/>
              </w:rPr>
              <w:t>608</w:t>
            </w:r>
          </w:p>
        </w:tc>
        <w:tc>
          <w:tcPr>
            <w:tcW w:w="2288" w:type="pct"/>
            <w:vAlign w:val="center"/>
            <w:hideMark/>
          </w:tcPr>
          <w:p w14:paraId="7FA6BFE7" w14:textId="77777777" w:rsidR="003E245D" w:rsidRPr="003E245D" w:rsidRDefault="003E245D" w:rsidP="003E245D">
            <w:pPr>
              <w:spacing w:after="0" w:line="240" w:lineRule="auto"/>
              <w:jc w:val="left"/>
              <w:rPr>
                <w:rFonts w:eastAsia="Times New Roman" w:cs="Calibri"/>
                <w:color w:val="000000"/>
              </w:rPr>
            </w:pPr>
            <w:r w:rsidRPr="003E245D">
              <w:rPr>
                <w:rFonts w:eastAsia="Times New Roman" w:cs="Calibri"/>
                <w:color w:val="000000"/>
              </w:rPr>
              <w:t>URBANO CARMAGNOLA - LINEA H</w:t>
            </w:r>
          </w:p>
        </w:tc>
        <w:tc>
          <w:tcPr>
            <w:tcW w:w="575" w:type="pct"/>
            <w:noWrap/>
            <w:vAlign w:val="bottom"/>
            <w:hideMark/>
          </w:tcPr>
          <w:p w14:paraId="3B1D0697" w14:textId="77777777" w:rsidR="003E245D" w:rsidRPr="003E245D" w:rsidRDefault="003E245D" w:rsidP="003E245D">
            <w:pPr>
              <w:spacing w:after="0" w:line="240" w:lineRule="auto"/>
              <w:jc w:val="right"/>
              <w:rPr>
                <w:rFonts w:eastAsia="Times New Roman" w:cs="Calibri"/>
                <w:color w:val="000000"/>
              </w:rPr>
            </w:pPr>
            <w:r w:rsidRPr="003E245D">
              <w:rPr>
                <w:rFonts w:eastAsia="Times New Roman" w:cs="Calibri"/>
                <w:color w:val="000000"/>
              </w:rPr>
              <w:t>n.d</w:t>
            </w:r>
          </w:p>
        </w:tc>
      </w:tr>
      <w:tr w:rsidR="003E245D" w:rsidRPr="003E245D" w14:paraId="2B43D6E0" w14:textId="77777777" w:rsidTr="007779E2">
        <w:trPr>
          <w:trHeight w:val="300"/>
        </w:trPr>
        <w:tc>
          <w:tcPr>
            <w:tcW w:w="2137" w:type="pct"/>
            <w:noWrap/>
            <w:vAlign w:val="center"/>
            <w:hideMark/>
          </w:tcPr>
          <w:p w14:paraId="0CA3833C" w14:textId="77777777" w:rsidR="003E245D" w:rsidRPr="003E245D" w:rsidRDefault="003E245D" w:rsidP="003E245D">
            <w:pPr>
              <w:spacing w:after="0" w:line="240" w:lineRule="auto"/>
              <w:jc w:val="center"/>
              <w:rPr>
                <w:rFonts w:eastAsia="Times New Roman" w:cs="Calibri"/>
                <w:color w:val="000000"/>
              </w:rPr>
            </w:pPr>
            <w:r w:rsidRPr="003E245D">
              <w:rPr>
                <w:rFonts w:eastAsia="Times New Roman" w:cs="Calibri"/>
                <w:color w:val="000000"/>
              </w:rPr>
              <w:t>610</w:t>
            </w:r>
          </w:p>
        </w:tc>
        <w:tc>
          <w:tcPr>
            <w:tcW w:w="2288" w:type="pct"/>
            <w:vAlign w:val="center"/>
            <w:hideMark/>
          </w:tcPr>
          <w:p w14:paraId="77EE5801" w14:textId="77777777" w:rsidR="003E245D" w:rsidRPr="003E245D" w:rsidRDefault="003E245D" w:rsidP="003E245D">
            <w:pPr>
              <w:spacing w:after="0" w:line="240" w:lineRule="auto"/>
              <w:jc w:val="left"/>
              <w:rPr>
                <w:rFonts w:eastAsia="Times New Roman" w:cs="Calibri"/>
                <w:color w:val="000000"/>
              </w:rPr>
            </w:pPr>
            <w:r w:rsidRPr="003E245D">
              <w:rPr>
                <w:rFonts w:eastAsia="Times New Roman" w:cs="Calibri"/>
                <w:color w:val="000000"/>
              </w:rPr>
              <w:t>URBANO CARMAGNOLA - TEKSID</w:t>
            </w:r>
          </w:p>
        </w:tc>
        <w:tc>
          <w:tcPr>
            <w:tcW w:w="575" w:type="pct"/>
            <w:noWrap/>
            <w:vAlign w:val="bottom"/>
            <w:hideMark/>
          </w:tcPr>
          <w:p w14:paraId="0DB31BF2" w14:textId="77777777" w:rsidR="003E245D" w:rsidRPr="003E245D" w:rsidRDefault="003E245D" w:rsidP="003E245D">
            <w:pPr>
              <w:spacing w:after="0" w:line="240" w:lineRule="auto"/>
              <w:jc w:val="right"/>
              <w:rPr>
                <w:rFonts w:eastAsia="Times New Roman" w:cs="Calibri"/>
                <w:color w:val="000000"/>
              </w:rPr>
            </w:pPr>
            <w:r w:rsidRPr="003E245D">
              <w:rPr>
                <w:rFonts w:eastAsia="Times New Roman" w:cs="Calibri"/>
                <w:color w:val="000000"/>
              </w:rPr>
              <w:t>n.d</w:t>
            </w:r>
          </w:p>
        </w:tc>
      </w:tr>
      <w:tr w:rsidR="003E245D" w:rsidRPr="003E245D" w14:paraId="48349784" w14:textId="77777777" w:rsidTr="007779E2">
        <w:trPr>
          <w:trHeight w:val="300"/>
        </w:trPr>
        <w:tc>
          <w:tcPr>
            <w:tcW w:w="2137" w:type="pct"/>
            <w:noWrap/>
            <w:vAlign w:val="center"/>
            <w:hideMark/>
          </w:tcPr>
          <w:p w14:paraId="64971F8C" w14:textId="77777777" w:rsidR="003E245D" w:rsidRPr="003E245D" w:rsidRDefault="003E245D" w:rsidP="003E245D">
            <w:pPr>
              <w:spacing w:after="0" w:line="240" w:lineRule="auto"/>
              <w:jc w:val="center"/>
              <w:rPr>
                <w:rFonts w:eastAsia="Times New Roman" w:cs="Calibri"/>
                <w:color w:val="000000"/>
              </w:rPr>
            </w:pPr>
            <w:r w:rsidRPr="003E245D">
              <w:rPr>
                <w:rFonts w:eastAsia="Times New Roman" w:cs="Calibri"/>
                <w:color w:val="000000"/>
              </w:rPr>
              <w:t>611</w:t>
            </w:r>
          </w:p>
        </w:tc>
        <w:tc>
          <w:tcPr>
            <w:tcW w:w="2288" w:type="pct"/>
            <w:vAlign w:val="center"/>
            <w:hideMark/>
          </w:tcPr>
          <w:p w14:paraId="14A22557" w14:textId="77777777" w:rsidR="003E245D" w:rsidRPr="003E245D" w:rsidRDefault="003E245D" w:rsidP="003E245D">
            <w:pPr>
              <w:spacing w:after="0" w:line="240" w:lineRule="auto"/>
              <w:jc w:val="left"/>
              <w:rPr>
                <w:rFonts w:eastAsia="Times New Roman" w:cs="Calibri"/>
                <w:color w:val="000000"/>
              </w:rPr>
            </w:pPr>
            <w:r w:rsidRPr="003E245D">
              <w:rPr>
                <w:rFonts w:eastAsia="Times New Roman" w:cs="Calibri"/>
                <w:color w:val="000000"/>
              </w:rPr>
              <w:t>NAVETTA SAN GIOVANNI - SAN MICHELE - CASANOVA - TUNINE</w:t>
            </w:r>
          </w:p>
        </w:tc>
        <w:tc>
          <w:tcPr>
            <w:tcW w:w="575" w:type="pct"/>
            <w:noWrap/>
            <w:vAlign w:val="bottom"/>
            <w:hideMark/>
          </w:tcPr>
          <w:p w14:paraId="2B7F282A" w14:textId="77777777" w:rsidR="003E245D" w:rsidRPr="003E245D" w:rsidRDefault="003E245D" w:rsidP="003E245D">
            <w:pPr>
              <w:spacing w:after="0" w:line="240" w:lineRule="auto"/>
              <w:jc w:val="right"/>
              <w:rPr>
                <w:rFonts w:eastAsia="Times New Roman" w:cs="Calibri"/>
                <w:color w:val="000000"/>
              </w:rPr>
            </w:pPr>
            <w:r w:rsidRPr="003E245D">
              <w:rPr>
                <w:rFonts w:eastAsia="Times New Roman" w:cs="Calibri"/>
                <w:color w:val="000000"/>
              </w:rPr>
              <w:t>n.d</w:t>
            </w:r>
          </w:p>
        </w:tc>
      </w:tr>
      <w:tr w:rsidR="003E245D" w:rsidRPr="003E245D" w14:paraId="57A864D6" w14:textId="77777777" w:rsidTr="007779E2">
        <w:trPr>
          <w:trHeight w:val="300"/>
        </w:trPr>
        <w:tc>
          <w:tcPr>
            <w:tcW w:w="2137" w:type="pct"/>
            <w:noWrap/>
            <w:vAlign w:val="center"/>
            <w:hideMark/>
          </w:tcPr>
          <w:p w14:paraId="24A58F00" w14:textId="77777777" w:rsidR="003E245D" w:rsidRPr="003E245D" w:rsidRDefault="003E245D" w:rsidP="003E245D">
            <w:pPr>
              <w:spacing w:after="0" w:line="240" w:lineRule="auto"/>
              <w:jc w:val="center"/>
              <w:rPr>
                <w:rFonts w:eastAsia="Times New Roman" w:cs="Calibri"/>
                <w:color w:val="000000"/>
              </w:rPr>
            </w:pPr>
            <w:r w:rsidRPr="003E245D">
              <w:rPr>
                <w:rFonts w:eastAsia="Times New Roman" w:cs="Calibri"/>
                <w:color w:val="000000"/>
              </w:rPr>
              <w:t>612</w:t>
            </w:r>
          </w:p>
        </w:tc>
        <w:tc>
          <w:tcPr>
            <w:tcW w:w="2288" w:type="pct"/>
            <w:vAlign w:val="center"/>
            <w:hideMark/>
          </w:tcPr>
          <w:p w14:paraId="7E6BC9FD" w14:textId="77777777" w:rsidR="003E245D" w:rsidRPr="003E245D" w:rsidRDefault="003E245D" w:rsidP="003E245D">
            <w:pPr>
              <w:spacing w:after="0" w:line="240" w:lineRule="auto"/>
              <w:jc w:val="left"/>
              <w:rPr>
                <w:rFonts w:eastAsia="Times New Roman" w:cs="Calibri"/>
                <w:color w:val="000000"/>
              </w:rPr>
            </w:pPr>
            <w:r w:rsidRPr="003E245D">
              <w:rPr>
                <w:rFonts w:eastAsia="Times New Roman" w:cs="Calibri"/>
                <w:color w:val="000000"/>
              </w:rPr>
              <w:t>NAVETTA OSELLE -CAVALLERI - FUMERI - VALLONGO - TETTI GRANDI</w:t>
            </w:r>
          </w:p>
        </w:tc>
        <w:tc>
          <w:tcPr>
            <w:tcW w:w="575" w:type="pct"/>
            <w:noWrap/>
            <w:vAlign w:val="bottom"/>
            <w:hideMark/>
          </w:tcPr>
          <w:p w14:paraId="0830EAB2" w14:textId="77777777" w:rsidR="003E245D" w:rsidRPr="003E245D" w:rsidRDefault="003E245D" w:rsidP="003E245D">
            <w:pPr>
              <w:spacing w:after="0" w:line="240" w:lineRule="auto"/>
              <w:jc w:val="right"/>
              <w:rPr>
                <w:rFonts w:eastAsia="Times New Roman" w:cs="Calibri"/>
                <w:color w:val="000000"/>
              </w:rPr>
            </w:pPr>
            <w:r w:rsidRPr="003E245D">
              <w:rPr>
                <w:rFonts w:eastAsia="Times New Roman" w:cs="Calibri"/>
                <w:color w:val="000000"/>
              </w:rPr>
              <w:t>n.d</w:t>
            </w:r>
          </w:p>
        </w:tc>
      </w:tr>
      <w:tr w:rsidR="003E245D" w:rsidRPr="003E245D" w14:paraId="156A133F" w14:textId="77777777" w:rsidTr="007779E2">
        <w:trPr>
          <w:trHeight w:val="300"/>
        </w:trPr>
        <w:tc>
          <w:tcPr>
            <w:tcW w:w="2137" w:type="pct"/>
            <w:noWrap/>
            <w:vAlign w:val="center"/>
            <w:hideMark/>
          </w:tcPr>
          <w:p w14:paraId="72314C17" w14:textId="77777777" w:rsidR="003E245D" w:rsidRPr="003E245D" w:rsidRDefault="003E245D" w:rsidP="003E245D">
            <w:pPr>
              <w:spacing w:after="0" w:line="240" w:lineRule="auto"/>
              <w:jc w:val="center"/>
              <w:rPr>
                <w:rFonts w:eastAsia="Times New Roman" w:cs="Calibri"/>
                <w:color w:val="000000"/>
              </w:rPr>
            </w:pPr>
            <w:r w:rsidRPr="003E245D">
              <w:rPr>
                <w:rFonts w:eastAsia="Times New Roman" w:cs="Calibri"/>
                <w:color w:val="000000"/>
              </w:rPr>
              <w:t>613</w:t>
            </w:r>
          </w:p>
        </w:tc>
        <w:tc>
          <w:tcPr>
            <w:tcW w:w="2288" w:type="pct"/>
            <w:vAlign w:val="center"/>
            <w:hideMark/>
          </w:tcPr>
          <w:p w14:paraId="68411334" w14:textId="77777777" w:rsidR="003E245D" w:rsidRPr="003E245D" w:rsidRDefault="003E245D" w:rsidP="003E245D">
            <w:pPr>
              <w:spacing w:after="0" w:line="240" w:lineRule="auto"/>
              <w:jc w:val="left"/>
              <w:rPr>
                <w:rFonts w:eastAsia="Times New Roman" w:cs="Calibri"/>
                <w:color w:val="000000"/>
              </w:rPr>
            </w:pPr>
            <w:r w:rsidRPr="003E245D">
              <w:rPr>
                <w:rFonts w:eastAsia="Times New Roman" w:cs="Calibri"/>
                <w:color w:val="000000"/>
              </w:rPr>
              <w:t>NAVETTA SALSASIO - SAN BERNARDO - MOTTA</w:t>
            </w:r>
          </w:p>
        </w:tc>
        <w:tc>
          <w:tcPr>
            <w:tcW w:w="575" w:type="pct"/>
            <w:noWrap/>
            <w:vAlign w:val="bottom"/>
            <w:hideMark/>
          </w:tcPr>
          <w:p w14:paraId="238A8DAE" w14:textId="77777777" w:rsidR="003E245D" w:rsidRPr="003E245D" w:rsidRDefault="003E245D" w:rsidP="003E245D">
            <w:pPr>
              <w:spacing w:after="0" w:line="240" w:lineRule="auto"/>
              <w:jc w:val="right"/>
              <w:rPr>
                <w:rFonts w:eastAsia="Times New Roman" w:cs="Calibri"/>
                <w:color w:val="000000"/>
              </w:rPr>
            </w:pPr>
            <w:r w:rsidRPr="003E245D">
              <w:rPr>
                <w:rFonts w:eastAsia="Times New Roman" w:cs="Calibri"/>
                <w:color w:val="000000"/>
              </w:rPr>
              <w:t>n.d</w:t>
            </w:r>
          </w:p>
        </w:tc>
      </w:tr>
      <w:tr w:rsidR="003E245D" w:rsidRPr="003E245D" w14:paraId="51B970B1" w14:textId="77777777" w:rsidTr="007779E2">
        <w:trPr>
          <w:trHeight w:val="300"/>
        </w:trPr>
        <w:tc>
          <w:tcPr>
            <w:tcW w:w="2137" w:type="pct"/>
            <w:shd w:val="clear" w:color="000000" w:fill="EE3438"/>
            <w:noWrap/>
            <w:vAlign w:val="bottom"/>
            <w:hideMark/>
          </w:tcPr>
          <w:p w14:paraId="217112DC" w14:textId="77777777" w:rsidR="003E245D" w:rsidRPr="003E245D" w:rsidRDefault="003E245D" w:rsidP="003E245D">
            <w:pPr>
              <w:spacing w:after="0" w:line="240" w:lineRule="auto"/>
              <w:jc w:val="center"/>
              <w:rPr>
                <w:rFonts w:eastAsia="Times New Roman" w:cs="Calibri"/>
                <w:color w:val="FFFFFF"/>
              </w:rPr>
            </w:pPr>
            <w:r w:rsidRPr="003E245D">
              <w:rPr>
                <w:rFonts w:eastAsia="Times New Roman" w:cs="Calibri"/>
                <w:color w:val="FFFFFF"/>
              </w:rPr>
              <w:t> </w:t>
            </w:r>
          </w:p>
        </w:tc>
        <w:tc>
          <w:tcPr>
            <w:tcW w:w="2288" w:type="pct"/>
            <w:shd w:val="clear" w:color="000000" w:fill="EE3438"/>
            <w:noWrap/>
            <w:vAlign w:val="bottom"/>
            <w:hideMark/>
          </w:tcPr>
          <w:p w14:paraId="09ED3387" w14:textId="77777777" w:rsidR="003E245D" w:rsidRPr="003E245D" w:rsidRDefault="003E245D" w:rsidP="003E245D">
            <w:pPr>
              <w:spacing w:after="0" w:line="240" w:lineRule="auto"/>
              <w:jc w:val="right"/>
              <w:rPr>
                <w:rFonts w:eastAsia="Times New Roman" w:cs="Calibri"/>
                <w:b/>
                <w:color w:val="FFFFFF"/>
              </w:rPr>
            </w:pPr>
            <w:r w:rsidRPr="003E245D">
              <w:rPr>
                <w:rFonts w:eastAsia="Times New Roman" w:cs="Calibri"/>
                <w:b/>
                <w:color w:val="FFFFFF"/>
              </w:rPr>
              <w:t>TOTALE SERVIZI URBANI DI CARMAGNOLA</w:t>
            </w:r>
          </w:p>
        </w:tc>
        <w:tc>
          <w:tcPr>
            <w:tcW w:w="575" w:type="pct"/>
            <w:shd w:val="clear" w:color="000000" w:fill="EE3438"/>
            <w:noWrap/>
            <w:vAlign w:val="bottom"/>
            <w:hideMark/>
          </w:tcPr>
          <w:p w14:paraId="6BDE7EF5" w14:textId="77777777" w:rsidR="003E245D" w:rsidRPr="003E245D" w:rsidRDefault="003E245D" w:rsidP="003E245D">
            <w:pPr>
              <w:spacing w:after="0" w:line="240" w:lineRule="auto"/>
              <w:jc w:val="right"/>
              <w:rPr>
                <w:rFonts w:eastAsia="Times New Roman" w:cs="Calibri"/>
                <w:b/>
                <w:color w:val="FFFFFF"/>
              </w:rPr>
            </w:pPr>
            <w:r w:rsidRPr="003E245D">
              <w:rPr>
                <w:rFonts w:eastAsia="Times New Roman" w:cs="Calibri"/>
                <w:b/>
                <w:color w:val="FFFFFF"/>
              </w:rPr>
              <w:t>n.d.</w:t>
            </w:r>
          </w:p>
        </w:tc>
      </w:tr>
      <w:tr w:rsidR="003E245D" w:rsidRPr="003E245D" w14:paraId="60575B6B" w14:textId="77777777" w:rsidTr="007779E2">
        <w:trPr>
          <w:trHeight w:val="300"/>
        </w:trPr>
        <w:tc>
          <w:tcPr>
            <w:tcW w:w="2137" w:type="pct"/>
            <w:noWrap/>
            <w:vAlign w:val="bottom"/>
            <w:hideMark/>
          </w:tcPr>
          <w:p w14:paraId="52252186" w14:textId="77777777" w:rsidR="003E245D" w:rsidRPr="003E245D" w:rsidRDefault="003E245D" w:rsidP="003E245D">
            <w:pPr>
              <w:spacing w:after="0" w:line="240" w:lineRule="auto"/>
              <w:jc w:val="center"/>
              <w:rPr>
                <w:rFonts w:ascii="Aptos Narrow" w:eastAsia="Times New Roman" w:hAnsi="Aptos Narrow" w:cs="Times New Roman"/>
                <w:color w:val="000000"/>
              </w:rPr>
            </w:pPr>
            <w:r w:rsidRPr="003E245D">
              <w:rPr>
                <w:rFonts w:ascii="Aptos Narrow" w:eastAsia="Times New Roman" w:hAnsi="Aptos Narrow" w:cs="Times New Roman"/>
                <w:color w:val="000000"/>
              </w:rPr>
              <w:t>802</w:t>
            </w:r>
          </w:p>
        </w:tc>
        <w:tc>
          <w:tcPr>
            <w:tcW w:w="2288" w:type="pct"/>
            <w:noWrap/>
            <w:vAlign w:val="bottom"/>
            <w:hideMark/>
          </w:tcPr>
          <w:p w14:paraId="7583E8BE" w14:textId="77777777" w:rsidR="003E245D" w:rsidRPr="003E245D" w:rsidRDefault="003E245D" w:rsidP="003E245D">
            <w:pPr>
              <w:spacing w:after="0" w:line="240" w:lineRule="auto"/>
              <w:jc w:val="left"/>
              <w:rPr>
                <w:rFonts w:ascii="Aptos Narrow" w:eastAsia="Times New Roman" w:hAnsi="Aptos Narrow" w:cs="Times New Roman"/>
                <w:color w:val="000000"/>
              </w:rPr>
            </w:pPr>
            <w:r w:rsidRPr="003E245D">
              <w:rPr>
                <w:rFonts w:ascii="Aptos Narrow" w:eastAsia="Times New Roman" w:hAnsi="Aptos Narrow" w:cs="Times New Roman"/>
                <w:color w:val="000000"/>
              </w:rPr>
              <w:t>GIAVENO PROVONDA</w:t>
            </w:r>
          </w:p>
        </w:tc>
        <w:tc>
          <w:tcPr>
            <w:tcW w:w="575" w:type="pct"/>
            <w:noWrap/>
            <w:vAlign w:val="bottom"/>
            <w:hideMark/>
          </w:tcPr>
          <w:p w14:paraId="6084C3C6" w14:textId="77777777" w:rsidR="003E245D" w:rsidRPr="003E245D" w:rsidRDefault="003E245D" w:rsidP="003E245D">
            <w:pPr>
              <w:spacing w:after="0" w:line="240" w:lineRule="auto"/>
              <w:jc w:val="right"/>
              <w:rPr>
                <w:rFonts w:ascii="Aptos Narrow" w:eastAsia="Times New Roman" w:hAnsi="Aptos Narrow" w:cs="Times New Roman"/>
                <w:color w:val="000000"/>
              </w:rPr>
            </w:pPr>
            <w:r w:rsidRPr="003E245D">
              <w:rPr>
                <w:rFonts w:ascii="Aptos Narrow" w:eastAsia="Times New Roman" w:hAnsi="Aptos Narrow" w:cs="Times New Roman"/>
                <w:color w:val="000000"/>
              </w:rPr>
              <w:t>2</w:t>
            </w:r>
          </w:p>
        </w:tc>
      </w:tr>
      <w:tr w:rsidR="003E245D" w:rsidRPr="003E245D" w14:paraId="69CB29E3" w14:textId="77777777" w:rsidTr="007779E2">
        <w:trPr>
          <w:trHeight w:val="300"/>
        </w:trPr>
        <w:tc>
          <w:tcPr>
            <w:tcW w:w="2137" w:type="pct"/>
            <w:noWrap/>
            <w:vAlign w:val="bottom"/>
            <w:hideMark/>
          </w:tcPr>
          <w:p w14:paraId="125B0592" w14:textId="77777777" w:rsidR="003E245D" w:rsidRPr="003E245D" w:rsidRDefault="003E245D" w:rsidP="003E245D">
            <w:pPr>
              <w:spacing w:after="0" w:line="240" w:lineRule="auto"/>
              <w:jc w:val="center"/>
              <w:rPr>
                <w:rFonts w:ascii="Aptos Narrow" w:eastAsia="Times New Roman" w:hAnsi="Aptos Narrow" w:cs="Times New Roman"/>
                <w:color w:val="000000"/>
              </w:rPr>
            </w:pPr>
            <w:r w:rsidRPr="003E245D">
              <w:rPr>
                <w:rFonts w:ascii="Aptos Narrow" w:eastAsia="Times New Roman" w:hAnsi="Aptos Narrow" w:cs="Times New Roman"/>
                <w:color w:val="000000"/>
              </w:rPr>
              <w:t>801</w:t>
            </w:r>
          </w:p>
        </w:tc>
        <w:tc>
          <w:tcPr>
            <w:tcW w:w="2288" w:type="pct"/>
            <w:noWrap/>
            <w:vAlign w:val="bottom"/>
            <w:hideMark/>
          </w:tcPr>
          <w:p w14:paraId="48F16284" w14:textId="77777777" w:rsidR="003E245D" w:rsidRPr="003E245D" w:rsidRDefault="003E245D" w:rsidP="003E245D">
            <w:pPr>
              <w:spacing w:after="0" w:line="240" w:lineRule="auto"/>
              <w:jc w:val="left"/>
              <w:rPr>
                <w:rFonts w:ascii="Aptos Narrow" w:eastAsia="Times New Roman" w:hAnsi="Aptos Narrow" w:cs="Times New Roman"/>
                <w:color w:val="000000"/>
              </w:rPr>
            </w:pPr>
            <w:r w:rsidRPr="003E245D">
              <w:rPr>
                <w:rFonts w:ascii="Aptos Narrow" w:eastAsia="Times New Roman" w:hAnsi="Aptos Narrow" w:cs="Times New Roman"/>
                <w:color w:val="000000"/>
              </w:rPr>
              <w:t>GIAVENO-CHIARMETTA</w:t>
            </w:r>
          </w:p>
        </w:tc>
        <w:tc>
          <w:tcPr>
            <w:tcW w:w="575" w:type="pct"/>
            <w:noWrap/>
            <w:vAlign w:val="bottom"/>
            <w:hideMark/>
          </w:tcPr>
          <w:p w14:paraId="6F5D4FCC" w14:textId="77777777" w:rsidR="003E245D" w:rsidRPr="003E245D" w:rsidRDefault="003E245D" w:rsidP="003E245D">
            <w:pPr>
              <w:spacing w:after="0" w:line="240" w:lineRule="auto"/>
              <w:jc w:val="right"/>
              <w:rPr>
                <w:rFonts w:ascii="Aptos Narrow" w:eastAsia="Times New Roman" w:hAnsi="Aptos Narrow" w:cs="Times New Roman"/>
                <w:color w:val="000000"/>
              </w:rPr>
            </w:pPr>
            <w:r w:rsidRPr="003E245D">
              <w:rPr>
                <w:rFonts w:ascii="Aptos Narrow" w:eastAsia="Times New Roman" w:hAnsi="Aptos Narrow" w:cs="Times New Roman"/>
                <w:color w:val="000000"/>
              </w:rPr>
              <w:t>445</w:t>
            </w:r>
          </w:p>
        </w:tc>
      </w:tr>
      <w:tr w:rsidR="003E245D" w:rsidRPr="003E245D" w14:paraId="23837C2A" w14:textId="77777777" w:rsidTr="007779E2">
        <w:trPr>
          <w:trHeight w:val="300"/>
        </w:trPr>
        <w:tc>
          <w:tcPr>
            <w:tcW w:w="2137" w:type="pct"/>
            <w:shd w:val="clear" w:color="000000" w:fill="EE3438"/>
            <w:noWrap/>
            <w:vAlign w:val="bottom"/>
            <w:hideMark/>
          </w:tcPr>
          <w:p w14:paraId="3212CF25" w14:textId="77777777" w:rsidR="003E245D" w:rsidRPr="003E245D" w:rsidRDefault="003E245D" w:rsidP="003E245D">
            <w:pPr>
              <w:spacing w:after="0" w:line="240" w:lineRule="auto"/>
              <w:jc w:val="center"/>
              <w:rPr>
                <w:rFonts w:eastAsia="Times New Roman" w:cs="Calibri"/>
                <w:color w:val="FFFFFF"/>
              </w:rPr>
            </w:pPr>
            <w:r w:rsidRPr="003E245D">
              <w:rPr>
                <w:rFonts w:eastAsia="Times New Roman" w:cs="Calibri"/>
                <w:color w:val="FFFFFF"/>
              </w:rPr>
              <w:t> </w:t>
            </w:r>
          </w:p>
        </w:tc>
        <w:tc>
          <w:tcPr>
            <w:tcW w:w="2288" w:type="pct"/>
            <w:shd w:val="clear" w:color="000000" w:fill="EE3438"/>
            <w:noWrap/>
            <w:vAlign w:val="bottom"/>
            <w:hideMark/>
          </w:tcPr>
          <w:p w14:paraId="16A18494" w14:textId="77777777" w:rsidR="003E245D" w:rsidRPr="003E245D" w:rsidRDefault="003E245D" w:rsidP="003E245D">
            <w:pPr>
              <w:spacing w:after="0" w:line="240" w:lineRule="auto"/>
              <w:jc w:val="right"/>
              <w:rPr>
                <w:rFonts w:eastAsia="Times New Roman" w:cs="Calibri"/>
                <w:b/>
                <w:color w:val="FFFFFF"/>
              </w:rPr>
            </w:pPr>
            <w:r w:rsidRPr="003E245D">
              <w:rPr>
                <w:rFonts w:eastAsia="Times New Roman" w:cs="Calibri"/>
                <w:b/>
                <w:color w:val="FFFFFF"/>
              </w:rPr>
              <w:t>TOTALE SERVIZI URBANI DI GIAVENO</w:t>
            </w:r>
          </w:p>
        </w:tc>
        <w:tc>
          <w:tcPr>
            <w:tcW w:w="575" w:type="pct"/>
            <w:shd w:val="clear" w:color="000000" w:fill="EE3438"/>
            <w:noWrap/>
            <w:vAlign w:val="bottom"/>
            <w:hideMark/>
          </w:tcPr>
          <w:p w14:paraId="4D67D5D7" w14:textId="77777777" w:rsidR="003E245D" w:rsidRPr="003E245D" w:rsidRDefault="003E245D" w:rsidP="003E245D">
            <w:pPr>
              <w:spacing w:after="0" w:line="240" w:lineRule="auto"/>
              <w:jc w:val="right"/>
              <w:rPr>
                <w:rFonts w:eastAsia="Times New Roman" w:cs="Calibri"/>
                <w:b/>
                <w:color w:val="FFFFFF"/>
              </w:rPr>
            </w:pPr>
            <w:r w:rsidRPr="003E245D">
              <w:rPr>
                <w:rFonts w:eastAsia="Times New Roman" w:cs="Calibri"/>
                <w:b/>
                <w:color w:val="FFFFFF"/>
              </w:rPr>
              <w:t>447</w:t>
            </w:r>
          </w:p>
        </w:tc>
      </w:tr>
      <w:tr w:rsidR="003E245D" w:rsidRPr="003E245D" w14:paraId="386BFEA8" w14:textId="77777777" w:rsidTr="007779E2">
        <w:trPr>
          <w:trHeight w:val="315"/>
        </w:trPr>
        <w:tc>
          <w:tcPr>
            <w:tcW w:w="2137" w:type="pct"/>
            <w:shd w:val="clear" w:color="000000" w:fill="EE3438"/>
            <w:noWrap/>
            <w:vAlign w:val="bottom"/>
            <w:hideMark/>
          </w:tcPr>
          <w:p w14:paraId="063F0FAF" w14:textId="77777777" w:rsidR="003E245D" w:rsidRPr="003E245D" w:rsidRDefault="003E245D" w:rsidP="003E245D">
            <w:pPr>
              <w:spacing w:after="0" w:line="240" w:lineRule="auto"/>
              <w:jc w:val="center"/>
              <w:rPr>
                <w:rFonts w:eastAsia="Times New Roman" w:cs="Calibri"/>
                <w:color w:val="FFFFFF"/>
              </w:rPr>
            </w:pPr>
            <w:r w:rsidRPr="003E245D">
              <w:rPr>
                <w:rFonts w:eastAsia="Times New Roman" w:cs="Calibri"/>
                <w:color w:val="FFFFFF"/>
              </w:rPr>
              <w:t> </w:t>
            </w:r>
          </w:p>
        </w:tc>
        <w:tc>
          <w:tcPr>
            <w:tcW w:w="2288" w:type="pct"/>
            <w:shd w:val="clear" w:color="000000" w:fill="EE3438"/>
            <w:noWrap/>
            <w:vAlign w:val="bottom"/>
            <w:hideMark/>
          </w:tcPr>
          <w:p w14:paraId="3C49576F" w14:textId="77777777" w:rsidR="003E245D" w:rsidRPr="003E245D" w:rsidRDefault="003E245D" w:rsidP="003E245D">
            <w:pPr>
              <w:spacing w:after="0" w:line="240" w:lineRule="auto"/>
              <w:jc w:val="right"/>
              <w:rPr>
                <w:rFonts w:eastAsia="Times New Roman" w:cs="Calibri"/>
                <w:b/>
                <w:color w:val="FFFFFF"/>
              </w:rPr>
            </w:pPr>
            <w:r w:rsidRPr="003E245D">
              <w:rPr>
                <w:rFonts w:eastAsia="Times New Roman" w:cs="Calibri"/>
                <w:b/>
                <w:color w:val="FFFFFF"/>
              </w:rPr>
              <w:t>TOTALE SERVIZI BACINO METROPOLITANO DI TORINO</w:t>
            </w:r>
          </w:p>
        </w:tc>
        <w:tc>
          <w:tcPr>
            <w:tcW w:w="575" w:type="pct"/>
            <w:shd w:val="clear" w:color="000000" w:fill="EE3438"/>
            <w:noWrap/>
            <w:vAlign w:val="bottom"/>
            <w:hideMark/>
          </w:tcPr>
          <w:p w14:paraId="64AC1344" w14:textId="77777777" w:rsidR="003E245D" w:rsidRPr="003E245D" w:rsidRDefault="003E245D" w:rsidP="003E245D">
            <w:pPr>
              <w:spacing w:after="0" w:line="240" w:lineRule="auto"/>
              <w:jc w:val="right"/>
              <w:rPr>
                <w:rFonts w:eastAsia="Times New Roman" w:cs="Calibri"/>
                <w:b/>
                <w:color w:val="FFFFFF"/>
              </w:rPr>
            </w:pPr>
            <w:r w:rsidRPr="003E245D">
              <w:rPr>
                <w:rFonts w:eastAsia="Times New Roman" w:cs="Calibri"/>
                <w:b/>
                <w:color w:val="FFFFFF"/>
              </w:rPr>
              <w:t>2.648.699</w:t>
            </w:r>
          </w:p>
        </w:tc>
      </w:tr>
    </w:tbl>
    <w:p w14:paraId="22153C8A" w14:textId="5D4C91B3" w:rsidR="003E245D" w:rsidRPr="003E245D" w:rsidRDefault="003E245D" w:rsidP="003E245D">
      <w:pPr>
        <w:spacing w:after="200" w:line="240" w:lineRule="auto"/>
        <w:jc w:val="center"/>
        <w:rPr>
          <w:i/>
          <w:iCs/>
          <w:color w:val="003366"/>
          <w:sz w:val="18"/>
          <w:szCs w:val="18"/>
        </w:rPr>
      </w:pPr>
      <w:r w:rsidRPr="003E245D">
        <w:rPr>
          <w:i/>
          <w:iCs/>
          <w:color w:val="003366"/>
          <w:sz w:val="18"/>
          <w:szCs w:val="18"/>
        </w:rPr>
        <w:t xml:space="preserve">Tabella </w:t>
      </w:r>
      <w:r w:rsidRPr="003E245D">
        <w:rPr>
          <w:i/>
          <w:iCs/>
          <w:color w:val="003366"/>
          <w:sz w:val="18"/>
          <w:szCs w:val="18"/>
        </w:rPr>
        <w:fldChar w:fldCharType="begin"/>
      </w:r>
      <w:r w:rsidRPr="003E245D">
        <w:rPr>
          <w:i/>
          <w:iCs/>
          <w:color w:val="003366"/>
          <w:sz w:val="18"/>
          <w:szCs w:val="18"/>
        </w:rPr>
        <w:instrText xml:space="preserve"> SEQ Tabella \* ARABIC </w:instrText>
      </w:r>
      <w:r w:rsidRPr="003E245D">
        <w:rPr>
          <w:i/>
          <w:iCs/>
          <w:color w:val="003366"/>
          <w:sz w:val="18"/>
          <w:szCs w:val="18"/>
        </w:rPr>
        <w:fldChar w:fldCharType="separate"/>
      </w:r>
      <w:r w:rsidR="00073B6D">
        <w:rPr>
          <w:i/>
          <w:iCs/>
          <w:noProof/>
          <w:color w:val="003366"/>
          <w:sz w:val="18"/>
          <w:szCs w:val="18"/>
        </w:rPr>
        <w:t>23</w:t>
      </w:r>
      <w:r w:rsidRPr="003E245D">
        <w:rPr>
          <w:i/>
          <w:iCs/>
          <w:noProof/>
          <w:color w:val="003366"/>
          <w:sz w:val="18"/>
          <w:szCs w:val="18"/>
        </w:rPr>
        <w:fldChar w:fldCharType="end"/>
      </w:r>
      <w:r w:rsidRPr="003E245D">
        <w:rPr>
          <w:i/>
          <w:iCs/>
          <w:noProof/>
          <w:color w:val="003366"/>
          <w:sz w:val="18"/>
          <w:szCs w:val="18"/>
        </w:rPr>
        <w:t xml:space="preserve"> </w:t>
      </w:r>
      <w:r w:rsidRPr="003E245D">
        <w:rPr>
          <w:i/>
          <w:iCs/>
          <w:color w:val="003366"/>
          <w:sz w:val="18"/>
          <w:szCs w:val="18"/>
        </w:rPr>
        <w:t>– Vidimazioni passeggeri 2024 fonte dati CSR Piemonte.</w:t>
      </w:r>
    </w:p>
    <w:p w14:paraId="23C034E1" w14:textId="77777777" w:rsidR="003E245D" w:rsidRPr="003E245D" w:rsidRDefault="003E245D" w:rsidP="003E245D">
      <w:pPr>
        <w:spacing w:before="120" w:after="0" w:line="240" w:lineRule="auto"/>
      </w:pPr>
      <w:r w:rsidRPr="003E245D">
        <w:t>La procedura di gara indirizzerà i partecipanti a coprire il gap di digitalizzazione che le aziende che oggi operano nel territorio evidenziano.</w:t>
      </w:r>
    </w:p>
    <w:p w14:paraId="1FB95ECD" w14:textId="77777777" w:rsidR="003E245D" w:rsidRPr="003E245D" w:rsidRDefault="003E245D" w:rsidP="003E245D">
      <w:pPr>
        <w:spacing w:before="120" w:after="0" w:line="240" w:lineRule="auto"/>
      </w:pPr>
      <w:r w:rsidRPr="003E245D">
        <w:t>La digitalizzazione completa dei processi produttivi aziendali e del servizio erogato consentiranno, da un lato, alle aziende di gestire in maniera più efficiente ed efficace il servizio ma, soprattutto, offriranno ai cittadini un livello di servizio idoneo a soddisfare le attese di una domanda di mobilità in costante cambiamento; si tratta di un passaggio fondamentale per la crescita del servizio e per il recupero dell’utenza e dei ricavi da traffico</w:t>
      </w:r>
    </w:p>
    <w:p w14:paraId="540E6351" w14:textId="0B6B39A9" w:rsidR="003E245D" w:rsidRPr="003E245D" w:rsidRDefault="003E245D" w:rsidP="003E245D">
      <w:pPr>
        <w:spacing w:before="120" w:after="0" w:line="240" w:lineRule="auto"/>
      </w:pPr>
      <w:r w:rsidRPr="003E245D">
        <w:t>Per quanto riguarda il monitoraggio delle frequentazioni e dei ricavi, la rilevazione diretta, svolta in maniera tecnologicamente avanzata e integrata con i sistemi di conteggio automatico, costituirà uno degli elementi essenziali nei futuri Contratti di Servizio. Ogni operatore economico partecipante alla procedura sarà obbligato a sviluppare una propria organizzazione interna per fornire i dati relativi ai passeggeri trasportati, al load factor, ai ricavi e al coverage ratio di tutti i servizi erogati, per singola linea/corsa. Questo sarà possibile attraverso l’utilizzo di valutazioni incrociate tra i vari metodi attualmente utilizzati (rilevazione diretta, conta-passeggeri, validazioni, titoli venduti, coefficiente di fruizione) ed eventualmente proponendone di nuovi, il tutto corredato da verifiche periodiche con analisi sul campo.</w:t>
      </w:r>
    </w:p>
    <w:p w14:paraId="4704E9DA" w14:textId="77777777" w:rsidR="003E245D" w:rsidRPr="003E245D" w:rsidRDefault="003E245D" w:rsidP="00AF5AA2">
      <w:pPr>
        <w:pStyle w:val="Titolo2"/>
        <w:ind w:left="567"/>
        <w:rPr>
          <w:b w:val="0"/>
        </w:rPr>
      </w:pPr>
      <w:bookmarkStart w:id="166" w:name="_Toc175218223"/>
      <w:bookmarkStart w:id="167" w:name="_Toc197695675"/>
      <w:bookmarkStart w:id="168" w:name="_Toc204616488"/>
      <w:bookmarkStart w:id="169" w:name="_Toc213078358"/>
      <w:r w:rsidRPr="00AF5AA2">
        <w:rPr>
          <w:rFonts w:asciiTheme="minorHAnsi" w:hAnsiTheme="minorHAnsi" w:cstheme="minorHAnsi"/>
        </w:rPr>
        <w:t>Distribuzione della popolazione scolastica</w:t>
      </w:r>
      <w:bookmarkEnd w:id="166"/>
      <w:bookmarkEnd w:id="167"/>
      <w:bookmarkEnd w:id="168"/>
      <w:bookmarkEnd w:id="169"/>
    </w:p>
    <w:p w14:paraId="228C185A" w14:textId="77672F2C" w:rsidR="003E245D" w:rsidRPr="00942BD7" w:rsidRDefault="003E245D" w:rsidP="003E245D">
      <w:pPr>
        <w:spacing w:before="120" w:after="0" w:line="240" w:lineRule="auto"/>
      </w:pPr>
      <w:r w:rsidRPr="003E245D">
        <w:t xml:space="preserve">Pare opportuno fare un </w:t>
      </w:r>
      <w:r w:rsidRPr="00942BD7">
        <w:t>approfondimento anche sulla popolazione scolastica e sulla sua distribuzione sul territorio in quanto è uno dei target più rilevante tra gli utenti del TPL. Si è scelto di considerare anche la città di Torino nelle seguenti analisi, nonostante l’affidamento del servizio urbano sarà oggetto di un’altra procedura di assegnazione per la sua rilevanza territoriale</w:t>
      </w:r>
      <w:r w:rsidR="007753AC" w:rsidRPr="00942BD7">
        <w:t xml:space="preserve"> e per l’attrattivit</w:t>
      </w:r>
      <w:r w:rsidR="00942BD7" w:rsidRPr="00942BD7">
        <w:t>à che le scuole di Torino rivestono su tutta la provincia</w:t>
      </w:r>
      <w:r w:rsidRPr="00942BD7">
        <w:t>.</w:t>
      </w:r>
    </w:p>
    <w:p w14:paraId="738F0B76" w14:textId="77777777" w:rsidR="003E245D" w:rsidRPr="003E245D" w:rsidRDefault="003E245D" w:rsidP="003E245D">
      <w:pPr>
        <w:spacing w:before="120" w:after="0" w:line="240" w:lineRule="auto"/>
        <w:rPr>
          <w:b/>
        </w:rPr>
      </w:pPr>
      <w:r w:rsidRPr="00942BD7">
        <w:rPr>
          <w:b/>
        </w:rPr>
        <w:t>Scuole secondarie di secondo grado</w:t>
      </w:r>
    </w:p>
    <w:p w14:paraId="51B794BE" w14:textId="77777777" w:rsidR="003E245D" w:rsidRPr="003E245D" w:rsidRDefault="003E245D" w:rsidP="003E245D">
      <w:pPr>
        <w:spacing w:before="120" w:after="0" w:line="240" w:lineRule="auto"/>
      </w:pPr>
      <w:r w:rsidRPr="003E245D">
        <w:t>La popolazione studentesca iscritta per l’anno scolastico 2024-2025</w:t>
      </w:r>
      <w:r w:rsidRPr="003E245D">
        <w:rPr>
          <w:vertAlign w:val="superscript"/>
        </w:rPr>
        <w:footnoteReference w:id="16"/>
      </w:r>
      <w:r w:rsidRPr="003E245D">
        <w:t xml:space="preserve"> alle scuole secondarie di secondo grado per la provincia di Torino è costituita da quasi 91 mila soggetti distribuiti su 207 plessi scolastici, per lo più concentrati nel capoluogo di provincia e nei comuni di Ivrea, Pinerolo, Susa e Carmagnola.</w:t>
      </w:r>
    </w:p>
    <w:p w14:paraId="0AD22600" w14:textId="77777777" w:rsidR="003E245D" w:rsidRPr="003E245D" w:rsidRDefault="003E245D" w:rsidP="003E245D">
      <w:pPr>
        <w:spacing w:before="120" w:after="0" w:line="240" w:lineRule="auto"/>
        <w:jc w:val="center"/>
        <w:rPr>
          <w:color w:val="EE0000"/>
        </w:rPr>
      </w:pPr>
      <w:r w:rsidRPr="003E245D">
        <w:rPr>
          <w:noProof/>
        </w:rPr>
        <w:lastRenderedPageBreak/>
        <w:drawing>
          <wp:inline distT="0" distB="0" distL="0" distR="0" wp14:anchorId="519398E8" wp14:editId="416E7D53">
            <wp:extent cx="5759450" cy="4072836"/>
            <wp:effectExtent l="19050" t="19050" r="12700" b="23495"/>
            <wp:docPr id="1921999646"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999646" name="Immagine 3"/>
                    <pic:cNvPicPr>
                      <a:picLocks noChangeAspect="1" noChangeArrowheads="1"/>
                    </pic:cNvPicPr>
                  </pic:nvPicPr>
                  <pic:blipFill>
                    <a:blip r:embed="rId53" cstate="print">
                      <a:extLst>
                        <a:ext uri="{28A0092B-C50C-407E-A947-70E740481C1C}">
                          <a14:useLocalDpi xmlns:a14="http://schemas.microsoft.com/office/drawing/2010/main" val="0"/>
                        </a:ext>
                      </a:extLst>
                    </a:blip>
                    <a:stretch>
                      <a:fillRect/>
                    </a:stretch>
                  </pic:blipFill>
                  <pic:spPr bwMode="auto">
                    <a:xfrm>
                      <a:off x="0" y="0"/>
                      <a:ext cx="5759450" cy="4072836"/>
                    </a:xfrm>
                    <a:prstGeom prst="rect">
                      <a:avLst/>
                    </a:prstGeom>
                    <a:noFill/>
                    <a:ln w="19050">
                      <a:solidFill>
                        <a:srgbClr val="EE3438"/>
                      </a:solidFill>
                    </a:ln>
                  </pic:spPr>
                </pic:pic>
              </a:graphicData>
            </a:graphic>
          </wp:inline>
        </w:drawing>
      </w:r>
    </w:p>
    <w:p w14:paraId="3B0893D5" w14:textId="69B1C60A" w:rsidR="003E245D" w:rsidRPr="003E245D" w:rsidRDefault="003E245D" w:rsidP="003E245D">
      <w:pPr>
        <w:spacing w:after="200" w:line="240" w:lineRule="auto"/>
        <w:jc w:val="center"/>
        <w:rPr>
          <w:i/>
          <w:iCs/>
          <w:color w:val="003366"/>
          <w:sz w:val="18"/>
          <w:szCs w:val="18"/>
        </w:rPr>
      </w:pPr>
      <w:r w:rsidRPr="003E245D">
        <w:rPr>
          <w:i/>
          <w:iCs/>
          <w:color w:val="003366"/>
          <w:sz w:val="18"/>
          <w:szCs w:val="18"/>
        </w:rPr>
        <w:t xml:space="preserve">Figura </w:t>
      </w:r>
      <w:r w:rsidRPr="003E245D">
        <w:rPr>
          <w:i/>
          <w:iCs/>
          <w:color w:val="003366"/>
          <w:sz w:val="18"/>
          <w:szCs w:val="18"/>
        </w:rPr>
        <w:fldChar w:fldCharType="begin"/>
      </w:r>
      <w:r w:rsidRPr="003E245D">
        <w:rPr>
          <w:i/>
          <w:iCs/>
          <w:color w:val="003366"/>
          <w:sz w:val="18"/>
          <w:szCs w:val="18"/>
        </w:rPr>
        <w:instrText xml:space="preserve"> SEQ Figura \* ARABIC </w:instrText>
      </w:r>
      <w:r w:rsidRPr="003E245D">
        <w:rPr>
          <w:i/>
          <w:iCs/>
          <w:color w:val="003366"/>
          <w:sz w:val="18"/>
          <w:szCs w:val="18"/>
        </w:rPr>
        <w:fldChar w:fldCharType="separate"/>
      </w:r>
      <w:r w:rsidR="00073B6D">
        <w:rPr>
          <w:i/>
          <w:iCs/>
          <w:noProof/>
          <w:color w:val="003366"/>
          <w:sz w:val="18"/>
          <w:szCs w:val="18"/>
        </w:rPr>
        <w:t>19</w:t>
      </w:r>
      <w:r w:rsidRPr="003E245D">
        <w:rPr>
          <w:i/>
          <w:iCs/>
          <w:noProof/>
          <w:color w:val="003366"/>
          <w:sz w:val="18"/>
          <w:szCs w:val="18"/>
        </w:rPr>
        <w:fldChar w:fldCharType="end"/>
      </w:r>
      <w:r w:rsidRPr="003E245D">
        <w:rPr>
          <w:i/>
          <w:iCs/>
          <w:color w:val="003366"/>
          <w:sz w:val="18"/>
          <w:szCs w:val="18"/>
        </w:rPr>
        <w:t xml:space="preserve"> – Localizzazione delle scuole secondarie di secondo grado</w:t>
      </w:r>
    </w:p>
    <w:p w14:paraId="531C374E" w14:textId="77777777" w:rsidR="003E245D" w:rsidRPr="003E245D" w:rsidRDefault="003E245D" w:rsidP="003E245D">
      <w:pPr>
        <w:spacing w:before="120" w:after="0" w:line="240" w:lineRule="auto"/>
      </w:pPr>
      <w:r w:rsidRPr="003E245D">
        <w:t>L’elaborazione dei dati demografici ISTAT 2024 può darci la fotografia dell’andamento della futura popolazione in età scolare all’interno del Bacino Metropolitano, per quanto attiene tale fascia si assisterà ad una diminuzione progressiva legata al tasso negativo di natalità in corso già da anni con una riduzione progressiva compresa tra il 2% e il 3% per anno. In particolare, per quanto attiene gli studenti delle scuole secondarie di secondo grado, se si raffronta il dato fornito dal MIUR sugli iscritti all’anno scolastico 2024-2025 e il dato ISTAT dei nati tra il 2006 e il 2010, si ha un rapporto del 80% di giovani inseriti nel sistema scolastico pubblico del bacino di riferimento.</w:t>
      </w:r>
    </w:p>
    <w:p w14:paraId="7C829EDF" w14:textId="77777777" w:rsidR="003E245D" w:rsidRPr="003E245D" w:rsidRDefault="003E245D" w:rsidP="003E245D">
      <w:pPr>
        <w:spacing w:before="120" w:after="0" w:line="240" w:lineRule="auto"/>
      </w:pPr>
      <w:r w:rsidRPr="003E245D">
        <w:t xml:space="preserve">Nel grafico sottostante sono riportati i dati relativi alla popolazione in età scolare prevista negli anni di riferimento dei futuri affidamenti (2027-2032). </w:t>
      </w:r>
    </w:p>
    <w:p w14:paraId="3A15D4A9" w14:textId="77777777" w:rsidR="003E245D" w:rsidRPr="003E245D" w:rsidRDefault="003E245D" w:rsidP="003E245D">
      <w:pPr>
        <w:spacing w:before="120" w:after="0" w:line="240" w:lineRule="auto"/>
      </w:pPr>
      <w:r w:rsidRPr="003E245D">
        <w:rPr>
          <w:noProof/>
        </w:rPr>
        <w:drawing>
          <wp:inline distT="0" distB="0" distL="0" distR="0" wp14:anchorId="7A36C60F" wp14:editId="22591FA4">
            <wp:extent cx="5759450" cy="1980565"/>
            <wp:effectExtent l="0" t="0" r="0" b="635"/>
            <wp:docPr id="757007316"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759450" cy="1980565"/>
                    </a:xfrm>
                    <a:prstGeom prst="rect">
                      <a:avLst/>
                    </a:prstGeom>
                    <a:noFill/>
                    <a:ln>
                      <a:noFill/>
                    </a:ln>
                  </pic:spPr>
                </pic:pic>
              </a:graphicData>
            </a:graphic>
          </wp:inline>
        </w:drawing>
      </w:r>
    </w:p>
    <w:p w14:paraId="728C36C7" w14:textId="07F4173C" w:rsidR="003E245D" w:rsidRPr="003E245D" w:rsidRDefault="003E245D" w:rsidP="003E245D">
      <w:pPr>
        <w:spacing w:after="200" w:line="240" w:lineRule="auto"/>
        <w:jc w:val="center"/>
        <w:rPr>
          <w:i/>
          <w:iCs/>
          <w:color w:val="003366"/>
          <w:sz w:val="18"/>
          <w:szCs w:val="18"/>
        </w:rPr>
      </w:pPr>
      <w:r w:rsidRPr="003E245D">
        <w:rPr>
          <w:i/>
          <w:iCs/>
          <w:color w:val="003366"/>
          <w:sz w:val="18"/>
          <w:szCs w:val="18"/>
        </w:rPr>
        <w:t xml:space="preserve">Figura </w:t>
      </w:r>
      <w:r w:rsidRPr="003E245D">
        <w:rPr>
          <w:i/>
          <w:iCs/>
          <w:color w:val="003366"/>
          <w:sz w:val="18"/>
          <w:szCs w:val="18"/>
        </w:rPr>
        <w:fldChar w:fldCharType="begin"/>
      </w:r>
      <w:r w:rsidRPr="003E245D">
        <w:rPr>
          <w:i/>
          <w:iCs/>
          <w:color w:val="003366"/>
          <w:sz w:val="18"/>
          <w:szCs w:val="18"/>
        </w:rPr>
        <w:instrText xml:space="preserve"> SEQ Figura \* ARABIC </w:instrText>
      </w:r>
      <w:r w:rsidRPr="003E245D">
        <w:rPr>
          <w:i/>
          <w:iCs/>
          <w:color w:val="003366"/>
          <w:sz w:val="18"/>
          <w:szCs w:val="18"/>
        </w:rPr>
        <w:fldChar w:fldCharType="separate"/>
      </w:r>
      <w:r w:rsidR="00073B6D">
        <w:rPr>
          <w:i/>
          <w:iCs/>
          <w:noProof/>
          <w:color w:val="003366"/>
          <w:sz w:val="18"/>
          <w:szCs w:val="18"/>
        </w:rPr>
        <w:t>20</w:t>
      </w:r>
      <w:r w:rsidRPr="003E245D">
        <w:rPr>
          <w:i/>
          <w:iCs/>
          <w:noProof/>
          <w:color w:val="003366"/>
          <w:sz w:val="18"/>
          <w:szCs w:val="18"/>
        </w:rPr>
        <w:fldChar w:fldCharType="end"/>
      </w:r>
      <w:r w:rsidRPr="003E245D">
        <w:rPr>
          <w:i/>
          <w:iCs/>
          <w:color w:val="003366"/>
          <w:sz w:val="18"/>
          <w:szCs w:val="18"/>
        </w:rPr>
        <w:t xml:space="preserve"> – Andamento potenziale della popolazione in età scolare</w:t>
      </w:r>
    </w:p>
    <w:p w14:paraId="0E5F1CE5" w14:textId="10E5F0C8" w:rsidR="003E245D" w:rsidRPr="003E245D" w:rsidRDefault="003E245D" w:rsidP="00B83396">
      <w:pPr>
        <w:spacing w:before="120" w:line="240" w:lineRule="auto"/>
      </w:pPr>
      <w:r w:rsidRPr="003E245D">
        <w:t xml:space="preserve">Sui dati sopra riportati si può stimare la popolazione scolastica se si presuppone un mantenimento del tasso d’iscrizione pari a quello registrato nel 2024. Per tanto si può prevedere che la popolazione </w:t>
      </w:r>
      <w:r w:rsidRPr="003E245D">
        <w:lastRenderedPageBreak/>
        <w:t>scolastica passi da circa 88.816 unità per l’anno scolastico 2026-2027 a circa 78.739 unità nell’anno scolastico 2031-2032.</w:t>
      </w:r>
    </w:p>
    <w:tbl>
      <w:tblPr>
        <w:tblW w:w="5880" w:type="dxa"/>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70" w:type="dxa"/>
          <w:right w:w="70" w:type="dxa"/>
        </w:tblCellMar>
        <w:tblLook w:val="04A0" w:firstRow="1" w:lastRow="0" w:firstColumn="1" w:lastColumn="0" w:noHBand="0" w:noVBand="1"/>
      </w:tblPr>
      <w:tblGrid>
        <w:gridCol w:w="1960"/>
        <w:gridCol w:w="1960"/>
        <w:gridCol w:w="1960"/>
      </w:tblGrid>
      <w:tr w:rsidR="003E245D" w:rsidRPr="003E245D" w14:paraId="3BB30268" w14:textId="77777777">
        <w:trPr>
          <w:trHeight w:val="20"/>
          <w:jc w:val="center"/>
        </w:trPr>
        <w:tc>
          <w:tcPr>
            <w:tcW w:w="1960" w:type="dxa"/>
            <w:tcBorders>
              <w:bottom w:val="nil"/>
            </w:tcBorders>
            <w:shd w:val="clear" w:color="auto" w:fill="EE3438"/>
            <w:noWrap/>
            <w:vAlign w:val="center"/>
            <w:hideMark/>
          </w:tcPr>
          <w:p w14:paraId="71E440C6" w14:textId="77777777" w:rsidR="003E245D" w:rsidRPr="000D22C0" w:rsidRDefault="003E245D" w:rsidP="003E245D">
            <w:pPr>
              <w:spacing w:after="0" w:line="240" w:lineRule="auto"/>
              <w:jc w:val="center"/>
              <w:rPr>
                <w:rFonts w:eastAsia="Times New Roman" w:cs="Calibri"/>
                <w:b/>
                <w:color w:val="FFFFFF" w:themeColor="background1"/>
                <w:sz w:val="20"/>
                <w:szCs w:val="20"/>
              </w:rPr>
            </w:pPr>
            <w:r w:rsidRPr="000D22C0">
              <w:rPr>
                <w:rFonts w:eastAsia="Times New Roman" w:cs="Calibri"/>
                <w:b/>
                <w:color w:val="FFFFFF" w:themeColor="background1"/>
                <w:sz w:val="20"/>
                <w:szCs w:val="20"/>
              </w:rPr>
              <w:t>Anno</w:t>
            </w:r>
          </w:p>
        </w:tc>
        <w:tc>
          <w:tcPr>
            <w:tcW w:w="1960" w:type="dxa"/>
            <w:vMerge w:val="restart"/>
            <w:shd w:val="clear" w:color="auto" w:fill="EE3438"/>
            <w:noWrap/>
            <w:vAlign w:val="center"/>
            <w:hideMark/>
          </w:tcPr>
          <w:p w14:paraId="5C95E5FD" w14:textId="6D573D68" w:rsidR="003E245D" w:rsidRPr="000D22C0" w:rsidRDefault="000D22C0" w:rsidP="003E245D">
            <w:pPr>
              <w:spacing w:after="0" w:line="240" w:lineRule="auto"/>
              <w:jc w:val="center"/>
              <w:rPr>
                <w:rFonts w:eastAsia="Times New Roman" w:cs="Calibri"/>
                <w:b/>
                <w:color w:val="FFFFFF" w:themeColor="background1"/>
                <w:sz w:val="20"/>
                <w:szCs w:val="20"/>
              </w:rPr>
            </w:pPr>
            <w:r>
              <w:rPr>
                <w:rFonts w:eastAsia="Times New Roman" w:cs="Calibri"/>
                <w:b/>
                <w:color w:val="FFFFFF" w:themeColor="background1"/>
                <w:sz w:val="20"/>
                <w:szCs w:val="20"/>
              </w:rPr>
              <w:t>P</w:t>
            </w:r>
            <w:r w:rsidR="003E245D" w:rsidRPr="000D22C0">
              <w:rPr>
                <w:rFonts w:eastAsia="Times New Roman" w:cs="Calibri"/>
                <w:b/>
                <w:color w:val="FFFFFF" w:themeColor="background1"/>
                <w:sz w:val="20"/>
                <w:szCs w:val="20"/>
              </w:rPr>
              <w:t>opolazione 13-18</w:t>
            </w:r>
          </w:p>
        </w:tc>
        <w:tc>
          <w:tcPr>
            <w:tcW w:w="1960" w:type="dxa"/>
            <w:vMerge w:val="restart"/>
            <w:shd w:val="clear" w:color="auto" w:fill="EE3438"/>
            <w:noWrap/>
            <w:vAlign w:val="center"/>
            <w:hideMark/>
          </w:tcPr>
          <w:p w14:paraId="7DA4F0B3" w14:textId="19C7B4F2" w:rsidR="003E245D" w:rsidRPr="000D22C0" w:rsidRDefault="000D22C0" w:rsidP="003E245D">
            <w:pPr>
              <w:spacing w:after="0" w:line="240" w:lineRule="auto"/>
              <w:jc w:val="center"/>
              <w:rPr>
                <w:rFonts w:eastAsia="Times New Roman" w:cs="Calibri"/>
                <w:b/>
                <w:color w:val="FFFFFF" w:themeColor="background1"/>
                <w:sz w:val="20"/>
                <w:szCs w:val="20"/>
              </w:rPr>
            </w:pPr>
            <w:r>
              <w:rPr>
                <w:rFonts w:eastAsia="Times New Roman" w:cs="Calibri"/>
                <w:b/>
                <w:color w:val="FFFFFF" w:themeColor="background1"/>
                <w:sz w:val="20"/>
                <w:szCs w:val="20"/>
              </w:rPr>
              <w:t>P</w:t>
            </w:r>
            <w:r w:rsidR="003E245D" w:rsidRPr="000D22C0">
              <w:rPr>
                <w:rFonts w:eastAsia="Times New Roman" w:cs="Calibri"/>
                <w:b/>
                <w:color w:val="FFFFFF" w:themeColor="background1"/>
                <w:sz w:val="20"/>
                <w:szCs w:val="20"/>
              </w:rPr>
              <w:t>opolazione studentesca</w:t>
            </w:r>
          </w:p>
        </w:tc>
      </w:tr>
      <w:tr w:rsidR="003E245D" w:rsidRPr="003E245D" w14:paraId="27BD6DCF" w14:textId="77777777">
        <w:trPr>
          <w:trHeight w:val="20"/>
          <w:jc w:val="center"/>
        </w:trPr>
        <w:tc>
          <w:tcPr>
            <w:tcW w:w="1960" w:type="dxa"/>
            <w:tcBorders>
              <w:top w:val="nil"/>
            </w:tcBorders>
            <w:shd w:val="clear" w:color="auto" w:fill="EE3438"/>
            <w:noWrap/>
            <w:vAlign w:val="center"/>
            <w:hideMark/>
          </w:tcPr>
          <w:p w14:paraId="5D702187" w14:textId="77777777" w:rsidR="003E245D" w:rsidRPr="003E245D" w:rsidRDefault="003E245D" w:rsidP="003E245D">
            <w:pPr>
              <w:spacing w:after="0" w:line="240" w:lineRule="auto"/>
              <w:jc w:val="center"/>
              <w:rPr>
                <w:rFonts w:eastAsia="Times New Roman" w:cs="Calibri"/>
                <w:b/>
                <w:color w:val="000000"/>
                <w:sz w:val="20"/>
                <w:szCs w:val="20"/>
              </w:rPr>
            </w:pPr>
            <w:r w:rsidRPr="000D22C0">
              <w:rPr>
                <w:rFonts w:eastAsia="Times New Roman" w:cs="Calibri"/>
                <w:b/>
                <w:color w:val="FFFFFF" w:themeColor="background1"/>
                <w:sz w:val="20"/>
                <w:szCs w:val="20"/>
              </w:rPr>
              <w:t>Scolastico</w:t>
            </w:r>
          </w:p>
        </w:tc>
        <w:tc>
          <w:tcPr>
            <w:tcW w:w="1960" w:type="dxa"/>
            <w:vMerge/>
            <w:shd w:val="clear" w:color="auto" w:fill="EE3438"/>
            <w:vAlign w:val="center"/>
            <w:hideMark/>
          </w:tcPr>
          <w:p w14:paraId="31C31867" w14:textId="77777777" w:rsidR="003E245D" w:rsidRPr="003E245D" w:rsidRDefault="003E245D" w:rsidP="003E245D">
            <w:pPr>
              <w:spacing w:after="0" w:line="240" w:lineRule="auto"/>
              <w:jc w:val="center"/>
              <w:rPr>
                <w:rFonts w:eastAsia="Times New Roman" w:cs="Calibri"/>
                <w:b/>
                <w:color w:val="000000"/>
                <w:sz w:val="20"/>
                <w:szCs w:val="20"/>
              </w:rPr>
            </w:pPr>
          </w:p>
        </w:tc>
        <w:tc>
          <w:tcPr>
            <w:tcW w:w="1960" w:type="dxa"/>
            <w:vMerge/>
            <w:shd w:val="clear" w:color="auto" w:fill="FFC000"/>
            <w:vAlign w:val="center"/>
            <w:hideMark/>
          </w:tcPr>
          <w:p w14:paraId="248BF186" w14:textId="77777777" w:rsidR="003E245D" w:rsidRPr="003E245D" w:rsidRDefault="003E245D" w:rsidP="003E245D">
            <w:pPr>
              <w:spacing w:after="0" w:line="240" w:lineRule="auto"/>
              <w:jc w:val="center"/>
              <w:rPr>
                <w:rFonts w:eastAsia="Times New Roman" w:cs="Calibri"/>
                <w:b/>
                <w:color w:val="000000"/>
                <w:sz w:val="20"/>
                <w:szCs w:val="20"/>
              </w:rPr>
            </w:pPr>
          </w:p>
        </w:tc>
      </w:tr>
      <w:tr w:rsidR="003E245D" w:rsidRPr="003E245D" w14:paraId="3CDEB4C1" w14:textId="77777777">
        <w:trPr>
          <w:trHeight w:val="20"/>
          <w:jc w:val="center"/>
        </w:trPr>
        <w:tc>
          <w:tcPr>
            <w:tcW w:w="1960" w:type="dxa"/>
            <w:noWrap/>
            <w:vAlign w:val="center"/>
            <w:hideMark/>
          </w:tcPr>
          <w:p w14:paraId="292A66A8" w14:textId="77777777" w:rsidR="003E245D" w:rsidRPr="003E245D" w:rsidRDefault="003E245D" w:rsidP="003E245D">
            <w:pPr>
              <w:spacing w:after="0" w:line="240" w:lineRule="auto"/>
              <w:jc w:val="center"/>
              <w:rPr>
                <w:rFonts w:eastAsia="Times New Roman" w:cs="Calibri"/>
                <w:color w:val="000000"/>
                <w:sz w:val="20"/>
                <w:szCs w:val="20"/>
              </w:rPr>
            </w:pPr>
            <w:r w:rsidRPr="003E245D">
              <w:rPr>
                <w:rFonts w:eastAsia="Times New Roman" w:cs="Calibri"/>
                <w:color w:val="000000"/>
                <w:sz w:val="20"/>
                <w:szCs w:val="20"/>
              </w:rPr>
              <w:t>26-27</w:t>
            </w:r>
          </w:p>
        </w:tc>
        <w:tc>
          <w:tcPr>
            <w:tcW w:w="1960" w:type="dxa"/>
            <w:noWrap/>
            <w:hideMark/>
          </w:tcPr>
          <w:p w14:paraId="5AB1074F" w14:textId="77777777" w:rsidR="003E245D" w:rsidRPr="003E245D" w:rsidRDefault="003E245D" w:rsidP="003E245D">
            <w:pPr>
              <w:spacing w:after="0" w:line="240" w:lineRule="auto"/>
              <w:jc w:val="center"/>
              <w:rPr>
                <w:rFonts w:eastAsia="Times New Roman" w:cs="Calibri"/>
                <w:color w:val="000000"/>
                <w:sz w:val="20"/>
                <w:szCs w:val="20"/>
              </w:rPr>
            </w:pPr>
            <w:r w:rsidRPr="003E245D">
              <w:rPr>
                <w:sz w:val="20"/>
                <w:szCs w:val="20"/>
              </w:rPr>
              <w:t>111.020</w:t>
            </w:r>
          </w:p>
        </w:tc>
        <w:tc>
          <w:tcPr>
            <w:tcW w:w="1960" w:type="dxa"/>
            <w:noWrap/>
            <w:hideMark/>
          </w:tcPr>
          <w:p w14:paraId="54723817" w14:textId="77777777" w:rsidR="003E245D" w:rsidRPr="003E245D" w:rsidRDefault="003E245D" w:rsidP="003E245D">
            <w:pPr>
              <w:spacing w:after="0" w:line="240" w:lineRule="auto"/>
              <w:jc w:val="center"/>
              <w:rPr>
                <w:rFonts w:eastAsia="Times New Roman" w:cs="Calibri"/>
                <w:color w:val="000000"/>
                <w:sz w:val="20"/>
                <w:szCs w:val="20"/>
              </w:rPr>
            </w:pPr>
            <w:r w:rsidRPr="003E245D">
              <w:rPr>
                <w:sz w:val="20"/>
                <w:szCs w:val="20"/>
              </w:rPr>
              <w:t>88.816</w:t>
            </w:r>
          </w:p>
        </w:tc>
      </w:tr>
      <w:tr w:rsidR="003E245D" w:rsidRPr="003E245D" w14:paraId="6E426610" w14:textId="77777777">
        <w:trPr>
          <w:trHeight w:val="20"/>
          <w:jc w:val="center"/>
        </w:trPr>
        <w:tc>
          <w:tcPr>
            <w:tcW w:w="1960" w:type="dxa"/>
            <w:noWrap/>
            <w:vAlign w:val="center"/>
            <w:hideMark/>
          </w:tcPr>
          <w:p w14:paraId="46C92741" w14:textId="77777777" w:rsidR="003E245D" w:rsidRPr="003E245D" w:rsidRDefault="003E245D" w:rsidP="003E245D">
            <w:pPr>
              <w:spacing w:after="0" w:line="240" w:lineRule="auto"/>
              <w:jc w:val="center"/>
              <w:rPr>
                <w:rFonts w:eastAsia="Times New Roman" w:cs="Calibri"/>
                <w:color w:val="000000"/>
                <w:sz w:val="20"/>
                <w:szCs w:val="20"/>
              </w:rPr>
            </w:pPr>
            <w:r w:rsidRPr="003E245D">
              <w:rPr>
                <w:rFonts w:eastAsia="Times New Roman" w:cs="Calibri"/>
                <w:color w:val="000000"/>
                <w:sz w:val="20"/>
                <w:szCs w:val="20"/>
              </w:rPr>
              <w:t>27-28</w:t>
            </w:r>
          </w:p>
        </w:tc>
        <w:tc>
          <w:tcPr>
            <w:tcW w:w="1960" w:type="dxa"/>
            <w:noWrap/>
            <w:hideMark/>
          </w:tcPr>
          <w:p w14:paraId="2DF3CBF8" w14:textId="77777777" w:rsidR="003E245D" w:rsidRPr="003E245D" w:rsidRDefault="003E245D" w:rsidP="003E245D">
            <w:pPr>
              <w:spacing w:after="0" w:line="240" w:lineRule="auto"/>
              <w:jc w:val="center"/>
              <w:rPr>
                <w:rFonts w:eastAsia="Times New Roman" w:cs="Calibri"/>
                <w:color w:val="000000"/>
                <w:sz w:val="20"/>
                <w:szCs w:val="20"/>
              </w:rPr>
            </w:pPr>
            <w:r w:rsidRPr="003E245D">
              <w:rPr>
                <w:sz w:val="20"/>
                <w:szCs w:val="20"/>
              </w:rPr>
              <w:t>108.951</w:t>
            </w:r>
          </w:p>
        </w:tc>
        <w:tc>
          <w:tcPr>
            <w:tcW w:w="1960" w:type="dxa"/>
            <w:noWrap/>
            <w:hideMark/>
          </w:tcPr>
          <w:p w14:paraId="7CE4BD62" w14:textId="77777777" w:rsidR="003E245D" w:rsidRPr="003E245D" w:rsidRDefault="003E245D" w:rsidP="003E245D">
            <w:pPr>
              <w:spacing w:after="0" w:line="240" w:lineRule="auto"/>
              <w:jc w:val="center"/>
              <w:rPr>
                <w:rFonts w:eastAsia="Times New Roman" w:cs="Calibri"/>
                <w:color w:val="000000"/>
                <w:sz w:val="20"/>
                <w:szCs w:val="20"/>
              </w:rPr>
            </w:pPr>
            <w:r w:rsidRPr="003E245D">
              <w:rPr>
                <w:sz w:val="20"/>
                <w:szCs w:val="20"/>
              </w:rPr>
              <w:t>87.161</w:t>
            </w:r>
          </w:p>
        </w:tc>
      </w:tr>
      <w:tr w:rsidR="003E245D" w:rsidRPr="003E245D" w14:paraId="2A750315" w14:textId="77777777">
        <w:trPr>
          <w:trHeight w:val="20"/>
          <w:jc w:val="center"/>
        </w:trPr>
        <w:tc>
          <w:tcPr>
            <w:tcW w:w="1960" w:type="dxa"/>
            <w:noWrap/>
            <w:vAlign w:val="center"/>
            <w:hideMark/>
          </w:tcPr>
          <w:p w14:paraId="0452719F" w14:textId="77777777" w:rsidR="003E245D" w:rsidRPr="003E245D" w:rsidRDefault="003E245D" w:rsidP="003E245D">
            <w:pPr>
              <w:spacing w:after="0" w:line="240" w:lineRule="auto"/>
              <w:jc w:val="center"/>
              <w:rPr>
                <w:rFonts w:eastAsia="Times New Roman" w:cs="Calibri"/>
                <w:color w:val="000000"/>
                <w:sz w:val="20"/>
                <w:szCs w:val="20"/>
              </w:rPr>
            </w:pPr>
            <w:r w:rsidRPr="003E245D">
              <w:rPr>
                <w:rFonts w:eastAsia="Times New Roman" w:cs="Calibri"/>
                <w:color w:val="000000"/>
                <w:sz w:val="20"/>
                <w:szCs w:val="20"/>
              </w:rPr>
              <w:t>28-29</w:t>
            </w:r>
          </w:p>
        </w:tc>
        <w:tc>
          <w:tcPr>
            <w:tcW w:w="1960" w:type="dxa"/>
            <w:noWrap/>
            <w:hideMark/>
          </w:tcPr>
          <w:p w14:paraId="69DD9356" w14:textId="77777777" w:rsidR="003E245D" w:rsidRPr="003E245D" w:rsidRDefault="003E245D" w:rsidP="003E245D">
            <w:pPr>
              <w:spacing w:after="0" w:line="240" w:lineRule="auto"/>
              <w:jc w:val="center"/>
              <w:rPr>
                <w:rFonts w:eastAsia="Times New Roman" w:cs="Calibri"/>
                <w:color w:val="000000"/>
                <w:sz w:val="20"/>
                <w:szCs w:val="20"/>
              </w:rPr>
            </w:pPr>
            <w:r w:rsidRPr="003E245D">
              <w:rPr>
                <w:sz w:val="20"/>
                <w:szCs w:val="20"/>
              </w:rPr>
              <w:t>106.458</w:t>
            </w:r>
          </w:p>
        </w:tc>
        <w:tc>
          <w:tcPr>
            <w:tcW w:w="1960" w:type="dxa"/>
            <w:noWrap/>
            <w:hideMark/>
          </w:tcPr>
          <w:p w14:paraId="746A3B62" w14:textId="77777777" w:rsidR="003E245D" w:rsidRPr="003E245D" w:rsidRDefault="003E245D" w:rsidP="003E245D">
            <w:pPr>
              <w:spacing w:after="0" w:line="240" w:lineRule="auto"/>
              <w:jc w:val="center"/>
              <w:rPr>
                <w:rFonts w:eastAsia="Times New Roman" w:cs="Calibri"/>
                <w:color w:val="000000"/>
                <w:sz w:val="20"/>
                <w:szCs w:val="20"/>
              </w:rPr>
            </w:pPr>
            <w:r w:rsidRPr="003E245D">
              <w:rPr>
                <w:sz w:val="20"/>
                <w:szCs w:val="20"/>
              </w:rPr>
              <w:t>85.166</w:t>
            </w:r>
          </w:p>
        </w:tc>
      </w:tr>
      <w:tr w:rsidR="003E245D" w:rsidRPr="003E245D" w14:paraId="68EC608D" w14:textId="77777777">
        <w:trPr>
          <w:trHeight w:val="20"/>
          <w:jc w:val="center"/>
        </w:trPr>
        <w:tc>
          <w:tcPr>
            <w:tcW w:w="1960" w:type="dxa"/>
            <w:noWrap/>
            <w:vAlign w:val="center"/>
            <w:hideMark/>
          </w:tcPr>
          <w:p w14:paraId="6604066E" w14:textId="77777777" w:rsidR="003E245D" w:rsidRPr="003E245D" w:rsidRDefault="003E245D" w:rsidP="003E245D">
            <w:pPr>
              <w:spacing w:after="0" w:line="240" w:lineRule="auto"/>
              <w:jc w:val="center"/>
              <w:rPr>
                <w:rFonts w:eastAsia="Times New Roman" w:cs="Calibri"/>
                <w:color w:val="000000"/>
                <w:sz w:val="20"/>
                <w:szCs w:val="20"/>
              </w:rPr>
            </w:pPr>
            <w:r w:rsidRPr="003E245D">
              <w:rPr>
                <w:rFonts w:eastAsia="Times New Roman" w:cs="Calibri"/>
                <w:color w:val="000000"/>
                <w:sz w:val="20"/>
                <w:szCs w:val="20"/>
              </w:rPr>
              <w:t>29-30</w:t>
            </w:r>
          </w:p>
        </w:tc>
        <w:tc>
          <w:tcPr>
            <w:tcW w:w="1960" w:type="dxa"/>
            <w:noWrap/>
            <w:hideMark/>
          </w:tcPr>
          <w:p w14:paraId="4377A6F1" w14:textId="77777777" w:rsidR="003E245D" w:rsidRPr="003E245D" w:rsidRDefault="003E245D" w:rsidP="003E245D">
            <w:pPr>
              <w:spacing w:after="0" w:line="240" w:lineRule="auto"/>
              <w:jc w:val="center"/>
              <w:rPr>
                <w:rFonts w:eastAsia="Times New Roman" w:cs="Calibri"/>
                <w:color w:val="000000"/>
                <w:sz w:val="20"/>
                <w:szCs w:val="20"/>
              </w:rPr>
            </w:pPr>
            <w:r w:rsidRPr="003E245D">
              <w:rPr>
                <w:sz w:val="20"/>
                <w:szCs w:val="20"/>
              </w:rPr>
              <w:t>103.900</w:t>
            </w:r>
          </w:p>
        </w:tc>
        <w:tc>
          <w:tcPr>
            <w:tcW w:w="1960" w:type="dxa"/>
            <w:noWrap/>
            <w:hideMark/>
          </w:tcPr>
          <w:p w14:paraId="604C447D" w14:textId="77777777" w:rsidR="003E245D" w:rsidRPr="003E245D" w:rsidRDefault="003E245D" w:rsidP="003E245D">
            <w:pPr>
              <w:spacing w:after="0" w:line="240" w:lineRule="auto"/>
              <w:jc w:val="center"/>
              <w:rPr>
                <w:rFonts w:eastAsia="Times New Roman" w:cs="Calibri"/>
                <w:color w:val="000000"/>
                <w:sz w:val="20"/>
                <w:szCs w:val="20"/>
              </w:rPr>
            </w:pPr>
            <w:r w:rsidRPr="003E245D">
              <w:rPr>
                <w:sz w:val="20"/>
                <w:szCs w:val="20"/>
              </w:rPr>
              <w:t>83.120</w:t>
            </w:r>
          </w:p>
        </w:tc>
      </w:tr>
      <w:tr w:rsidR="003E245D" w:rsidRPr="003E245D" w14:paraId="301A7FB5" w14:textId="77777777">
        <w:trPr>
          <w:trHeight w:val="20"/>
          <w:jc w:val="center"/>
        </w:trPr>
        <w:tc>
          <w:tcPr>
            <w:tcW w:w="1960" w:type="dxa"/>
            <w:noWrap/>
            <w:vAlign w:val="center"/>
            <w:hideMark/>
          </w:tcPr>
          <w:p w14:paraId="4F40E5B3" w14:textId="77777777" w:rsidR="003E245D" w:rsidRPr="003E245D" w:rsidRDefault="003E245D" w:rsidP="003E245D">
            <w:pPr>
              <w:spacing w:after="0" w:line="240" w:lineRule="auto"/>
              <w:jc w:val="center"/>
              <w:rPr>
                <w:rFonts w:eastAsia="Times New Roman" w:cs="Calibri"/>
                <w:color w:val="000000"/>
                <w:sz w:val="20"/>
                <w:szCs w:val="20"/>
              </w:rPr>
            </w:pPr>
            <w:r w:rsidRPr="003E245D">
              <w:rPr>
                <w:rFonts w:eastAsia="Times New Roman" w:cs="Calibri"/>
                <w:color w:val="000000"/>
                <w:sz w:val="20"/>
                <w:szCs w:val="20"/>
              </w:rPr>
              <w:t>30-31</w:t>
            </w:r>
          </w:p>
        </w:tc>
        <w:tc>
          <w:tcPr>
            <w:tcW w:w="1960" w:type="dxa"/>
            <w:noWrap/>
            <w:hideMark/>
          </w:tcPr>
          <w:p w14:paraId="07B8F420" w14:textId="77777777" w:rsidR="003E245D" w:rsidRPr="003E245D" w:rsidRDefault="003E245D" w:rsidP="003E245D">
            <w:pPr>
              <w:spacing w:after="0" w:line="240" w:lineRule="auto"/>
              <w:jc w:val="center"/>
              <w:rPr>
                <w:rFonts w:eastAsia="Times New Roman" w:cs="Calibri"/>
                <w:color w:val="000000"/>
                <w:sz w:val="20"/>
                <w:szCs w:val="20"/>
              </w:rPr>
            </w:pPr>
            <w:r w:rsidRPr="003E245D">
              <w:rPr>
                <w:sz w:val="20"/>
                <w:szCs w:val="20"/>
              </w:rPr>
              <w:t>101.334</w:t>
            </w:r>
          </w:p>
        </w:tc>
        <w:tc>
          <w:tcPr>
            <w:tcW w:w="1960" w:type="dxa"/>
            <w:noWrap/>
            <w:hideMark/>
          </w:tcPr>
          <w:p w14:paraId="5D7A18E9" w14:textId="77777777" w:rsidR="003E245D" w:rsidRPr="003E245D" w:rsidRDefault="003E245D" w:rsidP="003E245D">
            <w:pPr>
              <w:spacing w:after="0" w:line="240" w:lineRule="auto"/>
              <w:jc w:val="center"/>
              <w:rPr>
                <w:rFonts w:eastAsia="Times New Roman" w:cs="Calibri"/>
                <w:color w:val="000000"/>
                <w:sz w:val="20"/>
                <w:szCs w:val="20"/>
              </w:rPr>
            </w:pPr>
            <w:r w:rsidRPr="003E245D">
              <w:rPr>
                <w:sz w:val="20"/>
                <w:szCs w:val="20"/>
              </w:rPr>
              <w:t>81.067</w:t>
            </w:r>
          </w:p>
        </w:tc>
      </w:tr>
      <w:tr w:rsidR="003E245D" w:rsidRPr="003E245D" w14:paraId="188E00E0" w14:textId="77777777">
        <w:trPr>
          <w:trHeight w:val="20"/>
          <w:jc w:val="center"/>
        </w:trPr>
        <w:tc>
          <w:tcPr>
            <w:tcW w:w="1960" w:type="dxa"/>
            <w:noWrap/>
            <w:vAlign w:val="center"/>
            <w:hideMark/>
          </w:tcPr>
          <w:p w14:paraId="03A20D29" w14:textId="77777777" w:rsidR="003E245D" w:rsidRPr="003E245D" w:rsidRDefault="003E245D" w:rsidP="003E245D">
            <w:pPr>
              <w:spacing w:after="0" w:line="240" w:lineRule="auto"/>
              <w:jc w:val="center"/>
              <w:rPr>
                <w:rFonts w:eastAsia="Times New Roman" w:cs="Calibri"/>
                <w:color w:val="000000"/>
                <w:sz w:val="20"/>
                <w:szCs w:val="20"/>
              </w:rPr>
            </w:pPr>
            <w:r w:rsidRPr="003E245D">
              <w:rPr>
                <w:rFonts w:eastAsia="Times New Roman" w:cs="Calibri"/>
                <w:color w:val="000000"/>
                <w:sz w:val="20"/>
                <w:szCs w:val="20"/>
              </w:rPr>
              <w:t>31-32</w:t>
            </w:r>
          </w:p>
        </w:tc>
        <w:tc>
          <w:tcPr>
            <w:tcW w:w="1960" w:type="dxa"/>
            <w:noWrap/>
            <w:hideMark/>
          </w:tcPr>
          <w:p w14:paraId="7ADF9F87" w14:textId="77777777" w:rsidR="003E245D" w:rsidRPr="003E245D" w:rsidRDefault="003E245D" w:rsidP="003E245D">
            <w:pPr>
              <w:spacing w:after="0" w:line="240" w:lineRule="auto"/>
              <w:jc w:val="center"/>
              <w:rPr>
                <w:rFonts w:eastAsia="Times New Roman" w:cs="Calibri"/>
                <w:color w:val="000000"/>
                <w:sz w:val="20"/>
                <w:szCs w:val="20"/>
              </w:rPr>
            </w:pPr>
            <w:r w:rsidRPr="003E245D">
              <w:rPr>
                <w:sz w:val="20"/>
                <w:szCs w:val="20"/>
              </w:rPr>
              <w:t>98.424</w:t>
            </w:r>
          </w:p>
        </w:tc>
        <w:tc>
          <w:tcPr>
            <w:tcW w:w="1960" w:type="dxa"/>
            <w:noWrap/>
            <w:hideMark/>
          </w:tcPr>
          <w:p w14:paraId="6FF802BD" w14:textId="77777777" w:rsidR="003E245D" w:rsidRPr="003E245D" w:rsidRDefault="003E245D" w:rsidP="003E245D">
            <w:pPr>
              <w:spacing w:after="0" w:line="240" w:lineRule="auto"/>
              <w:jc w:val="center"/>
              <w:rPr>
                <w:rFonts w:eastAsia="Times New Roman" w:cs="Calibri"/>
                <w:color w:val="000000"/>
                <w:sz w:val="20"/>
                <w:szCs w:val="20"/>
              </w:rPr>
            </w:pPr>
            <w:r w:rsidRPr="003E245D">
              <w:rPr>
                <w:sz w:val="20"/>
                <w:szCs w:val="20"/>
              </w:rPr>
              <w:t>78.739</w:t>
            </w:r>
          </w:p>
        </w:tc>
      </w:tr>
    </w:tbl>
    <w:p w14:paraId="7ABF80C1" w14:textId="18BA1DA7" w:rsidR="003E245D" w:rsidRPr="00B83396" w:rsidRDefault="003E245D" w:rsidP="00B83396">
      <w:pPr>
        <w:spacing w:after="200" w:line="240" w:lineRule="auto"/>
        <w:jc w:val="center"/>
        <w:rPr>
          <w:i/>
          <w:color w:val="17406D" w:themeColor="text2"/>
          <w:sz w:val="18"/>
          <w:szCs w:val="18"/>
        </w:rPr>
      </w:pPr>
      <w:r w:rsidRPr="003E245D">
        <w:rPr>
          <w:i/>
          <w:iCs/>
          <w:color w:val="17406D" w:themeColor="text2"/>
          <w:sz w:val="18"/>
          <w:szCs w:val="18"/>
        </w:rPr>
        <w:t xml:space="preserve">Tabella </w:t>
      </w:r>
      <w:r w:rsidRPr="003E245D">
        <w:rPr>
          <w:i/>
          <w:iCs/>
          <w:color w:val="17406D" w:themeColor="text2"/>
          <w:sz w:val="18"/>
          <w:szCs w:val="18"/>
        </w:rPr>
        <w:fldChar w:fldCharType="begin"/>
      </w:r>
      <w:r w:rsidRPr="003E245D">
        <w:rPr>
          <w:i/>
          <w:iCs/>
          <w:color w:val="17406D" w:themeColor="text2"/>
          <w:sz w:val="18"/>
          <w:szCs w:val="18"/>
        </w:rPr>
        <w:instrText xml:space="preserve"> SEQ Tabella \* ARABIC </w:instrText>
      </w:r>
      <w:r w:rsidRPr="003E245D">
        <w:rPr>
          <w:i/>
          <w:iCs/>
          <w:color w:val="17406D" w:themeColor="text2"/>
          <w:sz w:val="18"/>
          <w:szCs w:val="18"/>
        </w:rPr>
        <w:fldChar w:fldCharType="separate"/>
      </w:r>
      <w:r w:rsidR="00073B6D">
        <w:rPr>
          <w:i/>
          <w:iCs/>
          <w:noProof/>
          <w:color w:val="17406D" w:themeColor="text2"/>
          <w:sz w:val="18"/>
          <w:szCs w:val="18"/>
        </w:rPr>
        <w:t>24</w:t>
      </w:r>
      <w:r w:rsidRPr="003E245D">
        <w:rPr>
          <w:i/>
          <w:iCs/>
          <w:noProof/>
          <w:color w:val="17406D" w:themeColor="text2"/>
          <w:sz w:val="18"/>
          <w:szCs w:val="18"/>
        </w:rPr>
        <w:fldChar w:fldCharType="end"/>
      </w:r>
      <w:r w:rsidRPr="003E245D">
        <w:rPr>
          <w:i/>
          <w:iCs/>
          <w:color w:val="17406D" w:themeColor="text2"/>
          <w:sz w:val="18"/>
          <w:szCs w:val="18"/>
        </w:rPr>
        <w:t xml:space="preserve"> – Stima della popolazione studentesca del TPL</w:t>
      </w:r>
      <w:bookmarkStart w:id="170" w:name="_Toc1543929158"/>
      <w:bookmarkStart w:id="171" w:name="_Toc197695676"/>
      <w:bookmarkStart w:id="172" w:name="_Toc204616489"/>
    </w:p>
    <w:p w14:paraId="1FBB6D5E" w14:textId="77777777" w:rsidR="003E245D" w:rsidRPr="003E245D" w:rsidRDefault="003E245D" w:rsidP="003E245D">
      <w:pPr>
        <w:spacing w:before="120" w:after="0" w:line="240" w:lineRule="auto"/>
        <w:jc w:val="center"/>
      </w:pPr>
      <w:r w:rsidRPr="003E245D">
        <w:rPr>
          <w:noProof/>
        </w:rPr>
        <w:drawing>
          <wp:inline distT="0" distB="0" distL="0" distR="0" wp14:anchorId="501FA986" wp14:editId="69B75670">
            <wp:extent cx="5760000" cy="3369872"/>
            <wp:effectExtent l="0" t="0" r="0" b="2540"/>
            <wp:docPr id="1007537001" name="Immagine 1" descr="Immagine che contiene testo, schermata, linea, Parallel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537001" name="Immagine 1" descr="Immagine che contiene testo, schermata, linea, Parallelo&#10;&#10;Descrizione generata automaticamente"/>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5760000" cy="3369872"/>
                    </a:xfrm>
                    <a:prstGeom prst="rect">
                      <a:avLst/>
                    </a:prstGeom>
                    <a:noFill/>
                  </pic:spPr>
                </pic:pic>
              </a:graphicData>
            </a:graphic>
          </wp:inline>
        </w:drawing>
      </w:r>
    </w:p>
    <w:p w14:paraId="745F6F5C" w14:textId="7F2E4FB5" w:rsidR="003E245D" w:rsidRPr="003E245D" w:rsidRDefault="003E245D" w:rsidP="003E245D">
      <w:pPr>
        <w:spacing w:after="200" w:line="240" w:lineRule="auto"/>
        <w:jc w:val="center"/>
        <w:rPr>
          <w:i/>
          <w:iCs/>
          <w:color w:val="003366"/>
          <w:sz w:val="18"/>
          <w:szCs w:val="18"/>
        </w:rPr>
      </w:pPr>
      <w:r w:rsidRPr="003E245D">
        <w:rPr>
          <w:i/>
          <w:iCs/>
          <w:color w:val="003366"/>
          <w:sz w:val="18"/>
          <w:szCs w:val="18"/>
        </w:rPr>
        <w:t xml:space="preserve">Figura </w:t>
      </w:r>
      <w:r w:rsidRPr="003E245D">
        <w:rPr>
          <w:i/>
          <w:iCs/>
          <w:color w:val="003366"/>
          <w:sz w:val="18"/>
          <w:szCs w:val="18"/>
        </w:rPr>
        <w:fldChar w:fldCharType="begin"/>
      </w:r>
      <w:r w:rsidRPr="003E245D">
        <w:rPr>
          <w:i/>
          <w:iCs/>
          <w:color w:val="003366"/>
          <w:sz w:val="18"/>
          <w:szCs w:val="18"/>
        </w:rPr>
        <w:instrText xml:space="preserve"> SEQ Figura \* ARABIC </w:instrText>
      </w:r>
      <w:r w:rsidRPr="003E245D">
        <w:rPr>
          <w:i/>
          <w:iCs/>
          <w:color w:val="003366"/>
          <w:sz w:val="18"/>
          <w:szCs w:val="18"/>
        </w:rPr>
        <w:fldChar w:fldCharType="separate"/>
      </w:r>
      <w:r w:rsidR="00073B6D">
        <w:rPr>
          <w:i/>
          <w:iCs/>
          <w:noProof/>
          <w:color w:val="003366"/>
          <w:sz w:val="18"/>
          <w:szCs w:val="18"/>
        </w:rPr>
        <w:t>21</w:t>
      </w:r>
      <w:r w:rsidRPr="003E245D">
        <w:rPr>
          <w:i/>
          <w:iCs/>
          <w:noProof/>
          <w:color w:val="003366"/>
          <w:sz w:val="18"/>
          <w:szCs w:val="18"/>
        </w:rPr>
        <w:fldChar w:fldCharType="end"/>
      </w:r>
      <w:r w:rsidRPr="003E245D">
        <w:rPr>
          <w:i/>
          <w:iCs/>
          <w:color w:val="003366"/>
          <w:sz w:val="18"/>
          <w:szCs w:val="18"/>
        </w:rPr>
        <w:t xml:space="preserve"> – Andamento popolazione 6-19 anni provincia di Torino</w:t>
      </w:r>
    </w:p>
    <w:p w14:paraId="0C400FD1" w14:textId="77777777" w:rsidR="003E245D" w:rsidRPr="003E245D" w:rsidRDefault="003E245D" w:rsidP="003E245D">
      <w:pPr>
        <w:spacing w:before="120" w:line="240" w:lineRule="auto"/>
        <w:rPr>
          <w:rFonts w:cs="Calibri"/>
          <w:b/>
        </w:rPr>
      </w:pPr>
      <w:r w:rsidRPr="003E245D">
        <w:rPr>
          <w:rFonts w:cs="Calibri"/>
          <w:b/>
        </w:rPr>
        <w:t>Università</w:t>
      </w:r>
    </w:p>
    <w:p w14:paraId="10AB6DEA" w14:textId="210838D9" w:rsidR="003E245D" w:rsidRPr="003E245D" w:rsidRDefault="003E245D" w:rsidP="003E245D">
      <w:pPr>
        <w:rPr>
          <w:rFonts w:cs="Calibri"/>
        </w:rPr>
      </w:pPr>
      <w:r w:rsidRPr="003E245D">
        <w:rPr>
          <w:rFonts w:cs="Calibri"/>
        </w:rPr>
        <w:t>Nel Bacino Metropolitano hanno sede due tra le più importanti istituzioni accademiche del territorio</w:t>
      </w:r>
      <w:r w:rsidR="00CB4F92">
        <w:rPr>
          <w:rFonts w:cs="Calibri"/>
        </w:rPr>
        <w:t xml:space="preserve"> piemontese</w:t>
      </w:r>
      <w:r w:rsidRPr="003E245D">
        <w:rPr>
          <w:rFonts w:cs="Calibri"/>
        </w:rPr>
        <w:t>: l’Università degli Studi di Torino e il Politecnico di Torino.</w:t>
      </w:r>
    </w:p>
    <w:p w14:paraId="1BA46B33" w14:textId="77777777" w:rsidR="003E245D" w:rsidRPr="003E245D" w:rsidRDefault="003E245D" w:rsidP="003E245D">
      <w:pPr>
        <w:spacing w:before="120" w:line="240" w:lineRule="auto"/>
        <w:rPr>
          <w:rFonts w:cs="Calibri"/>
        </w:rPr>
      </w:pPr>
      <w:r w:rsidRPr="003E245D">
        <w:rPr>
          <w:rFonts w:cs="Calibri"/>
        </w:rPr>
        <w:t xml:space="preserve">L’Università degli Studi di Torino è articolata in tre poli principali situati all’interno del Bacino, che complessivamente accolgono oltre 68.000 studenti e di cui si riassumono le provenienze nelle tabelle seguenti </w:t>
      </w:r>
      <w:r w:rsidRPr="003E245D">
        <w:rPr>
          <w:rFonts w:cs="Calibri"/>
          <w:vertAlign w:val="superscript"/>
        </w:rPr>
        <w:footnoteReference w:id="17"/>
      </w:r>
      <w:r w:rsidRPr="003E245D">
        <w:rPr>
          <w:rFonts w:cs="Calibri"/>
        </w:rPr>
        <w:t>:</w:t>
      </w:r>
    </w:p>
    <w:tbl>
      <w:tblPr>
        <w:tblW w:w="8376" w:type="dxa"/>
        <w:tblInd w:w="261" w:type="dxa"/>
        <w:tblCellMar>
          <w:left w:w="0" w:type="dxa"/>
          <w:right w:w="0" w:type="dxa"/>
        </w:tblCellMar>
        <w:tblLook w:val="04A0" w:firstRow="1" w:lastRow="0" w:firstColumn="1" w:lastColumn="0" w:noHBand="0" w:noVBand="1"/>
      </w:tblPr>
      <w:tblGrid>
        <w:gridCol w:w="6392"/>
        <w:gridCol w:w="992"/>
        <w:gridCol w:w="992"/>
      </w:tblGrid>
      <w:tr w:rsidR="003E245D" w:rsidRPr="003E245D" w14:paraId="1D9B7976" w14:textId="77777777">
        <w:trPr>
          <w:trHeight w:val="17"/>
        </w:trPr>
        <w:tc>
          <w:tcPr>
            <w:tcW w:w="6392"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EE3438"/>
            <w:tcMar>
              <w:top w:w="15" w:type="dxa"/>
              <w:left w:w="15" w:type="dxa"/>
              <w:bottom w:w="0" w:type="dxa"/>
              <w:right w:w="15" w:type="dxa"/>
            </w:tcMar>
            <w:vAlign w:val="bottom"/>
            <w:hideMark/>
          </w:tcPr>
          <w:p w14:paraId="0DB1380E" w14:textId="77777777" w:rsidR="003E245D" w:rsidRPr="003E245D" w:rsidRDefault="003E245D" w:rsidP="003E245D">
            <w:pPr>
              <w:spacing w:after="0" w:line="240" w:lineRule="auto"/>
              <w:jc w:val="left"/>
              <w:rPr>
                <w:rFonts w:eastAsia="Times New Roman" w:cs="Calibri"/>
                <w:b/>
                <w:lang w:eastAsia="en-GB"/>
              </w:rPr>
            </w:pPr>
            <w:r w:rsidRPr="003E245D">
              <w:rPr>
                <w:rFonts w:eastAsia="Times New Roman" w:cs="Calibri"/>
                <w:b/>
                <w:color w:val="000000"/>
              </w:rPr>
              <w:t>Sede di Torino</w:t>
            </w:r>
          </w:p>
        </w:tc>
        <w:tc>
          <w:tcPr>
            <w:tcW w:w="992"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EE3438"/>
            <w:tcMar>
              <w:top w:w="15" w:type="dxa"/>
              <w:left w:w="15" w:type="dxa"/>
              <w:bottom w:w="0" w:type="dxa"/>
              <w:right w:w="15" w:type="dxa"/>
            </w:tcMar>
            <w:vAlign w:val="bottom"/>
            <w:hideMark/>
          </w:tcPr>
          <w:p w14:paraId="62C03139" w14:textId="77777777" w:rsidR="003E245D" w:rsidRPr="003E245D" w:rsidRDefault="003E245D" w:rsidP="003E245D">
            <w:pPr>
              <w:spacing w:after="0" w:line="240" w:lineRule="auto"/>
              <w:jc w:val="center"/>
              <w:rPr>
                <w:rFonts w:eastAsia="Times New Roman" w:cs="Calibri"/>
                <w:b/>
                <w:lang w:val="en-GB" w:eastAsia="en-GB"/>
              </w:rPr>
            </w:pPr>
            <w:r w:rsidRPr="003E245D">
              <w:rPr>
                <w:rFonts w:eastAsia="Times New Roman" w:cs="Calibri"/>
                <w:b/>
                <w:bdr w:val="none" w:sz="0" w:space="0" w:color="auto" w:frame="1"/>
                <w:lang w:val="en-GB" w:eastAsia="en-GB"/>
              </w:rPr>
              <w:t>n</w:t>
            </w:r>
          </w:p>
        </w:tc>
        <w:tc>
          <w:tcPr>
            <w:tcW w:w="992"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EE3438"/>
            <w:tcMar>
              <w:top w:w="15" w:type="dxa"/>
              <w:left w:w="15" w:type="dxa"/>
              <w:bottom w:w="0" w:type="dxa"/>
              <w:right w:w="15" w:type="dxa"/>
            </w:tcMar>
            <w:vAlign w:val="bottom"/>
            <w:hideMark/>
          </w:tcPr>
          <w:p w14:paraId="022D4422" w14:textId="77777777" w:rsidR="003E245D" w:rsidRPr="003E245D" w:rsidRDefault="003E245D" w:rsidP="003E245D">
            <w:pPr>
              <w:spacing w:after="0" w:line="240" w:lineRule="auto"/>
              <w:jc w:val="center"/>
              <w:rPr>
                <w:rFonts w:eastAsia="Times New Roman" w:cs="Calibri"/>
                <w:b/>
                <w:lang w:val="en-GB" w:eastAsia="en-GB"/>
              </w:rPr>
            </w:pPr>
            <w:r w:rsidRPr="003E245D">
              <w:rPr>
                <w:rFonts w:eastAsia="Times New Roman" w:cs="Calibri"/>
                <w:b/>
                <w:bdr w:val="none" w:sz="0" w:space="0" w:color="auto" w:frame="1"/>
                <w:lang w:val="en-GB" w:eastAsia="en-GB"/>
              </w:rPr>
              <w:t>%</w:t>
            </w:r>
          </w:p>
        </w:tc>
      </w:tr>
      <w:tr w:rsidR="003E245D" w:rsidRPr="003E245D" w14:paraId="2C4250B8" w14:textId="77777777">
        <w:trPr>
          <w:trHeight w:val="17"/>
        </w:trPr>
        <w:tc>
          <w:tcPr>
            <w:tcW w:w="6392"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vAlign w:val="bottom"/>
            <w:hideMark/>
          </w:tcPr>
          <w:p w14:paraId="708F64AE" w14:textId="77777777" w:rsidR="003E245D" w:rsidRPr="003E245D" w:rsidRDefault="003E245D" w:rsidP="003E245D">
            <w:pPr>
              <w:spacing w:after="0" w:line="240" w:lineRule="auto"/>
              <w:jc w:val="left"/>
              <w:rPr>
                <w:rFonts w:eastAsia="Times New Roman" w:cs="Calibri"/>
                <w:lang w:val="en-GB" w:eastAsia="en-GB"/>
              </w:rPr>
            </w:pPr>
            <w:r w:rsidRPr="003E245D">
              <w:rPr>
                <w:rFonts w:eastAsia="Times New Roman" w:cs="Calibri"/>
                <w:color w:val="000000"/>
              </w:rPr>
              <w:t>Città di Torino</w:t>
            </w:r>
          </w:p>
        </w:tc>
        <w:tc>
          <w:tcPr>
            <w:tcW w:w="992"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vAlign w:val="bottom"/>
            <w:hideMark/>
          </w:tcPr>
          <w:p w14:paraId="48165CA0" w14:textId="77777777" w:rsidR="003E245D" w:rsidRPr="003E245D" w:rsidRDefault="003E245D" w:rsidP="003E245D">
            <w:pPr>
              <w:spacing w:after="0" w:line="240" w:lineRule="auto"/>
              <w:jc w:val="right"/>
              <w:rPr>
                <w:rFonts w:eastAsia="Times New Roman" w:cs="Calibri"/>
                <w:lang w:val="en-GB" w:eastAsia="en-GB"/>
              </w:rPr>
            </w:pPr>
            <w:r w:rsidRPr="003E245D">
              <w:rPr>
                <w:rFonts w:eastAsia="Times New Roman" w:cs="Calibri"/>
                <w:color w:val="000000"/>
              </w:rPr>
              <w:t>18.693</w:t>
            </w:r>
          </w:p>
        </w:tc>
        <w:tc>
          <w:tcPr>
            <w:tcW w:w="992"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vAlign w:val="bottom"/>
            <w:hideMark/>
          </w:tcPr>
          <w:p w14:paraId="1CEC31E1" w14:textId="77777777" w:rsidR="003E245D" w:rsidRPr="003E245D" w:rsidRDefault="003E245D" w:rsidP="003E245D">
            <w:pPr>
              <w:spacing w:after="0" w:line="240" w:lineRule="auto"/>
              <w:jc w:val="right"/>
              <w:rPr>
                <w:rFonts w:eastAsia="Times New Roman" w:cs="Calibri"/>
                <w:lang w:val="en-GB" w:eastAsia="en-GB"/>
              </w:rPr>
            </w:pPr>
            <w:r w:rsidRPr="003E245D">
              <w:rPr>
                <w:rFonts w:eastAsia="Times New Roman" w:cs="Calibri"/>
                <w:color w:val="000000"/>
              </w:rPr>
              <w:t>28,88%</w:t>
            </w:r>
          </w:p>
        </w:tc>
      </w:tr>
      <w:tr w:rsidR="003E245D" w:rsidRPr="003E245D" w14:paraId="28D56E43" w14:textId="77777777">
        <w:trPr>
          <w:trHeight w:val="17"/>
        </w:trPr>
        <w:tc>
          <w:tcPr>
            <w:tcW w:w="6392"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vAlign w:val="bottom"/>
            <w:hideMark/>
          </w:tcPr>
          <w:p w14:paraId="071F5D5E" w14:textId="77777777" w:rsidR="003E245D" w:rsidRPr="003E245D" w:rsidRDefault="003E245D" w:rsidP="003E245D">
            <w:pPr>
              <w:spacing w:after="0" w:line="240" w:lineRule="auto"/>
              <w:jc w:val="left"/>
              <w:rPr>
                <w:rFonts w:eastAsia="Times New Roman" w:cs="Calibri"/>
                <w:lang w:eastAsia="en-GB"/>
              </w:rPr>
            </w:pPr>
            <w:r w:rsidRPr="003E245D">
              <w:rPr>
                <w:rFonts w:eastAsia="Times New Roman" w:cs="Calibri"/>
                <w:color w:val="000000"/>
              </w:rPr>
              <w:t>Città Metropolitana di Torino (esclusa Torino)</w:t>
            </w:r>
          </w:p>
        </w:tc>
        <w:tc>
          <w:tcPr>
            <w:tcW w:w="992"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vAlign w:val="bottom"/>
            <w:hideMark/>
          </w:tcPr>
          <w:p w14:paraId="594D8D4E" w14:textId="77777777" w:rsidR="003E245D" w:rsidRPr="003E245D" w:rsidRDefault="003E245D" w:rsidP="003E245D">
            <w:pPr>
              <w:spacing w:after="0" w:line="240" w:lineRule="auto"/>
              <w:jc w:val="right"/>
              <w:rPr>
                <w:rFonts w:eastAsia="Times New Roman" w:cs="Calibri"/>
                <w:lang w:val="en-GB" w:eastAsia="en-GB"/>
              </w:rPr>
            </w:pPr>
            <w:r w:rsidRPr="003E245D">
              <w:rPr>
                <w:rFonts w:eastAsia="Times New Roman" w:cs="Calibri"/>
                <w:color w:val="000000"/>
              </w:rPr>
              <w:t>21.049</w:t>
            </w:r>
          </w:p>
        </w:tc>
        <w:tc>
          <w:tcPr>
            <w:tcW w:w="992"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vAlign w:val="bottom"/>
            <w:hideMark/>
          </w:tcPr>
          <w:p w14:paraId="0F32BEFB" w14:textId="77777777" w:rsidR="003E245D" w:rsidRPr="003E245D" w:rsidRDefault="003E245D" w:rsidP="003E245D">
            <w:pPr>
              <w:spacing w:after="0" w:line="240" w:lineRule="auto"/>
              <w:jc w:val="right"/>
              <w:rPr>
                <w:rFonts w:eastAsia="Times New Roman" w:cs="Calibri"/>
                <w:lang w:val="en-GB" w:eastAsia="en-GB"/>
              </w:rPr>
            </w:pPr>
            <w:r w:rsidRPr="003E245D">
              <w:rPr>
                <w:rFonts w:eastAsia="Times New Roman" w:cs="Calibri"/>
                <w:color w:val="000000"/>
              </w:rPr>
              <w:t>32,52%</w:t>
            </w:r>
          </w:p>
        </w:tc>
      </w:tr>
      <w:tr w:rsidR="003E245D" w:rsidRPr="003E245D" w14:paraId="75E70EE7" w14:textId="77777777">
        <w:trPr>
          <w:trHeight w:val="17"/>
        </w:trPr>
        <w:tc>
          <w:tcPr>
            <w:tcW w:w="6392"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vAlign w:val="bottom"/>
            <w:hideMark/>
          </w:tcPr>
          <w:p w14:paraId="1EF3DA55" w14:textId="77777777" w:rsidR="003E245D" w:rsidRPr="003E245D" w:rsidRDefault="003E245D" w:rsidP="003E245D">
            <w:pPr>
              <w:spacing w:after="0" w:line="240" w:lineRule="auto"/>
              <w:jc w:val="left"/>
              <w:rPr>
                <w:rFonts w:eastAsia="Times New Roman" w:cs="Calibri"/>
                <w:lang w:eastAsia="en-GB"/>
              </w:rPr>
            </w:pPr>
            <w:r w:rsidRPr="003E245D">
              <w:rPr>
                <w:rFonts w:eastAsia="Times New Roman" w:cs="Calibri"/>
                <w:color w:val="000000"/>
              </w:rPr>
              <w:t>Altre province del Piemonte (esclusa CMTO)</w:t>
            </w:r>
          </w:p>
        </w:tc>
        <w:tc>
          <w:tcPr>
            <w:tcW w:w="992"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vAlign w:val="bottom"/>
            <w:hideMark/>
          </w:tcPr>
          <w:p w14:paraId="0C0BA821" w14:textId="77777777" w:rsidR="003E245D" w:rsidRPr="003E245D" w:rsidRDefault="003E245D" w:rsidP="003E245D">
            <w:pPr>
              <w:spacing w:after="0" w:line="240" w:lineRule="auto"/>
              <w:jc w:val="right"/>
              <w:rPr>
                <w:rFonts w:eastAsia="Times New Roman" w:cs="Calibri"/>
                <w:lang w:val="en-GB" w:eastAsia="en-GB"/>
              </w:rPr>
            </w:pPr>
            <w:r w:rsidRPr="003E245D">
              <w:rPr>
                <w:rFonts w:eastAsia="Times New Roman" w:cs="Calibri"/>
                <w:color w:val="000000"/>
              </w:rPr>
              <w:t>11.425</w:t>
            </w:r>
          </w:p>
        </w:tc>
        <w:tc>
          <w:tcPr>
            <w:tcW w:w="992"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vAlign w:val="bottom"/>
            <w:hideMark/>
          </w:tcPr>
          <w:p w14:paraId="363DA4C6" w14:textId="77777777" w:rsidR="003E245D" w:rsidRPr="003E245D" w:rsidRDefault="003E245D" w:rsidP="003E245D">
            <w:pPr>
              <w:spacing w:after="0" w:line="240" w:lineRule="auto"/>
              <w:jc w:val="right"/>
              <w:rPr>
                <w:rFonts w:eastAsia="Times New Roman" w:cs="Calibri"/>
                <w:lang w:val="en-GB" w:eastAsia="en-GB"/>
              </w:rPr>
            </w:pPr>
            <w:r w:rsidRPr="003E245D">
              <w:rPr>
                <w:rFonts w:eastAsia="Times New Roman" w:cs="Calibri"/>
                <w:color w:val="000000"/>
              </w:rPr>
              <w:t>17,65%</w:t>
            </w:r>
          </w:p>
        </w:tc>
      </w:tr>
      <w:tr w:rsidR="003E245D" w:rsidRPr="003E245D" w14:paraId="1DAB08EB" w14:textId="77777777">
        <w:trPr>
          <w:trHeight w:val="17"/>
        </w:trPr>
        <w:tc>
          <w:tcPr>
            <w:tcW w:w="6392"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vAlign w:val="bottom"/>
            <w:hideMark/>
          </w:tcPr>
          <w:p w14:paraId="3C339EFE" w14:textId="77777777" w:rsidR="003E245D" w:rsidRPr="003E245D" w:rsidRDefault="003E245D" w:rsidP="003E245D">
            <w:pPr>
              <w:spacing w:after="0" w:line="240" w:lineRule="auto"/>
              <w:jc w:val="left"/>
              <w:rPr>
                <w:rFonts w:eastAsia="Times New Roman" w:cs="Calibri"/>
                <w:lang w:val="en-GB" w:eastAsia="en-GB"/>
              </w:rPr>
            </w:pPr>
            <w:r w:rsidRPr="003E245D">
              <w:rPr>
                <w:rFonts w:eastAsia="Times New Roman" w:cs="Calibri"/>
                <w:color w:val="000000"/>
              </w:rPr>
              <w:t>Fuori Regione</w:t>
            </w:r>
          </w:p>
        </w:tc>
        <w:tc>
          <w:tcPr>
            <w:tcW w:w="992"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vAlign w:val="bottom"/>
            <w:hideMark/>
          </w:tcPr>
          <w:p w14:paraId="23673F7B" w14:textId="77777777" w:rsidR="003E245D" w:rsidRPr="003E245D" w:rsidRDefault="003E245D" w:rsidP="003E245D">
            <w:pPr>
              <w:spacing w:after="0" w:line="240" w:lineRule="auto"/>
              <w:jc w:val="right"/>
              <w:rPr>
                <w:rFonts w:eastAsia="Times New Roman" w:cs="Calibri"/>
                <w:lang w:val="en-GB" w:eastAsia="en-GB"/>
              </w:rPr>
            </w:pPr>
            <w:r w:rsidRPr="003E245D">
              <w:rPr>
                <w:rFonts w:eastAsia="Times New Roman" w:cs="Calibri"/>
                <w:color w:val="000000"/>
              </w:rPr>
              <w:t>13.553</w:t>
            </w:r>
          </w:p>
        </w:tc>
        <w:tc>
          <w:tcPr>
            <w:tcW w:w="992"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vAlign w:val="bottom"/>
            <w:hideMark/>
          </w:tcPr>
          <w:p w14:paraId="4AFB16EB" w14:textId="77777777" w:rsidR="003E245D" w:rsidRPr="003E245D" w:rsidRDefault="003E245D" w:rsidP="003E245D">
            <w:pPr>
              <w:spacing w:after="0" w:line="240" w:lineRule="auto"/>
              <w:jc w:val="right"/>
              <w:rPr>
                <w:rFonts w:eastAsia="Times New Roman" w:cs="Calibri"/>
                <w:lang w:val="en-GB" w:eastAsia="en-GB"/>
              </w:rPr>
            </w:pPr>
            <w:r w:rsidRPr="003E245D">
              <w:rPr>
                <w:rFonts w:eastAsia="Times New Roman" w:cs="Calibri"/>
                <w:color w:val="000000"/>
              </w:rPr>
              <w:t>20,94%</w:t>
            </w:r>
          </w:p>
        </w:tc>
      </w:tr>
      <w:tr w:rsidR="00D27CAD" w:rsidRPr="003E245D" w14:paraId="1113C8CB" w14:textId="77777777">
        <w:trPr>
          <w:trHeight w:val="17"/>
        </w:trPr>
        <w:tc>
          <w:tcPr>
            <w:tcW w:w="6392" w:type="dxa"/>
            <w:tcBorders>
              <w:top w:val="single" w:sz="8" w:space="0" w:color="A6A6A6" w:themeColor="background1" w:themeShade="A6"/>
              <w:left w:val="nil"/>
              <w:bottom w:val="nil"/>
              <w:right w:val="single" w:sz="8" w:space="0" w:color="A6A6A6" w:themeColor="background1" w:themeShade="A6"/>
            </w:tcBorders>
            <w:tcMar>
              <w:top w:w="15" w:type="dxa"/>
              <w:left w:w="90" w:type="dxa"/>
              <w:bottom w:w="0" w:type="dxa"/>
              <w:right w:w="15" w:type="dxa"/>
            </w:tcMar>
            <w:vAlign w:val="center"/>
            <w:hideMark/>
          </w:tcPr>
          <w:p w14:paraId="4581E727" w14:textId="77777777" w:rsidR="003E245D" w:rsidRPr="003E245D" w:rsidRDefault="003E245D" w:rsidP="003E245D">
            <w:pPr>
              <w:rPr>
                <w:rFonts w:eastAsia="Times New Roman" w:cs="Calibri"/>
                <w:lang w:val="en-GB" w:eastAsia="en-GB"/>
              </w:rPr>
            </w:pPr>
          </w:p>
        </w:tc>
        <w:tc>
          <w:tcPr>
            <w:tcW w:w="992"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EE3438"/>
            <w:tcMar>
              <w:top w:w="15" w:type="dxa"/>
              <w:left w:w="15" w:type="dxa"/>
              <w:bottom w:w="0" w:type="dxa"/>
              <w:right w:w="15" w:type="dxa"/>
            </w:tcMar>
            <w:vAlign w:val="bottom"/>
            <w:hideMark/>
          </w:tcPr>
          <w:p w14:paraId="238D9D75" w14:textId="77777777" w:rsidR="003E245D" w:rsidRPr="003E245D" w:rsidRDefault="003E245D" w:rsidP="003E245D">
            <w:pPr>
              <w:spacing w:after="0" w:line="240" w:lineRule="auto"/>
              <w:jc w:val="right"/>
              <w:rPr>
                <w:rFonts w:eastAsia="Times New Roman" w:cs="Calibri"/>
                <w:b/>
                <w:lang w:val="en-GB" w:eastAsia="en-GB"/>
              </w:rPr>
            </w:pPr>
            <w:r w:rsidRPr="003E245D">
              <w:rPr>
                <w:rFonts w:eastAsia="Times New Roman" w:cs="Calibri"/>
                <w:b/>
                <w:color w:val="000000"/>
              </w:rPr>
              <w:t>64.720</w:t>
            </w:r>
          </w:p>
        </w:tc>
        <w:tc>
          <w:tcPr>
            <w:tcW w:w="992"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EE3438"/>
            <w:tcMar>
              <w:top w:w="15" w:type="dxa"/>
              <w:left w:w="15" w:type="dxa"/>
              <w:bottom w:w="0" w:type="dxa"/>
              <w:right w:w="15" w:type="dxa"/>
            </w:tcMar>
            <w:vAlign w:val="bottom"/>
            <w:hideMark/>
          </w:tcPr>
          <w:p w14:paraId="0ADE66A0" w14:textId="77777777" w:rsidR="003E245D" w:rsidRPr="003E245D" w:rsidRDefault="003E245D" w:rsidP="003E245D">
            <w:pPr>
              <w:spacing w:after="0" w:line="240" w:lineRule="auto"/>
              <w:jc w:val="right"/>
              <w:rPr>
                <w:rFonts w:eastAsia="Times New Roman" w:cs="Calibri"/>
                <w:b/>
                <w:bdr w:val="none" w:sz="0" w:space="0" w:color="auto" w:frame="1"/>
                <w:lang w:val="en-GB" w:eastAsia="en-GB"/>
              </w:rPr>
            </w:pPr>
            <w:r w:rsidRPr="003E245D">
              <w:rPr>
                <w:rFonts w:eastAsia="Times New Roman" w:cs="Calibri"/>
                <w:b/>
                <w:bdr w:val="none" w:sz="0" w:space="0" w:color="auto" w:frame="1"/>
                <w:lang w:val="en-GB" w:eastAsia="en-GB"/>
              </w:rPr>
              <w:t>100%</w:t>
            </w:r>
          </w:p>
        </w:tc>
      </w:tr>
    </w:tbl>
    <w:p w14:paraId="3F0ABDDB" w14:textId="5D571591" w:rsidR="003E245D" w:rsidRPr="00735FA8" w:rsidRDefault="003E245D" w:rsidP="00735FA8">
      <w:pPr>
        <w:spacing w:after="200" w:line="240" w:lineRule="auto"/>
        <w:jc w:val="center"/>
        <w:rPr>
          <w:i/>
          <w:color w:val="17406D" w:themeColor="text2"/>
          <w:sz w:val="18"/>
          <w:szCs w:val="18"/>
        </w:rPr>
      </w:pPr>
      <w:bookmarkStart w:id="173" w:name="_Hlk205903508"/>
      <w:r w:rsidRPr="003E245D">
        <w:rPr>
          <w:i/>
          <w:color w:val="17406D" w:themeColor="text2"/>
          <w:sz w:val="18"/>
          <w:szCs w:val="18"/>
        </w:rPr>
        <w:t xml:space="preserve">Tabella </w:t>
      </w:r>
      <w:r w:rsidR="00964071" w:rsidRPr="003E245D">
        <w:rPr>
          <w:i/>
          <w:iCs/>
          <w:color w:val="17406D" w:themeColor="text2"/>
          <w:sz w:val="18"/>
          <w:szCs w:val="18"/>
        </w:rPr>
        <w:fldChar w:fldCharType="begin"/>
      </w:r>
      <w:r w:rsidR="00964071" w:rsidRPr="003E245D">
        <w:rPr>
          <w:i/>
          <w:iCs/>
          <w:color w:val="17406D" w:themeColor="text2"/>
          <w:sz w:val="18"/>
          <w:szCs w:val="18"/>
        </w:rPr>
        <w:instrText xml:space="preserve"> SEQ Tabella \* ARABIC </w:instrText>
      </w:r>
      <w:r w:rsidR="00964071" w:rsidRPr="003E245D">
        <w:rPr>
          <w:i/>
          <w:iCs/>
          <w:color w:val="17406D" w:themeColor="text2"/>
          <w:sz w:val="18"/>
          <w:szCs w:val="18"/>
        </w:rPr>
        <w:fldChar w:fldCharType="separate"/>
      </w:r>
      <w:r w:rsidR="00073B6D">
        <w:rPr>
          <w:i/>
          <w:iCs/>
          <w:noProof/>
          <w:color w:val="17406D" w:themeColor="text2"/>
          <w:sz w:val="18"/>
          <w:szCs w:val="18"/>
        </w:rPr>
        <w:t>25</w:t>
      </w:r>
      <w:r w:rsidR="00964071" w:rsidRPr="003E245D">
        <w:rPr>
          <w:i/>
          <w:iCs/>
          <w:noProof/>
          <w:color w:val="17406D" w:themeColor="text2"/>
          <w:sz w:val="18"/>
          <w:szCs w:val="18"/>
        </w:rPr>
        <w:fldChar w:fldCharType="end"/>
      </w:r>
      <w:r w:rsidRPr="003E245D">
        <w:rPr>
          <w:i/>
          <w:color w:val="17406D" w:themeColor="text2"/>
          <w:sz w:val="18"/>
          <w:szCs w:val="18"/>
        </w:rPr>
        <w:t xml:space="preserve"> – </w:t>
      </w:r>
      <w:r w:rsidRPr="00735FA8">
        <w:rPr>
          <w:i/>
          <w:color w:val="17406D" w:themeColor="text2"/>
          <w:sz w:val="18"/>
          <w:szCs w:val="18"/>
        </w:rPr>
        <w:t>Popolazione universitaria UNITO 2024-2025 nella sede di Torino</w:t>
      </w:r>
      <w:bookmarkEnd w:id="173"/>
    </w:p>
    <w:tbl>
      <w:tblPr>
        <w:tblW w:w="8376" w:type="dxa"/>
        <w:tblInd w:w="261" w:type="dxa"/>
        <w:tblCellMar>
          <w:left w:w="0" w:type="dxa"/>
          <w:right w:w="0" w:type="dxa"/>
        </w:tblCellMar>
        <w:tblLook w:val="04A0" w:firstRow="1" w:lastRow="0" w:firstColumn="1" w:lastColumn="0" w:noHBand="0" w:noVBand="1"/>
      </w:tblPr>
      <w:tblGrid>
        <w:gridCol w:w="6392"/>
        <w:gridCol w:w="1018"/>
        <w:gridCol w:w="966"/>
      </w:tblGrid>
      <w:tr w:rsidR="003E245D" w:rsidRPr="003E245D" w14:paraId="0D5FBA1D" w14:textId="77777777">
        <w:trPr>
          <w:trHeight w:val="18"/>
        </w:trPr>
        <w:tc>
          <w:tcPr>
            <w:tcW w:w="6392"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EE3438"/>
            <w:tcMar>
              <w:top w:w="15" w:type="dxa"/>
              <w:left w:w="15" w:type="dxa"/>
              <w:bottom w:w="0" w:type="dxa"/>
              <w:right w:w="15" w:type="dxa"/>
            </w:tcMar>
            <w:hideMark/>
          </w:tcPr>
          <w:p w14:paraId="1A22578C" w14:textId="77777777" w:rsidR="003E245D" w:rsidRPr="003E245D" w:rsidRDefault="003E245D" w:rsidP="003E245D">
            <w:pPr>
              <w:spacing w:after="0" w:line="240" w:lineRule="auto"/>
              <w:jc w:val="left"/>
              <w:rPr>
                <w:rFonts w:eastAsia="Times New Roman" w:cs="Calibri"/>
                <w:b/>
                <w:lang w:eastAsia="en-GB"/>
              </w:rPr>
            </w:pPr>
            <w:r w:rsidRPr="003E245D">
              <w:rPr>
                <w:rFonts w:cs="Calibri"/>
                <w:b/>
              </w:rPr>
              <w:t>Sede di Grugliasco</w:t>
            </w:r>
          </w:p>
        </w:tc>
        <w:tc>
          <w:tcPr>
            <w:tcW w:w="1018"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EE3438"/>
            <w:tcMar>
              <w:top w:w="15" w:type="dxa"/>
              <w:left w:w="15" w:type="dxa"/>
              <w:bottom w:w="0" w:type="dxa"/>
              <w:right w:w="15" w:type="dxa"/>
            </w:tcMar>
            <w:hideMark/>
          </w:tcPr>
          <w:p w14:paraId="3285594C" w14:textId="77777777" w:rsidR="003E245D" w:rsidRPr="003E245D" w:rsidRDefault="003E245D" w:rsidP="003E245D">
            <w:pPr>
              <w:spacing w:after="0" w:line="240" w:lineRule="auto"/>
              <w:jc w:val="center"/>
              <w:rPr>
                <w:rFonts w:eastAsia="Times New Roman" w:cs="Calibri"/>
                <w:b/>
                <w:lang w:val="en-GB" w:eastAsia="en-GB"/>
              </w:rPr>
            </w:pPr>
            <w:r w:rsidRPr="003E245D">
              <w:rPr>
                <w:rFonts w:cs="Calibri"/>
                <w:b/>
              </w:rPr>
              <w:t>n</w:t>
            </w:r>
          </w:p>
        </w:tc>
        <w:tc>
          <w:tcPr>
            <w:tcW w:w="966"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EE3438"/>
            <w:tcMar>
              <w:top w:w="15" w:type="dxa"/>
              <w:left w:w="15" w:type="dxa"/>
              <w:bottom w:w="0" w:type="dxa"/>
              <w:right w:w="15" w:type="dxa"/>
            </w:tcMar>
            <w:hideMark/>
          </w:tcPr>
          <w:p w14:paraId="40BF7E5E" w14:textId="77777777" w:rsidR="003E245D" w:rsidRPr="003E245D" w:rsidRDefault="003E245D" w:rsidP="003E245D">
            <w:pPr>
              <w:spacing w:after="0" w:line="240" w:lineRule="auto"/>
              <w:jc w:val="center"/>
              <w:rPr>
                <w:rFonts w:eastAsia="Times New Roman" w:cs="Calibri"/>
                <w:b/>
                <w:lang w:val="en-GB" w:eastAsia="en-GB"/>
              </w:rPr>
            </w:pPr>
            <w:r w:rsidRPr="003E245D">
              <w:rPr>
                <w:rFonts w:cs="Calibri"/>
                <w:b/>
              </w:rPr>
              <w:t>%</w:t>
            </w:r>
          </w:p>
        </w:tc>
      </w:tr>
      <w:tr w:rsidR="003E245D" w:rsidRPr="003E245D" w14:paraId="705EF28A" w14:textId="77777777">
        <w:trPr>
          <w:trHeight w:val="18"/>
        </w:trPr>
        <w:tc>
          <w:tcPr>
            <w:tcW w:w="6392"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hideMark/>
          </w:tcPr>
          <w:p w14:paraId="2C739578" w14:textId="77777777" w:rsidR="003E245D" w:rsidRPr="003E245D" w:rsidRDefault="003E245D" w:rsidP="003E245D">
            <w:pPr>
              <w:spacing w:after="0" w:line="240" w:lineRule="auto"/>
              <w:jc w:val="left"/>
              <w:rPr>
                <w:rFonts w:eastAsia="Times New Roman" w:cs="Calibri"/>
                <w:lang w:val="en-GB" w:eastAsia="en-GB"/>
              </w:rPr>
            </w:pPr>
            <w:r w:rsidRPr="003E245D">
              <w:rPr>
                <w:rFonts w:cs="Calibri"/>
              </w:rPr>
              <w:t>Comune di Grugliasco</w:t>
            </w:r>
          </w:p>
        </w:tc>
        <w:tc>
          <w:tcPr>
            <w:tcW w:w="1018"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hideMark/>
          </w:tcPr>
          <w:p w14:paraId="6939F981" w14:textId="77777777" w:rsidR="003E245D" w:rsidRPr="003E245D" w:rsidRDefault="003E245D" w:rsidP="003E245D">
            <w:pPr>
              <w:spacing w:after="0" w:line="240" w:lineRule="auto"/>
              <w:jc w:val="right"/>
              <w:rPr>
                <w:rFonts w:eastAsia="Times New Roman" w:cs="Calibri"/>
                <w:lang w:val="en-GB" w:eastAsia="en-GB"/>
              </w:rPr>
            </w:pPr>
            <w:r w:rsidRPr="003E245D">
              <w:rPr>
                <w:rFonts w:cs="Calibri"/>
              </w:rPr>
              <w:t>53</w:t>
            </w:r>
          </w:p>
        </w:tc>
        <w:tc>
          <w:tcPr>
            <w:tcW w:w="966"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hideMark/>
          </w:tcPr>
          <w:p w14:paraId="7025ACB1" w14:textId="77777777" w:rsidR="003E245D" w:rsidRPr="003E245D" w:rsidRDefault="003E245D" w:rsidP="003E245D">
            <w:pPr>
              <w:spacing w:after="0" w:line="240" w:lineRule="auto"/>
              <w:jc w:val="right"/>
              <w:rPr>
                <w:rFonts w:eastAsia="Times New Roman" w:cs="Calibri"/>
                <w:lang w:val="en-GB" w:eastAsia="en-GB"/>
              </w:rPr>
            </w:pPr>
            <w:r w:rsidRPr="003E245D">
              <w:rPr>
                <w:rFonts w:cs="Calibri"/>
              </w:rPr>
              <w:t>1,89%</w:t>
            </w:r>
          </w:p>
        </w:tc>
      </w:tr>
      <w:tr w:rsidR="003E245D" w:rsidRPr="003E245D" w14:paraId="319319B7" w14:textId="77777777">
        <w:trPr>
          <w:trHeight w:val="18"/>
        </w:trPr>
        <w:tc>
          <w:tcPr>
            <w:tcW w:w="6392"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hideMark/>
          </w:tcPr>
          <w:p w14:paraId="058B9C3C" w14:textId="77777777" w:rsidR="003E245D" w:rsidRPr="003E245D" w:rsidRDefault="003E245D" w:rsidP="003E245D">
            <w:pPr>
              <w:spacing w:after="0" w:line="240" w:lineRule="auto"/>
              <w:jc w:val="left"/>
              <w:rPr>
                <w:rFonts w:eastAsia="Times New Roman" w:cs="Calibri"/>
                <w:lang w:eastAsia="en-GB"/>
              </w:rPr>
            </w:pPr>
            <w:r w:rsidRPr="003E245D">
              <w:rPr>
                <w:rFonts w:cs="Calibri"/>
              </w:rPr>
              <w:t>Città Metropolitana di Torino (escluso Grugliasco)</w:t>
            </w:r>
          </w:p>
        </w:tc>
        <w:tc>
          <w:tcPr>
            <w:tcW w:w="1018"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hideMark/>
          </w:tcPr>
          <w:p w14:paraId="57F56643" w14:textId="77777777" w:rsidR="003E245D" w:rsidRPr="003E245D" w:rsidRDefault="003E245D" w:rsidP="003E245D">
            <w:pPr>
              <w:spacing w:after="0" w:line="240" w:lineRule="auto"/>
              <w:jc w:val="right"/>
              <w:rPr>
                <w:rFonts w:eastAsia="Times New Roman" w:cs="Calibri"/>
                <w:lang w:val="en-GB" w:eastAsia="en-GB"/>
              </w:rPr>
            </w:pPr>
            <w:r w:rsidRPr="003E245D">
              <w:rPr>
                <w:rFonts w:cs="Calibri"/>
              </w:rPr>
              <w:t>1.313</w:t>
            </w:r>
          </w:p>
        </w:tc>
        <w:tc>
          <w:tcPr>
            <w:tcW w:w="966"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hideMark/>
          </w:tcPr>
          <w:p w14:paraId="7C610894" w14:textId="77777777" w:rsidR="003E245D" w:rsidRPr="003E245D" w:rsidRDefault="003E245D" w:rsidP="003E245D">
            <w:pPr>
              <w:spacing w:after="0" w:line="240" w:lineRule="auto"/>
              <w:jc w:val="right"/>
              <w:rPr>
                <w:rFonts w:eastAsia="Times New Roman" w:cs="Calibri"/>
                <w:lang w:val="en-GB" w:eastAsia="en-GB"/>
              </w:rPr>
            </w:pPr>
            <w:r w:rsidRPr="003E245D">
              <w:rPr>
                <w:rFonts w:cs="Calibri"/>
              </w:rPr>
              <w:t>46,71%</w:t>
            </w:r>
          </w:p>
        </w:tc>
      </w:tr>
      <w:tr w:rsidR="003E245D" w:rsidRPr="003E245D" w14:paraId="10F666D3" w14:textId="77777777">
        <w:trPr>
          <w:trHeight w:val="18"/>
        </w:trPr>
        <w:tc>
          <w:tcPr>
            <w:tcW w:w="6392"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hideMark/>
          </w:tcPr>
          <w:p w14:paraId="734E565F" w14:textId="77777777" w:rsidR="003E245D" w:rsidRPr="003E245D" w:rsidRDefault="003E245D" w:rsidP="003E245D">
            <w:pPr>
              <w:spacing w:after="0" w:line="240" w:lineRule="auto"/>
              <w:jc w:val="left"/>
              <w:rPr>
                <w:rFonts w:eastAsia="Times New Roman" w:cs="Calibri"/>
                <w:lang w:eastAsia="en-GB"/>
              </w:rPr>
            </w:pPr>
            <w:r w:rsidRPr="003E245D">
              <w:rPr>
                <w:rFonts w:cs="Calibri"/>
              </w:rPr>
              <w:t>Altre province del Piemonte (esclusa CMTO)</w:t>
            </w:r>
          </w:p>
        </w:tc>
        <w:tc>
          <w:tcPr>
            <w:tcW w:w="1018"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hideMark/>
          </w:tcPr>
          <w:p w14:paraId="1F547300" w14:textId="77777777" w:rsidR="003E245D" w:rsidRPr="003E245D" w:rsidRDefault="003E245D" w:rsidP="003E245D">
            <w:pPr>
              <w:spacing w:after="0" w:line="240" w:lineRule="auto"/>
              <w:jc w:val="right"/>
              <w:rPr>
                <w:rFonts w:eastAsia="Times New Roman" w:cs="Calibri"/>
                <w:lang w:val="en-GB" w:eastAsia="en-GB"/>
              </w:rPr>
            </w:pPr>
            <w:r w:rsidRPr="003E245D">
              <w:rPr>
                <w:rFonts w:cs="Calibri"/>
              </w:rPr>
              <w:t>831</w:t>
            </w:r>
          </w:p>
        </w:tc>
        <w:tc>
          <w:tcPr>
            <w:tcW w:w="966"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hideMark/>
          </w:tcPr>
          <w:p w14:paraId="05CC7D7A" w14:textId="77777777" w:rsidR="003E245D" w:rsidRPr="003E245D" w:rsidRDefault="003E245D" w:rsidP="003E245D">
            <w:pPr>
              <w:spacing w:after="0" w:line="240" w:lineRule="auto"/>
              <w:jc w:val="right"/>
              <w:rPr>
                <w:rFonts w:eastAsia="Times New Roman" w:cs="Calibri"/>
                <w:lang w:val="en-GB" w:eastAsia="en-GB"/>
              </w:rPr>
            </w:pPr>
            <w:r w:rsidRPr="003E245D">
              <w:rPr>
                <w:rFonts w:cs="Calibri"/>
              </w:rPr>
              <w:t>29,56%</w:t>
            </w:r>
          </w:p>
        </w:tc>
      </w:tr>
      <w:tr w:rsidR="003E245D" w:rsidRPr="003E245D" w14:paraId="6E816434" w14:textId="77777777">
        <w:trPr>
          <w:trHeight w:val="18"/>
        </w:trPr>
        <w:tc>
          <w:tcPr>
            <w:tcW w:w="6392"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hideMark/>
          </w:tcPr>
          <w:p w14:paraId="57D3544A" w14:textId="77777777" w:rsidR="003E245D" w:rsidRPr="003E245D" w:rsidRDefault="003E245D" w:rsidP="003E245D">
            <w:pPr>
              <w:spacing w:after="0" w:line="240" w:lineRule="auto"/>
              <w:jc w:val="left"/>
              <w:rPr>
                <w:rFonts w:eastAsia="Times New Roman" w:cs="Calibri"/>
                <w:lang w:val="en-GB" w:eastAsia="en-GB"/>
              </w:rPr>
            </w:pPr>
            <w:r w:rsidRPr="003E245D">
              <w:rPr>
                <w:rFonts w:cs="Calibri"/>
              </w:rPr>
              <w:t>Fuori Regione</w:t>
            </w:r>
          </w:p>
        </w:tc>
        <w:tc>
          <w:tcPr>
            <w:tcW w:w="1018"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hideMark/>
          </w:tcPr>
          <w:p w14:paraId="61557818" w14:textId="77777777" w:rsidR="003E245D" w:rsidRPr="003E245D" w:rsidRDefault="003E245D" w:rsidP="003E245D">
            <w:pPr>
              <w:spacing w:after="0" w:line="240" w:lineRule="auto"/>
              <w:jc w:val="right"/>
              <w:rPr>
                <w:rFonts w:eastAsia="Times New Roman" w:cs="Calibri"/>
                <w:lang w:val="en-GB" w:eastAsia="en-GB"/>
              </w:rPr>
            </w:pPr>
            <w:r w:rsidRPr="003E245D">
              <w:rPr>
                <w:rFonts w:cs="Calibri"/>
              </w:rPr>
              <w:t>614</w:t>
            </w:r>
          </w:p>
        </w:tc>
        <w:tc>
          <w:tcPr>
            <w:tcW w:w="966"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hideMark/>
          </w:tcPr>
          <w:p w14:paraId="26ED0910" w14:textId="77777777" w:rsidR="003E245D" w:rsidRPr="003E245D" w:rsidRDefault="003E245D" w:rsidP="003E245D">
            <w:pPr>
              <w:spacing w:after="0" w:line="240" w:lineRule="auto"/>
              <w:jc w:val="right"/>
              <w:rPr>
                <w:rFonts w:eastAsia="Times New Roman" w:cs="Calibri"/>
                <w:lang w:val="en-GB" w:eastAsia="en-GB"/>
              </w:rPr>
            </w:pPr>
            <w:r w:rsidRPr="003E245D">
              <w:rPr>
                <w:rFonts w:cs="Calibri"/>
              </w:rPr>
              <w:t>21,84%</w:t>
            </w:r>
          </w:p>
        </w:tc>
      </w:tr>
      <w:tr w:rsidR="00D27CAD" w:rsidRPr="003E245D" w14:paraId="3D0DCF19" w14:textId="77777777">
        <w:trPr>
          <w:trHeight w:val="217"/>
        </w:trPr>
        <w:tc>
          <w:tcPr>
            <w:tcW w:w="6392" w:type="dxa"/>
            <w:tcBorders>
              <w:top w:val="single" w:sz="8" w:space="0" w:color="A6A6A6" w:themeColor="background1" w:themeShade="A6"/>
              <w:left w:val="nil"/>
              <w:bottom w:val="nil"/>
              <w:right w:val="single" w:sz="8" w:space="0" w:color="A6A6A6" w:themeColor="background1" w:themeShade="A6"/>
            </w:tcBorders>
            <w:tcMar>
              <w:top w:w="15" w:type="dxa"/>
              <w:left w:w="90" w:type="dxa"/>
              <w:bottom w:w="0" w:type="dxa"/>
              <w:right w:w="15" w:type="dxa"/>
            </w:tcMar>
            <w:hideMark/>
          </w:tcPr>
          <w:p w14:paraId="74EE2456" w14:textId="77777777" w:rsidR="003E245D" w:rsidRPr="003E245D" w:rsidRDefault="003E245D" w:rsidP="003E245D">
            <w:pPr>
              <w:spacing w:after="0"/>
              <w:rPr>
                <w:rFonts w:eastAsia="Times New Roman" w:cs="Calibri"/>
                <w:lang w:val="en-GB" w:eastAsia="en-GB"/>
              </w:rPr>
            </w:pPr>
            <w:r w:rsidRPr="003E245D">
              <w:rPr>
                <w:rFonts w:cs="Calibri"/>
              </w:rPr>
              <w:t xml:space="preserve"> </w:t>
            </w:r>
          </w:p>
        </w:tc>
        <w:tc>
          <w:tcPr>
            <w:tcW w:w="1018"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EE3438"/>
            <w:tcMar>
              <w:top w:w="15" w:type="dxa"/>
              <w:left w:w="15" w:type="dxa"/>
              <w:bottom w:w="0" w:type="dxa"/>
              <w:right w:w="15" w:type="dxa"/>
            </w:tcMar>
            <w:hideMark/>
          </w:tcPr>
          <w:p w14:paraId="6EF4E469" w14:textId="77777777" w:rsidR="003E245D" w:rsidRPr="003E245D" w:rsidRDefault="003E245D" w:rsidP="003E245D">
            <w:pPr>
              <w:spacing w:after="0" w:line="240" w:lineRule="auto"/>
              <w:jc w:val="right"/>
              <w:rPr>
                <w:rFonts w:eastAsia="Times New Roman" w:cs="Calibri"/>
                <w:b/>
                <w:lang w:val="en-GB" w:eastAsia="en-GB"/>
              </w:rPr>
            </w:pPr>
            <w:r w:rsidRPr="003E245D">
              <w:rPr>
                <w:rFonts w:cs="Calibri"/>
                <w:b/>
              </w:rPr>
              <w:t>2.811</w:t>
            </w:r>
          </w:p>
        </w:tc>
        <w:tc>
          <w:tcPr>
            <w:tcW w:w="966"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EE3438"/>
            <w:tcMar>
              <w:top w:w="15" w:type="dxa"/>
              <w:left w:w="15" w:type="dxa"/>
              <w:bottom w:w="0" w:type="dxa"/>
              <w:right w:w="15" w:type="dxa"/>
            </w:tcMar>
            <w:hideMark/>
          </w:tcPr>
          <w:p w14:paraId="43EB8302" w14:textId="77777777" w:rsidR="003E245D" w:rsidRPr="003E245D" w:rsidRDefault="003E245D" w:rsidP="003E245D">
            <w:pPr>
              <w:spacing w:after="0" w:line="240" w:lineRule="auto"/>
              <w:jc w:val="right"/>
              <w:rPr>
                <w:rFonts w:eastAsia="Times New Roman" w:cs="Calibri"/>
                <w:b/>
                <w:lang w:val="en-GB" w:eastAsia="en-GB"/>
              </w:rPr>
            </w:pPr>
            <w:r w:rsidRPr="003E245D">
              <w:rPr>
                <w:rFonts w:cs="Calibri"/>
                <w:b/>
              </w:rPr>
              <w:t>100%</w:t>
            </w:r>
          </w:p>
        </w:tc>
      </w:tr>
    </w:tbl>
    <w:p w14:paraId="7CA4DC0E" w14:textId="5AE47F79" w:rsidR="00735FA8" w:rsidRPr="00735FA8" w:rsidRDefault="003E245D" w:rsidP="00735FA8">
      <w:pPr>
        <w:spacing w:after="200" w:line="240" w:lineRule="auto"/>
        <w:jc w:val="center"/>
        <w:rPr>
          <w:i/>
          <w:color w:val="17406D" w:themeColor="text2"/>
          <w:sz w:val="18"/>
          <w:szCs w:val="18"/>
        </w:rPr>
      </w:pPr>
      <w:r w:rsidRPr="003E245D">
        <w:rPr>
          <w:rFonts w:cs="Calibri"/>
          <w:i/>
          <w:color w:val="17406D" w:themeColor="text2"/>
          <w:sz w:val="18"/>
          <w:szCs w:val="18"/>
        </w:rPr>
        <w:t xml:space="preserve">Tabella </w:t>
      </w:r>
      <w:r w:rsidR="00735FA8" w:rsidRPr="003E245D">
        <w:rPr>
          <w:i/>
          <w:iCs/>
          <w:color w:val="17406D" w:themeColor="text2"/>
          <w:sz w:val="18"/>
          <w:szCs w:val="18"/>
        </w:rPr>
        <w:fldChar w:fldCharType="begin"/>
      </w:r>
      <w:r w:rsidR="00735FA8" w:rsidRPr="003E245D">
        <w:rPr>
          <w:i/>
          <w:iCs/>
          <w:color w:val="17406D" w:themeColor="text2"/>
          <w:sz w:val="18"/>
          <w:szCs w:val="18"/>
        </w:rPr>
        <w:instrText xml:space="preserve"> SEQ Tabella \* ARABIC </w:instrText>
      </w:r>
      <w:r w:rsidR="00735FA8" w:rsidRPr="003E245D">
        <w:rPr>
          <w:i/>
          <w:iCs/>
          <w:color w:val="17406D" w:themeColor="text2"/>
          <w:sz w:val="18"/>
          <w:szCs w:val="18"/>
        </w:rPr>
        <w:fldChar w:fldCharType="separate"/>
      </w:r>
      <w:r w:rsidR="00073B6D">
        <w:rPr>
          <w:i/>
          <w:iCs/>
          <w:noProof/>
          <w:color w:val="17406D" w:themeColor="text2"/>
          <w:sz w:val="18"/>
          <w:szCs w:val="18"/>
        </w:rPr>
        <w:t>26</w:t>
      </w:r>
      <w:r w:rsidR="00735FA8" w:rsidRPr="003E245D">
        <w:rPr>
          <w:i/>
          <w:iCs/>
          <w:noProof/>
          <w:color w:val="17406D" w:themeColor="text2"/>
          <w:sz w:val="18"/>
          <w:szCs w:val="18"/>
        </w:rPr>
        <w:fldChar w:fldCharType="end"/>
      </w:r>
      <w:r w:rsidRPr="003E245D">
        <w:rPr>
          <w:rFonts w:cs="Calibri"/>
          <w:i/>
          <w:color w:val="17406D" w:themeColor="text2"/>
          <w:sz w:val="18"/>
          <w:szCs w:val="18"/>
        </w:rPr>
        <w:t xml:space="preserve"> – Popolazione universitaria UNITO 2024-2025 della sede di Grugliasco</w:t>
      </w:r>
    </w:p>
    <w:p w14:paraId="55CED716" w14:textId="48484CA0" w:rsidR="003E245D" w:rsidRPr="003E245D" w:rsidRDefault="003E245D" w:rsidP="00B94A20">
      <w:pPr>
        <w:spacing w:after="200" w:line="240" w:lineRule="auto"/>
        <w:jc w:val="center"/>
        <w:rPr>
          <w:rFonts w:cs="Calibri"/>
          <w:i/>
          <w:color w:val="17406D" w:themeColor="text2"/>
          <w:sz w:val="18"/>
          <w:szCs w:val="18"/>
        </w:rPr>
      </w:pPr>
    </w:p>
    <w:tbl>
      <w:tblPr>
        <w:tblW w:w="8376" w:type="dxa"/>
        <w:tblInd w:w="261" w:type="dxa"/>
        <w:tblCellMar>
          <w:left w:w="0" w:type="dxa"/>
          <w:right w:w="0" w:type="dxa"/>
        </w:tblCellMar>
        <w:tblLook w:val="04A0" w:firstRow="1" w:lastRow="0" w:firstColumn="1" w:lastColumn="0" w:noHBand="0" w:noVBand="1"/>
      </w:tblPr>
      <w:tblGrid>
        <w:gridCol w:w="6434"/>
        <w:gridCol w:w="950"/>
        <w:gridCol w:w="992"/>
      </w:tblGrid>
      <w:tr w:rsidR="003E245D" w:rsidRPr="003E245D" w14:paraId="5157D817" w14:textId="77777777">
        <w:trPr>
          <w:trHeight w:val="20"/>
        </w:trPr>
        <w:tc>
          <w:tcPr>
            <w:tcW w:w="6434"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EE3438"/>
            <w:tcMar>
              <w:top w:w="15" w:type="dxa"/>
              <w:left w:w="15" w:type="dxa"/>
              <w:bottom w:w="0" w:type="dxa"/>
              <w:right w:w="15" w:type="dxa"/>
            </w:tcMar>
            <w:vAlign w:val="bottom"/>
            <w:hideMark/>
          </w:tcPr>
          <w:p w14:paraId="7B1E3B22" w14:textId="77777777" w:rsidR="003E245D" w:rsidRPr="003E245D" w:rsidRDefault="003E245D" w:rsidP="003E245D">
            <w:pPr>
              <w:spacing w:after="0" w:line="240" w:lineRule="auto"/>
              <w:jc w:val="left"/>
              <w:rPr>
                <w:rFonts w:eastAsia="Times New Roman" w:cs="Calibri"/>
                <w:b/>
                <w:lang w:eastAsia="en-GB"/>
              </w:rPr>
            </w:pPr>
            <w:r w:rsidRPr="003E245D">
              <w:rPr>
                <w:rFonts w:eastAsia="Times New Roman" w:cs="Calibri"/>
                <w:b/>
                <w:color w:val="000000"/>
              </w:rPr>
              <w:t>Sede di Orbassano</w:t>
            </w:r>
          </w:p>
        </w:tc>
        <w:tc>
          <w:tcPr>
            <w:tcW w:w="950"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EE3438"/>
            <w:tcMar>
              <w:top w:w="15" w:type="dxa"/>
              <w:left w:w="15" w:type="dxa"/>
              <w:bottom w:w="0" w:type="dxa"/>
              <w:right w:w="15" w:type="dxa"/>
            </w:tcMar>
            <w:vAlign w:val="bottom"/>
            <w:hideMark/>
          </w:tcPr>
          <w:p w14:paraId="51CF86E1" w14:textId="77777777" w:rsidR="003E245D" w:rsidRPr="003E245D" w:rsidRDefault="003E245D" w:rsidP="003E245D">
            <w:pPr>
              <w:spacing w:after="0" w:line="240" w:lineRule="auto"/>
              <w:jc w:val="center"/>
              <w:rPr>
                <w:rFonts w:eastAsia="Times New Roman" w:cs="Calibri"/>
                <w:b/>
                <w:lang w:val="en-GB" w:eastAsia="en-GB"/>
              </w:rPr>
            </w:pPr>
            <w:r w:rsidRPr="003E245D">
              <w:rPr>
                <w:rFonts w:eastAsia="Times New Roman" w:cs="Calibri"/>
                <w:b/>
                <w:color w:val="000000"/>
              </w:rPr>
              <w:t>n</w:t>
            </w:r>
          </w:p>
        </w:tc>
        <w:tc>
          <w:tcPr>
            <w:tcW w:w="992"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EE3438"/>
            <w:tcMar>
              <w:top w:w="15" w:type="dxa"/>
              <w:left w:w="15" w:type="dxa"/>
              <w:bottom w:w="0" w:type="dxa"/>
              <w:right w:w="15" w:type="dxa"/>
            </w:tcMar>
            <w:vAlign w:val="bottom"/>
            <w:hideMark/>
          </w:tcPr>
          <w:p w14:paraId="21764593" w14:textId="77777777" w:rsidR="003E245D" w:rsidRPr="003E245D" w:rsidRDefault="003E245D" w:rsidP="003E245D">
            <w:pPr>
              <w:spacing w:after="0" w:line="240" w:lineRule="auto"/>
              <w:jc w:val="center"/>
              <w:rPr>
                <w:rFonts w:eastAsia="Times New Roman" w:cs="Calibri"/>
                <w:b/>
                <w:lang w:val="en-GB" w:eastAsia="en-GB"/>
              </w:rPr>
            </w:pPr>
            <w:r w:rsidRPr="003E245D">
              <w:rPr>
                <w:rFonts w:eastAsia="Times New Roman" w:cs="Calibri"/>
                <w:b/>
                <w:color w:val="000000"/>
              </w:rPr>
              <w:t>%</w:t>
            </w:r>
          </w:p>
        </w:tc>
      </w:tr>
      <w:tr w:rsidR="003E245D" w:rsidRPr="003E245D" w14:paraId="1912698A" w14:textId="77777777">
        <w:trPr>
          <w:trHeight w:val="20"/>
        </w:trPr>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vAlign w:val="bottom"/>
            <w:hideMark/>
          </w:tcPr>
          <w:p w14:paraId="3209D355" w14:textId="77777777" w:rsidR="003E245D" w:rsidRPr="003E245D" w:rsidRDefault="003E245D" w:rsidP="003E245D">
            <w:pPr>
              <w:spacing w:after="0" w:line="240" w:lineRule="auto"/>
              <w:jc w:val="left"/>
              <w:rPr>
                <w:rFonts w:eastAsia="Times New Roman" w:cs="Calibri"/>
                <w:lang w:val="en-GB" w:eastAsia="en-GB"/>
              </w:rPr>
            </w:pPr>
            <w:r w:rsidRPr="003E245D">
              <w:rPr>
                <w:rFonts w:eastAsia="Times New Roman" w:cs="Calibri"/>
                <w:color w:val="000000"/>
              </w:rPr>
              <w:t>Comune di Orbassano</w:t>
            </w:r>
          </w:p>
        </w:tc>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vAlign w:val="bottom"/>
            <w:hideMark/>
          </w:tcPr>
          <w:p w14:paraId="3DFD29B6" w14:textId="77777777" w:rsidR="003E245D" w:rsidRPr="003E245D" w:rsidRDefault="003E245D" w:rsidP="003E245D">
            <w:pPr>
              <w:spacing w:after="0" w:line="240" w:lineRule="auto"/>
              <w:jc w:val="right"/>
              <w:rPr>
                <w:rFonts w:eastAsia="Times New Roman" w:cs="Calibri"/>
                <w:lang w:val="en-GB" w:eastAsia="en-GB"/>
              </w:rPr>
            </w:pPr>
            <w:r w:rsidRPr="003E245D">
              <w:rPr>
                <w:rFonts w:eastAsia="Times New Roman" w:cs="Calibri"/>
                <w:color w:val="000000"/>
              </w:rPr>
              <w:t>28</w:t>
            </w:r>
          </w:p>
        </w:tc>
        <w:tc>
          <w:tcPr>
            <w:tcW w:w="992"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vAlign w:val="bottom"/>
            <w:hideMark/>
          </w:tcPr>
          <w:p w14:paraId="3436100C" w14:textId="77777777" w:rsidR="003E245D" w:rsidRPr="003E245D" w:rsidRDefault="003E245D" w:rsidP="003E245D">
            <w:pPr>
              <w:spacing w:after="0" w:line="240" w:lineRule="auto"/>
              <w:jc w:val="right"/>
              <w:rPr>
                <w:rFonts w:eastAsia="Times New Roman" w:cs="Calibri"/>
                <w:lang w:val="en-GB" w:eastAsia="en-GB"/>
              </w:rPr>
            </w:pPr>
            <w:r w:rsidRPr="003E245D">
              <w:rPr>
                <w:rFonts w:eastAsia="Times New Roman" w:cs="Calibri"/>
                <w:color w:val="000000"/>
              </w:rPr>
              <w:t>2,39%</w:t>
            </w:r>
          </w:p>
        </w:tc>
      </w:tr>
      <w:tr w:rsidR="003E245D" w:rsidRPr="003E245D" w14:paraId="4DA725F9" w14:textId="77777777">
        <w:trPr>
          <w:trHeight w:val="20"/>
        </w:trPr>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vAlign w:val="bottom"/>
            <w:hideMark/>
          </w:tcPr>
          <w:p w14:paraId="72678A0D" w14:textId="77777777" w:rsidR="003E245D" w:rsidRPr="003E245D" w:rsidRDefault="003E245D" w:rsidP="003E245D">
            <w:pPr>
              <w:spacing w:after="0" w:line="240" w:lineRule="auto"/>
              <w:jc w:val="left"/>
              <w:rPr>
                <w:rFonts w:eastAsia="Times New Roman" w:cs="Calibri"/>
                <w:lang w:eastAsia="en-GB"/>
              </w:rPr>
            </w:pPr>
            <w:r w:rsidRPr="003E245D">
              <w:rPr>
                <w:rFonts w:eastAsia="Times New Roman" w:cs="Calibri"/>
                <w:color w:val="000000"/>
              </w:rPr>
              <w:t>Città Metropolitana di Torino (escluso Orbassano)</w:t>
            </w:r>
          </w:p>
        </w:tc>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vAlign w:val="bottom"/>
            <w:hideMark/>
          </w:tcPr>
          <w:p w14:paraId="09281A66" w14:textId="77777777" w:rsidR="003E245D" w:rsidRPr="003E245D" w:rsidRDefault="003E245D" w:rsidP="003E245D">
            <w:pPr>
              <w:spacing w:after="0" w:line="240" w:lineRule="auto"/>
              <w:jc w:val="right"/>
              <w:rPr>
                <w:rFonts w:eastAsia="Times New Roman" w:cs="Calibri"/>
                <w:lang w:val="en-GB" w:eastAsia="en-GB"/>
              </w:rPr>
            </w:pPr>
            <w:r w:rsidRPr="003E245D">
              <w:rPr>
                <w:rFonts w:eastAsia="Times New Roman" w:cs="Calibri"/>
                <w:color w:val="000000"/>
              </w:rPr>
              <w:t>770</w:t>
            </w:r>
          </w:p>
        </w:tc>
        <w:tc>
          <w:tcPr>
            <w:tcW w:w="992"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vAlign w:val="bottom"/>
            <w:hideMark/>
          </w:tcPr>
          <w:p w14:paraId="62897054" w14:textId="77777777" w:rsidR="003E245D" w:rsidRPr="003E245D" w:rsidRDefault="003E245D" w:rsidP="003E245D">
            <w:pPr>
              <w:spacing w:after="0" w:line="240" w:lineRule="auto"/>
              <w:jc w:val="right"/>
              <w:rPr>
                <w:rFonts w:eastAsia="Times New Roman" w:cs="Calibri"/>
                <w:lang w:val="en-GB" w:eastAsia="en-GB"/>
              </w:rPr>
            </w:pPr>
            <w:r w:rsidRPr="003E245D">
              <w:rPr>
                <w:rFonts w:eastAsia="Times New Roman" w:cs="Calibri"/>
                <w:color w:val="000000"/>
              </w:rPr>
              <w:t>65,81%</w:t>
            </w:r>
          </w:p>
        </w:tc>
      </w:tr>
      <w:tr w:rsidR="003E245D" w:rsidRPr="003E245D" w14:paraId="75C96EAA" w14:textId="77777777">
        <w:trPr>
          <w:trHeight w:val="20"/>
        </w:trPr>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vAlign w:val="bottom"/>
            <w:hideMark/>
          </w:tcPr>
          <w:p w14:paraId="2068AB09" w14:textId="77777777" w:rsidR="003E245D" w:rsidRPr="003E245D" w:rsidRDefault="003E245D" w:rsidP="003E245D">
            <w:pPr>
              <w:spacing w:after="0" w:line="240" w:lineRule="auto"/>
              <w:jc w:val="left"/>
              <w:rPr>
                <w:rFonts w:eastAsia="Times New Roman" w:cs="Calibri"/>
                <w:lang w:eastAsia="en-GB"/>
              </w:rPr>
            </w:pPr>
            <w:r w:rsidRPr="003E245D">
              <w:rPr>
                <w:rFonts w:eastAsia="Times New Roman" w:cs="Calibri"/>
                <w:color w:val="000000"/>
              </w:rPr>
              <w:t>Altre province del Piemonte (esclusa CMTO)</w:t>
            </w:r>
          </w:p>
        </w:tc>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vAlign w:val="bottom"/>
            <w:hideMark/>
          </w:tcPr>
          <w:p w14:paraId="6A76291F" w14:textId="77777777" w:rsidR="003E245D" w:rsidRPr="003E245D" w:rsidRDefault="003E245D" w:rsidP="003E245D">
            <w:pPr>
              <w:spacing w:after="0" w:line="240" w:lineRule="auto"/>
              <w:jc w:val="right"/>
              <w:rPr>
                <w:rFonts w:eastAsia="Times New Roman" w:cs="Calibri"/>
                <w:lang w:val="en-GB" w:eastAsia="en-GB"/>
              </w:rPr>
            </w:pPr>
            <w:r w:rsidRPr="003E245D">
              <w:rPr>
                <w:rFonts w:eastAsia="Times New Roman" w:cs="Calibri"/>
                <w:color w:val="000000"/>
              </w:rPr>
              <w:t>45</w:t>
            </w:r>
          </w:p>
        </w:tc>
        <w:tc>
          <w:tcPr>
            <w:tcW w:w="992"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vAlign w:val="bottom"/>
            <w:hideMark/>
          </w:tcPr>
          <w:p w14:paraId="52147496" w14:textId="77777777" w:rsidR="003E245D" w:rsidRPr="003E245D" w:rsidRDefault="003E245D" w:rsidP="003E245D">
            <w:pPr>
              <w:spacing w:after="0" w:line="240" w:lineRule="auto"/>
              <w:jc w:val="right"/>
              <w:rPr>
                <w:rFonts w:eastAsia="Times New Roman" w:cs="Calibri"/>
                <w:lang w:val="en-GB" w:eastAsia="en-GB"/>
              </w:rPr>
            </w:pPr>
            <w:r w:rsidRPr="003E245D">
              <w:rPr>
                <w:rFonts w:eastAsia="Times New Roman" w:cs="Calibri"/>
                <w:color w:val="000000"/>
              </w:rPr>
              <w:t>3,85%</w:t>
            </w:r>
          </w:p>
        </w:tc>
      </w:tr>
      <w:tr w:rsidR="003E245D" w:rsidRPr="003E245D" w14:paraId="1D93A263" w14:textId="77777777">
        <w:trPr>
          <w:trHeight w:val="20"/>
        </w:trPr>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vAlign w:val="bottom"/>
            <w:hideMark/>
          </w:tcPr>
          <w:p w14:paraId="4BA7573C" w14:textId="77777777" w:rsidR="003E245D" w:rsidRPr="003E245D" w:rsidRDefault="003E245D" w:rsidP="003E245D">
            <w:pPr>
              <w:spacing w:after="0" w:line="240" w:lineRule="auto"/>
              <w:jc w:val="left"/>
              <w:rPr>
                <w:rFonts w:eastAsia="Times New Roman" w:cs="Calibri"/>
                <w:lang w:val="en-GB" w:eastAsia="en-GB"/>
              </w:rPr>
            </w:pPr>
            <w:r w:rsidRPr="003E245D">
              <w:rPr>
                <w:rFonts w:eastAsia="Times New Roman" w:cs="Calibri"/>
                <w:color w:val="000000"/>
              </w:rPr>
              <w:t>Fuori Regione</w:t>
            </w:r>
          </w:p>
        </w:tc>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vAlign w:val="bottom"/>
            <w:hideMark/>
          </w:tcPr>
          <w:p w14:paraId="6DCA6CCA" w14:textId="77777777" w:rsidR="003E245D" w:rsidRPr="003E245D" w:rsidRDefault="003E245D" w:rsidP="003E245D">
            <w:pPr>
              <w:spacing w:after="0" w:line="240" w:lineRule="auto"/>
              <w:jc w:val="right"/>
              <w:rPr>
                <w:rFonts w:eastAsia="Times New Roman" w:cs="Calibri"/>
                <w:lang w:val="en-GB" w:eastAsia="en-GB"/>
              </w:rPr>
            </w:pPr>
            <w:r w:rsidRPr="003E245D">
              <w:rPr>
                <w:rFonts w:eastAsia="Times New Roman" w:cs="Calibri"/>
                <w:color w:val="000000"/>
              </w:rPr>
              <w:t>327</w:t>
            </w:r>
          </w:p>
        </w:tc>
        <w:tc>
          <w:tcPr>
            <w:tcW w:w="992"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vAlign w:val="bottom"/>
            <w:hideMark/>
          </w:tcPr>
          <w:p w14:paraId="09BC72FA" w14:textId="77777777" w:rsidR="003E245D" w:rsidRPr="003E245D" w:rsidRDefault="003E245D" w:rsidP="003E245D">
            <w:pPr>
              <w:spacing w:after="0" w:line="240" w:lineRule="auto"/>
              <w:jc w:val="right"/>
              <w:rPr>
                <w:rFonts w:eastAsia="Times New Roman" w:cs="Calibri"/>
                <w:lang w:val="en-GB" w:eastAsia="en-GB"/>
              </w:rPr>
            </w:pPr>
            <w:r w:rsidRPr="003E245D">
              <w:rPr>
                <w:rFonts w:eastAsia="Times New Roman" w:cs="Calibri"/>
                <w:color w:val="000000"/>
              </w:rPr>
              <w:t>27,95%</w:t>
            </w:r>
          </w:p>
        </w:tc>
      </w:tr>
      <w:tr w:rsidR="00D27CAD" w:rsidRPr="003E245D" w14:paraId="54191E1D" w14:textId="77777777">
        <w:trPr>
          <w:trHeight w:val="20"/>
        </w:trPr>
        <w:tc>
          <w:tcPr>
            <w:tcW w:w="6434" w:type="dxa"/>
            <w:tcBorders>
              <w:top w:val="single" w:sz="8" w:space="0" w:color="A6A6A6" w:themeColor="background1" w:themeShade="A6"/>
              <w:left w:val="nil"/>
              <w:bottom w:val="nil"/>
              <w:right w:val="single" w:sz="8" w:space="0" w:color="A6A6A6" w:themeColor="background1" w:themeShade="A6"/>
            </w:tcBorders>
            <w:tcMar>
              <w:top w:w="15" w:type="dxa"/>
              <w:left w:w="90" w:type="dxa"/>
              <w:bottom w:w="0" w:type="dxa"/>
              <w:right w:w="15" w:type="dxa"/>
            </w:tcMar>
            <w:vAlign w:val="bottom"/>
            <w:hideMark/>
          </w:tcPr>
          <w:p w14:paraId="43C960F8" w14:textId="77777777" w:rsidR="003E245D" w:rsidRPr="003E245D" w:rsidRDefault="003E245D" w:rsidP="003E245D">
            <w:pPr>
              <w:spacing w:after="0"/>
              <w:rPr>
                <w:rFonts w:eastAsia="Times New Roman" w:cs="Calibri"/>
                <w:lang w:val="en-GB" w:eastAsia="en-GB"/>
              </w:rPr>
            </w:pPr>
          </w:p>
        </w:tc>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EE3438"/>
            <w:tcMar>
              <w:top w:w="15" w:type="dxa"/>
              <w:left w:w="15" w:type="dxa"/>
              <w:bottom w:w="0" w:type="dxa"/>
              <w:right w:w="15" w:type="dxa"/>
            </w:tcMar>
            <w:vAlign w:val="bottom"/>
            <w:hideMark/>
          </w:tcPr>
          <w:p w14:paraId="1F99DBFE" w14:textId="77777777" w:rsidR="003E245D" w:rsidRPr="003E245D" w:rsidRDefault="003E245D" w:rsidP="003E245D">
            <w:pPr>
              <w:spacing w:after="0" w:line="240" w:lineRule="auto"/>
              <w:jc w:val="right"/>
              <w:rPr>
                <w:rFonts w:eastAsia="Times New Roman" w:cs="Calibri"/>
                <w:b/>
                <w:lang w:val="en-GB" w:eastAsia="en-GB"/>
              </w:rPr>
            </w:pPr>
            <w:r w:rsidRPr="003E245D">
              <w:rPr>
                <w:rFonts w:eastAsia="Times New Roman" w:cs="Calibri"/>
                <w:b/>
                <w:color w:val="000000"/>
              </w:rPr>
              <w:t>1.170</w:t>
            </w:r>
          </w:p>
        </w:tc>
        <w:tc>
          <w:tcPr>
            <w:tcW w:w="992"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EE3438"/>
            <w:tcMar>
              <w:top w:w="15" w:type="dxa"/>
              <w:left w:w="15" w:type="dxa"/>
              <w:bottom w:w="0" w:type="dxa"/>
              <w:right w:w="15" w:type="dxa"/>
            </w:tcMar>
            <w:vAlign w:val="bottom"/>
            <w:hideMark/>
          </w:tcPr>
          <w:p w14:paraId="6C996734" w14:textId="77777777" w:rsidR="003E245D" w:rsidRPr="003E245D" w:rsidRDefault="003E245D" w:rsidP="003E245D">
            <w:pPr>
              <w:spacing w:after="0" w:line="240" w:lineRule="auto"/>
              <w:jc w:val="right"/>
              <w:rPr>
                <w:rFonts w:eastAsia="Times New Roman" w:cs="Calibri"/>
                <w:b/>
                <w:lang w:val="en-GB" w:eastAsia="en-GB"/>
              </w:rPr>
            </w:pPr>
            <w:r w:rsidRPr="003E245D">
              <w:rPr>
                <w:rFonts w:eastAsia="Times New Roman" w:cs="Calibri"/>
                <w:b/>
                <w:color w:val="000000"/>
              </w:rPr>
              <w:t>100,00%</w:t>
            </w:r>
          </w:p>
        </w:tc>
      </w:tr>
    </w:tbl>
    <w:p w14:paraId="3FC17166" w14:textId="7BC3A227" w:rsidR="00735FA8" w:rsidRPr="00735FA8" w:rsidRDefault="00735FA8" w:rsidP="00735FA8">
      <w:pPr>
        <w:spacing w:after="200" w:line="240" w:lineRule="auto"/>
        <w:jc w:val="center"/>
        <w:rPr>
          <w:i/>
          <w:color w:val="17406D" w:themeColor="text2"/>
          <w:sz w:val="18"/>
          <w:szCs w:val="18"/>
        </w:rPr>
      </w:pPr>
      <w:r w:rsidRPr="003E245D">
        <w:rPr>
          <w:i/>
          <w:iCs/>
          <w:color w:val="17406D" w:themeColor="text2"/>
          <w:sz w:val="18"/>
          <w:szCs w:val="18"/>
        </w:rPr>
        <w:t xml:space="preserve">Tabella </w:t>
      </w:r>
      <w:r w:rsidRPr="003E245D">
        <w:rPr>
          <w:i/>
          <w:iCs/>
          <w:color w:val="17406D" w:themeColor="text2"/>
          <w:sz w:val="18"/>
          <w:szCs w:val="18"/>
        </w:rPr>
        <w:fldChar w:fldCharType="begin"/>
      </w:r>
      <w:r w:rsidRPr="003E245D">
        <w:rPr>
          <w:i/>
          <w:iCs/>
          <w:color w:val="17406D" w:themeColor="text2"/>
          <w:sz w:val="18"/>
          <w:szCs w:val="18"/>
        </w:rPr>
        <w:instrText xml:space="preserve"> SEQ Tabella \* ARABIC </w:instrText>
      </w:r>
      <w:r w:rsidRPr="003E245D">
        <w:rPr>
          <w:i/>
          <w:iCs/>
          <w:color w:val="17406D" w:themeColor="text2"/>
          <w:sz w:val="18"/>
          <w:szCs w:val="18"/>
        </w:rPr>
        <w:fldChar w:fldCharType="separate"/>
      </w:r>
      <w:r w:rsidR="00073B6D">
        <w:rPr>
          <w:i/>
          <w:iCs/>
          <w:noProof/>
          <w:color w:val="17406D" w:themeColor="text2"/>
          <w:sz w:val="18"/>
          <w:szCs w:val="18"/>
        </w:rPr>
        <w:t>27</w:t>
      </w:r>
      <w:r w:rsidRPr="003E245D">
        <w:rPr>
          <w:i/>
          <w:iCs/>
          <w:noProof/>
          <w:color w:val="17406D" w:themeColor="text2"/>
          <w:sz w:val="18"/>
          <w:szCs w:val="18"/>
        </w:rPr>
        <w:fldChar w:fldCharType="end"/>
      </w:r>
      <w:r w:rsidRPr="003E245D">
        <w:rPr>
          <w:i/>
          <w:iCs/>
          <w:color w:val="17406D" w:themeColor="text2"/>
          <w:sz w:val="18"/>
          <w:szCs w:val="18"/>
        </w:rPr>
        <w:t xml:space="preserve"> – </w:t>
      </w:r>
      <w:r w:rsidRPr="003E245D">
        <w:rPr>
          <w:rFonts w:cs="Calibri"/>
          <w:i/>
          <w:color w:val="17406D" w:themeColor="text2"/>
          <w:sz w:val="18"/>
          <w:szCs w:val="18"/>
        </w:rPr>
        <w:t>Popolazione universitaria UNITO 2024-2025 nella sede di Orbassano</w:t>
      </w:r>
    </w:p>
    <w:p w14:paraId="76764093" w14:textId="77777777" w:rsidR="003E245D" w:rsidRPr="003E245D" w:rsidRDefault="003E245D" w:rsidP="003E245D">
      <w:pPr>
        <w:spacing w:before="120" w:line="240" w:lineRule="auto"/>
        <w:rPr>
          <w:rFonts w:cs="Calibri"/>
        </w:rPr>
      </w:pPr>
      <w:r w:rsidRPr="003E245D">
        <w:rPr>
          <w:rFonts w:cs="Calibri"/>
        </w:rPr>
        <w:t xml:space="preserve">La sede di Torino del Politecnico ospita oltre 37.000 studenti, le cui provenienze sono riassunte nella tabella sottostante </w:t>
      </w:r>
      <w:r w:rsidRPr="003E245D">
        <w:rPr>
          <w:rFonts w:cs="Calibri"/>
          <w:vertAlign w:val="superscript"/>
        </w:rPr>
        <w:footnoteReference w:id="18"/>
      </w:r>
      <w:r w:rsidRPr="003E245D">
        <w:rPr>
          <w:rFonts w:cs="Calibri"/>
        </w:rPr>
        <w:t>:</w:t>
      </w:r>
    </w:p>
    <w:tbl>
      <w:tblPr>
        <w:tblW w:w="8376" w:type="dxa"/>
        <w:tblInd w:w="261" w:type="dxa"/>
        <w:tblCellMar>
          <w:left w:w="0" w:type="dxa"/>
          <w:right w:w="0" w:type="dxa"/>
        </w:tblCellMar>
        <w:tblLook w:val="04A0" w:firstRow="1" w:lastRow="0" w:firstColumn="1" w:lastColumn="0" w:noHBand="0" w:noVBand="1"/>
      </w:tblPr>
      <w:tblGrid>
        <w:gridCol w:w="6434"/>
        <w:gridCol w:w="950"/>
        <w:gridCol w:w="992"/>
      </w:tblGrid>
      <w:tr w:rsidR="003E245D" w:rsidRPr="003E245D" w14:paraId="75714BF5" w14:textId="77777777">
        <w:trPr>
          <w:trHeight w:val="20"/>
        </w:trPr>
        <w:tc>
          <w:tcPr>
            <w:tcW w:w="6434"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EE3438"/>
            <w:tcMar>
              <w:top w:w="15" w:type="dxa"/>
              <w:left w:w="15" w:type="dxa"/>
              <w:bottom w:w="0" w:type="dxa"/>
              <w:right w:w="15" w:type="dxa"/>
            </w:tcMar>
            <w:vAlign w:val="bottom"/>
            <w:hideMark/>
          </w:tcPr>
          <w:p w14:paraId="31983313" w14:textId="77777777" w:rsidR="003E245D" w:rsidRPr="003E245D" w:rsidRDefault="003E245D" w:rsidP="003E245D">
            <w:pPr>
              <w:spacing w:after="0" w:line="240" w:lineRule="auto"/>
              <w:jc w:val="left"/>
              <w:rPr>
                <w:rFonts w:eastAsia="Times New Roman" w:cs="Calibri"/>
                <w:b/>
                <w:lang w:eastAsia="en-GB"/>
              </w:rPr>
            </w:pPr>
            <w:r w:rsidRPr="003E245D">
              <w:rPr>
                <w:rFonts w:eastAsia="Times New Roman" w:cs="Calibri"/>
                <w:b/>
                <w:color w:val="000000"/>
              </w:rPr>
              <w:t>Sede di Torino</w:t>
            </w:r>
          </w:p>
        </w:tc>
        <w:tc>
          <w:tcPr>
            <w:tcW w:w="950"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EE3438"/>
            <w:tcMar>
              <w:top w:w="15" w:type="dxa"/>
              <w:left w:w="15" w:type="dxa"/>
              <w:bottom w:w="0" w:type="dxa"/>
              <w:right w:w="15" w:type="dxa"/>
            </w:tcMar>
            <w:vAlign w:val="bottom"/>
            <w:hideMark/>
          </w:tcPr>
          <w:p w14:paraId="36EC3A7E" w14:textId="77777777" w:rsidR="003E245D" w:rsidRPr="003E245D" w:rsidRDefault="003E245D" w:rsidP="003E245D">
            <w:pPr>
              <w:spacing w:after="0" w:line="240" w:lineRule="auto"/>
              <w:jc w:val="center"/>
              <w:rPr>
                <w:rFonts w:eastAsia="Times New Roman" w:cs="Calibri"/>
                <w:b/>
                <w:lang w:val="en-GB" w:eastAsia="en-GB"/>
              </w:rPr>
            </w:pPr>
            <w:r w:rsidRPr="003E245D">
              <w:rPr>
                <w:rFonts w:eastAsia="Times New Roman" w:cs="Calibri"/>
                <w:b/>
                <w:color w:val="000000"/>
              </w:rPr>
              <w:t>n</w:t>
            </w:r>
          </w:p>
        </w:tc>
        <w:tc>
          <w:tcPr>
            <w:tcW w:w="992"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EE3438"/>
            <w:tcMar>
              <w:top w:w="15" w:type="dxa"/>
              <w:left w:w="15" w:type="dxa"/>
              <w:bottom w:w="0" w:type="dxa"/>
              <w:right w:w="15" w:type="dxa"/>
            </w:tcMar>
            <w:vAlign w:val="bottom"/>
            <w:hideMark/>
          </w:tcPr>
          <w:p w14:paraId="1F8CBE68" w14:textId="77777777" w:rsidR="003E245D" w:rsidRPr="003E245D" w:rsidRDefault="003E245D" w:rsidP="003E245D">
            <w:pPr>
              <w:spacing w:after="0" w:line="240" w:lineRule="auto"/>
              <w:jc w:val="center"/>
              <w:rPr>
                <w:rFonts w:eastAsia="Times New Roman" w:cs="Calibri"/>
                <w:b/>
                <w:lang w:val="en-GB" w:eastAsia="en-GB"/>
              </w:rPr>
            </w:pPr>
            <w:r w:rsidRPr="003E245D">
              <w:rPr>
                <w:rFonts w:eastAsia="Times New Roman" w:cs="Calibri"/>
                <w:b/>
                <w:color w:val="000000"/>
              </w:rPr>
              <w:t>%</w:t>
            </w:r>
          </w:p>
        </w:tc>
      </w:tr>
      <w:tr w:rsidR="003E245D" w:rsidRPr="003E245D" w14:paraId="0AE16121" w14:textId="77777777">
        <w:trPr>
          <w:trHeight w:val="20"/>
        </w:trPr>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vAlign w:val="bottom"/>
            <w:hideMark/>
          </w:tcPr>
          <w:p w14:paraId="167BEE57" w14:textId="77777777" w:rsidR="003E245D" w:rsidRPr="003E245D" w:rsidRDefault="003E245D" w:rsidP="003E245D">
            <w:pPr>
              <w:spacing w:after="0" w:line="240" w:lineRule="auto"/>
              <w:jc w:val="left"/>
              <w:rPr>
                <w:rFonts w:eastAsia="Times New Roman" w:cs="Calibri"/>
                <w:lang w:val="en-GB" w:eastAsia="en-GB"/>
              </w:rPr>
            </w:pPr>
            <w:r w:rsidRPr="003E245D">
              <w:rPr>
                <w:rFonts w:eastAsia="Times New Roman" w:cs="Calibri"/>
                <w:color w:val="000000"/>
              </w:rPr>
              <w:t>Comune di Torino</w:t>
            </w:r>
          </w:p>
        </w:tc>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vAlign w:val="bottom"/>
            <w:hideMark/>
          </w:tcPr>
          <w:p w14:paraId="2B734EA8" w14:textId="77777777" w:rsidR="003E245D" w:rsidRPr="003E245D" w:rsidRDefault="003E245D" w:rsidP="003E245D">
            <w:pPr>
              <w:spacing w:after="0" w:line="240" w:lineRule="auto"/>
              <w:jc w:val="right"/>
              <w:rPr>
                <w:rFonts w:eastAsia="Times New Roman" w:cs="Calibri"/>
                <w:lang w:val="en-GB" w:eastAsia="en-GB"/>
              </w:rPr>
            </w:pPr>
            <w:r w:rsidRPr="003E245D">
              <w:rPr>
                <w:rFonts w:eastAsia="Times New Roman" w:cs="Calibri"/>
                <w:color w:val="000000"/>
              </w:rPr>
              <w:t>10.287</w:t>
            </w:r>
          </w:p>
        </w:tc>
        <w:tc>
          <w:tcPr>
            <w:tcW w:w="992"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vAlign w:val="bottom"/>
            <w:hideMark/>
          </w:tcPr>
          <w:p w14:paraId="019D4EB7" w14:textId="77777777" w:rsidR="003E245D" w:rsidRPr="003E245D" w:rsidRDefault="003E245D" w:rsidP="003E245D">
            <w:pPr>
              <w:spacing w:after="0" w:line="240" w:lineRule="auto"/>
              <w:jc w:val="right"/>
              <w:rPr>
                <w:rFonts w:eastAsia="Times New Roman" w:cs="Calibri"/>
                <w:lang w:val="en-GB" w:eastAsia="en-GB"/>
              </w:rPr>
            </w:pPr>
            <w:r w:rsidRPr="003E245D">
              <w:rPr>
                <w:rFonts w:eastAsia="Times New Roman" w:cs="Calibri"/>
                <w:color w:val="000000"/>
              </w:rPr>
              <w:t>27,45%</w:t>
            </w:r>
          </w:p>
        </w:tc>
      </w:tr>
      <w:tr w:rsidR="003E245D" w:rsidRPr="003E245D" w14:paraId="5689CC51" w14:textId="77777777">
        <w:trPr>
          <w:trHeight w:val="20"/>
        </w:trPr>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vAlign w:val="bottom"/>
            <w:hideMark/>
          </w:tcPr>
          <w:p w14:paraId="0357EDA2" w14:textId="77777777" w:rsidR="003E245D" w:rsidRPr="003E245D" w:rsidRDefault="003E245D" w:rsidP="003E245D">
            <w:pPr>
              <w:spacing w:after="0" w:line="240" w:lineRule="auto"/>
              <w:jc w:val="left"/>
              <w:rPr>
                <w:rFonts w:eastAsia="Times New Roman" w:cs="Calibri"/>
                <w:lang w:eastAsia="en-GB"/>
              </w:rPr>
            </w:pPr>
            <w:r w:rsidRPr="003E245D">
              <w:rPr>
                <w:rFonts w:eastAsia="Times New Roman" w:cs="Calibri"/>
                <w:color w:val="000000"/>
              </w:rPr>
              <w:t>Città Metropolitana di Torino (esclusa Torino)</w:t>
            </w:r>
          </w:p>
        </w:tc>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vAlign w:val="bottom"/>
            <w:hideMark/>
          </w:tcPr>
          <w:p w14:paraId="5F441922" w14:textId="77777777" w:rsidR="003E245D" w:rsidRPr="003E245D" w:rsidRDefault="003E245D" w:rsidP="003E245D">
            <w:pPr>
              <w:spacing w:after="0" w:line="240" w:lineRule="auto"/>
              <w:jc w:val="right"/>
              <w:rPr>
                <w:rFonts w:eastAsia="Times New Roman" w:cs="Calibri"/>
                <w:lang w:val="en-GB" w:eastAsia="en-GB"/>
              </w:rPr>
            </w:pPr>
            <w:r w:rsidRPr="003E245D">
              <w:rPr>
                <w:rFonts w:eastAsia="Times New Roman" w:cs="Calibri"/>
                <w:color w:val="000000"/>
              </w:rPr>
              <w:t>5.970</w:t>
            </w:r>
          </w:p>
        </w:tc>
        <w:tc>
          <w:tcPr>
            <w:tcW w:w="992"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vAlign w:val="bottom"/>
            <w:hideMark/>
          </w:tcPr>
          <w:p w14:paraId="5285152A" w14:textId="77777777" w:rsidR="003E245D" w:rsidRPr="003E245D" w:rsidRDefault="003E245D" w:rsidP="003E245D">
            <w:pPr>
              <w:spacing w:after="0" w:line="240" w:lineRule="auto"/>
              <w:jc w:val="right"/>
              <w:rPr>
                <w:rFonts w:eastAsia="Times New Roman" w:cs="Calibri"/>
                <w:lang w:val="en-GB" w:eastAsia="en-GB"/>
              </w:rPr>
            </w:pPr>
            <w:r w:rsidRPr="003E245D">
              <w:rPr>
                <w:rFonts w:eastAsia="Times New Roman" w:cs="Calibri"/>
                <w:color w:val="000000"/>
              </w:rPr>
              <w:t>15,93%</w:t>
            </w:r>
          </w:p>
        </w:tc>
      </w:tr>
      <w:tr w:rsidR="003E245D" w:rsidRPr="003E245D" w14:paraId="0348EBBD" w14:textId="77777777">
        <w:trPr>
          <w:trHeight w:val="20"/>
        </w:trPr>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vAlign w:val="bottom"/>
            <w:hideMark/>
          </w:tcPr>
          <w:p w14:paraId="7F701404" w14:textId="77777777" w:rsidR="003E245D" w:rsidRPr="003E245D" w:rsidRDefault="003E245D" w:rsidP="003E245D">
            <w:pPr>
              <w:spacing w:after="0" w:line="240" w:lineRule="auto"/>
              <w:jc w:val="left"/>
              <w:rPr>
                <w:rFonts w:eastAsia="Times New Roman" w:cs="Calibri"/>
                <w:lang w:eastAsia="en-GB"/>
              </w:rPr>
            </w:pPr>
            <w:r w:rsidRPr="003E245D">
              <w:rPr>
                <w:rFonts w:eastAsia="Times New Roman" w:cs="Calibri"/>
                <w:color w:val="000000"/>
              </w:rPr>
              <w:t>Altre province del Piemonte (esclusa CMTO)</w:t>
            </w:r>
          </w:p>
        </w:tc>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vAlign w:val="bottom"/>
            <w:hideMark/>
          </w:tcPr>
          <w:p w14:paraId="09BCE06E" w14:textId="77777777" w:rsidR="003E245D" w:rsidRPr="003E245D" w:rsidRDefault="003E245D" w:rsidP="003E245D">
            <w:pPr>
              <w:spacing w:after="0" w:line="240" w:lineRule="auto"/>
              <w:jc w:val="right"/>
              <w:rPr>
                <w:rFonts w:eastAsia="Times New Roman" w:cs="Calibri"/>
                <w:lang w:val="en-GB" w:eastAsia="en-GB"/>
              </w:rPr>
            </w:pPr>
            <w:r w:rsidRPr="003E245D">
              <w:rPr>
                <w:rFonts w:eastAsia="Times New Roman" w:cs="Calibri"/>
                <w:color w:val="000000"/>
              </w:rPr>
              <w:t>4.278</w:t>
            </w:r>
          </w:p>
        </w:tc>
        <w:tc>
          <w:tcPr>
            <w:tcW w:w="992"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vAlign w:val="bottom"/>
            <w:hideMark/>
          </w:tcPr>
          <w:p w14:paraId="2DFAA2EB" w14:textId="77777777" w:rsidR="003E245D" w:rsidRPr="003E245D" w:rsidRDefault="003E245D" w:rsidP="003E245D">
            <w:pPr>
              <w:spacing w:after="0" w:line="240" w:lineRule="auto"/>
              <w:jc w:val="right"/>
              <w:rPr>
                <w:rFonts w:eastAsia="Times New Roman" w:cs="Calibri"/>
                <w:lang w:val="en-GB" w:eastAsia="en-GB"/>
              </w:rPr>
            </w:pPr>
            <w:r w:rsidRPr="003E245D">
              <w:rPr>
                <w:rFonts w:eastAsia="Times New Roman" w:cs="Calibri"/>
                <w:color w:val="000000"/>
              </w:rPr>
              <w:t>11,42%</w:t>
            </w:r>
          </w:p>
        </w:tc>
      </w:tr>
      <w:tr w:rsidR="003E245D" w:rsidRPr="003E245D" w14:paraId="69176BA9" w14:textId="77777777">
        <w:trPr>
          <w:trHeight w:val="20"/>
        </w:trPr>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vAlign w:val="bottom"/>
            <w:hideMark/>
          </w:tcPr>
          <w:p w14:paraId="1F886763" w14:textId="77777777" w:rsidR="003E245D" w:rsidRPr="003E245D" w:rsidRDefault="003E245D" w:rsidP="003E245D">
            <w:pPr>
              <w:spacing w:after="0" w:line="240" w:lineRule="auto"/>
              <w:jc w:val="left"/>
              <w:rPr>
                <w:rFonts w:eastAsia="Times New Roman" w:cs="Calibri"/>
                <w:lang w:val="en-GB" w:eastAsia="en-GB"/>
              </w:rPr>
            </w:pPr>
            <w:r w:rsidRPr="003E245D">
              <w:rPr>
                <w:rFonts w:eastAsia="Times New Roman" w:cs="Calibri"/>
                <w:color w:val="000000"/>
              </w:rPr>
              <w:t>Fuori Regione</w:t>
            </w:r>
          </w:p>
        </w:tc>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vAlign w:val="bottom"/>
            <w:hideMark/>
          </w:tcPr>
          <w:p w14:paraId="4EF2FD82" w14:textId="77777777" w:rsidR="003E245D" w:rsidRPr="003E245D" w:rsidRDefault="003E245D" w:rsidP="003E245D">
            <w:pPr>
              <w:spacing w:after="0" w:line="240" w:lineRule="auto"/>
              <w:jc w:val="right"/>
              <w:rPr>
                <w:rFonts w:eastAsia="Times New Roman" w:cs="Calibri"/>
                <w:lang w:val="en-GB" w:eastAsia="en-GB"/>
              </w:rPr>
            </w:pPr>
            <w:r w:rsidRPr="003E245D">
              <w:rPr>
                <w:rFonts w:eastAsia="Times New Roman" w:cs="Calibri"/>
                <w:color w:val="000000"/>
              </w:rPr>
              <w:t>16.940</w:t>
            </w:r>
          </w:p>
        </w:tc>
        <w:tc>
          <w:tcPr>
            <w:tcW w:w="992"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vAlign w:val="bottom"/>
            <w:hideMark/>
          </w:tcPr>
          <w:p w14:paraId="5AF44C13" w14:textId="77777777" w:rsidR="003E245D" w:rsidRPr="003E245D" w:rsidRDefault="003E245D" w:rsidP="003E245D">
            <w:pPr>
              <w:spacing w:after="0" w:line="240" w:lineRule="auto"/>
              <w:jc w:val="right"/>
              <w:rPr>
                <w:rFonts w:eastAsia="Times New Roman" w:cs="Calibri"/>
                <w:lang w:val="en-GB" w:eastAsia="en-GB"/>
              </w:rPr>
            </w:pPr>
            <w:r w:rsidRPr="003E245D">
              <w:rPr>
                <w:rFonts w:eastAsia="Times New Roman" w:cs="Calibri"/>
                <w:color w:val="000000"/>
              </w:rPr>
              <w:t>45.2%</w:t>
            </w:r>
          </w:p>
        </w:tc>
      </w:tr>
      <w:tr w:rsidR="00D27CAD" w:rsidRPr="003E245D" w14:paraId="524EC63F" w14:textId="77777777">
        <w:trPr>
          <w:trHeight w:val="20"/>
        </w:trPr>
        <w:tc>
          <w:tcPr>
            <w:tcW w:w="6434" w:type="dxa"/>
            <w:tcBorders>
              <w:top w:val="single" w:sz="8" w:space="0" w:color="A6A6A6" w:themeColor="background1" w:themeShade="A6"/>
              <w:left w:val="nil"/>
              <w:bottom w:val="nil"/>
              <w:right w:val="single" w:sz="8" w:space="0" w:color="A6A6A6" w:themeColor="background1" w:themeShade="A6"/>
            </w:tcBorders>
            <w:tcMar>
              <w:top w:w="15" w:type="dxa"/>
              <w:left w:w="90" w:type="dxa"/>
              <w:bottom w:w="0" w:type="dxa"/>
              <w:right w:w="15" w:type="dxa"/>
            </w:tcMar>
            <w:vAlign w:val="bottom"/>
            <w:hideMark/>
          </w:tcPr>
          <w:p w14:paraId="428A2EC7" w14:textId="77777777" w:rsidR="003E245D" w:rsidRPr="003E245D" w:rsidRDefault="003E245D" w:rsidP="003E245D">
            <w:pPr>
              <w:spacing w:after="0"/>
              <w:rPr>
                <w:rFonts w:eastAsia="Times New Roman" w:cs="Calibri"/>
                <w:lang w:eastAsia="en-GB"/>
              </w:rPr>
            </w:pPr>
          </w:p>
        </w:tc>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EE3438"/>
            <w:tcMar>
              <w:top w:w="15" w:type="dxa"/>
              <w:left w:w="15" w:type="dxa"/>
              <w:bottom w:w="0" w:type="dxa"/>
              <w:right w:w="15" w:type="dxa"/>
            </w:tcMar>
            <w:vAlign w:val="bottom"/>
            <w:hideMark/>
          </w:tcPr>
          <w:p w14:paraId="4A314FD9" w14:textId="77777777" w:rsidR="003E245D" w:rsidRPr="003E245D" w:rsidRDefault="003E245D" w:rsidP="003E245D">
            <w:pPr>
              <w:spacing w:after="0" w:line="240" w:lineRule="auto"/>
              <w:jc w:val="right"/>
              <w:rPr>
                <w:rFonts w:eastAsia="Times New Roman" w:cs="Calibri"/>
                <w:b/>
                <w:lang w:val="en-GB" w:eastAsia="en-GB"/>
              </w:rPr>
            </w:pPr>
            <w:r w:rsidRPr="003E245D">
              <w:rPr>
                <w:rFonts w:eastAsia="Times New Roman" w:cs="Calibri"/>
                <w:b/>
                <w:color w:val="000000"/>
              </w:rPr>
              <w:t>37.475</w:t>
            </w:r>
          </w:p>
        </w:tc>
        <w:tc>
          <w:tcPr>
            <w:tcW w:w="992"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EE3438"/>
            <w:tcMar>
              <w:top w:w="15" w:type="dxa"/>
              <w:left w:w="15" w:type="dxa"/>
              <w:bottom w:w="0" w:type="dxa"/>
              <w:right w:w="15" w:type="dxa"/>
            </w:tcMar>
            <w:vAlign w:val="bottom"/>
            <w:hideMark/>
          </w:tcPr>
          <w:p w14:paraId="60D12394" w14:textId="77777777" w:rsidR="003E245D" w:rsidRPr="003E245D" w:rsidRDefault="003E245D" w:rsidP="003E245D">
            <w:pPr>
              <w:spacing w:after="0" w:line="240" w:lineRule="auto"/>
              <w:jc w:val="right"/>
              <w:rPr>
                <w:rFonts w:eastAsia="Times New Roman" w:cs="Calibri"/>
                <w:b/>
                <w:lang w:val="en-GB" w:eastAsia="en-GB"/>
              </w:rPr>
            </w:pPr>
            <w:r w:rsidRPr="003E245D">
              <w:rPr>
                <w:rFonts w:eastAsia="Times New Roman" w:cs="Calibri"/>
                <w:b/>
                <w:color w:val="000000"/>
              </w:rPr>
              <w:t>100,00%</w:t>
            </w:r>
          </w:p>
        </w:tc>
      </w:tr>
    </w:tbl>
    <w:p w14:paraId="0150A3D0" w14:textId="6D1CF343" w:rsidR="00735FA8" w:rsidRPr="00735FA8" w:rsidRDefault="00735FA8" w:rsidP="00735FA8">
      <w:pPr>
        <w:spacing w:after="200" w:line="240" w:lineRule="auto"/>
        <w:jc w:val="center"/>
        <w:rPr>
          <w:i/>
          <w:color w:val="17406D" w:themeColor="text2"/>
          <w:sz w:val="18"/>
          <w:szCs w:val="18"/>
        </w:rPr>
      </w:pPr>
      <w:r w:rsidRPr="003E245D">
        <w:rPr>
          <w:i/>
          <w:iCs/>
          <w:color w:val="17406D" w:themeColor="text2"/>
          <w:sz w:val="18"/>
          <w:szCs w:val="18"/>
        </w:rPr>
        <w:t xml:space="preserve">Tabella </w:t>
      </w:r>
      <w:r w:rsidRPr="003E245D">
        <w:rPr>
          <w:i/>
          <w:iCs/>
          <w:color w:val="17406D" w:themeColor="text2"/>
          <w:sz w:val="18"/>
          <w:szCs w:val="18"/>
        </w:rPr>
        <w:fldChar w:fldCharType="begin"/>
      </w:r>
      <w:r w:rsidRPr="003E245D">
        <w:rPr>
          <w:i/>
          <w:iCs/>
          <w:color w:val="17406D" w:themeColor="text2"/>
          <w:sz w:val="18"/>
          <w:szCs w:val="18"/>
        </w:rPr>
        <w:instrText xml:space="preserve"> SEQ Tabella \* ARABIC </w:instrText>
      </w:r>
      <w:r w:rsidRPr="003E245D">
        <w:rPr>
          <w:i/>
          <w:iCs/>
          <w:color w:val="17406D" w:themeColor="text2"/>
          <w:sz w:val="18"/>
          <w:szCs w:val="18"/>
        </w:rPr>
        <w:fldChar w:fldCharType="separate"/>
      </w:r>
      <w:r w:rsidR="00073B6D">
        <w:rPr>
          <w:i/>
          <w:iCs/>
          <w:noProof/>
          <w:color w:val="17406D" w:themeColor="text2"/>
          <w:sz w:val="18"/>
          <w:szCs w:val="18"/>
        </w:rPr>
        <w:t>28</w:t>
      </w:r>
      <w:r w:rsidRPr="003E245D">
        <w:rPr>
          <w:i/>
          <w:iCs/>
          <w:noProof/>
          <w:color w:val="17406D" w:themeColor="text2"/>
          <w:sz w:val="18"/>
          <w:szCs w:val="18"/>
        </w:rPr>
        <w:fldChar w:fldCharType="end"/>
      </w:r>
      <w:r w:rsidRPr="003E245D">
        <w:rPr>
          <w:i/>
          <w:iCs/>
          <w:color w:val="17406D" w:themeColor="text2"/>
          <w:sz w:val="18"/>
          <w:szCs w:val="18"/>
        </w:rPr>
        <w:t xml:space="preserve"> – </w:t>
      </w:r>
      <w:r w:rsidRPr="003E245D">
        <w:rPr>
          <w:rFonts w:cs="Calibri"/>
          <w:i/>
          <w:color w:val="17406D" w:themeColor="text2"/>
          <w:sz w:val="18"/>
          <w:szCs w:val="18"/>
        </w:rPr>
        <w:t>Popolazione universitaria Politecnico di Torino 2024-2025 nella sede di Torino</w:t>
      </w:r>
    </w:p>
    <w:p w14:paraId="4513D46C" w14:textId="77777777" w:rsidR="003E245D" w:rsidRPr="003E245D" w:rsidRDefault="003E245D" w:rsidP="003E245D">
      <w:pPr>
        <w:spacing w:before="120" w:after="0" w:line="240" w:lineRule="auto"/>
      </w:pPr>
      <w:r w:rsidRPr="003E245D">
        <w:t>Gli studenti universitari provenienti dai comuni della provincia, esclusi quelli residenti nelle città sedi universitarie, costituiscono una potenziale domanda per i servizi di TPL del Bacino.</w:t>
      </w:r>
    </w:p>
    <w:p w14:paraId="24C90150" w14:textId="77777777" w:rsidR="003E245D" w:rsidRPr="003E245D" w:rsidRDefault="003E245D" w:rsidP="00AF5AA2">
      <w:pPr>
        <w:pStyle w:val="Titolo2"/>
        <w:ind w:left="567"/>
        <w:rPr>
          <w:b w:val="0"/>
        </w:rPr>
      </w:pPr>
      <w:bookmarkStart w:id="174" w:name="_Toc213078359"/>
      <w:r w:rsidRPr="00AF5AA2">
        <w:rPr>
          <w:rFonts w:asciiTheme="minorHAnsi" w:hAnsiTheme="minorHAnsi" w:cstheme="minorHAnsi"/>
        </w:rPr>
        <w:t>Ulteriori elementi della domanda sistematica</w:t>
      </w:r>
      <w:bookmarkEnd w:id="170"/>
      <w:bookmarkEnd w:id="171"/>
      <w:bookmarkEnd w:id="172"/>
      <w:bookmarkEnd w:id="174"/>
    </w:p>
    <w:p w14:paraId="4E4417E1" w14:textId="77777777" w:rsidR="003E245D" w:rsidRPr="003E245D" w:rsidRDefault="003E245D" w:rsidP="003E245D">
      <w:pPr>
        <w:spacing w:before="120" w:after="0" w:line="240" w:lineRule="auto"/>
      </w:pPr>
      <w:bookmarkStart w:id="175" w:name="_Toc197695677"/>
      <w:bookmarkStart w:id="176" w:name="_Toc204616490"/>
      <w:r w:rsidRPr="003E245D">
        <w:t xml:space="preserve">Al fine di migliorare la conoscenza della domanda sistematica, è essenziale interagire e relazionarsi con il mondo del lavoro, che seppur in evoluzione, continua a rappresentare uno degli scopi principali di mobilità. Per tale ragione nel processo di consultazione (Allegato 1) sono stati coinvolti i mobility manager aziendali e di area, sia nelle assemblee pubbliche rivolte agli Stakeholder territoriali sia tramite incontri specifici. </w:t>
      </w:r>
    </w:p>
    <w:p w14:paraId="2554E6F6" w14:textId="77777777" w:rsidR="003E245D" w:rsidRPr="003E245D" w:rsidRDefault="003E245D" w:rsidP="003E245D">
      <w:pPr>
        <w:spacing w:before="120" w:after="0" w:line="240" w:lineRule="auto"/>
      </w:pPr>
      <w:r w:rsidRPr="003E245D">
        <w:t>In particolare, i mobility manager sono stati chiamati a confrontarsi, unitamente agli operatori di TPL, sui seguenti temi:</w:t>
      </w:r>
    </w:p>
    <w:p w14:paraId="452D2523" w14:textId="77777777" w:rsidR="003E245D" w:rsidRPr="003E245D" w:rsidRDefault="003E245D" w:rsidP="00FD2CBB">
      <w:pPr>
        <w:numPr>
          <w:ilvl w:val="0"/>
          <w:numId w:val="32"/>
        </w:numPr>
        <w:spacing w:before="120" w:after="0" w:line="240" w:lineRule="auto"/>
      </w:pPr>
      <w:r w:rsidRPr="003E245D">
        <w:t>conoscenza delle esigenze dei mobility manager rispetto al TPL e viceversa;</w:t>
      </w:r>
    </w:p>
    <w:p w14:paraId="6FF68B46" w14:textId="77777777" w:rsidR="003E245D" w:rsidRPr="003E245D" w:rsidRDefault="003E245D" w:rsidP="00FD2CBB">
      <w:pPr>
        <w:numPr>
          <w:ilvl w:val="0"/>
          <w:numId w:val="32"/>
        </w:numPr>
        <w:spacing w:before="120" w:after="0" w:line="240" w:lineRule="auto"/>
      </w:pPr>
      <w:r w:rsidRPr="003E245D">
        <w:lastRenderedPageBreak/>
        <w:t>promuovere e facilitare confronto e coprogettazione tra MM e TPL;</w:t>
      </w:r>
    </w:p>
    <w:p w14:paraId="6049FB48" w14:textId="77777777" w:rsidR="003E245D" w:rsidRPr="003E245D" w:rsidRDefault="003E245D" w:rsidP="00FD2CBB">
      <w:pPr>
        <w:numPr>
          <w:ilvl w:val="0"/>
          <w:numId w:val="32"/>
        </w:numPr>
        <w:spacing w:before="120" w:after="0" w:line="240" w:lineRule="auto"/>
      </w:pPr>
      <w:r w:rsidRPr="003E245D">
        <w:t>azioni degli operatori TPL per promuovere e favorire la mobilità sostenibile;</w:t>
      </w:r>
    </w:p>
    <w:p w14:paraId="1139E6EE" w14:textId="77777777" w:rsidR="003E245D" w:rsidRPr="003E245D" w:rsidRDefault="003E245D" w:rsidP="00FD2CBB">
      <w:pPr>
        <w:numPr>
          <w:ilvl w:val="0"/>
          <w:numId w:val="32"/>
        </w:numPr>
        <w:spacing w:before="120" w:after="0" w:line="240" w:lineRule="auto"/>
      </w:pPr>
      <w:r w:rsidRPr="003E245D">
        <w:t>coinvolgimento di altri attori chiave.</w:t>
      </w:r>
    </w:p>
    <w:p w14:paraId="755CEFE8" w14:textId="1C55D124" w:rsidR="003E245D" w:rsidRPr="003E245D" w:rsidRDefault="003E245D" w:rsidP="003E245D">
      <w:pPr>
        <w:spacing w:before="120" w:after="0" w:line="240" w:lineRule="auto"/>
        <w:rPr>
          <w:i/>
        </w:rPr>
      </w:pPr>
      <w:r w:rsidRPr="003E245D">
        <w:t xml:space="preserve">I risultati di tale confronto sono consultabili sulla piattaforma AMPartecipa al seguente link: </w:t>
      </w:r>
      <w:hyperlink r:id="rId56" w:history="1">
        <w:r w:rsidRPr="003E245D">
          <w:rPr>
            <w:color w:val="0000FF"/>
            <w:u w:val="single"/>
          </w:rPr>
          <w:t>https://ampartecipa.mtm.torino.it/processes/bacino-metropolitano/f/24/meetings/44</w:t>
        </w:r>
      </w:hyperlink>
      <w:r w:rsidRPr="003E245D">
        <w:t>.</w:t>
      </w:r>
    </w:p>
    <w:p w14:paraId="096C8102" w14:textId="77777777" w:rsidR="003E245D" w:rsidRPr="003E245D" w:rsidRDefault="003E245D" w:rsidP="003E245D">
      <w:pPr>
        <w:spacing w:before="120" w:after="0" w:line="240" w:lineRule="auto"/>
        <w:rPr>
          <w:rFonts w:cstheme="minorHAnsi"/>
        </w:rPr>
      </w:pPr>
      <w:r w:rsidRPr="003E245D">
        <w:t xml:space="preserve">Occorre inoltre evidenziare che a livello regionale è presente una piattaforma digitale </w:t>
      </w:r>
      <w:r w:rsidRPr="003E245D">
        <w:rPr>
          <w:i/>
        </w:rPr>
        <w:t>web-based</w:t>
      </w:r>
      <w:r w:rsidRPr="003E245D">
        <w:t xml:space="preserve"> denominata EMMA</w:t>
      </w:r>
      <w:r w:rsidRPr="003E245D">
        <w:rPr>
          <w:vertAlign w:val="superscript"/>
        </w:rPr>
        <w:footnoteReference w:id="19"/>
      </w:r>
      <w:r w:rsidRPr="003E245D">
        <w:t xml:space="preserve"> dedicata ai mobility manager per la </w:t>
      </w:r>
      <w:r w:rsidRPr="003E245D">
        <w:rPr>
          <w:rFonts w:cstheme="minorHAnsi"/>
          <w:color w:val="000000"/>
        </w:rPr>
        <w:t>digitalizzazione e sistematizzazione delle attività di raccolta dati sulla domanda di mobilità dei propri dipendenti o studenti e redigere il PSCL o PSCS.</w:t>
      </w:r>
      <w:r w:rsidRPr="003E245D">
        <w:rPr>
          <w:rFonts w:cstheme="minorHAnsi"/>
        </w:rPr>
        <w:t xml:space="preserve"> </w:t>
      </w:r>
    </w:p>
    <w:p w14:paraId="229DE898" w14:textId="77777777" w:rsidR="003E245D" w:rsidRPr="003E245D" w:rsidRDefault="003E245D" w:rsidP="003E245D">
      <w:pPr>
        <w:spacing w:before="120" w:after="0" w:line="240" w:lineRule="auto"/>
      </w:pPr>
      <w:r w:rsidRPr="003E245D">
        <w:t>È in corso la realizzazione di un cruscotto per la consultazione e il monitoraggio dei dati inseriti nella piattaforma. Questo strumento, destinato ai mobility manager di area, alla Regione e all’Agenzia, diventerà a regime una fonte costante di informazioni e dati in continuo aggiornamento.</w:t>
      </w:r>
    </w:p>
    <w:p w14:paraId="1EF0D1E8" w14:textId="77777777" w:rsidR="003E245D" w:rsidRPr="003E245D" w:rsidRDefault="003E245D" w:rsidP="00FF04E2">
      <w:pPr>
        <w:pStyle w:val="Titolo2"/>
        <w:ind w:left="567"/>
        <w:rPr>
          <w:b w:val="0"/>
        </w:rPr>
      </w:pPr>
      <w:bookmarkStart w:id="177" w:name="_Toc213078360"/>
      <w:r w:rsidRPr="00FF04E2">
        <w:rPr>
          <w:rFonts w:asciiTheme="minorHAnsi" w:hAnsiTheme="minorHAnsi" w:cstheme="minorHAnsi"/>
        </w:rPr>
        <w:t>Domanda Turistica</w:t>
      </w:r>
      <w:bookmarkEnd w:id="175"/>
      <w:bookmarkEnd w:id="176"/>
      <w:bookmarkEnd w:id="177"/>
    </w:p>
    <w:p w14:paraId="17B17E16" w14:textId="77777777" w:rsidR="003E245D" w:rsidRPr="003E245D" w:rsidRDefault="003E245D" w:rsidP="003E245D">
      <w:pPr>
        <w:rPr>
          <w:rFonts w:cstheme="minorHAnsi"/>
        </w:rPr>
      </w:pPr>
      <w:bookmarkStart w:id="178" w:name="_Toc197695678"/>
      <w:bookmarkStart w:id="179" w:name="_Toc204616491"/>
      <w:r w:rsidRPr="003E245D">
        <w:rPr>
          <w:rFonts w:cstheme="minorHAnsi"/>
        </w:rPr>
        <w:t xml:space="preserve">Il bacino metropolitano del Piemonte rappresenta una fetta importante del turismo complessivo regionale. Tale ruolo assume particolare rilievo se si osservano le dinamiche turistiche a partire dal 2016 fino al 2024, in cui il territorio ha mostrato una crescita consolidata costante, interrottasi temporaneamente solo nel periodo pandemico. Il trasporto pubblico locale costituisce un elemento chiave per lo sviluppo e la competitività del turismo, facilitando l’accesso ai luoghi di interesse turistico e favorendo una mobilità integrata e sostenibile all’interno delle città, tra centri urbani e verso mete naturalistiche. </w:t>
      </w:r>
    </w:p>
    <w:p w14:paraId="0F3ECC71" w14:textId="77777777" w:rsidR="003E245D" w:rsidRPr="003E245D" w:rsidRDefault="003E245D" w:rsidP="000A0ECC">
      <w:pPr>
        <w:keepNext/>
        <w:spacing w:after="0"/>
      </w:pPr>
      <w:r w:rsidRPr="003E245D">
        <w:rPr>
          <w:noProof/>
        </w:rPr>
        <w:drawing>
          <wp:inline distT="0" distB="0" distL="0" distR="0" wp14:anchorId="397C01F2" wp14:editId="68893DDD">
            <wp:extent cx="6038850" cy="2174240"/>
            <wp:effectExtent l="0" t="0" r="0" b="16510"/>
            <wp:docPr id="1048896633" name="Grafico 1">
              <a:extLst xmlns:a="http://schemas.openxmlformats.org/drawingml/2006/main">
                <a:ext uri="{FF2B5EF4-FFF2-40B4-BE49-F238E27FC236}">
                  <a16:creationId xmlns:a16="http://schemas.microsoft.com/office/drawing/2014/main" id="{568D60BE-7005-2809-5B39-3ABEC239AA2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14:paraId="2D634840" w14:textId="3DA3D6B9" w:rsidR="007B302C" w:rsidRPr="003E245D" w:rsidRDefault="007B302C" w:rsidP="007B302C">
      <w:pPr>
        <w:spacing w:after="200" w:line="240" w:lineRule="auto"/>
        <w:jc w:val="center"/>
        <w:rPr>
          <w:i/>
          <w:iCs/>
          <w:color w:val="003366"/>
          <w:sz w:val="18"/>
          <w:szCs w:val="18"/>
        </w:rPr>
      </w:pPr>
      <w:r w:rsidRPr="003E245D">
        <w:rPr>
          <w:i/>
          <w:iCs/>
          <w:color w:val="003366"/>
          <w:sz w:val="18"/>
          <w:szCs w:val="18"/>
        </w:rPr>
        <w:t xml:space="preserve">Figura </w:t>
      </w:r>
      <w:r w:rsidRPr="003E245D">
        <w:rPr>
          <w:i/>
          <w:iCs/>
          <w:color w:val="003366"/>
          <w:sz w:val="18"/>
          <w:szCs w:val="18"/>
        </w:rPr>
        <w:fldChar w:fldCharType="begin"/>
      </w:r>
      <w:r w:rsidRPr="003E245D">
        <w:rPr>
          <w:rFonts w:ascii="Georgia" w:hAnsi="Georgia"/>
          <w:i/>
          <w:color w:val="17406D" w:themeColor="text2"/>
          <w:sz w:val="18"/>
          <w:szCs w:val="18"/>
        </w:rPr>
        <w:instrText xml:space="preserve"> SEQ Figura \* ARABIC </w:instrText>
      </w:r>
      <w:r w:rsidRPr="003E245D">
        <w:rPr>
          <w:i/>
          <w:iCs/>
          <w:color w:val="003366"/>
          <w:sz w:val="18"/>
          <w:szCs w:val="18"/>
        </w:rPr>
        <w:fldChar w:fldCharType="separate"/>
      </w:r>
      <w:r w:rsidR="00073B6D">
        <w:rPr>
          <w:rFonts w:ascii="Georgia" w:hAnsi="Georgia"/>
          <w:i/>
          <w:noProof/>
          <w:color w:val="17406D" w:themeColor="text2"/>
          <w:sz w:val="18"/>
          <w:szCs w:val="18"/>
        </w:rPr>
        <w:t>22</w:t>
      </w:r>
      <w:r w:rsidRPr="003E245D">
        <w:rPr>
          <w:i/>
          <w:iCs/>
          <w:noProof/>
          <w:color w:val="003366"/>
          <w:sz w:val="18"/>
          <w:szCs w:val="18"/>
        </w:rPr>
        <w:fldChar w:fldCharType="end"/>
      </w:r>
      <w:r w:rsidRPr="003E245D">
        <w:rPr>
          <w:i/>
          <w:iCs/>
          <w:color w:val="003366"/>
          <w:sz w:val="18"/>
          <w:szCs w:val="18"/>
        </w:rPr>
        <w:t xml:space="preserve"> – </w:t>
      </w:r>
      <w:r>
        <w:rPr>
          <w:i/>
          <w:iCs/>
          <w:color w:val="003366"/>
          <w:sz w:val="18"/>
          <w:szCs w:val="18"/>
        </w:rPr>
        <w:t>Presenze nel Bacino Metropolitano (Fonte Ires Piemonte su dati Istat)</w:t>
      </w:r>
    </w:p>
    <w:p w14:paraId="6203A7EC" w14:textId="77777777" w:rsidR="003E245D" w:rsidRPr="003E245D" w:rsidRDefault="003E245D" w:rsidP="003E245D">
      <w:pPr>
        <w:rPr>
          <w:rFonts w:cstheme="minorHAnsi"/>
        </w:rPr>
      </w:pPr>
      <w:r w:rsidRPr="003E245D">
        <w:rPr>
          <w:rFonts w:cstheme="minorHAnsi"/>
        </w:rPr>
        <w:t xml:space="preserve">In particolare, il capoluogo piemontese ha consolidato nel tempo il suo ruolo di </w:t>
      </w:r>
      <w:r w:rsidRPr="003E245D">
        <w:rPr>
          <w:rFonts w:cstheme="minorHAnsi"/>
          <w:i/>
          <w:iCs/>
        </w:rPr>
        <w:t>hub</w:t>
      </w:r>
      <w:r w:rsidRPr="003E245D">
        <w:rPr>
          <w:rFonts w:cstheme="minorHAnsi"/>
        </w:rPr>
        <w:t xml:space="preserve"> per turismo congressuale e culturale, con una crescente utenza, supportata da un’offerta di TPL efficace e politiche urbane volte a limitare l’uso dell’auto privata (come ZTL e pagamenti dei parcheggi nel centro). I </w:t>
      </w:r>
      <w:r w:rsidRPr="003E245D">
        <w:rPr>
          <w:rFonts w:cstheme="minorHAnsi"/>
        </w:rPr>
        <w:lastRenderedPageBreak/>
        <w:t>collegamenti tra Torino e i comuni montani afferenti hanno sostenuto i flussi stagionali verso le località sciistiche, particolarmente sensibili all’inquinamento da traffico veicolare.</w:t>
      </w:r>
    </w:p>
    <w:tbl>
      <w:tblPr>
        <w:tblW w:w="10255" w:type="dxa"/>
        <w:jc w:val="center"/>
        <w:tbl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insideH w:val="single" w:sz="8" w:space="0" w:color="A6A6A6" w:themeColor="background1" w:themeShade="A6"/>
          <w:insideV w:val="single" w:sz="8" w:space="0" w:color="A6A6A6" w:themeColor="background1" w:themeShade="A6"/>
        </w:tblBorders>
        <w:tblCellMar>
          <w:left w:w="70" w:type="dxa"/>
          <w:right w:w="70" w:type="dxa"/>
        </w:tblCellMar>
        <w:tblLook w:val="04A0" w:firstRow="1" w:lastRow="0" w:firstColumn="1" w:lastColumn="0" w:noHBand="0" w:noVBand="1"/>
      </w:tblPr>
      <w:tblGrid>
        <w:gridCol w:w="1428"/>
        <w:gridCol w:w="740"/>
        <w:gridCol w:w="868"/>
        <w:gridCol w:w="740"/>
        <w:gridCol w:w="868"/>
        <w:gridCol w:w="835"/>
        <w:gridCol w:w="843"/>
        <w:gridCol w:w="835"/>
        <w:gridCol w:w="835"/>
        <w:gridCol w:w="835"/>
        <w:gridCol w:w="835"/>
        <w:gridCol w:w="593"/>
      </w:tblGrid>
      <w:tr w:rsidR="003E245D" w:rsidRPr="003E245D" w14:paraId="2B30282D" w14:textId="77777777" w:rsidTr="006E5981">
        <w:trPr>
          <w:trHeight w:val="659"/>
          <w:jc w:val="center"/>
        </w:trPr>
        <w:tc>
          <w:tcPr>
            <w:tcW w:w="1428" w:type="dxa"/>
            <w:shd w:val="clear" w:color="auto" w:fill="EE3438"/>
            <w:vAlign w:val="center"/>
            <w:hideMark/>
          </w:tcPr>
          <w:p w14:paraId="414DF9F4" w14:textId="77777777" w:rsidR="003E245D" w:rsidRPr="006E5981" w:rsidRDefault="003E245D" w:rsidP="003E245D">
            <w:pPr>
              <w:spacing w:after="0" w:line="240" w:lineRule="auto"/>
              <w:jc w:val="center"/>
              <w:rPr>
                <w:rFonts w:eastAsia="Times New Roman"/>
                <w:b/>
                <w:color w:val="FFFFFF" w:themeColor="background1"/>
                <w:sz w:val="16"/>
                <w:szCs w:val="16"/>
              </w:rPr>
            </w:pPr>
            <w:bookmarkStart w:id="180" w:name="RANGE!A1:M291"/>
            <w:r w:rsidRPr="006E5981">
              <w:rPr>
                <w:rFonts w:eastAsia="Times New Roman"/>
                <w:b/>
                <w:color w:val="FFFFFF" w:themeColor="background1"/>
                <w:sz w:val="16"/>
                <w:szCs w:val="16"/>
              </w:rPr>
              <w:t>Comune</w:t>
            </w:r>
            <w:bookmarkEnd w:id="180"/>
          </w:p>
        </w:tc>
        <w:tc>
          <w:tcPr>
            <w:tcW w:w="740" w:type="dxa"/>
            <w:shd w:val="clear" w:color="auto" w:fill="EE3438"/>
            <w:vAlign w:val="center"/>
            <w:hideMark/>
          </w:tcPr>
          <w:p w14:paraId="677ACAB9" w14:textId="77777777" w:rsidR="003E245D" w:rsidRPr="006E5981" w:rsidRDefault="003E245D" w:rsidP="003E245D">
            <w:pPr>
              <w:spacing w:after="0" w:line="240" w:lineRule="auto"/>
              <w:jc w:val="center"/>
              <w:rPr>
                <w:rFonts w:eastAsia="Times New Roman"/>
                <w:b/>
                <w:color w:val="FFFFFF" w:themeColor="background1"/>
                <w:sz w:val="16"/>
                <w:szCs w:val="16"/>
              </w:rPr>
            </w:pPr>
            <w:r w:rsidRPr="006E5981">
              <w:rPr>
                <w:rFonts w:eastAsia="Times New Roman"/>
                <w:b/>
                <w:color w:val="FFFFFF" w:themeColor="background1"/>
                <w:sz w:val="16"/>
                <w:szCs w:val="16"/>
              </w:rPr>
              <w:t>Esercizi Ricettivi</w:t>
            </w:r>
          </w:p>
        </w:tc>
        <w:tc>
          <w:tcPr>
            <w:tcW w:w="868" w:type="dxa"/>
            <w:shd w:val="clear" w:color="auto" w:fill="EE3438"/>
            <w:vAlign w:val="center"/>
            <w:hideMark/>
          </w:tcPr>
          <w:p w14:paraId="6CC0072D" w14:textId="77777777" w:rsidR="003E245D" w:rsidRPr="006E5981" w:rsidRDefault="003E245D" w:rsidP="003E245D">
            <w:pPr>
              <w:spacing w:after="0" w:line="240" w:lineRule="auto"/>
              <w:jc w:val="center"/>
              <w:rPr>
                <w:rFonts w:eastAsia="Times New Roman"/>
                <w:b/>
                <w:color w:val="FFFFFF" w:themeColor="background1"/>
                <w:sz w:val="16"/>
                <w:szCs w:val="16"/>
              </w:rPr>
            </w:pPr>
            <w:r w:rsidRPr="006E5981">
              <w:rPr>
                <w:rFonts w:eastAsia="Times New Roman"/>
                <w:b/>
                <w:color w:val="FFFFFF" w:themeColor="background1"/>
                <w:sz w:val="16"/>
                <w:szCs w:val="16"/>
              </w:rPr>
              <w:t>Locazioni Turistiche</w:t>
            </w:r>
          </w:p>
        </w:tc>
        <w:tc>
          <w:tcPr>
            <w:tcW w:w="740" w:type="dxa"/>
            <w:shd w:val="clear" w:color="auto" w:fill="EE3438"/>
            <w:vAlign w:val="center"/>
            <w:hideMark/>
          </w:tcPr>
          <w:p w14:paraId="1DE03FBD" w14:textId="77777777" w:rsidR="003E245D" w:rsidRPr="006E5981" w:rsidRDefault="003E245D" w:rsidP="003E245D">
            <w:pPr>
              <w:spacing w:after="0" w:line="240" w:lineRule="auto"/>
              <w:jc w:val="center"/>
              <w:rPr>
                <w:rFonts w:eastAsia="Times New Roman"/>
                <w:b/>
                <w:color w:val="FFFFFF" w:themeColor="background1"/>
                <w:sz w:val="16"/>
                <w:szCs w:val="16"/>
              </w:rPr>
            </w:pPr>
            <w:r w:rsidRPr="006E5981">
              <w:rPr>
                <w:rFonts w:eastAsia="Times New Roman"/>
                <w:b/>
                <w:color w:val="FFFFFF" w:themeColor="background1"/>
                <w:sz w:val="16"/>
                <w:szCs w:val="16"/>
              </w:rPr>
              <w:t>Letti in Esercizi Ricettivi</w:t>
            </w:r>
          </w:p>
        </w:tc>
        <w:tc>
          <w:tcPr>
            <w:tcW w:w="868" w:type="dxa"/>
            <w:shd w:val="clear" w:color="auto" w:fill="EE3438"/>
            <w:vAlign w:val="center"/>
            <w:hideMark/>
          </w:tcPr>
          <w:p w14:paraId="3EF9E8D6" w14:textId="77777777" w:rsidR="003E245D" w:rsidRPr="006E5981" w:rsidRDefault="003E245D" w:rsidP="003E245D">
            <w:pPr>
              <w:spacing w:after="0" w:line="240" w:lineRule="auto"/>
              <w:jc w:val="center"/>
              <w:rPr>
                <w:rFonts w:eastAsia="Times New Roman"/>
                <w:b/>
                <w:color w:val="FFFFFF" w:themeColor="background1"/>
                <w:sz w:val="16"/>
                <w:szCs w:val="16"/>
              </w:rPr>
            </w:pPr>
            <w:r w:rsidRPr="006E5981">
              <w:rPr>
                <w:rFonts w:eastAsia="Times New Roman"/>
                <w:b/>
                <w:color w:val="FFFFFF" w:themeColor="background1"/>
                <w:sz w:val="16"/>
                <w:szCs w:val="16"/>
              </w:rPr>
              <w:t>Letti in Locazioni Turistiche</w:t>
            </w:r>
          </w:p>
        </w:tc>
        <w:tc>
          <w:tcPr>
            <w:tcW w:w="835" w:type="dxa"/>
            <w:shd w:val="clear" w:color="auto" w:fill="EE3438"/>
            <w:vAlign w:val="center"/>
            <w:hideMark/>
          </w:tcPr>
          <w:p w14:paraId="146635E8" w14:textId="77777777" w:rsidR="003E245D" w:rsidRPr="006E5981" w:rsidRDefault="003E245D" w:rsidP="003E245D">
            <w:pPr>
              <w:spacing w:after="0" w:line="240" w:lineRule="auto"/>
              <w:jc w:val="center"/>
              <w:rPr>
                <w:rFonts w:eastAsia="Times New Roman"/>
                <w:b/>
                <w:color w:val="FFFFFF" w:themeColor="background1"/>
                <w:sz w:val="16"/>
                <w:szCs w:val="16"/>
              </w:rPr>
            </w:pPr>
            <w:r w:rsidRPr="006E5981">
              <w:rPr>
                <w:rFonts w:eastAsia="Times New Roman"/>
                <w:b/>
                <w:color w:val="FFFFFF" w:themeColor="background1"/>
                <w:sz w:val="16"/>
                <w:szCs w:val="16"/>
              </w:rPr>
              <w:t>Arrivi Italia</w:t>
            </w:r>
          </w:p>
        </w:tc>
        <w:tc>
          <w:tcPr>
            <w:tcW w:w="843" w:type="dxa"/>
            <w:shd w:val="clear" w:color="auto" w:fill="EE3438"/>
            <w:vAlign w:val="center"/>
            <w:hideMark/>
          </w:tcPr>
          <w:p w14:paraId="302EC8CB" w14:textId="77777777" w:rsidR="003E245D" w:rsidRPr="006E5981" w:rsidRDefault="003E245D" w:rsidP="003E245D">
            <w:pPr>
              <w:spacing w:after="0" w:line="240" w:lineRule="auto"/>
              <w:jc w:val="center"/>
              <w:rPr>
                <w:rFonts w:eastAsia="Times New Roman"/>
                <w:b/>
                <w:color w:val="FFFFFF" w:themeColor="background1"/>
                <w:sz w:val="16"/>
                <w:szCs w:val="16"/>
              </w:rPr>
            </w:pPr>
            <w:r w:rsidRPr="006E5981">
              <w:rPr>
                <w:rFonts w:eastAsia="Times New Roman"/>
                <w:b/>
                <w:color w:val="FFFFFF" w:themeColor="background1"/>
                <w:sz w:val="16"/>
                <w:szCs w:val="16"/>
              </w:rPr>
              <w:t>Presenze Italia</w:t>
            </w:r>
          </w:p>
        </w:tc>
        <w:tc>
          <w:tcPr>
            <w:tcW w:w="835" w:type="dxa"/>
            <w:shd w:val="clear" w:color="auto" w:fill="EE3438"/>
            <w:vAlign w:val="center"/>
            <w:hideMark/>
          </w:tcPr>
          <w:p w14:paraId="0DD9E07A" w14:textId="77777777" w:rsidR="003E245D" w:rsidRPr="006E5981" w:rsidRDefault="003E245D" w:rsidP="003E245D">
            <w:pPr>
              <w:spacing w:after="0" w:line="240" w:lineRule="auto"/>
              <w:jc w:val="center"/>
              <w:rPr>
                <w:rFonts w:eastAsia="Times New Roman"/>
                <w:b/>
                <w:color w:val="FFFFFF" w:themeColor="background1"/>
                <w:sz w:val="16"/>
                <w:szCs w:val="16"/>
              </w:rPr>
            </w:pPr>
            <w:r w:rsidRPr="006E5981">
              <w:rPr>
                <w:rFonts w:eastAsia="Times New Roman"/>
                <w:b/>
                <w:color w:val="FFFFFF" w:themeColor="background1"/>
                <w:sz w:val="16"/>
                <w:szCs w:val="16"/>
              </w:rPr>
              <w:t>Arrivi Estero</w:t>
            </w:r>
          </w:p>
        </w:tc>
        <w:tc>
          <w:tcPr>
            <w:tcW w:w="835" w:type="dxa"/>
            <w:shd w:val="clear" w:color="auto" w:fill="EE3438"/>
            <w:vAlign w:val="center"/>
            <w:hideMark/>
          </w:tcPr>
          <w:p w14:paraId="7A855BCB" w14:textId="77777777" w:rsidR="003E245D" w:rsidRPr="006E5981" w:rsidRDefault="003E245D" w:rsidP="003E245D">
            <w:pPr>
              <w:spacing w:after="0" w:line="240" w:lineRule="auto"/>
              <w:jc w:val="center"/>
              <w:rPr>
                <w:rFonts w:eastAsia="Times New Roman"/>
                <w:b/>
                <w:color w:val="FFFFFF" w:themeColor="background1"/>
                <w:sz w:val="16"/>
                <w:szCs w:val="16"/>
              </w:rPr>
            </w:pPr>
            <w:r w:rsidRPr="006E5981">
              <w:rPr>
                <w:rFonts w:eastAsia="Times New Roman"/>
                <w:b/>
                <w:color w:val="FFFFFF" w:themeColor="background1"/>
                <w:sz w:val="16"/>
                <w:szCs w:val="16"/>
              </w:rPr>
              <w:t>Presenze Estero</w:t>
            </w:r>
          </w:p>
        </w:tc>
        <w:tc>
          <w:tcPr>
            <w:tcW w:w="835" w:type="dxa"/>
            <w:shd w:val="clear" w:color="auto" w:fill="EE3438"/>
            <w:vAlign w:val="center"/>
            <w:hideMark/>
          </w:tcPr>
          <w:p w14:paraId="691F72C7" w14:textId="77777777" w:rsidR="003E245D" w:rsidRPr="006E5981" w:rsidRDefault="003E245D" w:rsidP="003E245D">
            <w:pPr>
              <w:spacing w:after="0" w:line="240" w:lineRule="auto"/>
              <w:jc w:val="center"/>
              <w:rPr>
                <w:rFonts w:eastAsia="Times New Roman"/>
                <w:b/>
                <w:color w:val="FFFFFF" w:themeColor="background1"/>
                <w:sz w:val="16"/>
                <w:szCs w:val="16"/>
              </w:rPr>
            </w:pPr>
            <w:r w:rsidRPr="006E5981">
              <w:rPr>
                <w:rFonts w:eastAsia="Times New Roman"/>
                <w:b/>
                <w:color w:val="FFFFFF" w:themeColor="background1"/>
                <w:sz w:val="16"/>
                <w:szCs w:val="16"/>
              </w:rPr>
              <w:t>Arrivi Totale</w:t>
            </w:r>
          </w:p>
        </w:tc>
        <w:tc>
          <w:tcPr>
            <w:tcW w:w="835" w:type="dxa"/>
            <w:shd w:val="clear" w:color="auto" w:fill="EE3438"/>
            <w:vAlign w:val="center"/>
            <w:hideMark/>
          </w:tcPr>
          <w:p w14:paraId="76833C31" w14:textId="77777777" w:rsidR="003E245D" w:rsidRPr="006E5981" w:rsidRDefault="003E245D" w:rsidP="003E245D">
            <w:pPr>
              <w:spacing w:after="0" w:line="240" w:lineRule="auto"/>
              <w:jc w:val="center"/>
              <w:rPr>
                <w:rFonts w:eastAsia="Times New Roman"/>
                <w:b/>
                <w:color w:val="FFFFFF" w:themeColor="background1"/>
                <w:sz w:val="16"/>
                <w:szCs w:val="16"/>
              </w:rPr>
            </w:pPr>
            <w:r w:rsidRPr="006E5981">
              <w:rPr>
                <w:rFonts w:eastAsia="Times New Roman"/>
                <w:b/>
                <w:color w:val="FFFFFF" w:themeColor="background1"/>
                <w:sz w:val="16"/>
                <w:szCs w:val="16"/>
              </w:rPr>
              <w:t>Presenze Totali</w:t>
            </w:r>
          </w:p>
        </w:tc>
        <w:tc>
          <w:tcPr>
            <w:tcW w:w="593" w:type="dxa"/>
            <w:shd w:val="clear" w:color="auto" w:fill="EE3438"/>
            <w:vAlign w:val="center"/>
            <w:hideMark/>
          </w:tcPr>
          <w:p w14:paraId="23A92654" w14:textId="77777777" w:rsidR="003E245D" w:rsidRPr="006E5981" w:rsidRDefault="003E245D" w:rsidP="003E245D">
            <w:pPr>
              <w:spacing w:after="0" w:line="240" w:lineRule="auto"/>
              <w:jc w:val="center"/>
              <w:rPr>
                <w:rFonts w:eastAsia="Times New Roman"/>
                <w:b/>
                <w:color w:val="FFFFFF" w:themeColor="background1"/>
                <w:sz w:val="16"/>
                <w:szCs w:val="16"/>
              </w:rPr>
            </w:pPr>
            <w:r w:rsidRPr="006E5981">
              <w:rPr>
                <w:rFonts w:eastAsia="Times New Roman"/>
                <w:b/>
                <w:color w:val="FFFFFF" w:themeColor="background1"/>
                <w:sz w:val="16"/>
                <w:szCs w:val="16"/>
              </w:rPr>
              <w:t>T.M.P.</w:t>
            </w:r>
          </w:p>
        </w:tc>
      </w:tr>
      <w:tr w:rsidR="003E245D" w:rsidRPr="003E245D" w14:paraId="6F6F7C34" w14:textId="77777777" w:rsidTr="006E5981">
        <w:trPr>
          <w:trHeight w:val="300"/>
          <w:jc w:val="center"/>
        </w:trPr>
        <w:tc>
          <w:tcPr>
            <w:tcW w:w="1428" w:type="dxa"/>
            <w:noWrap/>
            <w:vAlign w:val="center"/>
            <w:hideMark/>
          </w:tcPr>
          <w:p w14:paraId="71822102" w14:textId="77777777" w:rsidR="003E245D" w:rsidRPr="003E245D" w:rsidRDefault="003E245D" w:rsidP="003E245D">
            <w:pPr>
              <w:spacing w:after="0" w:line="240" w:lineRule="auto"/>
              <w:jc w:val="left"/>
              <w:rPr>
                <w:rFonts w:eastAsia="Times New Roman"/>
                <w:sz w:val="16"/>
                <w:szCs w:val="16"/>
              </w:rPr>
            </w:pPr>
            <w:r w:rsidRPr="003E245D">
              <w:rPr>
                <w:rFonts w:eastAsia="Times New Roman"/>
                <w:sz w:val="16"/>
                <w:szCs w:val="16"/>
              </w:rPr>
              <w:t>TORINO (Comune)</w:t>
            </w:r>
          </w:p>
        </w:tc>
        <w:tc>
          <w:tcPr>
            <w:tcW w:w="740" w:type="dxa"/>
            <w:noWrap/>
            <w:vAlign w:val="center"/>
            <w:hideMark/>
          </w:tcPr>
          <w:p w14:paraId="283941B0" w14:textId="77777777" w:rsidR="003E245D" w:rsidRPr="003E245D" w:rsidRDefault="003E245D" w:rsidP="003E245D">
            <w:pPr>
              <w:spacing w:after="0" w:line="240" w:lineRule="auto"/>
              <w:jc w:val="center"/>
              <w:rPr>
                <w:rFonts w:eastAsia="Times New Roman"/>
                <w:sz w:val="16"/>
                <w:szCs w:val="16"/>
              </w:rPr>
            </w:pPr>
            <w:r w:rsidRPr="003E245D">
              <w:rPr>
                <w:rFonts w:eastAsia="Times New Roman"/>
                <w:sz w:val="16"/>
                <w:szCs w:val="16"/>
              </w:rPr>
              <w:t>574</w:t>
            </w:r>
          </w:p>
        </w:tc>
        <w:tc>
          <w:tcPr>
            <w:tcW w:w="868" w:type="dxa"/>
            <w:noWrap/>
            <w:vAlign w:val="center"/>
            <w:hideMark/>
          </w:tcPr>
          <w:p w14:paraId="3799CF6F" w14:textId="77777777" w:rsidR="003E245D" w:rsidRPr="003E245D" w:rsidRDefault="003E245D" w:rsidP="003E245D">
            <w:pPr>
              <w:spacing w:after="0" w:line="240" w:lineRule="auto"/>
              <w:jc w:val="center"/>
              <w:rPr>
                <w:rFonts w:eastAsia="Times New Roman"/>
                <w:sz w:val="16"/>
                <w:szCs w:val="16"/>
              </w:rPr>
            </w:pPr>
            <w:r w:rsidRPr="003E245D">
              <w:rPr>
                <w:rFonts w:eastAsia="Times New Roman"/>
                <w:sz w:val="16"/>
                <w:szCs w:val="16"/>
              </w:rPr>
              <w:t>6.536</w:t>
            </w:r>
          </w:p>
        </w:tc>
        <w:tc>
          <w:tcPr>
            <w:tcW w:w="740" w:type="dxa"/>
            <w:noWrap/>
            <w:vAlign w:val="center"/>
            <w:hideMark/>
          </w:tcPr>
          <w:p w14:paraId="22B7AEA4" w14:textId="77777777" w:rsidR="003E245D" w:rsidRPr="003E245D" w:rsidRDefault="003E245D" w:rsidP="003E245D">
            <w:pPr>
              <w:spacing w:after="0" w:line="240" w:lineRule="auto"/>
              <w:jc w:val="center"/>
              <w:rPr>
                <w:rFonts w:eastAsia="Times New Roman"/>
                <w:sz w:val="16"/>
                <w:szCs w:val="16"/>
              </w:rPr>
            </w:pPr>
            <w:r w:rsidRPr="003E245D">
              <w:rPr>
                <w:rFonts w:eastAsia="Times New Roman"/>
                <w:sz w:val="16"/>
                <w:szCs w:val="16"/>
              </w:rPr>
              <w:t>24.059</w:t>
            </w:r>
          </w:p>
        </w:tc>
        <w:tc>
          <w:tcPr>
            <w:tcW w:w="868" w:type="dxa"/>
            <w:noWrap/>
            <w:vAlign w:val="center"/>
            <w:hideMark/>
          </w:tcPr>
          <w:p w14:paraId="7BB390D5" w14:textId="77777777" w:rsidR="003E245D" w:rsidRPr="003E245D" w:rsidRDefault="003E245D" w:rsidP="003E245D">
            <w:pPr>
              <w:spacing w:after="0" w:line="240" w:lineRule="auto"/>
              <w:jc w:val="center"/>
              <w:rPr>
                <w:rFonts w:eastAsia="Times New Roman"/>
                <w:sz w:val="16"/>
                <w:szCs w:val="16"/>
              </w:rPr>
            </w:pPr>
            <w:r w:rsidRPr="003E245D">
              <w:rPr>
                <w:rFonts w:eastAsia="Times New Roman"/>
                <w:sz w:val="16"/>
                <w:szCs w:val="16"/>
              </w:rPr>
              <w:t>24.146</w:t>
            </w:r>
          </w:p>
        </w:tc>
        <w:tc>
          <w:tcPr>
            <w:tcW w:w="835" w:type="dxa"/>
            <w:noWrap/>
            <w:vAlign w:val="center"/>
            <w:hideMark/>
          </w:tcPr>
          <w:p w14:paraId="32C8319E" w14:textId="77777777" w:rsidR="003E245D" w:rsidRPr="003E245D" w:rsidRDefault="003E245D" w:rsidP="003E245D">
            <w:pPr>
              <w:spacing w:after="0" w:line="240" w:lineRule="auto"/>
              <w:jc w:val="right"/>
              <w:rPr>
                <w:rFonts w:eastAsia="Times New Roman"/>
                <w:sz w:val="16"/>
                <w:szCs w:val="16"/>
              </w:rPr>
            </w:pPr>
            <w:r w:rsidRPr="003E245D">
              <w:rPr>
                <w:rFonts w:eastAsia="Times New Roman"/>
                <w:sz w:val="16"/>
                <w:szCs w:val="16"/>
              </w:rPr>
              <w:t>996.851</w:t>
            </w:r>
          </w:p>
        </w:tc>
        <w:tc>
          <w:tcPr>
            <w:tcW w:w="843" w:type="dxa"/>
            <w:noWrap/>
            <w:vAlign w:val="center"/>
            <w:hideMark/>
          </w:tcPr>
          <w:p w14:paraId="45244627" w14:textId="77777777" w:rsidR="003E245D" w:rsidRPr="003E245D" w:rsidRDefault="003E245D" w:rsidP="003E245D">
            <w:pPr>
              <w:spacing w:after="0" w:line="240" w:lineRule="auto"/>
              <w:jc w:val="center"/>
              <w:rPr>
                <w:rFonts w:eastAsia="Times New Roman"/>
                <w:sz w:val="16"/>
                <w:szCs w:val="16"/>
              </w:rPr>
            </w:pPr>
            <w:r w:rsidRPr="003E245D">
              <w:rPr>
                <w:rFonts w:eastAsia="Times New Roman"/>
                <w:sz w:val="16"/>
                <w:szCs w:val="16"/>
              </w:rPr>
              <w:t>2.443.151</w:t>
            </w:r>
          </w:p>
        </w:tc>
        <w:tc>
          <w:tcPr>
            <w:tcW w:w="835" w:type="dxa"/>
            <w:noWrap/>
            <w:vAlign w:val="center"/>
            <w:hideMark/>
          </w:tcPr>
          <w:p w14:paraId="1BA41226" w14:textId="77777777" w:rsidR="003E245D" w:rsidRPr="003E245D" w:rsidRDefault="003E245D" w:rsidP="003E245D">
            <w:pPr>
              <w:spacing w:after="0" w:line="240" w:lineRule="auto"/>
              <w:jc w:val="center"/>
              <w:rPr>
                <w:rFonts w:eastAsia="Times New Roman"/>
                <w:sz w:val="16"/>
                <w:szCs w:val="16"/>
              </w:rPr>
            </w:pPr>
            <w:r w:rsidRPr="003E245D">
              <w:rPr>
                <w:rFonts w:eastAsia="Times New Roman"/>
                <w:sz w:val="16"/>
                <w:szCs w:val="16"/>
              </w:rPr>
              <w:t>725.456</w:t>
            </w:r>
          </w:p>
        </w:tc>
        <w:tc>
          <w:tcPr>
            <w:tcW w:w="835" w:type="dxa"/>
            <w:noWrap/>
            <w:vAlign w:val="center"/>
            <w:hideMark/>
          </w:tcPr>
          <w:p w14:paraId="0058F654" w14:textId="77777777" w:rsidR="003E245D" w:rsidRPr="003E245D" w:rsidRDefault="003E245D" w:rsidP="003E245D">
            <w:pPr>
              <w:spacing w:after="0" w:line="240" w:lineRule="auto"/>
              <w:jc w:val="right"/>
              <w:rPr>
                <w:rFonts w:eastAsia="Times New Roman"/>
                <w:sz w:val="16"/>
                <w:szCs w:val="16"/>
              </w:rPr>
            </w:pPr>
            <w:r w:rsidRPr="003E245D">
              <w:rPr>
                <w:rFonts w:eastAsia="Times New Roman"/>
                <w:sz w:val="16"/>
                <w:szCs w:val="16"/>
              </w:rPr>
              <w:t>2.010.486</w:t>
            </w:r>
          </w:p>
        </w:tc>
        <w:tc>
          <w:tcPr>
            <w:tcW w:w="835" w:type="dxa"/>
            <w:noWrap/>
            <w:vAlign w:val="center"/>
            <w:hideMark/>
          </w:tcPr>
          <w:p w14:paraId="6FEEA2AB" w14:textId="77777777" w:rsidR="003E245D" w:rsidRPr="003E245D" w:rsidRDefault="003E245D" w:rsidP="003E245D">
            <w:pPr>
              <w:spacing w:after="0" w:line="240" w:lineRule="auto"/>
              <w:jc w:val="center"/>
              <w:rPr>
                <w:rFonts w:eastAsia="Times New Roman"/>
                <w:sz w:val="16"/>
                <w:szCs w:val="16"/>
              </w:rPr>
            </w:pPr>
            <w:r w:rsidRPr="003E245D">
              <w:rPr>
                <w:rFonts w:eastAsia="Times New Roman"/>
                <w:sz w:val="16"/>
                <w:szCs w:val="16"/>
              </w:rPr>
              <w:t>1.722.307</w:t>
            </w:r>
          </w:p>
        </w:tc>
        <w:tc>
          <w:tcPr>
            <w:tcW w:w="835" w:type="dxa"/>
            <w:noWrap/>
            <w:vAlign w:val="center"/>
            <w:hideMark/>
          </w:tcPr>
          <w:p w14:paraId="30E37621" w14:textId="77777777" w:rsidR="003E245D" w:rsidRPr="003E245D" w:rsidRDefault="003E245D" w:rsidP="003E245D">
            <w:pPr>
              <w:spacing w:after="0" w:line="240" w:lineRule="auto"/>
              <w:jc w:val="right"/>
              <w:rPr>
                <w:rFonts w:eastAsia="Times New Roman"/>
                <w:sz w:val="16"/>
                <w:szCs w:val="16"/>
              </w:rPr>
            </w:pPr>
            <w:r w:rsidRPr="003E245D">
              <w:rPr>
                <w:rFonts w:eastAsia="Times New Roman"/>
                <w:sz w:val="16"/>
                <w:szCs w:val="16"/>
              </w:rPr>
              <w:t>4.453.637</w:t>
            </w:r>
          </w:p>
        </w:tc>
        <w:tc>
          <w:tcPr>
            <w:tcW w:w="593" w:type="dxa"/>
            <w:noWrap/>
            <w:vAlign w:val="center"/>
            <w:hideMark/>
          </w:tcPr>
          <w:p w14:paraId="2137A988" w14:textId="77777777" w:rsidR="003E245D" w:rsidRPr="003E245D" w:rsidRDefault="003E245D" w:rsidP="003E245D">
            <w:pPr>
              <w:spacing w:after="0" w:line="240" w:lineRule="auto"/>
              <w:jc w:val="center"/>
              <w:rPr>
                <w:rFonts w:eastAsia="Times New Roman"/>
                <w:sz w:val="16"/>
                <w:szCs w:val="16"/>
              </w:rPr>
            </w:pPr>
            <w:r w:rsidRPr="003E245D">
              <w:rPr>
                <w:rFonts w:eastAsia="Times New Roman"/>
                <w:sz w:val="16"/>
                <w:szCs w:val="16"/>
              </w:rPr>
              <w:t>2,59</w:t>
            </w:r>
          </w:p>
        </w:tc>
      </w:tr>
      <w:tr w:rsidR="003E245D" w:rsidRPr="003E245D" w14:paraId="3B5E2DBD" w14:textId="77777777" w:rsidTr="006E5981">
        <w:trPr>
          <w:trHeight w:val="300"/>
          <w:jc w:val="center"/>
        </w:trPr>
        <w:tc>
          <w:tcPr>
            <w:tcW w:w="1428" w:type="dxa"/>
            <w:noWrap/>
            <w:vAlign w:val="center"/>
            <w:hideMark/>
          </w:tcPr>
          <w:p w14:paraId="22FCC0C4" w14:textId="77777777" w:rsidR="003E245D" w:rsidRPr="003E245D" w:rsidRDefault="003E245D" w:rsidP="003E245D">
            <w:pPr>
              <w:spacing w:after="0" w:line="240" w:lineRule="auto"/>
              <w:jc w:val="left"/>
              <w:rPr>
                <w:rFonts w:eastAsia="Times New Roman"/>
                <w:sz w:val="16"/>
                <w:szCs w:val="16"/>
              </w:rPr>
            </w:pPr>
            <w:r w:rsidRPr="003E245D">
              <w:rPr>
                <w:rFonts w:eastAsia="Times New Roman"/>
                <w:sz w:val="16"/>
                <w:szCs w:val="16"/>
              </w:rPr>
              <w:t>SESTRIERE</w:t>
            </w:r>
          </w:p>
        </w:tc>
        <w:tc>
          <w:tcPr>
            <w:tcW w:w="740" w:type="dxa"/>
            <w:noWrap/>
            <w:vAlign w:val="center"/>
            <w:hideMark/>
          </w:tcPr>
          <w:p w14:paraId="557BEC01" w14:textId="77777777" w:rsidR="003E245D" w:rsidRPr="003E245D" w:rsidRDefault="003E245D" w:rsidP="003E245D">
            <w:pPr>
              <w:spacing w:after="0" w:line="240" w:lineRule="auto"/>
              <w:jc w:val="center"/>
              <w:rPr>
                <w:rFonts w:eastAsia="Times New Roman"/>
                <w:sz w:val="16"/>
                <w:szCs w:val="16"/>
              </w:rPr>
            </w:pPr>
            <w:r w:rsidRPr="003E245D">
              <w:rPr>
                <w:rFonts w:eastAsia="Times New Roman"/>
                <w:sz w:val="16"/>
                <w:szCs w:val="16"/>
              </w:rPr>
              <w:t>30</w:t>
            </w:r>
          </w:p>
        </w:tc>
        <w:tc>
          <w:tcPr>
            <w:tcW w:w="868" w:type="dxa"/>
            <w:noWrap/>
            <w:vAlign w:val="center"/>
            <w:hideMark/>
          </w:tcPr>
          <w:p w14:paraId="0E19C32D" w14:textId="77777777" w:rsidR="003E245D" w:rsidRPr="003E245D" w:rsidRDefault="003E245D" w:rsidP="003E245D">
            <w:pPr>
              <w:spacing w:after="0" w:line="240" w:lineRule="auto"/>
              <w:jc w:val="center"/>
              <w:rPr>
                <w:rFonts w:eastAsia="Times New Roman"/>
                <w:sz w:val="16"/>
                <w:szCs w:val="16"/>
              </w:rPr>
            </w:pPr>
            <w:r w:rsidRPr="003E245D">
              <w:rPr>
                <w:rFonts w:eastAsia="Times New Roman"/>
                <w:sz w:val="16"/>
                <w:szCs w:val="16"/>
              </w:rPr>
              <w:t>367</w:t>
            </w:r>
          </w:p>
        </w:tc>
        <w:tc>
          <w:tcPr>
            <w:tcW w:w="740" w:type="dxa"/>
            <w:noWrap/>
            <w:vAlign w:val="center"/>
            <w:hideMark/>
          </w:tcPr>
          <w:p w14:paraId="0D613C8A" w14:textId="77777777" w:rsidR="003E245D" w:rsidRPr="003E245D" w:rsidRDefault="003E245D" w:rsidP="003E245D">
            <w:pPr>
              <w:spacing w:after="0" w:line="240" w:lineRule="auto"/>
              <w:jc w:val="center"/>
              <w:rPr>
                <w:rFonts w:eastAsia="Times New Roman"/>
                <w:sz w:val="16"/>
                <w:szCs w:val="16"/>
              </w:rPr>
            </w:pPr>
            <w:r w:rsidRPr="003E245D">
              <w:rPr>
                <w:rFonts w:eastAsia="Times New Roman"/>
                <w:sz w:val="16"/>
                <w:szCs w:val="16"/>
              </w:rPr>
              <w:t>4.761</w:t>
            </w:r>
          </w:p>
        </w:tc>
        <w:tc>
          <w:tcPr>
            <w:tcW w:w="868" w:type="dxa"/>
            <w:noWrap/>
            <w:vAlign w:val="center"/>
            <w:hideMark/>
          </w:tcPr>
          <w:p w14:paraId="665C2D88" w14:textId="77777777" w:rsidR="003E245D" w:rsidRPr="003E245D" w:rsidRDefault="003E245D" w:rsidP="003E245D">
            <w:pPr>
              <w:spacing w:after="0" w:line="240" w:lineRule="auto"/>
              <w:jc w:val="center"/>
              <w:rPr>
                <w:rFonts w:eastAsia="Times New Roman"/>
                <w:sz w:val="16"/>
                <w:szCs w:val="16"/>
              </w:rPr>
            </w:pPr>
            <w:r w:rsidRPr="003E245D">
              <w:rPr>
                <w:rFonts w:eastAsia="Times New Roman"/>
                <w:sz w:val="16"/>
                <w:szCs w:val="16"/>
              </w:rPr>
              <w:t>2.197</w:t>
            </w:r>
          </w:p>
        </w:tc>
        <w:tc>
          <w:tcPr>
            <w:tcW w:w="835" w:type="dxa"/>
            <w:noWrap/>
            <w:vAlign w:val="center"/>
            <w:hideMark/>
          </w:tcPr>
          <w:p w14:paraId="794BAB78" w14:textId="77777777" w:rsidR="003E245D" w:rsidRPr="003E245D" w:rsidRDefault="003E245D" w:rsidP="003E245D">
            <w:pPr>
              <w:spacing w:after="0" w:line="240" w:lineRule="auto"/>
              <w:jc w:val="right"/>
              <w:rPr>
                <w:rFonts w:eastAsia="Times New Roman"/>
                <w:sz w:val="16"/>
                <w:szCs w:val="16"/>
              </w:rPr>
            </w:pPr>
            <w:r w:rsidRPr="003E245D">
              <w:rPr>
                <w:rFonts w:eastAsia="Times New Roman"/>
                <w:sz w:val="16"/>
                <w:szCs w:val="16"/>
              </w:rPr>
              <w:t>47.591</w:t>
            </w:r>
          </w:p>
        </w:tc>
        <w:tc>
          <w:tcPr>
            <w:tcW w:w="843" w:type="dxa"/>
            <w:noWrap/>
            <w:vAlign w:val="center"/>
            <w:hideMark/>
          </w:tcPr>
          <w:p w14:paraId="66FE1E77" w14:textId="77777777" w:rsidR="003E245D" w:rsidRPr="003E245D" w:rsidRDefault="003E245D" w:rsidP="003E245D">
            <w:pPr>
              <w:spacing w:after="0" w:line="240" w:lineRule="auto"/>
              <w:jc w:val="center"/>
              <w:rPr>
                <w:rFonts w:eastAsia="Times New Roman"/>
                <w:sz w:val="16"/>
                <w:szCs w:val="16"/>
              </w:rPr>
            </w:pPr>
            <w:r w:rsidRPr="003E245D">
              <w:rPr>
                <w:rFonts w:eastAsia="Times New Roman"/>
                <w:sz w:val="16"/>
                <w:szCs w:val="16"/>
              </w:rPr>
              <w:t>161.133</w:t>
            </w:r>
          </w:p>
        </w:tc>
        <w:tc>
          <w:tcPr>
            <w:tcW w:w="835" w:type="dxa"/>
            <w:noWrap/>
            <w:vAlign w:val="center"/>
            <w:hideMark/>
          </w:tcPr>
          <w:p w14:paraId="3DE3AF72" w14:textId="77777777" w:rsidR="003E245D" w:rsidRPr="003E245D" w:rsidRDefault="003E245D" w:rsidP="003E245D">
            <w:pPr>
              <w:spacing w:after="0" w:line="240" w:lineRule="auto"/>
              <w:jc w:val="center"/>
              <w:rPr>
                <w:rFonts w:eastAsia="Times New Roman"/>
                <w:sz w:val="16"/>
                <w:szCs w:val="16"/>
              </w:rPr>
            </w:pPr>
            <w:r w:rsidRPr="003E245D">
              <w:rPr>
                <w:rFonts w:eastAsia="Times New Roman"/>
                <w:sz w:val="16"/>
                <w:szCs w:val="16"/>
              </w:rPr>
              <w:t>30.280</w:t>
            </w:r>
          </w:p>
        </w:tc>
        <w:tc>
          <w:tcPr>
            <w:tcW w:w="835" w:type="dxa"/>
            <w:noWrap/>
            <w:vAlign w:val="center"/>
            <w:hideMark/>
          </w:tcPr>
          <w:p w14:paraId="62CE77B0" w14:textId="77777777" w:rsidR="003E245D" w:rsidRPr="003E245D" w:rsidRDefault="003E245D" w:rsidP="003E245D">
            <w:pPr>
              <w:spacing w:after="0" w:line="240" w:lineRule="auto"/>
              <w:jc w:val="right"/>
              <w:rPr>
                <w:rFonts w:eastAsia="Times New Roman"/>
                <w:sz w:val="16"/>
                <w:szCs w:val="16"/>
              </w:rPr>
            </w:pPr>
            <w:r w:rsidRPr="003E245D">
              <w:rPr>
                <w:rFonts w:eastAsia="Times New Roman"/>
                <w:sz w:val="16"/>
                <w:szCs w:val="16"/>
              </w:rPr>
              <w:t>161.839</w:t>
            </w:r>
          </w:p>
        </w:tc>
        <w:tc>
          <w:tcPr>
            <w:tcW w:w="835" w:type="dxa"/>
            <w:noWrap/>
            <w:vAlign w:val="center"/>
            <w:hideMark/>
          </w:tcPr>
          <w:p w14:paraId="25D27B86" w14:textId="77777777" w:rsidR="003E245D" w:rsidRPr="003E245D" w:rsidRDefault="003E245D" w:rsidP="003E245D">
            <w:pPr>
              <w:spacing w:after="0" w:line="240" w:lineRule="auto"/>
              <w:jc w:val="center"/>
              <w:rPr>
                <w:rFonts w:eastAsia="Times New Roman"/>
                <w:sz w:val="16"/>
                <w:szCs w:val="16"/>
              </w:rPr>
            </w:pPr>
            <w:r w:rsidRPr="003E245D">
              <w:rPr>
                <w:rFonts w:eastAsia="Times New Roman"/>
                <w:sz w:val="16"/>
                <w:szCs w:val="16"/>
              </w:rPr>
              <w:t>77.871</w:t>
            </w:r>
          </w:p>
        </w:tc>
        <w:tc>
          <w:tcPr>
            <w:tcW w:w="835" w:type="dxa"/>
            <w:noWrap/>
            <w:vAlign w:val="center"/>
            <w:hideMark/>
          </w:tcPr>
          <w:p w14:paraId="16D97C54" w14:textId="77777777" w:rsidR="003E245D" w:rsidRPr="003E245D" w:rsidRDefault="003E245D" w:rsidP="003E245D">
            <w:pPr>
              <w:spacing w:after="0" w:line="240" w:lineRule="auto"/>
              <w:jc w:val="right"/>
              <w:rPr>
                <w:rFonts w:eastAsia="Times New Roman"/>
                <w:sz w:val="16"/>
                <w:szCs w:val="16"/>
              </w:rPr>
            </w:pPr>
            <w:r w:rsidRPr="003E245D">
              <w:rPr>
                <w:rFonts w:eastAsia="Times New Roman"/>
                <w:sz w:val="16"/>
                <w:szCs w:val="16"/>
              </w:rPr>
              <w:t>322.972</w:t>
            </w:r>
          </w:p>
        </w:tc>
        <w:tc>
          <w:tcPr>
            <w:tcW w:w="593" w:type="dxa"/>
            <w:noWrap/>
            <w:vAlign w:val="center"/>
            <w:hideMark/>
          </w:tcPr>
          <w:p w14:paraId="30836248" w14:textId="77777777" w:rsidR="003E245D" w:rsidRPr="003E245D" w:rsidRDefault="003E245D" w:rsidP="003E245D">
            <w:pPr>
              <w:spacing w:after="0" w:line="240" w:lineRule="auto"/>
              <w:jc w:val="center"/>
              <w:rPr>
                <w:rFonts w:eastAsia="Times New Roman"/>
                <w:sz w:val="16"/>
                <w:szCs w:val="16"/>
              </w:rPr>
            </w:pPr>
            <w:r w:rsidRPr="003E245D">
              <w:rPr>
                <w:rFonts w:eastAsia="Times New Roman"/>
                <w:sz w:val="16"/>
                <w:szCs w:val="16"/>
              </w:rPr>
              <w:t>4,15</w:t>
            </w:r>
          </w:p>
        </w:tc>
      </w:tr>
      <w:tr w:rsidR="003E245D" w:rsidRPr="003E245D" w14:paraId="588F12E6" w14:textId="77777777" w:rsidTr="006E5981">
        <w:trPr>
          <w:trHeight w:val="300"/>
          <w:jc w:val="center"/>
        </w:trPr>
        <w:tc>
          <w:tcPr>
            <w:tcW w:w="1428" w:type="dxa"/>
            <w:noWrap/>
            <w:vAlign w:val="center"/>
            <w:hideMark/>
          </w:tcPr>
          <w:p w14:paraId="270D6D60" w14:textId="77777777" w:rsidR="003E245D" w:rsidRPr="003E245D" w:rsidRDefault="003E245D" w:rsidP="003E245D">
            <w:pPr>
              <w:spacing w:after="0" w:line="240" w:lineRule="auto"/>
              <w:jc w:val="left"/>
              <w:rPr>
                <w:rFonts w:eastAsia="Times New Roman"/>
                <w:sz w:val="16"/>
                <w:szCs w:val="16"/>
              </w:rPr>
            </w:pPr>
            <w:r w:rsidRPr="003E245D">
              <w:rPr>
                <w:rFonts w:eastAsia="Times New Roman"/>
                <w:sz w:val="16"/>
                <w:szCs w:val="16"/>
              </w:rPr>
              <w:t>BARDONECCHIA</w:t>
            </w:r>
          </w:p>
        </w:tc>
        <w:tc>
          <w:tcPr>
            <w:tcW w:w="740" w:type="dxa"/>
            <w:noWrap/>
            <w:vAlign w:val="center"/>
            <w:hideMark/>
          </w:tcPr>
          <w:p w14:paraId="4929BAD1" w14:textId="77777777" w:rsidR="003E245D" w:rsidRPr="003E245D" w:rsidRDefault="003E245D" w:rsidP="003E245D">
            <w:pPr>
              <w:spacing w:after="0" w:line="240" w:lineRule="auto"/>
              <w:jc w:val="center"/>
              <w:rPr>
                <w:rFonts w:eastAsia="Times New Roman"/>
                <w:sz w:val="16"/>
                <w:szCs w:val="16"/>
              </w:rPr>
            </w:pPr>
            <w:r w:rsidRPr="003E245D">
              <w:rPr>
                <w:rFonts w:eastAsia="Times New Roman"/>
                <w:sz w:val="16"/>
                <w:szCs w:val="16"/>
              </w:rPr>
              <w:t>45</w:t>
            </w:r>
          </w:p>
        </w:tc>
        <w:tc>
          <w:tcPr>
            <w:tcW w:w="868" w:type="dxa"/>
            <w:noWrap/>
            <w:vAlign w:val="center"/>
            <w:hideMark/>
          </w:tcPr>
          <w:p w14:paraId="60F0AD94" w14:textId="77777777" w:rsidR="003E245D" w:rsidRPr="003E245D" w:rsidRDefault="003E245D" w:rsidP="003E245D">
            <w:pPr>
              <w:spacing w:after="0" w:line="240" w:lineRule="auto"/>
              <w:jc w:val="center"/>
              <w:rPr>
                <w:rFonts w:eastAsia="Times New Roman"/>
                <w:sz w:val="16"/>
                <w:szCs w:val="16"/>
              </w:rPr>
            </w:pPr>
            <w:r w:rsidRPr="003E245D">
              <w:rPr>
                <w:rFonts w:eastAsia="Times New Roman"/>
                <w:sz w:val="16"/>
                <w:szCs w:val="16"/>
              </w:rPr>
              <w:t>526</w:t>
            </w:r>
          </w:p>
        </w:tc>
        <w:tc>
          <w:tcPr>
            <w:tcW w:w="740" w:type="dxa"/>
            <w:noWrap/>
            <w:vAlign w:val="center"/>
            <w:hideMark/>
          </w:tcPr>
          <w:p w14:paraId="0C3FF5D0" w14:textId="77777777" w:rsidR="003E245D" w:rsidRPr="003E245D" w:rsidRDefault="003E245D" w:rsidP="003E245D">
            <w:pPr>
              <w:spacing w:after="0" w:line="240" w:lineRule="auto"/>
              <w:jc w:val="center"/>
              <w:rPr>
                <w:rFonts w:eastAsia="Times New Roman"/>
                <w:sz w:val="16"/>
                <w:szCs w:val="16"/>
              </w:rPr>
            </w:pPr>
            <w:r w:rsidRPr="003E245D">
              <w:rPr>
                <w:rFonts w:eastAsia="Times New Roman"/>
                <w:sz w:val="16"/>
                <w:szCs w:val="16"/>
              </w:rPr>
              <w:t>4.935</w:t>
            </w:r>
          </w:p>
        </w:tc>
        <w:tc>
          <w:tcPr>
            <w:tcW w:w="868" w:type="dxa"/>
            <w:noWrap/>
            <w:vAlign w:val="center"/>
            <w:hideMark/>
          </w:tcPr>
          <w:p w14:paraId="0CC5E762" w14:textId="77777777" w:rsidR="003E245D" w:rsidRPr="003E245D" w:rsidRDefault="003E245D" w:rsidP="003E245D">
            <w:pPr>
              <w:spacing w:after="0" w:line="240" w:lineRule="auto"/>
              <w:jc w:val="center"/>
              <w:rPr>
                <w:rFonts w:eastAsia="Times New Roman"/>
                <w:sz w:val="16"/>
                <w:szCs w:val="16"/>
              </w:rPr>
            </w:pPr>
            <w:r w:rsidRPr="003E245D">
              <w:rPr>
                <w:rFonts w:eastAsia="Times New Roman"/>
                <w:sz w:val="16"/>
                <w:szCs w:val="16"/>
              </w:rPr>
              <w:t>2.511</w:t>
            </w:r>
          </w:p>
        </w:tc>
        <w:tc>
          <w:tcPr>
            <w:tcW w:w="835" w:type="dxa"/>
            <w:noWrap/>
            <w:vAlign w:val="center"/>
            <w:hideMark/>
          </w:tcPr>
          <w:p w14:paraId="1F4A64A2" w14:textId="77777777" w:rsidR="003E245D" w:rsidRPr="003E245D" w:rsidRDefault="003E245D" w:rsidP="003E245D">
            <w:pPr>
              <w:spacing w:after="0" w:line="240" w:lineRule="auto"/>
              <w:jc w:val="right"/>
              <w:rPr>
                <w:rFonts w:eastAsia="Times New Roman"/>
                <w:sz w:val="16"/>
                <w:szCs w:val="16"/>
              </w:rPr>
            </w:pPr>
            <w:r w:rsidRPr="003E245D">
              <w:rPr>
                <w:rFonts w:eastAsia="Times New Roman"/>
                <w:sz w:val="16"/>
                <w:szCs w:val="16"/>
              </w:rPr>
              <w:t>55.871</w:t>
            </w:r>
          </w:p>
        </w:tc>
        <w:tc>
          <w:tcPr>
            <w:tcW w:w="843" w:type="dxa"/>
            <w:noWrap/>
            <w:vAlign w:val="center"/>
            <w:hideMark/>
          </w:tcPr>
          <w:p w14:paraId="04036004" w14:textId="77777777" w:rsidR="003E245D" w:rsidRPr="003E245D" w:rsidRDefault="003E245D" w:rsidP="003E245D">
            <w:pPr>
              <w:spacing w:after="0" w:line="240" w:lineRule="auto"/>
              <w:jc w:val="center"/>
              <w:rPr>
                <w:rFonts w:eastAsia="Times New Roman"/>
                <w:sz w:val="16"/>
                <w:szCs w:val="16"/>
              </w:rPr>
            </w:pPr>
            <w:r w:rsidRPr="003E245D">
              <w:rPr>
                <w:rFonts w:eastAsia="Times New Roman"/>
                <w:sz w:val="16"/>
                <w:szCs w:val="16"/>
              </w:rPr>
              <w:t>203.832</w:t>
            </w:r>
          </w:p>
        </w:tc>
        <w:tc>
          <w:tcPr>
            <w:tcW w:w="835" w:type="dxa"/>
            <w:noWrap/>
            <w:vAlign w:val="center"/>
            <w:hideMark/>
          </w:tcPr>
          <w:p w14:paraId="10871FAB" w14:textId="77777777" w:rsidR="003E245D" w:rsidRPr="003E245D" w:rsidRDefault="003E245D" w:rsidP="003E245D">
            <w:pPr>
              <w:spacing w:after="0" w:line="240" w:lineRule="auto"/>
              <w:jc w:val="center"/>
              <w:rPr>
                <w:rFonts w:eastAsia="Times New Roman"/>
                <w:sz w:val="16"/>
                <w:szCs w:val="16"/>
              </w:rPr>
            </w:pPr>
            <w:r w:rsidRPr="003E245D">
              <w:rPr>
                <w:rFonts w:eastAsia="Times New Roman"/>
                <w:sz w:val="16"/>
                <w:szCs w:val="16"/>
              </w:rPr>
              <w:t>21.783</w:t>
            </w:r>
          </w:p>
        </w:tc>
        <w:tc>
          <w:tcPr>
            <w:tcW w:w="835" w:type="dxa"/>
            <w:noWrap/>
            <w:vAlign w:val="center"/>
            <w:hideMark/>
          </w:tcPr>
          <w:p w14:paraId="2AD6AF06" w14:textId="77777777" w:rsidR="003E245D" w:rsidRPr="003E245D" w:rsidRDefault="003E245D" w:rsidP="003E245D">
            <w:pPr>
              <w:spacing w:after="0" w:line="240" w:lineRule="auto"/>
              <w:jc w:val="right"/>
              <w:rPr>
                <w:rFonts w:eastAsia="Times New Roman"/>
                <w:sz w:val="16"/>
                <w:szCs w:val="16"/>
              </w:rPr>
            </w:pPr>
            <w:r w:rsidRPr="003E245D">
              <w:rPr>
                <w:rFonts w:eastAsia="Times New Roman"/>
                <w:sz w:val="16"/>
                <w:szCs w:val="16"/>
              </w:rPr>
              <w:t>94.081</w:t>
            </w:r>
          </w:p>
        </w:tc>
        <w:tc>
          <w:tcPr>
            <w:tcW w:w="835" w:type="dxa"/>
            <w:noWrap/>
            <w:vAlign w:val="center"/>
            <w:hideMark/>
          </w:tcPr>
          <w:p w14:paraId="09055319" w14:textId="77777777" w:rsidR="003E245D" w:rsidRPr="003E245D" w:rsidRDefault="003E245D" w:rsidP="003E245D">
            <w:pPr>
              <w:spacing w:after="0" w:line="240" w:lineRule="auto"/>
              <w:jc w:val="center"/>
              <w:rPr>
                <w:rFonts w:eastAsia="Times New Roman"/>
                <w:sz w:val="16"/>
                <w:szCs w:val="16"/>
              </w:rPr>
            </w:pPr>
            <w:r w:rsidRPr="003E245D">
              <w:rPr>
                <w:rFonts w:eastAsia="Times New Roman"/>
                <w:sz w:val="16"/>
                <w:szCs w:val="16"/>
              </w:rPr>
              <w:t>77.654</w:t>
            </w:r>
          </w:p>
        </w:tc>
        <w:tc>
          <w:tcPr>
            <w:tcW w:w="835" w:type="dxa"/>
            <w:noWrap/>
            <w:vAlign w:val="center"/>
            <w:hideMark/>
          </w:tcPr>
          <w:p w14:paraId="2C51985C" w14:textId="77777777" w:rsidR="003E245D" w:rsidRPr="003E245D" w:rsidRDefault="003E245D" w:rsidP="003E245D">
            <w:pPr>
              <w:spacing w:after="0" w:line="240" w:lineRule="auto"/>
              <w:jc w:val="right"/>
              <w:rPr>
                <w:rFonts w:eastAsia="Times New Roman"/>
                <w:sz w:val="16"/>
                <w:szCs w:val="16"/>
              </w:rPr>
            </w:pPr>
            <w:r w:rsidRPr="003E245D">
              <w:rPr>
                <w:rFonts w:eastAsia="Times New Roman"/>
                <w:sz w:val="16"/>
                <w:szCs w:val="16"/>
              </w:rPr>
              <w:t>297.913</w:t>
            </w:r>
          </w:p>
        </w:tc>
        <w:tc>
          <w:tcPr>
            <w:tcW w:w="593" w:type="dxa"/>
            <w:noWrap/>
            <w:vAlign w:val="center"/>
            <w:hideMark/>
          </w:tcPr>
          <w:p w14:paraId="514ED6B1" w14:textId="77777777" w:rsidR="003E245D" w:rsidRPr="003E245D" w:rsidRDefault="003E245D" w:rsidP="003E245D">
            <w:pPr>
              <w:spacing w:after="0" w:line="240" w:lineRule="auto"/>
              <w:jc w:val="center"/>
              <w:rPr>
                <w:rFonts w:eastAsia="Times New Roman"/>
                <w:sz w:val="16"/>
                <w:szCs w:val="16"/>
              </w:rPr>
            </w:pPr>
            <w:r w:rsidRPr="003E245D">
              <w:rPr>
                <w:rFonts w:eastAsia="Times New Roman"/>
                <w:sz w:val="16"/>
                <w:szCs w:val="16"/>
              </w:rPr>
              <w:t>3,84</w:t>
            </w:r>
          </w:p>
        </w:tc>
      </w:tr>
      <w:tr w:rsidR="003E245D" w:rsidRPr="003E245D" w14:paraId="410E9BB2" w14:textId="77777777" w:rsidTr="006E5981">
        <w:trPr>
          <w:trHeight w:val="300"/>
          <w:jc w:val="center"/>
        </w:trPr>
        <w:tc>
          <w:tcPr>
            <w:tcW w:w="1428" w:type="dxa"/>
            <w:noWrap/>
            <w:vAlign w:val="center"/>
            <w:hideMark/>
          </w:tcPr>
          <w:p w14:paraId="03D4F027" w14:textId="77777777" w:rsidR="003E245D" w:rsidRPr="003E245D" w:rsidRDefault="003E245D" w:rsidP="003E245D">
            <w:pPr>
              <w:spacing w:after="0" w:line="240" w:lineRule="auto"/>
              <w:jc w:val="left"/>
              <w:rPr>
                <w:rFonts w:eastAsia="Times New Roman"/>
                <w:sz w:val="16"/>
                <w:szCs w:val="16"/>
              </w:rPr>
            </w:pPr>
            <w:r w:rsidRPr="003E245D">
              <w:rPr>
                <w:rFonts w:eastAsia="Times New Roman"/>
                <w:sz w:val="16"/>
                <w:szCs w:val="16"/>
              </w:rPr>
              <w:t>SAUZE D'OULX</w:t>
            </w:r>
          </w:p>
        </w:tc>
        <w:tc>
          <w:tcPr>
            <w:tcW w:w="740" w:type="dxa"/>
            <w:noWrap/>
            <w:vAlign w:val="center"/>
            <w:hideMark/>
          </w:tcPr>
          <w:p w14:paraId="1B0DBF8B" w14:textId="77777777" w:rsidR="003E245D" w:rsidRPr="003E245D" w:rsidRDefault="003E245D" w:rsidP="003E245D">
            <w:pPr>
              <w:spacing w:after="0" w:line="240" w:lineRule="auto"/>
              <w:jc w:val="center"/>
              <w:rPr>
                <w:rFonts w:eastAsia="Times New Roman"/>
                <w:sz w:val="16"/>
                <w:szCs w:val="16"/>
              </w:rPr>
            </w:pPr>
            <w:r w:rsidRPr="003E245D">
              <w:rPr>
                <w:rFonts w:eastAsia="Times New Roman"/>
                <w:sz w:val="16"/>
                <w:szCs w:val="16"/>
              </w:rPr>
              <w:t>56</w:t>
            </w:r>
          </w:p>
        </w:tc>
        <w:tc>
          <w:tcPr>
            <w:tcW w:w="868" w:type="dxa"/>
            <w:noWrap/>
            <w:vAlign w:val="center"/>
            <w:hideMark/>
          </w:tcPr>
          <w:p w14:paraId="7979F3E3" w14:textId="77777777" w:rsidR="003E245D" w:rsidRPr="003E245D" w:rsidRDefault="003E245D" w:rsidP="003E245D">
            <w:pPr>
              <w:spacing w:after="0" w:line="240" w:lineRule="auto"/>
              <w:jc w:val="center"/>
              <w:rPr>
                <w:rFonts w:eastAsia="Times New Roman"/>
                <w:sz w:val="16"/>
                <w:szCs w:val="16"/>
              </w:rPr>
            </w:pPr>
            <w:r w:rsidRPr="003E245D">
              <w:rPr>
                <w:rFonts w:eastAsia="Times New Roman"/>
                <w:sz w:val="16"/>
                <w:szCs w:val="16"/>
              </w:rPr>
              <w:t>409</w:t>
            </w:r>
          </w:p>
        </w:tc>
        <w:tc>
          <w:tcPr>
            <w:tcW w:w="740" w:type="dxa"/>
            <w:noWrap/>
            <w:vAlign w:val="center"/>
            <w:hideMark/>
          </w:tcPr>
          <w:p w14:paraId="568E34BD" w14:textId="77777777" w:rsidR="003E245D" w:rsidRPr="003E245D" w:rsidRDefault="003E245D" w:rsidP="003E245D">
            <w:pPr>
              <w:spacing w:after="0" w:line="240" w:lineRule="auto"/>
              <w:jc w:val="center"/>
              <w:rPr>
                <w:rFonts w:eastAsia="Times New Roman"/>
                <w:sz w:val="16"/>
                <w:szCs w:val="16"/>
              </w:rPr>
            </w:pPr>
            <w:r w:rsidRPr="003E245D">
              <w:rPr>
                <w:rFonts w:eastAsia="Times New Roman"/>
                <w:sz w:val="16"/>
                <w:szCs w:val="16"/>
              </w:rPr>
              <w:t>2.658</w:t>
            </w:r>
          </w:p>
        </w:tc>
        <w:tc>
          <w:tcPr>
            <w:tcW w:w="868" w:type="dxa"/>
            <w:noWrap/>
            <w:vAlign w:val="center"/>
            <w:hideMark/>
          </w:tcPr>
          <w:p w14:paraId="288A1871" w14:textId="77777777" w:rsidR="003E245D" w:rsidRPr="003E245D" w:rsidRDefault="003E245D" w:rsidP="003E245D">
            <w:pPr>
              <w:spacing w:after="0" w:line="240" w:lineRule="auto"/>
              <w:jc w:val="center"/>
              <w:rPr>
                <w:rFonts w:eastAsia="Times New Roman"/>
                <w:sz w:val="16"/>
                <w:szCs w:val="16"/>
              </w:rPr>
            </w:pPr>
            <w:r w:rsidRPr="003E245D">
              <w:rPr>
                <w:rFonts w:eastAsia="Times New Roman"/>
                <w:sz w:val="16"/>
                <w:szCs w:val="16"/>
              </w:rPr>
              <w:t>1.916</w:t>
            </w:r>
          </w:p>
        </w:tc>
        <w:tc>
          <w:tcPr>
            <w:tcW w:w="835" w:type="dxa"/>
            <w:noWrap/>
            <w:vAlign w:val="center"/>
            <w:hideMark/>
          </w:tcPr>
          <w:p w14:paraId="54D88276" w14:textId="77777777" w:rsidR="003E245D" w:rsidRPr="003E245D" w:rsidRDefault="003E245D" w:rsidP="003E245D">
            <w:pPr>
              <w:spacing w:after="0" w:line="240" w:lineRule="auto"/>
              <w:jc w:val="right"/>
              <w:rPr>
                <w:rFonts w:eastAsia="Times New Roman"/>
                <w:sz w:val="16"/>
                <w:szCs w:val="16"/>
              </w:rPr>
            </w:pPr>
            <w:r w:rsidRPr="003E245D">
              <w:rPr>
                <w:rFonts w:eastAsia="Times New Roman"/>
                <w:sz w:val="16"/>
                <w:szCs w:val="16"/>
              </w:rPr>
              <w:t>26.482</w:t>
            </w:r>
          </w:p>
        </w:tc>
        <w:tc>
          <w:tcPr>
            <w:tcW w:w="843" w:type="dxa"/>
            <w:noWrap/>
            <w:vAlign w:val="center"/>
            <w:hideMark/>
          </w:tcPr>
          <w:p w14:paraId="1111D9CA" w14:textId="77777777" w:rsidR="003E245D" w:rsidRPr="003E245D" w:rsidRDefault="003E245D" w:rsidP="003E245D">
            <w:pPr>
              <w:spacing w:after="0" w:line="240" w:lineRule="auto"/>
              <w:jc w:val="center"/>
              <w:rPr>
                <w:rFonts w:eastAsia="Times New Roman"/>
                <w:sz w:val="16"/>
                <w:szCs w:val="16"/>
              </w:rPr>
            </w:pPr>
            <w:r w:rsidRPr="003E245D">
              <w:rPr>
                <w:rFonts w:eastAsia="Times New Roman"/>
                <w:sz w:val="16"/>
                <w:szCs w:val="16"/>
              </w:rPr>
              <w:t>77.478</w:t>
            </w:r>
          </w:p>
        </w:tc>
        <w:tc>
          <w:tcPr>
            <w:tcW w:w="835" w:type="dxa"/>
            <w:noWrap/>
            <w:vAlign w:val="center"/>
            <w:hideMark/>
          </w:tcPr>
          <w:p w14:paraId="74DCC397" w14:textId="77777777" w:rsidR="003E245D" w:rsidRPr="003E245D" w:rsidRDefault="003E245D" w:rsidP="003E245D">
            <w:pPr>
              <w:spacing w:after="0" w:line="240" w:lineRule="auto"/>
              <w:jc w:val="center"/>
              <w:rPr>
                <w:rFonts w:eastAsia="Times New Roman"/>
                <w:sz w:val="16"/>
                <w:szCs w:val="16"/>
              </w:rPr>
            </w:pPr>
            <w:r w:rsidRPr="003E245D">
              <w:rPr>
                <w:rFonts w:eastAsia="Times New Roman"/>
                <w:sz w:val="16"/>
                <w:szCs w:val="16"/>
              </w:rPr>
              <w:t>37.947</w:t>
            </w:r>
          </w:p>
        </w:tc>
        <w:tc>
          <w:tcPr>
            <w:tcW w:w="835" w:type="dxa"/>
            <w:noWrap/>
            <w:vAlign w:val="center"/>
            <w:hideMark/>
          </w:tcPr>
          <w:p w14:paraId="5448744F" w14:textId="77777777" w:rsidR="003E245D" w:rsidRPr="003E245D" w:rsidRDefault="003E245D" w:rsidP="003E245D">
            <w:pPr>
              <w:spacing w:after="0" w:line="240" w:lineRule="auto"/>
              <w:jc w:val="right"/>
              <w:rPr>
                <w:rFonts w:eastAsia="Times New Roman"/>
                <w:sz w:val="16"/>
                <w:szCs w:val="16"/>
              </w:rPr>
            </w:pPr>
            <w:r w:rsidRPr="003E245D">
              <w:rPr>
                <w:rFonts w:eastAsia="Times New Roman"/>
                <w:sz w:val="16"/>
                <w:szCs w:val="16"/>
              </w:rPr>
              <w:t>185.783</w:t>
            </w:r>
          </w:p>
        </w:tc>
        <w:tc>
          <w:tcPr>
            <w:tcW w:w="835" w:type="dxa"/>
            <w:noWrap/>
            <w:vAlign w:val="center"/>
            <w:hideMark/>
          </w:tcPr>
          <w:p w14:paraId="7AA2EFA9" w14:textId="77777777" w:rsidR="003E245D" w:rsidRPr="003E245D" w:rsidRDefault="003E245D" w:rsidP="003E245D">
            <w:pPr>
              <w:spacing w:after="0" w:line="240" w:lineRule="auto"/>
              <w:jc w:val="center"/>
              <w:rPr>
                <w:rFonts w:eastAsia="Times New Roman"/>
                <w:sz w:val="16"/>
                <w:szCs w:val="16"/>
              </w:rPr>
            </w:pPr>
            <w:r w:rsidRPr="003E245D">
              <w:rPr>
                <w:rFonts w:eastAsia="Times New Roman"/>
                <w:sz w:val="16"/>
                <w:szCs w:val="16"/>
              </w:rPr>
              <w:t>64.429</w:t>
            </w:r>
          </w:p>
        </w:tc>
        <w:tc>
          <w:tcPr>
            <w:tcW w:w="835" w:type="dxa"/>
            <w:noWrap/>
            <w:vAlign w:val="center"/>
            <w:hideMark/>
          </w:tcPr>
          <w:p w14:paraId="57D114FD" w14:textId="77777777" w:rsidR="003E245D" w:rsidRPr="003E245D" w:rsidRDefault="003E245D" w:rsidP="003E245D">
            <w:pPr>
              <w:spacing w:after="0" w:line="240" w:lineRule="auto"/>
              <w:jc w:val="right"/>
              <w:rPr>
                <w:rFonts w:eastAsia="Times New Roman"/>
                <w:sz w:val="16"/>
                <w:szCs w:val="16"/>
              </w:rPr>
            </w:pPr>
            <w:r w:rsidRPr="003E245D">
              <w:rPr>
                <w:rFonts w:eastAsia="Times New Roman"/>
                <w:sz w:val="16"/>
                <w:szCs w:val="16"/>
              </w:rPr>
              <w:t>263.261</w:t>
            </w:r>
          </w:p>
        </w:tc>
        <w:tc>
          <w:tcPr>
            <w:tcW w:w="593" w:type="dxa"/>
            <w:noWrap/>
            <w:vAlign w:val="center"/>
            <w:hideMark/>
          </w:tcPr>
          <w:p w14:paraId="0B1F0BA6" w14:textId="77777777" w:rsidR="003E245D" w:rsidRPr="003E245D" w:rsidRDefault="003E245D" w:rsidP="003E245D">
            <w:pPr>
              <w:spacing w:after="0" w:line="240" w:lineRule="auto"/>
              <w:jc w:val="center"/>
              <w:rPr>
                <w:rFonts w:eastAsia="Times New Roman"/>
                <w:sz w:val="16"/>
                <w:szCs w:val="16"/>
              </w:rPr>
            </w:pPr>
            <w:r w:rsidRPr="003E245D">
              <w:rPr>
                <w:rFonts w:eastAsia="Times New Roman"/>
                <w:sz w:val="16"/>
                <w:szCs w:val="16"/>
              </w:rPr>
              <w:t>4,09</w:t>
            </w:r>
          </w:p>
        </w:tc>
      </w:tr>
      <w:tr w:rsidR="003E245D" w:rsidRPr="003E245D" w14:paraId="08300B6B" w14:textId="77777777" w:rsidTr="006E5981">
        <w:trPr>
          <w:trHeight w:val="300"/>
          <w:jc w:val="center"/>
        </w:trPr>
        <w:tc>
          <w:tcPr>
            <w:tcW w:w="1428" w:type="dxa"/>
            <w:shd w:val="clear" w:color="auto" w:fill="FF7C80"/>
            <w:noWrap/>
            <w:vAlign w:val="center"/>
          </w:tcPr>
          <w:p w14:paraId="6877E4F0" w14:textId="77777777" w:rsidR="003E245D" w:rsidRPr="003E245D" w:rsidRDefault="003E245D" w:rsidP="003E245D">
            <w:pPr>
              <w:spacing w:after="0" w:line="240" w:lineRule="auto"/>
              <w:jc w:val="left"/>
              <w:rPr>
                <w:rFonts w:eastAsia="Times New Roman"/>
                <w:b/>
                <w:i/>
                <w:sz w:val="16"/>
                <w:szCs w:val="16"/>
              </w:rPr>
            </w:pPr>
            <w:r w:rsidRPr="003E245D">
              <w:rPr>
                <w:rFonts w:eastAsia="Times New Roman"/>
                <w:b/>
                <w:i/>
                <w:sz w:val="16"/>
                <w:szCs w:val="16"/>
              </w:rPr>
              <w:t>Totale Città Metropolitana Torino</w:t>
            </w:r>
          </w:p>
        </w:tc>
        <w:tc>
          <w:tcPr>
            <w:tcW w:w="740" w:type="dxa"/>
            <w:shd w:val="clear" w:color="auto" w:fill="FF7C80"/>
            <w:noWrap/>
            <w:vAlign w:val="center"/>
          </w:tcPr>
          <w:p w14:paraId="5A96ACE5" w14:textId="77777777" w:rsidR="003E245D" w:rsidRPr="003E245D" w:rsidRDefault="003E245D" w:rsidP="003E245D">
            <w:pPr>
              <w:widowControl w:val="0"/>
              <w:suppressAutoHyphens/>
              <w:spacing w:after="0" w:line="240" w:lineRule="auto"/>
              <w:contextualSpacing/>
              <w:jc w:val="center"/>
              <w:rPr>
                <w:rFonts w:eastAsia="Times New Roman"/>
                <w:b/>
                <w:i/>
                <w:sz w:val="16"/>
                <w:szCs w:val="16"/>
              </w:rPr>
            </w:pPr>
            <w:r w:rsidRPr="003E245D">
              <w:rPr>
                <w:rFonts w:eastAsia="Times New Roman"/>
                <w:b/>
                <w:i/>
                <w:sz w:val="16"/>
                <w:szCs w:val="16"/>
              </w:rPr>
              <w:t>2.006</w:t>
            </w:r>
          </w:p>
        </w:tc>
        <w:tc>
          <w:tcPr>
            <w:tcW w:w="868" w:type="dxa"/>
            <w:shd w:val="clear" w:color="auto" w:fill="FF7C80"/>
            <w:noWrap/>
            <w:vAlign w:val="center"/>
          </w:tcPr>
          <w:p w14:paraId="6173A1A2" w14:textId="77777777" w:rsidR="003E245D" w:rsidRPr="003E245D" w:rsidRDefault="003E245D" w:rsidP="003E245D">
            <w:pPr>
              <w:widowControl w:val="0"/>
              <w:suppressAutoHyphens/>
              <w:spacing w:after="0" w:line="240" w:lineRule="auto"/>
              <w:contextualSpacing/>
              <w:jc w:val="center"/>
              <w:rPr>
                <w:rFonts w:eastAsia="Times New Roman"/>
                <w:b/>
                <w:i/>
                <w:sz w:val="16"/>
                <w:szCs w:val="16"/>
              </w:rPr>
            </w:pPr>
            <w:r w:rsidRPr="003E245D">
              <w:rPr>
                <w:rFonts w:eastAsia="Times New Roman"/>
                <w:b/>
                <w:i/>
                <w:sz w:val="16"/>
                <w:szCs w:val="16"/>
              </w:rPr>
              <w:t>10.358</w:t>
            </w:r>
          </w:p>
        </w:tc>
        <w:tc>
          <w:tcPr>
            <w:tcW w:w="740" w:type="dxa"/>
            <w:shd w:val="clear" w:color="auto" w:fill="FF7C80"/>
            <w:noWrap/>
            <w:vAlign w:val="center"/>
          </w:tcPr>
          <w:p w14:paraId="2C0CB8E4" w14:textId="77777777" w:rsidR="003E245D" w:rsidRPr="003E245D" w:rsidRDefault="003E245D" w:rsidP="003E245D">
            <w:pPr>
              <w:widowControl w:val="0"/>
              <w:suppressAutoHyphens/>
              <w:spacing w:after="0" w:line="240" w:lineRule="auto"/>
              <w:contextualSpacing/>
              <w:jc w:val="center"/>
              <w:rPr>
                <w:rFonts w:eastAsia="Times New Roman"/>
                <w:b/>
                <w:i/>
                <w:sz w:val="16"/>
                <w:szCs w:val="16"/>
              </w:rPr>
            </w:pPr>
            <w:r w:rsidRPr="003E245D">
              <w:rPr>
                <w:rFonts w:eastAsia="Times New Roman"/>
                <w:b/>
                <w:i/>
                <w:sz w:val="16"/>
                <w:szCs w:val="16"/>
              </w:rPr>
              <w:t>73.711</w:t>
            </w:r>
          </w:p>
        </w:tc>
        <w:tc>
          <w:tcPr>
            <w:tcW w:w="868" w:type="dxa"/>
            <w:shd w:val="clear" w:color="auto" w:fill="FF7C80"/>
            <w:noWrap/>
            <w:vAlign w:val="center"/>
          </w:tcPr>
          <w:p w14:paraId="7F1DD206" w14:textId="77777777" w:rsidR="003E245D" w:rsidRPr="003E245D" w:rsidRDefault="003E245D" w:rsidP="003E245D">
            <w:pPr>
              <w:widowControl w:val="0"/>
              <w:suppressAutoHyphens/>
              <w:spacing w:after="0" w:line="240" w:lineRule="auto"/>
              <w:contextualSpacing/>
              <w:jc w:val="center"/>
              <w:rPr>
                <w:rFonts w:eastAsia="Times New Roman"/>
                <w:b/>
                <w:i/>
                <w:sz w:val="16"/>
                <w:szCs w:val="16"/>
              </w:rPr>
            </w:pPr>
            <w:r w:rsidRPr="003E245D">
              <w:rPr>
                <w:rFonts w:eastAsia="Times New Roman"/>
                <w:b/>
                <w:i/>
                <w:sz w:val="16"/>
                <w:szCs w:val="16"/>
              </w:rPr>
              <w:t>41.448</w:t>
            </w:r>
          </w:p>
        </w:tc>
        <w:tc>
          <w:tcPr>
            <w:tcW w:w="835" w:type="dxa"/>
            <w:shd w:val="clear" w:color="auto" w:fill="FF7C80"/>
            <w:noWrap/>
            <w:vAlign w:val="center"/>
          </w:tcPr>
          <w:p w14:paraId="360F3028" w14:textId="77777777" w:rsidR="003E245D" w:rsidRPr="003E245D" w:rsidRDefault="003E245D" w:rsidP="003E245D">
            <w:pPr>
              <w:widowControl w:val="0"/>
              <w:suppressAutoHyphens/>
              <w:spacing w:after="0" w:line="240" w:lineRule="auto"/>
              <w:contextualSpacing/>
              <w:jc w:val="center"/>
              <w:rPr>
                <w:rFonts w:eastAsia="Times New Roman"/>
                <w:b/>
                <w:i/>
                <w:sz w:val="16"/>
                <w:szCs w:val="16"/>
              </w:rPr>
            </w:pPr>
            <w:r w:rsidRPr="003E245D">
              <w:rPr>
                <w:rFonts w:eastAsia="Times New Roman"/>
                <w:b/>
                <w:i/>
                <w:sz w:val="16"/>
                <w:szCs w:val="16"/>
              </w:rPr>
              <w:t>1.809.983</w:t>
            </w:r>
          </w:p>
        </w:tc>
        <w:tc>
          <w:tcPr>
            <w:tcW w:w="843" w:type="dxa"/>
            <w:shd w:val="clear" w:color="auto" w:fill="FF7C80"/>
            <w:noWrap/>
            <w:vAlign w:val="center"/>
          </w:tcPr>
          <w:p w14:paraId="7FB751A8" w14:textId="77777777" w:rsidR="003E245D" w:rsidRPr="003E245D" w:rsidRDefault="003E245D" w:rsidP="003E245D">
            <w:pPr>
              <w:widowControl w:val="0"/>
              <w:suppressAutoHyphens/>
              <w:spacing w:after="0" w:line="240" w:lineRule="auto"/>
              <w:contextualSpacing/>
              <w:jc w:val="center"/>
              <w:rPr>
                <w:rFonts w:eastAsia="Times New Roman"/>
                <w:b/>
                <w:i/>
                <w:sz w:val="16"/>
                <w:szCs w:val="16"/>
              </w:rPr>
            </w:pPr>
            <w:r w:rsidRPr="003E245D">
              <w:rPr>
                <w:rFonts w:eastAsia="Times New Roman"/>
                <w:b/>
                <w:i/>
                <w:sz w:val="16"/>
                <w:szCs w:val="16"/>
              </w:rPr>
              <w:t>4.431.328</w:t>
            </w:r>
          </w:p>
        </w:tc>
        <w:tc>
          <w:tcPr>
            <w:tcW w:w="835" w:type="dxa"/>
            <w:shd w:val="clear" w:color="auto" w:fill="FF7C80"/>
            <w:noWrap/>
            <w:vAlign w:val="center"/>
          </w:tcPr>
          <w:p w14:paraId="36C4A626" w14:textId="77777777" w:rsidR="003E245D" w:rsidRPr="003E245D" w:rsidRDefault="003E245D" w:rsidP="003E245D">
            <w:pPr>
              <w:widowControl w:val="0"/>
              <w:suppressAutoHyphens/>
              <w:spacing w:after="0" w:line="240" w:lineRule="auto"/>
              <w:contextualSpacing/>
              <w:jc w:val="center"/>
              <w:rPr>
                <w:rFonts w:eastAsia="Times New Roman"/>
                <w:b/>
                <w:i/>
                <w:sz w:val="16"/>
                <w:szCs w:val="16"/>
              </w:rPr>
            </w:pPr>
            <w:r w:rsidRPr="003E245D">
              <w:rPr>
                <w:rFonts w:eastAsia="Times New Roman"/>
                <w:b/>
                <w:i/>
                <w:sz w:val="16"/>
                <w:szCs w:val="16"/>
              </w:rPr>
              <w:t>1.079.523</w:t>
            </w:r>
          </w:p>
        </w:tc>
        <w:tc>
          <w:tcPr>
            <w:tcW w:w="835" w:type="dxa"/>
            <w:shd w:val="clear" w:color="auto" w:fill="FF7C80"/>
            <w:noWrap/>
            <w:vAlign w:val="center"/>
          </w:tcPr>
          <w:p w14:paraId="3126CD0F" w14:textId="77777777" w:rsidR="003E245D" w:rsidRPr="003E245D" w:rsidRDefault="003E245D" w:rsidP="003E245D">
            <w:pPr>
              <w:widowControl w:val="0"/>
              <w:suppressAutoHyphens/>
              <w:spacing w:after="0" w:line="240" w:lineRule="auto"/>
              <w:contextualSpacing/>
              <w:jc w:val="center"/>
              <w:rPr>
                <w:rFonts w:eastAsia="Times New Roman"/>
                <w:b/>
                <w:i/>
                <w:sz w:val="16"/>
                <w:szCs w:val="16"/>
              </w:rPr>
            </w:pPr>
            <w:r w:rsidRPr="003E245D">
              <w:rPr>
                <w:rFonts w:eastAsia="Times New Roman"/>
                <w:b/>
                <w:i/>
                <w:sz w:val="16"/>
                <w:szCs w:val="16"/>
              </w:rPr>
              <w:t>3.153.386</w:t>
            </w:r>
          </w:p>
        </w:tc>
        <w:tc>
          <w:tcPr>
            <w:tcW w:w="835" w:type="dxa"/>
            <w:shd w:val="clear" w:color="auto" w:fill="FF7C80"/>
            <w:noWrap/>
            <w:vAlign w:val="center"/>
          </w:tcPr>
          <w:p w14:paraId="38957657" w14:textId="77777777" w:rsidR="003E245D" w:rsidRPr="003E245D" w:rsidRDefault="003E245D" w:rsidP="003E245D">
            <w:pPr>
              <w:widowControl w:val="0"/>
              <w:suppressAutoHyphens/>
              <w:spacing w:after="0" w:line="240" w:lineRule="auto"/>
              <w:contextualSpacing/>
              <w:jc w:val="center"/>
              <w:rPr>
                <w:rFonts w:eastAsia="Times New Roman"/>
                <w:b/>
                <w:i/>
                <w:sz w:val="16"/>
                <w:szCs w:val="16"/>
              </w:rPr>
            </w:pPr>
            <w:r w:rsidRPr="003E245D">
              <w:rPr>
                <w:rFonts w:eastAsia="Times New Roman"/>
                <w:b/>
                <w:i/>
                <w:sz w:val="16"/>
                <w:szCs w:val="16"/>
              </w:rPr>
              <w:t>2.889.506</w:t>
            </w:r>
          </w:p>
        </w:tc>
        <w:tc>
          <w:tcPr>
            <w:tcW w:w="835" w:type="dxa"/>
            <w:shd w:val="clear" w:color="auto" w:fill="FF7C80"/>
            <w:noWrap/>
            <w:vAlign w:val="center"/>
          </w:tcPr>
          <w:p w14:paraId="58E9C2CB" w14:textId="77777777" w:rsidR="003E245D" w:rsidRPr="003E245D" w:rsidRDefault="003E245D" w:rsidP="003E245D">
            <w:pPr>
              <w:widowControl w:val="0"/>
              <w:suppressAutoHyphens/>
              <w:spacing w:after="0" w:line="240" w:lineRule="auto"/>
              <w:contextualSpacing/>
              <w:jc w:val="center"/>
              <w:rPr>
                <w:rFonts w:eastAsia="Times New Roman"/>
                <w:b/>
                <w:i/>
                <w:sz w:val="16"/>
                <w:szCs w:val="16"/>
              </w:rPr>
            </w:pPr>
            <w:r w:rsidRPr="003E245D">
              <w:rPr>
                <w:rFonts w:eastAsia="Times New Roman"/>
                <w:b/>
                <w:i/>
                <w:sz w:val="16"/>
                <w:szCs w:val="16"/>
              </w:rPr>
              <w:t>7.584.714</w:t>
            </w:r>
          </w:p>
        </w:tc>
        <w:tc>
          <w:tcPr>
            <w:tcW w:w="593" w:type="dxa"/>
            <w:shd w:val="clear" w:color="auto" w:fill="FF7C80"/>
            <w:noWrap/>
            <w:vAlign w:val="center"/>
          </w:tcPr>
          <w:p w14:paraId="1AE2C1C3" w14:textId="77777777" w:rsidR="003E245D" w:rsidRPr="003E245D" w:rsidRDefault="003E245D" w:rsidP="003E245D">
            <w:pPr>
              <w:keepNext/>
              <w:spacing w:after="0" w:line="240" w:lineRule="auto"/>
              <w:jc w:val="center"/>
              <w:rPr>
                <w:rFonts w:eastAsia="Times New Roman"/>
                <w:b/>
                <w:i/>
                <w:sz w:val="16"/>
                <w:szCs w:val="16"/>
              </w:rPr>
            </w:pPr>
            <w:r w:rsidRPr="003E245D">
              <w:rPr>
                <w:rFonts w:eastAsia="Times New Roman"/>
                <w:b/>
                <w:i/>
                <w:sz w:val="16"/>
                <w:szCs w:val="16"/>
              </w:rPr>
              <w:t>2,62</w:t>
            </w:r>
          </w:p>
        </w:tc>
      </w:tr>
    </w:tbl>
    <w:p w14:paraId="3632B67A" w14:textId="0C569C95" w:rsidR="003E245D" w:rsidRPr="003E245D" w:rsidRDefault="004512C6" w:rsidP="003E245D">
      <w:pPr>
        <w:spacing w:after="200" w:line="240" w:lineRule="auto"/>
        <w:jc w:val="center"/>
        <w:rPr>
          <w:i/>
          <w:iCs/>
          <w:color w:val="17406D" w:themeColor="text2"/>
          <w:sz w:val="18"/>
          <w:szCs w:val="18"/>
        </w:rPr>
      </w:pPr>
      <w:r w:rsidRPr="003E245D">
        <w:rPr>
          <w:i/>
          <w:iCs/>
          <w:color w:val="17406D" w:themeColor="text2"/>
          <w:sz w:val="18"/>
          <w:szCs w:val="18"/>
        </w:rPr>
        <w:t>Tabella</w:t>
      </w:r>
      <w:r w:rsidR="003E245D" w:rsidRPr="003E245D">
        <w:rPr>
          <w:i/>
          <w:iCs/>
          <w:color w:val="17406D" w:themeColor="text2"/>
          <w:sz w:val="18"/>
          <w:szCs w:val="18"/>
        </w:rPr>
        <w:t xml:space="preserve"> </w:t>
      </w:r>
      <w:r w:rsidRPr="003E245D">
        <w:rPr>
          <w:i/>
          <w:iCs/>
          <w:color w:val="17406D" w:themeColor="text2"/>
          <w:sz w:val="18"/>
          <w:szCs w:val="18"/>
        </w:rPr>
        <w:fldChar w:fldCharType="begin"/>
      </w:r>
      <w:r w:rsidRPr="003E245D">
        <w:rPr>
          <w:i/>
          <w:iCs/>
          <w:color w:val="17406D" w:themeColor="text2"/>
          <w:sz w:val="18"/>
          <w:szCs w:val="18"/>
        </w:rPr>
        <w:instrText xml:space="preserve"> SEQ Tabella \* ARABIC </w:instrText>
      </w:r>
      <w:r w:rsidRPr="003E245D">
        <w:rPr>
          <w:i/>
          <w:iCs/>
          <w:color w:val="17406D" w:themeColor="text2"/>
          <w:sz w:val="18"/>
          <w:szCs w:val="18"/>
        </w:rPr>
        <w:fldChar w:fldCharType="separate"/>
      </w:r>
      <w:r w:rsidR="00073B6D">
        <w:rPr>
          <w:i/>
          <w:iCs/>
          <w:noProof/>
          <w:color w:val="17406D" w:themeColor="text2"/>
          <w:sz w:val="18"/>
          <w:szCs w:val="18"/>
        </w:rPr>
        <w:t>29</w:t>
      </w:r>
      <w:r w:rsidRPr="003E245D">
        <w:rPr>
          <w:i/>
          <w:iCs/>
          <w:noProof/>
          <w:color w:val="17406D" w:themeColor="text2"/>
          <w:sz w:val="18"/>
          <w:szCs w:val="18"/>
        </w:rPr>
        <w:fldChar w:fldCharType="end"/>
      </w:r>
      <w:r w:rsidRPr="003E245D">
        <w:rPr>
          <w:i/>
          <w:iCs/>
          <w:color w:val="17406D" w:themeColor="text2"/>
          <w:sz w:val="18"/>
          <w:szCs w:val="18"/>
        </w:rPr>
        <w:t xml:space="preserve"> –</w:t>
      </w:r>
      <w:r w:rsidR="003E245D" w:rsidRPr="003E245D">
        <w:rPr>
          <w:i/>
          <w:iCs/>
          <w:color w:val="17406D" w:themeColor="text2"/>
          <w:sz w:val="18"/>
          <w:szCs w:val="18"/>
        </w:rPr>
        <w:t xml:space="preserve"> </w:t>
      </w:r>
      <w:r w:rsidR="003E245D" w:rsidRPr="003E245D">
        <w:rPr>
          <w:i/>
          <w:iCs/>
          <w:color w:val="17406D"/>
          <w:sz w:val="18"/>
          <w:szCs w:val="18"/>
        </w:rPr>
        <w:t>Offerta</w:t>
      </w:r>
      <w:r w:rsidR="003E245D" w:rsidRPr="003E245D">
        <w:rPr>
          <w:i/>
          <w:iCs/>
          <w:color w:val="17406D" w:themeColor="text2"/>
          <w:sz w:val="18"/>
          <w:szCs w:val="18"/>
        </w:rPr>
        <w:t xml:space="preserve"> ricettiva (Fonte: DMO Piemonte)</w:t>
      </w:r>
    </w:p>
    <w:p w14:paraId="528F3F69" w14:textId="77777777" w:rsidR="003E245D" w:rsidRPr="003E245D" w:rsidRDefault="003E245D" w:rsidP="003E245D">
      <w:pPr>
        <w:rPr>
          <w:rFonts w:cstheme="minorHAnsi"/>
        </w:rPr>
      </w:pPr>
      <w:r w:rsidRPr="003E245D">
        <w:rPr>
          <w:rFonts w:cstheme="minorHAnsi"/>
        </w:rPr>
        <w:t>Come osservabile dal diagramma e dalla tabella sopraesposti, la pandemia ha ridotto considerevolmente le presenze turistiche nel territorio in analisi (nel 2020 la città metropolitana ha registrato circa 2,9 milioni di presenze contro i 7,2 milioni del 2019), evidenziando la necessità di servizi di trasporto più flessibili e resilienti.</w:t>
      </w:r>
    </w:p>
    <w:p w14:paraId="5C8077DC" w14:textId="77777777" w:rsidR="003E245D" w:rsidRPr="003E245D" w:rsidRDefault="003E245D" w:rsidP="003E245D">
      <w:pPr>
        <w:rPr>
          <w:rFonts w:cstheme="minorHAnsi"/>
        </w:rPr>
      </w:pPr>
      <w:r w:rsidRPr="003E245D">
        <w:rPr>
          <w:rFonts w:cstheme="minorHAnsi"/>
        </w:rPr>
        <w:t xml:space="preserve">A partire dal 2021, l’attività turistica nell’area metropolitana ha ripreso con successo la sua crescita, superando le presenze ante-covid, passate da 7,2 milioni nel 2019 a quasi 7,6 nell’ultimo anno rilevato. Inoltre, la distribuzione dei flussi escursionistici si è mostrata più equilibrata tra i centri urbani e le località naturali, evidenziando una sensibilità mutata nei visitatori. </w:t>
      </w:r>
    </w:p>
    <w:p w14:paraId="47830F29" w14:textId="77777777" w:rsidR="003E245D" w:rsidRPr="003E245D" w:rsidRDefault="003E245D" w:rsidP="003E245D">
      <w:pPr>
        <w:rPr>
          <w:rFonts w:cstheme="minorHAnsi"/>
        </w:rPr>
      </w:pPr>
      <w:r w:rsidRPr="003E245D">
        <w:rPr>
          <w:rFonts w:cstheme="minorHAnsi"/>
        </w:rPr>
        <w:t xml:space="preserve">Parallelamente, il trasporto collettivo, anche grazie a politiche regionali e nazionali incentivanti, ha maturato una maggiore integrazione modale mediante la diffusione, soprattutto nei principali centri urbani, di nuovi mezzi di mobilità condivisa, quali biciclette e monopattini elettrici, efficaci nel coprire l’ultimo miglio del percorso offerto dal TPL e, più in generale, nel proporre a cittadini e viaggiatori alternative di spostamento più sostenibili. </w:t>
      </w:r>
    </w:p>
    <w:p w14:paraId="09E96260" w14:textId="77777777" w:rsidR="003E245D" w:rsidRPr="003E245D" w:rsidRDefault="003E245D" w:rsidP="003E245D">
      <w:pPr>
        <w:rPr>
          <w:rFonts w:cstheme="minorHAnsi"/>
        </w:rPr>
      </w:pPr>
      <w:r w:rsidRPr="003E245D">
        <w:rPr>
          <w:rFonts w:cstheme="minorHAnsi"/>
        </w:rPr>
        <w:t>Se nel 2024 la città di Torino si è confermata destinazione internazionale, raggiungendo quasi 4,5 milioni di presenze turistiche, di cui oltre 2 milioni straniere, con una permanenza media pari a circa 2,6</w:t>
      </w:r>
      <w:r w:rsidRPr="003E245D">
        <w:rPr>
          <w:rFonts w:cstheme="minorHAnsi"/>
          <w:vertAlign w:val="superscript"/>
        </w:rPr>
        <w:footnoteReference w:id="20"/>
      </w:r>
      <w:r w:rsidRPr="003E245D">
        <w:rPr>
          <w:rFonts w:cstheme="minorHAnsi"/>
        </w:rPr>
        <w:t xml:space="preserve"> notti, i comuni montani come Sestriere, Bardonecchia e Sauze d’Oulx, hanno rafforzato la loro attrattività sportiva e naturalistica, vantando soggiorni più lunghi, tra 3,8 e 4,1 notti e contribuendo ai 2.900.000 arrivi totali del bacino. È evidente come il successo turistico del bacino metropolitano, che nel 2024 rappresenta quasi la metà delle presenze turistiche regionali, sia strettamente legato alla qualità del trasporto pubblico locale, indispensabile per valorizzare il patrimonio culturale e naturale del territorio e, tra le altre cose, supportare la crescita turistica.</w:t>
      </w:r>
    </w:p>
    <w:p w14:paraId="596FC57B" w14:textId="77777777" w:rsidR="003E245D" w:rsidRPr="003E245D" w:rsidRDefault="003E245D" w:rsidP="003E245D">
      <w:pPr>
        <w:rPr>
          <w:rFonts w:cstheme="minorHAnsi"/>
        </w:rPr>
      </w:pPr>
      <w:r w:rsidRPr="003E245D">
        <w:rPr>
          <w:rFonts w:cstheme="minorHAnsi"/>
        </w:rPr>
        <w:t>La sfida del trasporto pubblico locale è quindi rappresentata dalla capacità di sapere rispondere con efficacia alle differenti esigenze di un’utenza variegata. Pertanto, le future gare punteranno fortemente sull’integrazione modale e tariffaria, sull’adozione di tecnologie digitali avanzate, come il modello MaaS (</w:t>
      </w:r>
      <w:r w:rsidRPr="003E245D">
        <w:rPr>
          <w:rFonts w:cstheme="minorHAnsi"/>
          <w:i/>
          <w:iCs/>
        </w:rPr>
        <w:t>Mobility as a Service</w:t>
      </w:r>
      <w:r w:rsidRPr="003E245D">
        <w:rPr>
          <w:rFonts w:cstheme="minorHAnsi"/>
        </w:rPr>
        <w:t xml:space="preserve">), sull’uso di flotte ecologiche e sulla capacità di adattamento del trasporto alle variazioni stagionali e agli eventi temporanei. In tale ottica, un ruolo centrale sarà dato all’esperienza utente e all’accessibilità dell’infomobilità, al fine di migliorare la fruibilità da parte di </w:t>
      </w:r>
      <w:r w:rsidRPr="003E245D">
        <w:rPr>
          <w:rFonts w:cstheme="minorHAnsi"/>
        </w:rPr>
        <w:lastRenderedPageBreak/>
        <w:t>turisti italiani e stranieri, nonché di portatori di disabilità, mediante l’adozione di strategie coordinate tra mobilità e turismo atte ad incrementare la qualità complessiva dell’offerta territoriale.</w:t>
      </w:r>
    </w:p>
    <w:p w14:paraId="2FF7D9E6" w14:textId="77777777" w:rsidR="003E245D" w:rsidRPr="003E245D" w:rsidRDefault="003E245D" w:rsidP="005C1FA9">
      <w:pPr>
        <w:pStyle w:val="Titolo2"/>
        <w:ind w:left="567"/>
        <w:rPr>
          <w:b w:val="0"/>
        </w:rPr>
      </w:pPr>
      <w:bookmarkStart w:id="181" w:name="_Toc213078361"/>
      <w:r w:rsidRPr="007641B3">
        <w:rPr>
          <w:rFonts w:asciiTheme="minorHAnsi" w:hAnsiTheme="minorHAnsi" w:cstheme="minorHAnsi"/>
        </w:rPr>
        <w:t>Domanda di trasporto-Sviluppi</w:t>
      </w:r>
      <w:bookmarkEnd w:id="178"/>
      <w:bookmarkEnd w:id="179"/>
      <w:bookmarkEnd w:id="181"/>
    </w:p>
    <w:p w14:paraId="526F1AB4" w14:textId="77777777" w:rsidR="003E245D" w:rsidRPr="003E245D" w:rsidRDefault="003E245D" w:rsidP="003E245D">
      <w:pPr>
        <w:spacing w:before="120" w:after="0" w:line="240" w:lineRule="auto"/>
      </w:pPr>
      <w:r w:rsidRPr="003E245D">
        <w:t>Una delle sfide principali per l'AMP e per le aziende partecipanti alle gare del Trasporto Pubblico Locale   in Piemonte è quella di individuare i fattori di analisi e le tendenze per stimare la domanda di mobilità futura. Questo capitolo mira a fornire indirizzi e prospettive per anticipare le tendenze in atto nei comportamenti di mobilità, offrendo alcune considerazioni che si ritengono rilevanti per il periodo del prossimo contratto di servizio (circa 2026-2032).</w:t>
      </w:r>
    </w:p>
    <w:p w14:paraId="0B60568B" w14:textId="77777777" w:rsidR="003E245D" w:rsidRPr="003E245D" w:rsidRDefault="003E245D" w:rsidP="003E245D">
      <w:pPr>
        <w:spacing w:before="120" w:after="0" w:line="240" w:lineRule="auto"/>
      </w:pPr>
      <w:r w:rsidRPr="003E245D">
        <w:t xml:space="preserve">In primo luogo, è fondamentale prestare attenzione ai </w:t>
      </w:r>
      <w:r w:rsidRPr="003E245D">
        <w:rPr>
          <w:u w:val="single"/>
        </w:rPr>
        <w:t>cambi generazionali</w:t>
      </w:r>
      <w:r w:rsidRPr="003E245D">
        <w:t>, che rispetto al passato, introducono sempre più significative novità nei comportamenti di mobilità. Dall’analisi speditiva della letteratura, emergono alcuni principali elementi che caratterizzano i comportamenti della popolazione in funzione della generazione di appartenenza. Senza voler essere esaustivi, e solo al fine di fornire suggestioni sull’approccio al tema, si richiama una panoramica delle principali differenze</w:t>
      </w:r>
      <w:r w:rsidRPr="003E245D">
        <w:rPr>
          <w:vertAlign w:val="superscript"/>
        </w:rPr>
        <w:t xml:space="preserve"> </w:t>
      </w:r>
      <w:r w:rsidRPr="003E245D">
        <w:rPr>
          <w:vertAlign w:val="superscript"/>
        </w:rPr>
        <w:footnoteReference w:id="21"/>
      </w:r>
      <w:r w:rsidRPr="003E245D">
        <w:t>:</w:t>
      </w:r>
    </w:p>
    <w:p w14:paraId="09E4BC3C" w14:textId="77777777" w:rsidR="003E245D" w:rsidRPr="003E245D" w:rsidRDefault="003E245D" w:rsidP="003E245D">
      <w:pPr>
        <w:numPr>
          <w:ilvl w:val="0"/>
          <w:numId w:val="27"/>
        </w:numPr>
        <w:spacing w:before="120" w:after="0" w:line="240" w:lineRule="auto"/>
        <w:ind w:left="714" w:hanging="357"/>
      </w:pPr>
      <w:r w:rsidRPr="003E245D">
        <w:t xml:space="preserve">Baby Boomers (1946-1964) sono i cittadini che durante i prossimi 6 anni avranno tra 62 e 86 anni: I Baby Boomers tendono ad avere un forte legame con l'auto privata, che rappresenta il principale mezzo di trasporto per questa generazione. Questo comportamento è influenzato da fattori come la maggiore disponibilità economica e la cultura dell'automobile diffusa durante la loro giovinezza. Tuttavia, con l'avanzare dell'età, si nota una crescente attenzione verso la mobilità accessibile, il trasporto pubblico ed i servizi di mobilità assistita, come i taxi soprattutto per le esigenze di salute e benessere. C'è pertanto una crescente necessità di adattare i servizi di mobilità per rispondere alle esigenze degli anziani, che si può sintetizzare in accessibilità migliorata e servizi di trasporto su richiesta. </w:t>
      </w:r>
    </w:p>
    <w:p w14:paraId="271603F1" w14:textId="77777777" w:rsidR="003E245D" w:rsidRPr="003E245D" w:rsidRDefault="003E245D" w:rsidP="003E245D">
      <w:pPr>
        <w:numPr>
          <w:ilvl w:val="0"/>
          <w:numId w:val="27"/>
        </w:numPr>
        <w:spacing w:before="120" w:after="0" w:line="240" w:lineRule="auto"/>
        <w:ind w:left="714" w:hanging="357"/>
      </w:pPr>
      <w:r w:rsidRPr="003E245D">
        <w:t>Generazione X (1965-1980) sono i cittadini che durante i prossimi 6 anni avranno tra 46 e 67 anni: la Generazione X, pur mantenendo un uso significativo dell'auto privata, è anche aperta all'uso del trasporto pubblico e delle soluzioni di mobilità condivisa. La Generazione X è spesso influenzata da fattori come la necessità di bilanciare lavoro e vita familiare, che richiede flessibilità nei mezzi di trasporto.</w:t>
      </w:r>
    </w:p>
    <w:p w14:paraId="12A20C98" w14:textId="77777777" w:rsidR="003E245D" w:rsidRPr="003E245D" w:rsidRDefault="003E245D" w:rsidP="003E245D">
      <w:pPr>
        <w:numPr>
          <w:ilvl w:val="0"/>
          <w:numId w:val="27"/>
        </w:numPr>
        <w:spacing w:before="120" w:after="0" w:line="240" w:lineRule="auto"/>
        <w:ind w:left="714" w:hanging="357"/>
      </w:pPr>
      <w:r w:rsidRPr="003E245D">
        <w:t>Generazione Y-Millennials (1981-1996) sono i cittadini che durante i prossimi 6 anni avranno tra 30 e 51 anni: i Millennials sono noti per la loro preferenza verso soluzioni di mobilità sostenibile e condivisa. Questa generazione tende a utilizzare meno l'auto privata rispetto alle generazioni precedenti, preferendo il trasporto pubblico, il car-sharing, la bicicletta e i monopattini elettrici. I Millennials sono anche più propensi a utilizzare tecnologie digitali per pianificare i loro spostamenti e a partecipare a iniziative di mobilità urbana sostenibile.</w:t>
      </w:r>
    </w:p>
    <w:p w14:paraId="6DC9E71A" w14:textId="77777777" w:rsidR="003E245D" w:rsidRPr="003E245D" w:rsidRDefault="003E245D" w:rsidP="003E245D">
      <w:pPr>
        <w:numPr>
          <w:ilvl w:val="0"/>
          <w:numId w:val="27"/>
        </w:numPr>
        <w:spacing w:before="120" w:after="0" w:line="240" w:lineRule="auto"/>
        <w:ind w:left="714" w:hanging="357"/>
      </w:pPr>
      <w:r w:rsidRPr="003E245D">
        <w:t>Generazione Z (1997-2012) sono i cittadini che durante i prossimi 6 anni avranno tra 14 e 35 anni: la Generazione Z, che riguarda studenti e giovani che entrano nel mondo del lavoro e della mobilità indipendente, mostra una forte inclinazione verso la mobilità digitale e sostenibile ed una più scarsa propensione all’utilizzo del mezzo privato. Questa generazione è altamente connessa e utilizza app di viaggio e servizi di mobilità condivisa con grande frequenza. La Generazione Z è anche molto attenta alle questioni ambientali e preferisce soluzioni di trasporto che riducano l'impatto ecologico.</w:t>
      </w:r>
    </w:p>
    <w:p w14:paraId="75B3C003" w14:textId="77777777" w:rsidR="003E245D" w:rsidRPr="003E245D" w:rsidRDefault="003E245D" w:rsidP="003E245D">
      <w:pPr>
        <w:spacing w:before="120" w:after="0" w:line="240" w:lineRule="auto"/>
      </w:pPr>
      <w:r w:rsidRPr="003E245D">
        <w:t xml:space="preserve">Questi comportamenti di mobilità sono influenzati da una combinazione di fattori psicologici, socio-economici, demografici e territoriali; la figura seguente schematizza alcune caratteristiche </w:t>
      </w:r>
      <w:r w:rsidRPr="003E245D">
        <w:lastRenderedPageBreak/>
        <w:t>“generazionali” che hanno influenza sulle scelte di mobilità dei cittadini. Il trasporto pubblico deve saper interpretare l’insieme di questi fattori calandoli sulla realtà territoriale specifica per sviluppare soluzioni efficaci e sostenibili.</w:t>
      </w:r>
    </w:p>
    <w:p w14:paraId="0BDA1EC4" w14:textId="77777777" w:rsidR="003E245D" w:rsidRPr="003E245D" w:rsidRDefault="003E245D" w:rsidP="003E245D">
      <w:pPr>
        <w:spacing w:before="120" w:after="0" w:line="240" w:lineRule="auto"/>
      </w:pPr>
      <w:r w:rsidRPr="003E245D">
        <w:rPr>
          <w:noProof/>
        </w:rPr>
        <w:drawing>
          <wp:inline distT="0" distB="0" distL="0" distR="0" wp14:anchorId="3340FD1B" wp14:editId="5F3AD0AB">
            <wp:extent cx="5759450" cy="2811780"/>
            <wp:effectExtent l="0" t="0" r="0" b="7620"/>
            <wp:docPr id="128126511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759450" cy="2811780"/>
                    </a:xfrm>
                    <a:prstGeom prst="rect">
                      <a:avLst/>
                    </a:prstGeom>
                    <a:noFill/>
                    <a:ln>
                      <a:noFill/>
                    </a:ln>
                  </pic:spPr>
                </pic:pic>
              </a:graphicData>
            </a:graphic>
          </wp:inline>
        </w:drawing>
      </w:r>
    </w:p>
    <w:p w14:paraId="49DAF96E" w14:textId="79A838B6" w:rsidR="003E245D" w:rsidRPr="003E245D" w:rsidRDefault="003E245D" w:rsidP="003E245D">
      <w:pPr>
        <w:spacing w:before="120" w:after="0" w:line="240" w:lineRule="auto"/>
        <w:jc w:val="center"/>
        <w:rPr>
          <w:i/>
          <w:iCs/>
          <w:color w:val="17406D" w:themeColor="text2"/>
          <w:sz w:val="18"/>
          <w:szCs w:val="18"/>
        </w:rPr>
      </w:pPr>
      <w:r w:rsidRPr="003E245D">
        <w:rPr>
          <w:i/>
          <w:iCs/>
          <w:color w:val="17406D" w:themeColor="text2"/>
          <w:sz w:val="18"/>
          <w:szCs w:val="18"/>
        </w:rPr>
        <w:t xml:space="preserve">Figura </w:t>
      </w:r>
      <w:r w:rsidRPr="003E245D">
        <w:rPr>
          <w:i/>
          <w:iCs/>
          <w:color w:val="17406D" w:themeColor="text2"/>
          <w:sz w:val="18"/>
          <w:szCs w:val="18"/>
        </w:rPr>
        <w:fldChar w:fldCharType="begin"/>
      </w:r>
      <w:r w:rsidRPr="003E245D">
        <w:rPr>
          <w:i/>
          <w:iCs/>
          <w:color w:val="17406D" w:themeColor="text2"/>
          <w:sz w:val="18"/>
          <w:szCs w:val="18"/>
        </w:rPr>
        <w:instrText xml:space="preserve"> SEQ Figura \* ARABIC </w:instrText>
      </w:r>
      <w:r w:rsidRPr="003E245D">
        <w:rPr>
          <w:i/>
          <w:iCs/>
          <w:color w:val="17406D" w:themeColor="text2"/>
          <w:sz w:val="18"/>
          <w:szCs w:val="18"/>
        </w:rPr>
        <w:fldChar w:fldCharType="separate"/>
      </w:r>
      <w:r w:rsidR="00073B6D">
        <w:rPr>
          <w:i/>
          <w:iCs/>
          <w:noProof/>
          <w:color w:val="17406D" w:themeColor="text2"/>
          <w:sz w:val="18"/>
          <w:szCs w:val="18"/>
        </w:rPr>
        <w:t>23</w:t>
      </w:r>
      <w:r w:rsidRPr="003E245D">
        <w:rPr>
          <w:i/>
          <w:iCs/>
          <w:noProof/>
          <w:color w:val="17406D" w:themeColor="text2"/>
          <w:sz w:val="18"/>
          <w:szCs w:val="18"/>
        </w:rPr>
        <w:fldChar w:fldCharType="end"/>
      </w:r>
      <w:r w:rsidRPr="003E245D">
        <w:rPr>
          <w:i/>
          <w:iCs/>
          <w:color w:val="17406D" w:themeColor="text2"/>
          <w:sz w:val="18"/>
          <w:szCs w:val="18"/>
        </w:rPr>
        <w:t xml:space="preserve"> – Generazioni, influenze e comportamenti</w:t>
      </w:r>
    </w:p>
    <w:p w14:paraId="709FBB96" w14:textId="77777777" w:rsidR="003E245D" w:rsidRPr="003E245D" w:rsidRDefault="003E245D" w:rsidP="003E245D">
      <w:pPr>
        <w:spacing w:before="120" w:after="0" w:line="240" w:lineRule="auto"/>
      </w:pPr>
      <w:r w:rsidRPr="003E245D">
        <w:t xml:space="preserve">Un altro aspetto fondamentale per il futuro del Trasporto Pubblico Locale (TPL) in Piemonte riguarda le </w:t>
      </w:r>
      <w:r w:rsidRPr="003E245D">
        <w:rPr>
          <w:u w:val="single"/>
        </w:rPr>
        <w:t>Sfide e le opportunità offerte dalle nuove tecnologie</w:t>
      </w:r>
      <w:r w:rsidRPr="003E245D">
        <w:t>. L'uso dell'intelligenza artificiale (IA) e dei Big Data sta rivoluzionando la pianificazione e la gestione dei trasporti, permettendo di ottimizzare i percorsi, guidare la domanda e migliorare la sicurezza. La digitalizzazione dei sistemi di trasporto e delle imprese rappresenta una svolta strategica che richiede un attento investimento in infrastrutture digitali.</w:t>
      </w:r>
    </w:p>
    <w:p w14:paraId="3AEC6666" w14:textId="77777777" w:rsidR="003E245D" w:rsidRPr="003E245D" w:rsidRDefault="003E245D" w:rsidP="003E245D">
      <w:pPr>
        <w:spacing w:before="120" w:after="0" w:line="240" w:lineRule="auto"/>
      </w:pPr>
      <w:r w:rsidRPr="003E245D">
        <w:t>L'intelligenza artificiale e i Big Data offrono strumenti potenti per analizzare grandi quantità di dati provenienti da diverse fonti, come i dati di traffico, i dati di utilizzo dei servizi di trasporto pubblico e i dati demografici. Queste tecnologie permettono di ottimizzare i percorsi dei mezzi di trasporto pubblico, favorendo la soddisfazione della domanda, riducendo i tempi di viaggio ed anche migliorando l'efficienza operativa. L'IA può essere utilizzata per monitorare in tempo reale le condizioni del traffico e dei veicoli, identificando potenziali rischi e migliorando la sicurezza dei passeggeri.</w:t>
      </w:r>
    </w:p>
    <w:p w14:paraId="1A21291B" w14:textId="77777777" w:rsidR="003E245D" w:rsidRPr="003E245D" w:rsidRDefault="003E245D" w:rsidP="003E245D">
      <w:pPr>
        <w:spacing w:before="120" w:after="0" w:line="240" w:lineRule="auto"/>
      </w:pPr>
      <w:r w:rsidRPr="003E245D">
        <w:t>Le tecnologie e l'intelligenza artificiale stanno anche migliorando l'esperienza dei passeggeri, offrendo servizi personalizzati e informazioni in tempo reale; assistenti virtuali e app di viaggio stanno diventando sempre più comuni, fornendo supporto agli utenti durante i loro spostamenti offrendo servizi personalizzati ed aggiornamenti in tempo reale su eventuali ritardi, modifiche ai percorsi e altre informazioni rilevanti.</w:t>
      </w:r>
    </w:p>
    <w:p w14:paraId="0532A051" w14:textId="77777777" w:rsidR="003E245D" w:rsidRPr="003E245D" w:rsidRDefault="003E245D" w:rsidP="003E245D">
      <w:pPr>
        <w:spacing w:before="120" w:after="0" w:line="240" w:lineRule="auto"/>
      </w:pPr>
      <w:r w:rsidRPr="003E245D">
        <w:t>La pianificazione dei trasporti tramite l’IA favorirà i concetti di Integrazione Modale e di Mobility as a Service (MaaS), integrando diversi mezzi di trasporto in un'unica piattaforma digitale. Questo approccio facilita l'accesso ai servizi di mobilità e migliora l'efficienza del sistema di trasporto pubblico. Le piattaforme MaaS permettono agli utenti di pianificare, prenotare e pagare i loro spostamenti attraverso un'unica applicazione, offrendo soluzioni di mobilità personalizzate e flessibili.</w:t>
      </w:r>
    </w:p>
    <w:p w14:paraId="023CFD0D" w14:textId="77777777" w:rsidR="003E245D" w:rsidRPr="003E245D" w:rsidRDefault="003E245D" w:rsidP="003E245D">
      <w:pPr>
        <w:spacing w:before="120" w:after="0" w:line="240" w:lineRule="auto"/>
      </w:pPr>
      <w:r w:rsidRPr="003E245D">
        <w:t>Per sfruttarli a pieno è necessaria la digitalizzazione dei Sistemi di Trasporto e delle imprese, attraverso uno strategico investimento in infrastrutture digitali, che devono includere diverse componenti chiave, le principali delle quali sono:</w:t>
      </w:r>
    </w:p>
    <w:p w14:paraId="78C482FB" w14:textId="77777777" w:rsidR="003E245D" w:rsidRPr="003E245D" w:rsidRDefault="003E245D" w:rsidP="003E245D">
      <w:pPr>
        <w:numPr>
          <w:ilvl w:val="0"/>
          <w:numId w:val="28"/>
        </w:numPr>
        <w:spacing w:before="120" w:after="0" w:line="240" w:lineRule="auto"/>
        <w:contextualSpacing/>
      </w:pPr>
      <w:r w:rsidRPr="003E245D">
        <w:lastRenderedPageBreak/>
        <w:t>Bigliettazione Elettronica: L'adozione di sistemi di bigliettazione elettronica facilita l'accesso ai servizi di trasporto pubblico e riduce la necessità di biglietti cartacei, migliorando l'efficienza e la sostenibilità.</w:t>
      </w:r>
    </w:p>
    <w:p w14:paraId="25E1DE49" w14:textId="77777777" w:rsidR="003E245D" w:rsidRPr="003E245D" w:rsidRDefault="003E245D" w:rsidP="003E245D">
      <w:pPr>
        <w:numPr>
          <w:ilvl w:val="0"/>
          <w:numId w:val="28"/>
        </w:numPr>
        <w:spacing w:before="120" w:after="0" w:line="240" w:lineRule="auto"/>
        <w:contextualSpacing/>
      </w:pPr>
      <w:r w:rsidRPr="003E245D">
        <w:t>Gestione Integrata dell'Organizzazione: La digitalizzazione permette una gestione integrata e centralizzata delle operazioni, migliorando la coordinazione e la risposta alle esigenze degli utenti.</w:t>
      </w:r>
    </w:p>
    <w:p w14:paraId="65194DBD" w14:textId="77777777" w:rsidR="003E245D" w:rsidRPr="003E245D" w:rsidRDefault="003E245D" w:rsidP="003E245D">
      <w:pPr>
        <w:numPr>
          <w:ilvl w:val="0"/>
          <w:numId w:val="28"/>
        </w:numPr>
        <w:spacing w:before="120" w:after="0" w:line="240" w:lineRule="auto"/>
        <w:contextualSpacing/>
      </w:pPr>
      <w:r w:rsidRPr="003E245D">
        <w:t>Raccolta dei Dati e delle Informazioni: La raccolta e l'analisi dei dati in tempo reale consentono di monitorare le prestazioni del servizio e di apportare miglioramenti continui.</w:t>
      </w:r>
    </w:p>
    <w:p w14:paraId="16C846D8" w14:textId="77777777" w:rsidR="003E245D" w:rsidRPr="003E245D" w:rsidRDefault="003E245D" w:rsidP="003E245D">
      <w:pPr>
        <w:numPr>
          <w:ilvl w:val="0"/>
          <w:numId w:val="28"/>
        </w:numPr>
        <w:spacing w:before="120" w:after="0" w:line="240" w:lineRule="auto"/>
        <w:contextualSpacing/>
      </w:pPr>
      <w:r w:rsidRPr="003E245D">
        <w:t>Customer Care e Rapporto con l'Utente: Le tecnologie digitali migliorano il customer care, offrendo canali di comunicazione diretti e personalizzati con gli utenti, e permettono di raccogliere feedback per migliorare il servizio.</w:t>
      </w:r>
    </w:p>
    <w:p w14:paraId="1C5297A0" w14:textId="77777777" w:rsidR="003E245D" w:rsidRPr="003E245D" w:rsidRDefault="003E245D" w:rsidP="003E245D">
      <w:pPr>
        <w:spacing w:before="120" w:after="0" w:line="240" w:lineRule="auto"/>
      </w:pPr>
      <w:r w:rsidRPr="003E245D">
        <w:t>In sintesi, la sfida per prevedere la domanda da servire si basa su almeno due componenti fondamentali: l'analisi dei cambiamenti generazionali e le opportunità offerte dalle sfide tecnologiche.</w:t>
      </w:r>
    </w:p>
    <w:p w14:paraId="278F8FB9" w14:textId="77777777" w:rsidR="003E245D" w:rsidRPr="003E245D" w:rsidRDefault="003E245D" w:rsidP="003E245D">
      <w:pPr>
        <w:spacing w:before="120" w:after="0" w:line="240" w:lineRule="auto"/>
      </w:pPr>
      <w:r w:rsidRPr="003E245D">
        <w:t>Nella procedura di gara AMP richiederà alle imprese di indicare i metodi e gli strumenti che utilizzano e/o intendono utilizzare per sviluppare azioni strategiche in questi ambiti od in altri che riterranno rilevanti.</w:t>
      </w:r>
    </w:p>
    <w:p w14:paraId="49896155" w14:textId="77777777" w:rsidR="003E245D" w:rsidRPr="003E245D" w:rsidRDefault="003E245D" w:rsidP="003E245D">
      <w:pPr>
        <w:spacing w:before="120" w:after="0" w:line="240" w:lineRule="auto"/>
      </w:pPr>
      <w:r w:rsidRPr="003E245D">
        <w:t>Da un punto di vista demografico l’ISTAT</w:t>
      </w:r>
      <w:r w:rsidRPr="003E245D">
        <w:rPr>
          <w:vertAlign w:val="superscript"/>
        </w:rPr>
        <w:footnoteReference w:id="22"/>
      </w:r>
      <w:r w:rsidRPr="003E245D">
        <w:t xml:space="preserve"> fornisce per il Bacino Metropolitano un andamento previsionale della popolazione per il periodo 2027-2033 nel suo complesso in lievissimo calo rispetto ad oggi (-1,29%), con fluttuazioni fra le differenti classi di età. In particolare, rispetto all’intera popolazione la generazione Z (+1,29%) e la generazione Y-Millennials (+0,61%) sono quelle che hanno una previsione d’incremento maggiore rispetto ad altre fasce.</w:t>
      </w:r>
    </w:p>
    <w:p w14:paraId="3667CB67" w14:textId="77777777" w:rsidR="003E245D" w:rsidRPr="003E245D" w:rsidRDefault="003E245D" w:rsidP="003E245D">
      <w:pPr>
        <w:spacing w:before="120" w:after="0" w:line="240" w:lineRule="auto"/>
      </w:pPr>
      <w:r w:rsidRPr="003E245D">
        <w:t>Si può ipotizzare quindi una maggiore domanda di trasporto pubblico legate a queste fasce generazionali che date le caratteristiche comportamentali in precedenza descritte si può supporre meno sistematiche e più propense a forme di mobilità condivisa rispetto ad oggi per soggetti di pari età. Tale domanda potrà essere catturata:</w:t>
      </w:r>
    </w:p>
    <w:p w14:paraId="46F2F9DF" w14:textId="77777777" w:rsidR="003E245D" w:rsidRPr="003E245D" w:rsidRDefault="003E245D" w:rsidP="00FD2CBB">
      <w:pPr>
        <w:numPr>
          <w:ilvl w:val="0"/>
          <w:numId w:val="33"/>
        </w:numPr>
        <w:spacing w:before="120" w:after="0" w:line="240" w:lineRule="auto"/>
        <w:ind w:left="714" w:hanging="357"/>
      </w:pPr>
      <w:r w:rsidRPr="003E245D">
        <w:t>Promuovendo una sempre maggiore digitalizzazione del servizio e una maggiore flessibilità</w:t>
      </w:r>
    </w:p>
    <w:p w14:paraId="7268B67A" w14:textId="77777777" w:rsidR="003E245D" w:rsidRPr="003E245D" w:rsidRDefault="003E245D" w:rsidP="00FD2CBB">
      <w:pPr>
        <w:numPr>
          <w:ilvl w:val="0"/>
          <w:numId w:val="33"/>
        </w:numPr>
        <w:spacing w:before="120" w:after="0" w:line="240" w:lineRule="auto"/>
        <w:ind w:left="714" w:hanging="357"/>
      </w:pPr>
      <w:r w:rsidRPr="003E245D">
        <w:t>Un’offerta con standard di qualità sempre più elevati (offerta regolare, cadenzata, accessibile)</w:t>
      </w:r>
    </w:p>
    <w:p w14:paraId="362D57B0" w14:textId="77777777" w:rsidR="003E245D" w:rsidRPr="003E245D" w:rsidRDefault="003E245D" w:rsidP="00FD2CBB">
      <w:pPr>
        <w:numPr>
          <w:ilvl w:val="0"/>
          <w:numId w:val="33"/>
        </w:numPr>
        <w:spacing w:before="120" w:after="0" w:line="240" w:lineRule="auto"/>
        <w:ind w:left="714" w:hanging="357"/>
      </w:pPr>
      <w:r w:rsidRPr="003E245D">
        <w:t>Ampliando l’offerta nelle fasce di morbida o nei giorni feriali.</w:t>
      </w:r>
    </w:p>
    <w:p w14:paraId="0489CE09" w14:textId="7927623C" w:rsidR="003E245D" w:rsidRPr="003E245D" w:rsidRDefault="003E245D" w:rsidP="003E245D">
      <w:pPr>
        <w:spacing w:before="120" w:after="0" w:line="240" w:lineRule="auto"/>
        <w:rPr>
          <w:rFonts w:ascii="Times New Roman" w:hAnsi="Times New Roman"/>
          <w:sz w:val="24"/>
          <w:szCs w:val="24"/>
        </w:rPr>
        <w:sectPr w:rsidR="003E245D" w:rsidRPr="003E245D" w:rsidSect="00F41C4B">
          <w:footerReference w:type="default" r:id="rId59"/>
          <w:pgSz w:w="11906" w:h="16838"/>
          <w:pgMar w:top="1418" w:right="1418" w:bottom="1418" w:left="1418" w:header="709" w:footer="709" w:gutter="0"/>
          <w:pgBorders w:offsetFrom="page">
            <w:right w:val="single" w:sz="48" w:space="24" w:color="EE3438"/>
          </w:pgBorders>
          <w:cols w:space="708"/>
          <w:docGrid w:linePitch="360"/>
        </w:sectPr>
      </w:pPr>
      <w:r w:rsidRPr="009F4CF9">
        <w:t xml:space="preserve">L’Agenzia ritiene che lavorando su tali aspetti sia possibile recuperare nel corso dei futuri affidamenti il gap ancora presente di circa </w:t>
      </w:r>
      <w:r w:rsidR="001C7AAB" w:rsidRPr="009F4CF9">
        <w:t>7 punti percentuali</w:t>
      </w:r>
      <w:r w:rsidRPr="009F4CF9">
        <w:t xml:space="preserve"> tra la domanda di TPL soddisfatta pre COVID e la domanda soddisfatta attuale, seppur in presenza di una variazione dei comportamenti meno sistematici ma maggiormente resilienti delle future generazioni “adulte” e una popolazione scolastica in riduzione</w:t>
      </w:r>
      <w:r w:rsidRPr="009F4CF9">
        <w:rPr>
          <w:rFonts w:ascii="Times New Roman" w:hAnsi="Times New Roman"/>
          <w:sz w:val="24"/>
          <w:szCs w:val="24"/>
        </w:rPr>
        <w:t>.</w:t>
      </w:r>
    </w:p>
    <w:p w14:paraId="593AE461" w14:textId="77777777" w:rsidR="00FD2CBB" w:rsidRDefault="00FD2CBB" w:rsidP="00FD2CBB">
      <w:pPr>
        <w:pStyle w:val="Titolo1"/>
      </w:pPr>
      <w:bookmarkStart w:id="182" w:name="_Toc204328723"/>
      <w:bookmarkStart w:id="183" w:name="_Toc213078362"/>
      <w:r>
        <w:lastRenderedPageBreak/>
        <w:t>Analisi offerta di trasporto del Bacino Metropolitano</w:t>
      </w:r>
      <w:bookmarkEnd w:id="182"/>
      <w:bookmarkEnd w:id="183"/>
    </w:p>
    <w:p w14:paraId="43583F8B" w14:textId="77777777" w:rsidR="00FD2CBB" w:rsidRDefault="00FD2CBB" w:rsidP="00FD2CBB">
      <w:pPr>
        <w:pStyle w:val="Titolo2"/>
        <w:ind w:left="567"/>
      </w:pPr>
      <w:bookmarkStart w:id="184" w:name="_Toc193195703"/>
      <w:bookmarkStart w:id="185" w:name="_Toc1221289343"/>
      <w:bookmarkStart w:id="186" w:name="_Toc197695680"/>
      <w:bookmarkStart w:id="187" w:name="_Toc204328724"/>
      <w:bookmarkStart w:id="188" w:name="_Toc213078363"/>
      <w:r>
        <w:t>Offerta di trasporto attuale</w:t>
      </w:r>
      <w:bookmarkEnd w:id="184"/>
      <w:bookmarkEnd w:id="185"/>
      <w:bookmarkEnd w:id="186"/>
      <w:bookmarkEnd w:id="187"/>
      <w:bookmarkEnd w:id="188"/>
    </w:p>
    <w:p w14:paraId="2B8A9D53" w14:textId="77777777" w:rsidR="00FD2CBB" w:rsidRDefault="00FD2CBB" w:rsidP="00FD2CBB">
      <w:pPr>
        <w:pStyle w:val="Titolo3"/>
        <w:spacing w:before="120" w:after="0" w:line="240" w:lineRule="auto"/>
        <w:ind w:left="720"/>
      </w:pPr>
      <w:bookmarkStart w:id="189" w:name="_Toc193195704"/>
      <w:bookmarkStart w:id="190" w:name="_Toc595939406"/>
      <w:bookmarkStart w:id="191" w:name="_Toc197695681"/>
      <w:bookmarkStart w:id="192" w:name="_Toc204328725"/>
      <w:bookmarkStart w:id="193" w:name="_Toc213078364"/>
      <w:r>
        <w:t>Servizi ferroviari</w:t>
      </w:r>
      <w:bookmarkEnd w:id="189"/>
      <w:bookmarkEnd w:id="190"/>
      <w:bookmarkEnd w:id="191"/>
      <w:bookmarkEnd w:id="192"/>
      <w:bookmarkEnd w:id="193"/>
      <w:r>
        <w:t xml:space="preserve"> </w:t>
      </w:r>
    </w:p>
    <w:p w14:paraId="7FC24D38" w14:textId="77777777" w:rsidR="00FD2CBB" w:rsidRDefault="00FD2CBB" w:rsidP="00FD2CBB">
      <w:pPr>
        <w:spacing w:before="120" w:after="0" w:line="240" w:lineRule="auto"/>
      </w:pPr>
      <w:r>
        <w:t>Nel seguente paragrafo per completezza di informazioni, anche se non sarà oggetto dei lotti di gara, è riportata una breve descrizione del trasporto ferroviario regionale presente nel Bacino Metropolitano, con il quale il servizio automobilistico dovrà integrarsi.</w:t>
      </w:r>
    </w:p>
    <w:p w14:paraId="5C1955E7" w14:textId="77777777" w:rsidR="00FD2CBB" w:rsidRDefault="00FD2CBB" w:rsidP="00FD2CBB">
      <w:pPr>
        <w:spacing w:before="120" w:after="0" w:line="240" w:lineRule="auto"/>
      </w:pPr>
      <w:r>
        <w:t>Il sistema è costituito da due differenti tipi di servizio:</w:t>
      </w:r>
    </w:p>
    <w:p w14:paraId="530162CC" w14:textId="77777777" w:rsidR="00FD2CBB" w:rsidRDefault="00FD2CBB" w:rsidP="004B0DBE">
      <w:pPr>
        <w:pStyle w:val="Paragrafoelenco"/>
        <w:numPr>
          <w:ilvl w:val="0"/>
          <w:numId w:val="38"/>
        </w:numPr>
        <w:spacing w:before="120" w:after="0" w:line="240" w:lineRule="auto"/>
      </w:pPr>
      <w:r>
        <w:t>Il Servizio Ferroviario Metropolitano [SFM]</w:t>
      </w:r>
      <w:r w:rsidRPr="00B3703A">
        <w:t xml:space="preserve"> composto da una rete di linee ferroviarie metropolitane che collegano Torino con i principali centri circostanti. Caratteristiche del SFM sono le linee passanti e coordinate, il cadenzamento regolare del servizio senza interruzioni nel corso della giornata e la maggior frequenza dei treni nella parte centrale urbana.</w:t>
      </w:r>
    </w:p>
    <w:p w14:paraId="77380AD1" w14:textId="77777777" w:rsidR="00FD2CBB" w:rsidRDefault="00FD2CBB" w:rsidP="004B0DBE">
      <w:pPr>
        <w:pStyle w:val="Paragrafoelenco"/>
        <w:numPr>
          <w:ilvl w:val="0"/>
          <w:numId w:val="38"/>
        </w:numPr>
        <w:spacing w:before="120" w:after="0" w:line="240" w:lineRule="auto"/>
      </w:pPr>
      <w:r>
        <w:t xml:space="preserve">Il Servizio Ferroviario Regionale [SFR] che per l’area Torinese è caratterizzato principalmente dai servizi Regionali Veloci [RV] Torino-Milano, Torino-Alessandria-Genova e Torino Cuneo/Savona che </w:t>
      </w:r>
      <w:r w:rsidRPr="00B3703A">
        <w:t xml:space="preserve">connettono </w:t>
      </w:r>
      <w:r>
        <w:t xml:space="preserve">Torino con </w:t>
      </w:r>
      <w:r w:rsidRPr="00B3703A">
        <w:t>i principali centri del Piemonte e i capoluoghi delle regioni vicine</w:t>
      </w:r>
    </w:p>
    <w:p w14:paraId="3C03E48B" w14:textId="77777777" w:rsidR="00FD2CBB" w:rsidRDefault="00FD2CBB" w:rsidP="00FD2CBB">
      <w:pPr>
        <w:spacing w:before="120" w:after="0" w:line="240" w:lineRule="auto"/>
      </w:pPr>
      <w:r>
        <w:t>Entrambi i servizi sono svolti da “Trenitalia SpA” all’interno di contratti di servizio con l’Agenzia. Si segnala che nel Bacino Metropolitano sono inoltre presenti i servizi Regionali Veloci Torino-Aosta di competenza della Regione Valle d’Aosta che servono le stazioni di Ivrea, Chivasso, Torino Porta Susa e Torino Porta Nuova.</w:t>
      </w:r>
    </w:p>
    <w:p w14:paraId="7C6382A2" w14:textId="662D9992" w:rsidR="00FD2CBB" w:rsidRDefault="00FD2CBB" w:rsidP="00FD2CBB">
      <w:pPr>
        <w:spacing w:before="120" w:line="240" w:lineRule="auto"/>
      </w:pPr>
      <w:r>
        <w:t>Nei futuri affidamenti dei servizi automobilistici sarà richiesto di garantire l’integrazione con i servizi ferroviari presenti sul territorio. I servizi metropolitani e regionali programmati dall’Agenzia, anche quelli non attualmente svolti ma previsti dallo scenario evolutivo del contratto SFM, sono dettagliati nella tabella seguente.</w:t>
      </w:r>
    </w:p>
    <w:tbl>
      <w:tblPr>
        <w:tblStyle w:val="Grigliatabella"/>
        <w:tblW w:w="9067" w:type="dxa"/>
        <w:tblInd w:w="-1"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547"/>
        <w:gridCol w:w="1559"/>
        <w:gridCol w:w="1843"/>
        <w:gridCol w:w="1559"/>
        <w:gridCol w:w="1559"/>
      </w:tblGrid>
      <w:tr w:rsidR="00FD2CBB" w:rsidRPr="001D451C" w14:paraId="63B351FF" w14:textId="77777777">
        <w:tc>
          <w:tcPr>
            <w:tcW w:w="2547" w:type="dxa"/>
            <w:shd w:val="clear" w:color="auto" w:fill="EE3438"/>
            <w:vAlign w:val="center"/>
          </w:tcPr>
          <w:p w14:paraId="10976E66" w14:textId="77777777" w:rsidR="00FD2CBB" w:rsidRPr="009F4CF9" w:rsidRDefault="00FD2CBB">
            <w:pPr>
              <w:spacing w:after="0" w:line="240" w:lineRule="auto"/>
              <w:rPr>
                <w:rFonts w:cs="Calibri"/>
                <w:b/>
                <w:color w:val="FFFFFF" w:themeColor="background1"/>
              </w:rPr>
            </w:pPr>
            <w:r w:rsidRPr="009F4CF9">
              <w:rPr>
                <w:rFonts w:cs="Calibri"/>
                <w:b/>
                <w:color w:val="FFFFFF" w:themeColor="background1"/>
              </w:rPr>
              <w:t>Linea/Relazione</w:t>
            </w:r>
          </w:p>
        </w:tc>
        <w:tc>
          <w:tcPr>
            <w:tcW w:w="1559" w:type="dxa"/>
            <w:shd w:val="clear" w:color="auto" w:fill="EE3438"/>
            <w:vAlign w:val="center"/>
          </w:tcPr>
          <w:p w14:paraId="1C73081D" w14:textId="77777777" w:rsidR="00FD2CBB" w:rsidRPr="009F4CF9" w:rsidRDefault="00FD2CBB">
            <w:pPr>
              <w:spacing w:after="0" w:line="240" w:lineRule="auto"/>
              <w:rPr>
                <w:rFonts w:cs="Calibri"/>
                <w:b/>
                <w:color w:val="FFFFFF" w:themeColor="background1"/>
              </w:rPr>
            </w:pPr>
            <w:r w:rsidRPr="009F4CF9">
              <w:rPr>
                <w:rFonts w:cs="Calibri"/>
                <w:b/>
                <w:color w:val="FFFFFF" w:themeColor="background1"/>
              </w:rPr>
              <w:t>Sistema ferroviario</w:t>
            </w:r>
          </w:p>
        </w:tc>
        <w:tc>
          <w:tcPr>
            <w:tcW w:w="1843" w:type="dxa"/>
            <w:shd w:val="clear" w:color="auto" w:fill="EE3438"/>
            <w:vAlign w:val="center"/>
          </w:tcPr>
          <w:p w14:paraId="040AF7D6" w14:textId="77777777" w:rsidR="00FD2CBB" w:rsidRPr="009F4CF9" w:rsidRDefault="00FD2CBB">
            <w:pPr>
              <w:spacing w:after="0" w:line="240" w:lineRule="auto"/>
              <w:rPr>
                <w:rFonts w:cs="Calibri"/>
                <w:b/>
                <w:color w:val="FFFFFF" w:themeColor="background1"/>
              </w:rPr>
            </w:pPr>
            <w:r w:rsidRPr="009F4CF9">
              <w:rPr>
                <w:rFonts w:cs="Calibri"/>
                <w:b/>
                <w:color w:val="FFFFFF" w:themeColor="background1"/>
              </w:rPr>
              <w:t>Operatore</w:t>
            </w:r>
          </w:p>
        </w:tc>
        <w:tc>
          <w:tcPr>
            <w:tcW w:w="1559" w:type="dxa"/>
            <w:shd w:val="clear" w:color="auto" w:fill="EE3438"/>
            <w:vAlign w:val="center"/>
          </w:tcPr>
          <w:p w14:paraId="33D2822B" w14:textId="77777777" w:rsidR="00FD2CBB" w:rsidRPr="009F4CF9" w:rsidRDefault="00FD2CBB">
            <w:pPr>
              <w:spacing w:after="0" w:line="240" w:lineRule="auto"/>
              <w:rPr>
                <w:rFonts w:cs="Calibri"/>
                <w:b/>
                <w:color w:val="FFFFFF" w:themeColor="background1"/>
              </w:rPr>
            </w:pPr>
            <w:r w:rsidRPr="009F4CF9">
              <w:rPr>
                <w:rFonts w:cs="Calibri"/>
                <w:b/>
                <w:color w:val="FFFFFF" w:themeColor="background1"/>
              </w:rPr>
              <w:t>Contratto</w:t>
            </w:r>
          </w:p>
        </w:tc>
        <w:tc>
          <w:tcPr>
            <w:tcW w:w="1559" w:type="dxa"/>
            <w:shd w:val="clear" w:color="auto" w:fill="EE3438"/>
            <w:vAlign w:val="center"/>
          </w:tcPr>
          <w:p w14:paraId="2DD872A8" w14:textId="77777777" w:rsidR="00FD2CBB" w:rsidRPr="009F4CF9" w:rsidRDefault="00FD2CBB">
            <w:pPr>
              <w:spacing w:after="0" w:line="240" w:lineRule="auto"/>
              <w:rPr>
                <w:rFonts w:cs="Calibri"/>
                <w:b/>
                <w:color w:val="FFFFFF" w:themeColor="background1"/>
              </w:rPr>
            </w:pPr>
            <w:r w:rsidRPr="009F4CF9">
              <w:rPr>
                <w:rFonts w:cs="Calibri"/>
                <w:b/>
                <w:color w:val="FFFFFF" w:themeColor="background1"/>
              </w:rPr>
              <w:t>Produzione annua treni*km</w:t>
            </w:r>
          </w:p>
        </w:tc>
      </w:tr>
      <w:tr w:rsidR="00FD2CBB" w:rsidRPr="001D451C" w14:paraId="79D04E96" w14:textId="77777777" w:rsidTr="001F00EF">
        <w:tc>
          <w:tcPr>
            <w:tcW w:w="2547" w:type="dxa"/>
            <w:vAlign w:val="center"/>
          </w:tcPr>
          <w:p w14:paraId="715DA1F7" w14:textId="77777777" w:rsidR="00FD2CBB" w:rsidRDefault="00FD2CBB" w:rsidP="001F00EF">
            <w:pPr>
              <w:spacing w:after="0" w:line="240" w:lineRule="auto"/>
              <w:jc w:val="left"/>
              <w:rPr>
                <w:rFonts w:cs="Calibri"/>
              </w:rPr>
            </w:pPr>
            <w:r>
              <w:rPr>
                <w:rFonts w:cs="Calibri"/>
              </w:rPr>
              <w:t xml:space="preserve">sfm1 </w:t>
            </w:r>
            <w:r>
              <w:t>Pont ‐ Rivarolo ‐ Torino - Chieri</w:t>
            </w:r>
          </w:p>
        </w:tc>
        <w:tc>
          <w:tcPr>
            <w:tcW w:w="1559" w:type="dxa"/>
            <w:vAlign w:val="center"/>
          </w:tcPr>
          <w:p w14:paraId="579BDA20" w14:textId="77777777" w:rsidR="00FD2CBB" w:rsidRDefault="00FD2CBB" w:rsidP="001F00EF">
            <w:pPr>
              <w:spacing w:after="0" w:line="240" w:lineRule="auto"/>
              <w:jc w:val="center"/>
              <w:rPr>
                <w:rFonts w:cs="Calibri"/>
              </w:rPr>
            </w:pPr>
            <w:r w:rsidRPr="008F6B5B">
              <w:rPr>
                <w:rFonts w:cs="Calibri"/>
              </w:rPr>
              <w:t>Metropolitano</w:t>
            </w:r>
          </w:p>
          <w:p w14:paraId="301B6403" w14:textId="0DB50847" w:rsidR="00FD2CBB" w:rsidRPr="001D451C" w:rsidRDefault="001F00EF" w:rsidP="001F00EF">
            <w:pPr>
              <w:spacing w:after="0" w:line="240" w:lineRule="auto"/>
              <w:jc w:val="center"/>
              <w:rPr>
                <w:rFonts w:cs="Calibri"/>
              </w:rPr>
            </w:pPr>
            <w:r>
              <w:rPr>
                <w:rFonts w:cs="Calibri"/>
              </w:rPr>
              <w:t>SFM 1</w:t>
            </w:r>
          </w:p>
        </w:tc>
        <w:tc>
          <w:tcPr>
            <w:tcW w:w="1843" w:type="dxa"/>
          </w:tcPr>
          <w:p w14:paraId="25D8947E" w14:textId="77777777" w:rsidR="00FD2CBB" w:rsidRPr="001D451C" w:rsidRDefault="00FD2CBB" w:rsidP="001F00EF">
            <w:pPr>
              <w:spacing w:after="0" w:line="240" w:lineRule="auto"/>
              <w:rPr>
                <w:rFonts w:cs="Calibri"/>
              </w:rPr>
            </w:pPr>
            <w:r w:rsidRPr="003836E6">
              <w:rPr>
                <w:rFonts w:cs="Calibri"/>
              </w:rPr>
              <w:t>Trenitalia spa</w:t>
            </w:r>
          </w:p>
        </w:tc>
        <w:tc>
          <w:tcPr>
            <w:tcW w:w="1559" w:type="dxa"/>
          </w:tcPr>
          <w:p w14:paraId="00C5719B" w14:textId="77777777" w:rsidR="00FD2CBB" w:rsidRPr="001D451C" w:rsidRDefault="00FD2CBB" w:rsidP="001F00EF">
            <w:pPr>
              <w:spacing w:after="0" w:line="240" w:lineRule="auto"/>
              <w:rPr>
                <w:rFonts w:cs="Calibri"/>
              </w:rPr>
            </w:pPr>
            <w:r w:rsidRPr="004610C2">
              <w:rPr>
                <w:rFonts w:cs="Calibri"/>
              </w:rPr>
              <w:t>n.236 09/10/2020</w:t>
            </w:r>
          </w:p>
        </w:tc>
        <w:tc>
          <w:tcPr>
            <w:tcW w:w="1559" w:type="dxa"/>
            <w:vAlign w:val="center"/>
          </w:tcPr>
          <w:p w14:paraId="31A3F3E4" w14:textId="77777777" w:rsidR="00FD2CBB" w:rsidRDefault="00FD2CBB" w:rsidP="001F00EF">
            <w:pPr>
              <w:spacing w:after="0" w:line="240" w:lineRule="auto"/>
              <w:jc w:val="right"/>
              <w:rPr>
                <w:rFonts w:cs="Calibri"/>
              </w:rPr>
            </w:pPr>
            <w:r>
              <w:rPr>
                <w:rFonts w:cs="Calibri"/>
              </w:rPr>
              <w:t>1.048.750</w:t>
            </w:r>
          </w:p>
        </w:tc>
      </w:tr>
      <w:tr w:rsidR="00FD2CBB" w:rsidRPr="001D451C" w14:paraId="15EAE309" w14:textId="77777777" w:rsidTr="001F00EF">
        <w:tc>
          <w:tcPr>
            <w:tcW w:w="2547" w:type="dxa"/>
            <w:vAlign w:val="center"/>
          </w:tcPr>
          <w:p w14:paraId="4763D740" w14:textId="77777777" w:rsidR="00FD2CBB" w:rsidRDefault="00FD2CBB" w:rsidP="001F00EF">
            <w:pPr>
              <w:spacing w:after="0" w:line="240" w:lineRule="auto"/>
              <w:jc w:val="left"/>
              <w:rPr>
                <w:rFonts w:cs="Calibri"/>
              </w:rPr>
            </w:pPr>
            <w:r>
              <w:t>sfm2 Pinerolo ‐ Torino - Chivasso</w:t>
            </w:r>
          </w:p>
        </w:tc>
        <w:tc>
          <w:tcPr>
            <w:tcW w:w="1559" w:type="dxa"/>
            <w:vAlign w:val="center"/>
          </w:tcPr>
          <w:p w14:paraId="5C459322" w14:textId="77777777" w:rsidR="00FD2CBB" w:rsidRPr="001D451C" w:rsidRDefault="00FD2CBB" w:rsidP="001F00EF">
            <w:pPr>
              <w:spacing w:after="0" w:line="240" w:lineRule="auto"/>
              <w:jc w:val="center"/>
              <w:rPr>
                <w:rFonts w:cs="Calibri"/>
              </w:rPr>
            </w:pPr>
            <w:r w:rsidRPr="008F6B5B">
              <w:rPr>
                <w:rFonts w:cs="Calibri"/>
              </w:rPr>
              <w:t xml:space="preserve">Metropolitano SFM </w:t>
            </w:r>
            <w:r>
              <w:rPr>
                <w:rFonts w:cs="Calibri"/>
              </w:rPr>
              <w:t>2</w:t>
            </w:r>
          </w:p>
        </w:tc>
        <w:tc>
          <w:tcPr>
            <w:tcW w:w="1843" w:type="dxa"/>
          </w:tcPr>
          <w:p w14:paraId="742A53DE" w14:textId="77777777" w:rsidR="00FD2CBB" w:rsidRPr="001D451C" w:rsidRDefault="00FD2CBB" w:rsidP="001F00EF">
            <w:pPr>
              <w:spacing w:after="0" w:line="240" w:lineRule="auto"/>
              <w:rPr>
                <w:rFonts w:cs="Calibri"/>
              </w:rPr>
            </w:pPr>
            <w:r w:rsidRPr="003836E6">
              <w:rPr>
                <w:rFonts w:cs="Calibri"/>
              </w:rPr>
              <w:t>Trenitalia spa</w:t>
            </w:r>
          </w:p>
        </w:tc>
        <w:tc>
          <w:tcPr>
            <w:tcW w:w="1559" w:type="dxa"/>
          </w:tcPr>
          <w:p w14:paraId="16E067A8" w14:textId="77777777" w:rsidR="00FD2CBB" w:rsidRPr="001D451C" w:rsidRDefault="00FD2CBB" w:rsidP="001F00EF">
            <w:pPr>
              <w:spacing w:after="0" w:line="240" w:lineRule="auto"/>
              <w:rPr>
                <w:rFonts w:cs="Calibri"/>
              </w:rPr>
            </w:pPr>
            <w:r w:rsidRPr="004610C2">
              <w:rPr>
                <w:rFonts w:cs="Calibri"/>
              </w:rPr>
              <w:t>n.236 09/10/2020</w:t>
            </w:r>
          </w:p>
        </w:tc>
        <w:tc>
          <w:tcPr>
            <w:tcW w:w="1559" w:type="dxa"/>
            <w:vAlign w:val="center"/>
          </w:tcPr>
          <w:p w14:paraId="39F5632F" w14:textId="77777777" w:rsidR="00FD2CBB" w:rsidRDefault="00FD2CBB" w:rsidP="001F00EF">
            <w:pPr>
              <w:spacing w:after="0" w:line="240" w:lineRule="auto"/>
              <w:jc w:val="right"/>
              <w:rPr>
                <w:rFonts w:cs="Calibri"/>
              </w:rPr>
            </w:pPr>
            <w:r>
              <w:rPr>
                <w:rFonts w:cs="Calibri"/>
              </w:rPr>
              <w:t>1.194.801</w:t>
            </w:r>
          </w:p>
        </w:tc>
      </w:tr>
      <w:tr w:rsidR="00FD2CBB" w:rsidRPr="001D451C" w14:paraId="096F2CF6" w14:textId="77777777" w:rsidTr="001F00EF">
        <w:tc>
          <w:tcPr>
            <w:tcW w:w="2547" w:type="dxa"/>
            <w:vAlign w:val="center"/>
          </w:tcPr>
          <w:p w14:paraId="6F148564" w14:textId="77777777" w:rsidR="00FD2CBB" w:rsidRDefault="00FD2CBB" w:rsidP="001F00EF">
            <w:pPr>
              <w:spacing w:after="0" w:line="240" w:lineRule="auto"/>
              <w:jc w:val="left"/>
              <w:rPr>
                <w:rFonts w:cs="Calibri"/>
              </w:rPr>
            </w:pPr>
            <w:r>
              <w:t>sfm3 Aeroporto ‐ Torino - Susa/Bardonecchia</w:t>
            </w:r>
          </w:p>
        </w:tc>
        <w:tc>
          <w:tcPr>
            <w:tcW w:w="1559" w:type="dxa"/>
            <w:vAlign w:val="center"/>
          </w:tcPr>
          <w:p w14:paraId="014E4538" w14:textId="77777777" w:rsidR="00FD2CBB" w:rsidRPr="001D451C" w:rsidRDefault="00FD2CBB" w:rsidP="001F00EF">
            <w:pPr>
              <w:spacing w:after="0" w:line="240" w:lineRule="auto"/>
              <w:jc w:val="center"/>
              <w:rPr>
                <w:rFonts w:cs="Calibri"/>
              </w:rPr>
            </w:pPr>
            <w:r w:rsidRPr="008F6B5B">
              <w:rPr>
                <w:rFonts w:cs="Calibri"/>
              </w:rPr>
              <w:t xml:space="preserve">Metropolitano SFM </w:t>
            </w:r>
            <w:r>
              <w:rPr>
                <w:rFonts w:cs="Calibri"/>
              </w:rPr>
              <w:t>3</w:t>
            </w:r>
          </w:p>
        </w:tc>
        <w:tc>
          <w:tcPr>
            <w:tcW w:w="1843" w:type="dxa"/>
          </w:tcPr>
          <w:p w14:paraId="32C21A6F" w14:textId="77777777" w:rsidR="00FD2CBB" w:rsidRPr="001D451C" w:rsidRDefault="00FD2CBB" w:rsidP="001F00EF">
            <w:pPr>
              <w:spacing w:after="0" w:line="240" w:lineRule="auto"/>
              <w:rPr>
                <w:rFonts w:cs="Calibri"/>
              </w:rPr>
            </w:pPr>
            <w:r w:rsidRPr="003836E6">
              <w:rPr>
                <w:rFonts w:cs="Calibri"/>
              </w:rPr>
              <w:t>Trenitalia spa</w:t>
            </w:r>
          </w:p>
        </w:tc>
        <w:tc>
          <w:tcPr>
            <w:tcW w:w="1559" w:type="dxa"/>
          </w:tcPr>
          <w:p w14:paraId="5B7CEACB" w14:textId="77777777" w:rsidR="00FD2CBB" w:rsidRPr="001D451C" w:rsidRDefault="00FD2CBB" w:rsidP="001F00EF">
            <w:pPr>
              <w:spacing w:after="0" w:line="240" w:lineRule="auto"/>
              <w:rPr>
                <w:rFonts w:cs="Calibri"/>
              </w:rPr>
            </w:pPr>
            <w:r w:rsidRPr="004610C2">
              <w:rPr>
                <w:rFonts w:cs="Calibri"/>
              </w:rPr>
              <w:t>n.236 09/10/2020</w:t>
            </w:r>
          </w:p>
        </w:tc>
        <w:tc>
          <w:tcPr>
            <w:tcW w:w="1559" w:type="dxa"/>
            <w:vAlign w:val="center"/>
          </w:tcPr>
          <w:p w14:paraId="62484440" w14:textId="77777777" w:rsidR="00FD2CBB" w:rsidRDefault="00FD2CBB" w:rsidP="001F00EF">
            <w:pPr>
              <w:spacing w:after="0" w:line="240" w:lineRule="auto"/>
              <w:jc w:val="right"/>
              <w:rPr>
                <w:rFonts w:cs="Calibri"/>
              </w:rPr>
            </w:pPr>
            <w:r>
              <w:rPr>
                <w:rFonts w:cs="Calibri"/>
              </w:rPr>
              <w:t>1.737.936</w:t>
            </w:r>
          </w:p>
        </w:tc>
      </w:tr>
      <w:tr w:rsidR="00FD2CBB" w:rsidRPr="001D451C" w14:paraId="7A4627B5" w14:textId="77777777" w:rsidTr="001F00EF">
        <w:tc>
          <w:tcPr>
            <w:tcW w:w="2547" w:type="dxa"/>
            <w:vAlign w:val="center"/>
          </w:tcPr>
          <w:p w14:paraId="091C8774" w14:textId="77777777" w:rsidR="00FD2CBB" w:rsidRDefault="00FD2CBB" w:rsidP="001F00EF">
            <w:pPr>
              <w:spacing w:after="0" w:line="240" w:lineRule="auto"/>
              <w:jc w:val="left"/>
              <w:rPr>
                <w:rFonts w:cs="Calibri"/>
              </w:rPr>
            </w:pPr>
            <w:r>
              <w:t xml:space="preserve">sfm4 </w:t>
            </w:r>
            <w:r w:rsidRPr="00DD070C">
              <w:t>Germagnano</w:t>
            </w:r>
            <w:r>
              <w:t xml:space="preserve"> </w:t>
            </w:r>
            <w:r w:rsidRPr="00DD070C">
              <w:t>‐</w:t>
            </w:r>
            <w:r>
              <w:t xml:space="preserve"> Torino - </w:t>
            </w:r>
            <w:r w:rsidRPr="00DD070C">
              <w:t>Bra</w:t>
            </w:r>
            <w:r>
              <w:t xml:space="preserve"> </w:t>
            </w:r>
            <w:r w:rsidRPr="00DD070C">
              <w:t>‐</w:t>
            </w:r>
            <w:r>
              <w:t xml:space="preserve"> </w:t>
            </w:r>
            <w:r w:rsidRPr="00DD070C">
              <w:t>Alba</w:t>
            </w:r>
          </w:p>
        </w:tc>
        <w:tc>
          <w:tcPr>
            <w:tcW w:w="1559" w:type="dxa"/>
            <w:vAlign w:val="center"/>
          </w:tcPr>
          <w:p w14:paraId="26851574" w14:textId="77777777" w:rsidR="00FD2CBB" w:rsidRPr="001D451C" w:rsidRDefault="00FD2CBB" w:rsidP="001F00EF">
            <w:pPr>
              <w:spacing w:after="0" w:line="240" w:lineRule="auto"/>
              <w:jc w:val="center"/>
              <w:rPr>
                <w:rFonts w:cs="Calibri"/>
              </w:rPr>
            </w:pPr>
            <w:r w:rsidRPr="008F6B5B">
              <w:rPr>
                <w:rFonts w:cs="Calibri"/>
              </w:rPr>
              <w:t xml:space="preserve">Metropolitano SFM </w:t>
            </w:r>
            <w:r>
              <w:rPr>
                <w:rFonts w:cs="Calibri"/>
              </w:rPr>
              <w:t>4</w:t>
            </w:r>
          </w:p>
        </w:tc>
        <w:tc>
          <w:tcPr>
            <w:tcW w:w="1843" w:type="dxa"/>
          </w:tcPr>
          <w:p w14:paraId="5A94D257" w14:textId="77777777" w:rsidR="00FD2CBB" w:rsidRPr="001D451C" w:rsidRDefault="00FD2CBB" w:rsidP="001F00EF">
            <w:pPr>
              <w:spacing w:after="0" w:line="240" w:lineRule="auto"/>
              <w:rPr>
                <w:rFonts w:cs="Calibri"/>
              </w:rPr>
            </w:pPr>
            <w:r w:rsidRPr="003836E6">
              <w:rPr>
                <w:rFonts w:cs="Calibri"/>
              </w:rPr>
              <w:t>Trenitalia spa</w:t>
            </w:r>
          </w:p>
        </w:tc>
        <w:tc>
          <w:tcPr>
            <w:tcW w:w="1559" w:type="dxa"/>
          </w:tcPr>
          <w:p w14:paraId="1A562D39" w14:textId="77777777" w:rsidR="00FD2CBB" w:rsidRPr="001D451C" w:rsidRDefault="00FD2CBB" w:rsidP="001F00EF">
            <w:pPr>
              <w:spacing w:after="0" w:line="240" w:lineRule="auto"/>
              <w:rPr>
                <w:rFonts w:cs="Calibri"/>
              </w:rPr>
            </w:pPr>
            <w:r w:rsidRPr="004610C2">
              <w:rPr>
                <w:rFonts w:cs="Calibri"/>
              </w:rPr>
              <w:t>n.236 09/10/2020</w:t>
            </w:r>
          </w:p>
        </w:tc>
        <w:tc>
          <w:tcPr>
            <w:tcW w:w="1559" w:type="dxa"/>
            <w:vAlign w:val="center"/>
          </w:tcPr>
          <w:p w14:paraId="7711A079" w14:textId="77777777" w:rsidR="00FD2CBB" w:rsidRDefault="00FD2CBB" w:rsidP="001F00EF">
            <w:pPr>
              <w:spacing w:after="0" w:line="240" w:lineRule="auto"/>
              <w:jc w:val="right"/>
              <w:rPr>
                <w:rFonts w:cs="Calibri"/>
              </w:rPr>
            </w:pPr>
            <w:r w:rsidRPr="00ED5514">
              <w:rPr>
                <w:rFonts w:cs="Calibri"/>
              </w:rPr>
              <w:t>1.103.414</w:t>
            </w:r>
          </w:p>
        </w:tc>
      </w:tr>
      <w:tr w:rsidR="00FD2CBB" w:rsidRPr="001D451C" w14:paraId="20DA851D" w14:textId="77777777" w:rsidTr="001F00EF">
        <w:tc>
          <w:tcPr>
            <w:tcW w:w="2547" w:type="dxa"/>
            <w:vAlign w:val="center"/>
          </w:tcPr>
          <w:p w14:paraId="706E3E5E" w14:textId="77777777" w:rsidR="00FD2CBB" w:rsidRDefault="00FD2CBB" w:rsidP="001F00EF">
            <w:pPr>
              <w:spacing w:after="0" w:line="240" w:lineRule="auto"/>
              <w:jc w:val="left"/>
            </w:pPr>
            <w:r>
              <w:t xml:space="preserve">sfm5 </w:t>
            </w:r>
            <w:r w:rsidRPr="00DD070C">
              <w:t>Torino</w:t>
            </w:r>
            <w:r>
              <w:t xml:space="preserve"> </w:t>
            </w:r>
            <w:r w:rsidRPr="00DD070C">
              <w:t>‐</w:t>
            </w:r>
            <w:r>
              <w:t xml:space="preserve"> </w:t>
            </w:r>
            <w:r w:rsidRPr="00DD070C">
              <w:t>Orbassano</w:t>
            </w:r>
          </w:p>
        </w:tc>
        <w:tc>
          <w:tcPr>
            <w:tcW w:w="1559" w:type="dxa"/>
            <w:vAlign w:val="center"/>
          </w:tcPr>
          <w:p w14:paraId="505B807A" w14:textId="77777777" w:rsidR="00FD2CBB" w:rsidRPr="008F6B5B" w:rsidRDefault="00FD2CBB" w:rsidP="001F00EF">
            <w:pPr>
              <w:spacing w:after="0" w:line="240" w:lineRule="auto"/>
              <w:jc w:val="center"/>
              <w:rPr>
                <w:rFonts w:cs="Calibri"/>
              </w:rPr>
            </w:pPr>
            <w:r w:rsidRPr="008F6B5B">
              <w:rPr>
                <w:rFonts w:cs="Calibri"/>
              </w:rPr>
              <w:t xml:space="preserve">Metropolitano SFM </w:t>
            </w:r>
            <w:r>
              <w:rPr>
                <w:rFonts w:cs="Calibri"/>
              </w:rPr>
              <w:t>5</w:t>
            </w:r>
          </w:p>
        </w:tc>
        <w:tc>
          <w:tcPr>
            <w:tcW w:w="1843" w:type="dxa"/>
          </w:tcPr>
          <w:p w14:paraId="615CAA8D" w14:textId="77777777" w:rsidR="00FD2CBB" w:rsidRPr="003836E6" w:rsidRDefault="00FD2CBB" w:rsidP="001F00EF">
            <w:pPr>
              <w:spacing w:after="0" w:line="240" w:lineRule="auto"/>
              <w:rPr>
                <w:rFonts w:cs="Calibri"/>
              </w:rPr>
            </w:pPr>
            <w:r w:rsidRPr="003836E6">
              <w:rPr>
                <w:rFonts w:cs="Calibri"/>
              </w:rPr>
              <w:t>Trenitalia spa</w:t>
            </w:r>
          </w:p>
        </w:tc>
        <w:tc>
          <w:tcPr>
            <w:tcW w:w="1559" w:type="dxa"/>
          </w:tcPr>
          <w:p w14:paraId="3B07C215" w14:textId="77777777" w:rsidR="00FD2CBB" w:rsidRPr="004610C2" w:rsidRDefault="00FD2CBB" w:rsidP="001F00EF">
            <w:pPr>
              <w:spacing w:after="0" w:line="240" w:lineRule="auto"/>
              <w:rPr>
                <w:rFonts w:cs="Calibri"/>
              </w:rPr>
            </w:pPr>
            <w:r w:rsidRPr="004610C2">
              <w:rPr>
                <w:rFonts w:cs="Calibri"/>
              </w:rPr>
              <w:t>n.236 09/10/2020</w:t>
            </w:r>
          </w:p>
        </w:tc>
        <w:tc>
          <w:tcPr>
            <w:tcW w:w="1559" w:type="dxa"/>
            <w:vAlign w:val="center"/>
          </w:tcPr>
          <w:p w14:paraId="33AD77D2" w14:textId="77777777" w:rsidR="00FD2CBB" w:rsidRPr="00ED5514" w:rsidRDefault="00FD2CBB" w:rsidP="001F00EF">
            <w:pPr>
              <w:spacing w:after="0" w:line="240" w:lineRule="auto"/>
              <w:jc w:val="right"/>
              <w:rPr>
                <w:rFonts w:cs="Calibri"/>
              </w:rPr>
            </w:pPr>
            <w:r w:rsidRPr="00DD070C">
              <w:rPr>
                <w:rFonts w:cs="Calibri"/>
              </w:rPr>
              <w:t xml:space="preserve">  276.570</w:t>
            </w:r>
          </w:p>
        </w:tc>
      </w:tr>
      <w:tr w:rsidR="00FD2CBB" w:rsidRPr="001D451C" w14:paraId="26E6F059" w14:textId="77777777">
        <w:tc>
          <w:tcPr>
            <w:tcW w:w="2547" w:type="dxa"/>
            <w:vAlign w:val="center"/>
          </w:tcPr>
          <w:p w14:paraId="7A316A7F" w14:textId="77777777" w:rsidR="00FD2CBB" w:rsidRDefault="00FD2CBB" w:rsidP="001F00EF">
            <w:pPr>
              <w:spacing w:after="0" w:line="240" w:lineRule="auto"/>
              <w:jc w:val="left"/>
              <w:rPr>
                <w:rFonts w:cs="Calibri"/>
              </w:rPr>
            </w:pPr>
            <w:r>
              <w:t>sfm6 Aeroporto ‐ Torino - Asti</w:t>
            </w:r>
          </w:p>
        </w:tc>
        <w:tc>
          <w:tcPr>
            <w:tcW w:w="1559" w:type="dxa"/>
            <w:vAlign w:val="center"/>
          </w:tcPr>
          <w:p w14:paraId="54CF767B" w14:textId="77777777" w:rsidR="00FD2CBB" w:rsidRPr="001D451C" w:rsidRDefault="00FD2CBB" w:rsidP="001F00EF">
            <w:pPr>
              <w:spacing w:after="0" w:line="240" w:lineRule="auto"/>
              <w:jc w:val="center"/>
              <w:rPr>
                <w:rFonts w:cs="Calibri"/>
              </w:rPr>
            </w:pPr>
            <w:r w:rsidRPr="001D451C">
              <w:rPr>
                <w:rFonts w:cs="Calibri"/>
              </w:rPr>
              <w:t>Metropolitano SFM</w:t>
            </w:r>
            <w:r>
              <w:rPr>
                <w:rFonts w:cs="Calibri"/>
              </w:rPr>
              <w:t xml:space="preserve"> 6</w:t>
            </w:r>
          </w:p>
        </w:tc>
        <w:tc>
          <w:tcPr>
            <w:tcW w:w="1843" w:type="dxa"/>
            <w:vAlign w:val="center"/>
          </w:tcPr>
          <w:p w14:paraId="36013FB3" w14:textId="77777777" w:rsidR="00FD2CBB" w:rsidRPr="001D451C" w:rsidRDefault="00FD2CBB" w:rsidP="001F00EF">
            <w:pPr>
              <w:spacing w:after="0" w:line="240" w:lineRule="auto"/>
              <w:rPr>
                <w:rFonts w:cs="Calibri"/>
              </w:rPr>
            </w:pPr>
            <w:r w:rsidRPr="001D451C">
              <w:rPr>
                <w:rFonts w:cs="Calibri"/>
              </w:rPr>
              <w:t>Trenitalia spa</w:t>
            </w:r>
          </w:p>
        </w:tc>
        <w:tc>
          <w:tcPr>
            <w:tcW w:w="1559" w:type="dxa"/>
          </w:tcPr>
          <w:p w14:paraId="68F588E5" w14:textId="77777777" w:rsidR="00FD2CBB" w:rsidRPr="001D451C" w:rsidRDefault="00FD2CBB" w:rsidP="001F00EF">
            <w:pPr>
              <w:spacing w:after="0" w:line="240" w:lineRule="auto"/>
              <w:rPr>
                <w:rFonts w:cs="Calibri"/>
              </w:rPr>
            </w:pPr>
            <w:r w:rsidRPr="004610C2">
              <w:rPr>
                <w:rFonts w:cs="Calibri"/>
              </w:rPr>
              <w:t>n.236 09/10/2020</w:t>
            </w:r>
          </w:p>
        </w:tc>
        <w:tc>
          <w:tcPr>
            <w:tcW w:w="1559" w:type="dxa"/>
            <w:vAlign w:val="center"/>
          </w:tcPr>
          <w:p w14:paraId="2E91B559" w14:textId="77777777" w:rsidR="00FD2CBB" w:rsidRDefault="00FD2CBB" w:rsidP="001F00EF">
            <w:pPr>
              <w:spacing w:after="0" w:line="240" w:lineRule="auto"/>
              <w:jc w:val="right"/>
              <w:rPr>
                <w:rFonts w:cs="Calibri"/>
              </w:rPr>
            </w:pPr>
            <w:r>
              <w:rPr>
                <w:rFonts w:cs="Calibri"/>
              </w:rPr>
              <w:t>785.808</w:t>
            </w:r>
          </w:p>
        </w:tc>
      </w:tr>
      <w:tr w:rsidR="00FD2CBB" w:rsidRPr="001D451C" w14:paraId="1C927DBD" w14:textId="77777777" w:rsidTr="001F00EF">
        <w:tc>
          <w:tcPr>
            <w:tcW w:w="2547" w:type="dxa"/>
            <w:vAlign w:val="center"/>
          </w:tcPr>
          <w:p w14:paraId="049F5815" w14:textId="77777777" w:rsidR="00FD2CBB" w:rsidRDefault="00FD2CBB" w:rsidP="001F00EF">
            <w:pPr>
              <w:spacing w:after="0" w:line="240" w:lineRule="auto"/>
              <w:jc w:val="left"/>
              <w:rPr>
                <w:rFonts w:cs="Calibri"/>
              </w:rPr>
            </w:pPr>
            <w:r>
              <w:t xml:space="preserve">sfm7 </w:t>
            </w:r>
            <w:r w:rsidRPr="00DD070C">
              <w:t>Ceres</w:t>
            </w:r>
            <w:r>
              <w:t xml:space="preserve"> </w:t>
            </w:r>
            <w:r w:rsidRPr="00DD070C">
              <w:t>‐</w:t>
            </w:r>
            <w:r>
              <w:t xml:space="preserve"> </w:t>
            </w:r>
            <w:r w:rsidRPr="00DD070C">
              <w:t>Germagnano</w:t>
            </w:r>
            <w:r>
              <w:t xml:space="preserve"> Torino </w:t>
            </w:r>
            <w:r w:rsidRPr="00DD070C">
              <w:t>‐</w:t>
            </w:r>
            <w:r>
              <w:t xml:space="preserve"> </w:t>
            </w:r>
            <w:r w:rsidRPr="00DD070C">
              <w:t>Fossano</w:t>
            </w:r>
          </w:p>
        </w:tc>
        <w:tc>
          <w:tcPr>
            <w:tcW w:w="1559" w:type="dxa"/>
            <w:vAlign w:val="center"/>
          </w:tcPr>
          <w:p w14:paraId="7002D79F" w14:textId="77777777" w:rsidR="00FD2CBB" w:rsidRPr="001D451C" w:rsidRDefault="00FD2CBB" w:rsidP="001F00EF">
            <w:pPr>
              <w:spacing w:after="0" w:line="240" w:lineRule="auto"/>
              <w:jc w:val="center"/>
              <w:rPr>
                <w:rFonts w:cs="Calibri"/>
              </w:rPr>
            </w:pPr>
            <w:r w:rsidRPr="008F6B5B">
              <w:rPr>
                <w:rFonts w:cs="Calibri"/>
              </w:rPr>
              <w:t xml:space="preserve">Metropolitano SFM </w:t>
            </w:r>
            <w:r>
              <w:rPr>
                <w:rFonts w:cs="Calibri"/>
              </w:rPr>
              <w:t>7</w:t>
            </w:r>
          </w:p>
        </w:tc>
        <w:tc>
          <w:tcPr>
            <w:tcW w:w="1843" w:type="dxa"/>
            <w:vAlign w:val="center"/>
          </w:tcPr>
          <w:p w14:paraId="3816DF3B" w14:textId="77777777" w:rsidR="00FD2CBB" w:rsidRPr="001D451C" w:rsidRDefault="00FD2CBB" w:rsidP="001F00EF">
            <w:pPr>
              <w:spacing w:after="0" w:line="240" w:lineRule="auto"/>
              <w:rPr>
                <w:rFonts w:cs="Calibri"/>
              </w:rPr>
            </w:pPr>
            <w:r w:rsidRPr="001D451C">
              <w:rPr>
                <w:rFonts w:cs="Calibri"/>
              </w:rPr>
              <w:t>Trenitalia spa</w:t>
            </w:r>
          </w:p>
        </w:tc>
        <w:tc>
          <w:tcPr>
            <w:tcW w:w="1559" w:type="dxa"/>
          </w:tcPr>
          <w:p w14:paraId="607EA6A2" w14:textId="77777777" w:rsidR="00FD2CBB" w:rsidRPr="001D451C" w:rsidRDefault="00FD2CBB" w:rsidP="001F00EF">
            <w:pPr>
              <w:spacing w:after="0" w:line="240" w:lineRule="auto"/>
              <w:rPr>
                <w:rFonts w:cs="Calibri"/>
              </w:rPr>
            </w:pPr>
            <w:r w:rsidRPr="004610C2">
              <w:rPr>
                <w:rFonts w:cs="Calibri"/>
              </w:rPr>
              <w:t>n.236 09/10/2020</w:t>
            </w:r>
          </w:p>
        </w:tc>
        <w:tc>
          <w:tcPr>
            <w:tcW w:w="1559" w:type="dxa"/>
            <w:vAlign w:val="center"/>
          </w:tcPr>
          <w:p w14:paraId="75CB8AA3" w14:textId="77777777" w:rsidR="00FD2CBB" w:rsidRDefault="00FD2CBB" w:rsidP="001F00EF">
            <w:pPr>
              <w:spacing w:after="0" w:line="240" w:lineRule="auto"/>
              <w:jc w:val="right"/>
              <w:rPr>
                <w:rFonts w:cs="Calibri"/>
              </w:rPr>
            </w:pPr>
            <w:r w:rsidRPr="00ED5514">
              <w:rPr>
                <w:rFonts w:cs="Calibri"/>
              </w:rPr>
              <w:t>1.105.626</w:t>
            </w:r>
          </w:p>
        </w:tc>
      </w:tr>
      <w:tr w:rsidR="00FD2CBB" w:rsidRPr="001D451C" w14:paraId="22862F28" w14:textId="77777777" w:rsidTr="001F00EF">
        <w:tc>
          <w:tcPr>
            <w:tcW w:w="2547" w:type="dxa"/>
            <w:vAlign w:val="center"/>
          </w:tcPr>
          <w:p w14:paraId="3AEE6C24" w14:textId="77777777" w:rsidR="00FD2CBB" w:rsidRDefault="00FD2CBB" w:rsidP="001F00EF">
            <w:pPr>
              <w:spacing w:after="0" w:line="240" w:lineRule="auto"/>
              <w:jc w:val="left"/>
            </w:pPr>
            <w:r>
              <w:t>sfm8 Chivasso ‐ Torino</w:t>
            </w:r>
          </w:p>
        </w:tc>
        <w:tc>
          <w:tcPr>
            <w:tcW w:w="1559" w:type="dxa"/>
            <w:vAlign w:val="center"/>
          </w:tcPr>
          <w:p w14:paraId="2693BD39" w14:textId="77777777" w:rsidR="00FD2CBB" w:rsidRDefault="00FD2CBB" w:rsidP="001F00EF">
            <w:pPr>
              <w:spacing w:after="0" w:line="240" w:lineRule="auto"/>
              <w:jc w:val="center"/>
              <w:rPr>
                <w:rFonts w:cs="Calibri"/>
              </w:rPr>
            </w:pPr>
            <w:r w:rsidRPr="008F6B5B">
              <w:rPr>
                <w:rFonts w:cs="Calibri"/>
              </w:rPr>
              <w:t xml:space="preserve">Metropolitano SFM </w:t>
            </w:r>
            <w:r>
              <w:rPr>
                <w:rFonts w:cs="Calibri"/>
              </w:rPr>
              <w:t>8</w:t>
            </w:r>
          </w:p>
          <w:p w14:paraId="67B7688F" w14:textId="77777777" w:rsidR="0047122C" w:rsidRPr="0047122C" w:rsidRDefault="0047122C" w:rsidP="0047122C">
            <w:pPr>
              <w:rPr>
                <w:rFonts w:cs="Calibri"/>
              </w:rPr>
            </w:pPr>
          </w:p>
        </w:tc>
        <w:tc>
          <w:tcPr>
            <w:tcW w:w="1843" w:type="dxa"/>
            <w:vAlign w:val="center"/>
          </w:tcPr>
          <w:p w14:paraId="02331ABB" w14:textId="77777777" w:rsidR="00FD2CBB" w:rsidRPr="001D451C" w:rsidRDefault="00FD2CBB" w:rsidP="001F00EF">
            <w:pPr>
              <w:spacing w:after="0" w:line="240" w:lineRule="auto"/>
              <w:rPr>
                <w:rFonts w:cs="Calibri"/>
              </w:rPr>
            </w:pPr>
            <w:r w:rsidRPr="001D451C">
              <w:rPr>
                <w:rFonts w:cs="Calibri"/>
              </w:rPr>
              <w:t>Trenitalia spa</w:t>
            </w:r>
          </w:p>
        </w:tc>
        <w:tc>
          <w:tcPr>
            <w:tcW w:w="1559" w:type="dxa"/>
          </w:tcPr>
          <w:p w14:paraId="7D95372B" w14:textId="77777777" w:rsidR="00FD2CBB" w:rsidRPr="004610C2" w:rsidRDefault="00FD2CBB" w:rsidP="001F00EF">
            <w:pPr>
              <w:spacing w:after="0" w:line="240" w:lineRule="auto"/>
              <w:rPr>
                <w:rFonts w:cs="Calibri"/>
              </w:rPr>
            </w:pPr>
            <w:r w:rsidRPr="004610C2">
              <w:rPr>
                <w:rFonts w:cs="Calibri"/>
              </w:rPr>
              <w:t>n.236 09/10/2020</w:t>
            </w:r>
          </w:p>
        </w:tc>
        <w:tc>
          <w:tcPr>
            <w:tcW w:w="1559" w:type="dxa"/>
            <w:vAlign w:val="center"/>
          </w:tcPr>
          <w:p w14:paraId="60727883" w14:textId="77777777" w:rsidR="00FD2CBB" w:rsidRPr="00ED5514" w:rsidRDefault="00FD2CBB" w:rsidP="001F00EF">
            <w:pPr>
              <w:spacing w:after="0" w:line="240" w:lineRule="auto"/>
              <w:jc w:val="right"/>
              <w:rPr>
                <w:rFonts w:cs="Calibri"/>
              </w:rPr>
            </w:pPr>
            <w:r w:rsidRPr="00DD070C">
              <w:rPr>
                <w:rFonts w:cs="Calibri"/>
              </w:rPr>
              <w:t>333.643</w:t>
            </w:r>
          </w:p>
        </w:tc>
      </w:tr>
      <w:tr w:rsidR="00FD2CBB" w:rsidRPr="001D451C" w14:paraId="7B64DAEA" w14:textId="77777777">
        <w:tc>
          <w:tcPr>
            <w:tcW w:w="2547" w:type="dxa"/>
            <w:vAlign w:val="center"/>
          </w:tcPr>
          <w:p w14:paraId="10CBC4C9" w14:textId="77777777" w:rsidR="00FD2CBB" w:rsidRPr="001D451C" w:rsidRDefault="00FD2CBB" w:rsidP="001F00EF">
            <w:pPr>
              <w:spacing w:after="0" w:line="240" w:lineRule="auto"/>
              <w:jc w:val="left"/>
              <w:rPr>
                <w:rFonts w:cs="Calibri"/>
              </w:rPr>
            </w:pPr>
            <w:r>
              <w:rPr>
                <w:rFonts w:cs="Calibri"/>
              </w:rPr>
              <w:lastRenderedPageBreak/>
              <w:t>R Chivasso - Casale - Alessandria</w:t>
            </w:r>
          </w:p>
        </w:tc>
        <w:tc>
          <w:tcPr>
            <w:tcW w:w="1559" w:type="dxa"/>
            <w:vAlign w:val="center"/>
          </w:tcPr>
          <w:p w14:paraId="74490FC9" w14:textId="77777777" w:rsidR="00FD2CBB" w:rsidRPr="001D451C" w:rsidRDefault="00FD2CBB" w:rsidP="001F00EF">
            <w:pPr>
              <w:spacing w:after="0" w:line="240" w:lineRule="auto"/>
              <w:jc w:val="center"/>
              <w:rPr>
                <w:rFonts w:cs="Calibri"/>
              </w:rPr>
            </w:pPr>
            <w:r w:rsidRPr="001D451C">
              <w:rPr>
                <w:rFonts w:cs="Calibri"/>
              </w:rPr>
              <w:t>Regionale SFR</w:t>
            </w:r>
          </w:p>
        </w:tc>
        <w:tc>
          <w:tcPr>
            <w:tcW w:w="1843" w:type="dxa"/>
            <w:vAlign w:val="center"/>
          </w:tcPr>
          <w:p w14:paraId="31EF77C6" w14:textId="77777777" w:rsidR="00FD2CBB" w:rsidRPr="001D451C" w:rsidRDefault="00FD2CBB" w:rsidP="001F00EF">
            <w:pPr>
              <w:spacing w:after="0" w:line="240" w:lineRule="auto"/>
              <w:rPr>
                <w:rFonts w:cs="Calibri"/>
              </w:rPr>
            </w:pPr>
            <w:r w:rsidRPr="001D451C">
              <w:rPr>
                <w:rFonts w:cs="Calibri"/>
              </w:rPr>
              <w:t>Trenitalia spa</w:t>
            </w:r>
          </w:p>
        </w:tc>
        <w:tc>
          <w:tcPr>
            <w:tcW w:w="1559" w:type="dxa"/>
            <w:vAlign w:val="center"/>
          </w:tcPr>
          <w:p w14:paraId="4AD2B42E" w14:textId="77777777" w:rsidR="00FD2CBB" w:rsidRPr="001D451C" w:rsidRDefault="00FD2CBB" w:rsidP="001F00EF">
            <w:pPr>
              <w:spacing w:after="0" w:line="240" w:lineRule="auto"/>
              <w:rPr>
                <w:rFonts w:cs="Calibri"/>
              </w:rPr>
            </w:pPr>
            <w:r w:rsidRPr="001D451C">
              <w:rPr>
                <w:rFonts w:cs="Calibri"/>
              </w:rPr>
              <w:t>n.296-08/09/2022</w:t>
            </w:r>
          </w:p>
        </w:tc>
        <w:tc>
          <w:tcPr>
            <w:tcW w:w="1559" w:type="dxa"/>
            <w:vAlign w:val="center"/>
          </w:tcPr>
          <w:p w14:paraId="10572CF8" w14:textId="77777777" w:rsidR="00FD2CBB" w:rsidRPr="001D451C" w:rsidRDefault="00FD2CBB" w:rsidP="001F00EF">
            <w:pPr>
              <w:spacing w:after="0" w:line="240" w:lineRule="auto"/>
              <w:jc w:val="right"/>
              <w:rPr>
                <w:rFonts w:cs="Calibri"/>
              </w:rPr>
            </w:pPr>
            <w:r>
              <w:rPr>
                <w:rFonts w:cs="Calibri"/>
              </w:rPr>
              <w:t>583.015</w:t>
            </w:r>
          </w:p>
        </w:tc>
      </w:tr>
      <w:tr w:rsidR="00FD2CBB" w:rsidRPr="001D451C" w14:paraId="31C54A28" w14:textId="77777777">
        <w:tc>
          <w:tcPr>
            <w:tcW w:w="2547" w:type="dxa"/>
            <w:vAlign w:val="center"/>
          </w:tcPr>
          <w:p w14:paraId="672F4562" w14:textId="77777777" w:rsidR="00FD2CBB" w:rsidRPr="001D451C" w:rsidRDefault="00FD2CBB" w:rsidP="001F00EF">
            <w:pPr>
              <w:spacing w:after="0" w:line="240" w:lineRule="auto"/>
              <w:jc w:val="left"/>
              <w:rPr>
                <w:rFonts w:cs="Calibri"/>
              </w:rPr>
            </w:pPr>
            <w:r>
              <w:rPr>
                <w:rFonts w:cs="Calibri"/>
              </w:rPr>
              <w:t>R Ivrea - Chivasso - Novara</w:t>
            </w:r>
          </w:p>
        </w:tc>
        <w:tc>
          <w:tcPr>
            <w:tcW w:w="1559" w:type="dxa"/>
            <w:vAlign w:val="center"/>
          </w:tcPr>
          <w:p w14:paraId="1B859C8B" w14:textId="77777777" w:rsidR="00FD2CBB" w:rsidRPr="001D451C" w:rsidRDefault="00FD2CBB" w:rsidP="001F00EF">
            <w:pPr>
              <w:spacing w:after="0" w:line="240" w:lineRule="auto"/>
              <w:jc w:val="center"/>
              <w:rPr>
                <w:rFonts w:cs="Calibri"/>
              </w:rPr>
            </w:pPr>
            <w:r w:rsidRPr="001D451C">
              <w:rPr>
                <w:rFonts w:cs="Calibri"/>
              </w:rPr>
              <w:t>Regionale SFR</w:t>
            </w:r>
          </w:p>
        </w:tc>
        <w:tc>
          <w:tcPr>
            <w:tcW w:w="1843" w:type="dxa"/>
            <w:vAlign w:val="center"/>
          </w:tcPr>
          <w:p w14:paraId="6FD32F19" w14:textId="77777777" w:rsidR="00FD2CBB" w:rsidRPr="001D451C" w:rsidRDefault="00FD2CBB" w:rsidP="001F00EF">
            <w:pPr>
              <w:spacing w:after="0" w:line="240" w:lineRule="auto"/>
              <w:rPr>
                <w:rFonts w:cs="Calibri"/>
              </w:rPr>
            </w:pPr>
            <w:r w:rsidRPr="001D451C">
              <w:rPr>
                <w:rFonts w:cs="Calibri"/>
              </w:rPr>
              <w:t>Trenitalia spa</w:t>
            </w:r>
          </w:p>
        </w:tc>
        <w:tc>
          <w:tcPr>
            <w:tcW w:w="1559" w:type="dxa"/>
            <w:vAlign w:val="center"/>
          </w:tcPr>
          <w:p w14:paraId="13C2D18A" w14:textId="77777777" w:rsidR="00FD2CBB" w:rsidRPr="001D451C" w:rsidRDefault="00FD2CBB" w:rsidP="001F00EF">
            <w:pPr>
              <w:spacing w:after="0" w:line="240" w:lineRule="auto"/>
              <w:rPr>
                <w:rFonts w:cs="Calibri"/>
              </w:rPr>
            </w:pPr>
            <w:r w:rsidRPr="001D451C">
              <w:rPr>
                <w:rFonts w:cs="Calibri"/>
              </w:rPr>
              <w:t>n.296-08/09/2022</w:t>
            </w:r>
          </w:p>
        </w:tc>
        <w:tc>
          <w:tcPr>
            <w:tcW w:w="1559" w:type="dxa"/>
            <w:vAlign w:val="center"/>
          </w:tcPr>
          <w:p w14:paraId="33ED4D90" w14:textId="77777777" w:rsidR="00FD2CBB" w:rsidRPr="001D451C" w:rsidRDefault="00FD2CBB" w:rsidP="001F00EF">
            <w:pPr>
              <w:spacing w:after="0" w:line="240" w:lineRule="auto"/>
              <w:jc w:val="right"/>
              <w:rPr>
                <w:rFonts w:cs="Calibri"/>
              </w:rPr>
            </w:pPr>
            <w:r>
              <w:rPr>
                <w:rFonts w:cs="Calibri"/>
              </w:rPr>
              <w:t>932.196</w:t>
            </w:r>
          </w:p>
        </w:tc>
      </w:tr>
      <w:tr w:rsidR="00FD2CBB" w:rsidRPr="001D451C" w14:paraId="0D66EFB0" w14:textId="77777777">
        <w:tc>
          <w:tcPr>
            <w:tcW w:w="2547" w:type="dxa"/>
            <w:vAlign w:val="center"/>
          </w:tcPr>
          <w:p w14:paraId="78BAA6E3" w14:textId="77777777" w:rsidR="00FD2CBB" w:rsidRPr="001D451C" w:rsidRDefault="00FD2CBB" w:rsidP="001F00EF">
            <w:pPr>
              <w:spacing w:after="0" w:line="240" w:lineRule="auto"/>
              <w:jc w:val="left"/>
              <w:rPr>
                <w:rFonts w:cs="Calibri"/>
              </w:rPr>
            </w:pPr>
            <w:r>
              <w:rPr>
                <w:rFonts w:cs="Calibri"/>
              </w:rPr>
              <w:t>RV Torino - Alessandria – Genova</w:t>
            </w:r>
          </w:p>
        </w:tc>
        <w:tc>
          <w:tcPr>
            <w:tcW w:w="1559" w:type="dxa"/>
            <w:vAlign w:val="center"/>
          </w:tcPr>
          <w:p w14:paraId="2BA141CF" w14:textId="77777777" w:rsidR="00FD2CBB" w:rsidRPr="001D451C" w:rsidRDefault="00FD2CBB" w:rsidP="001F00EF">
            <w:pPr>
              <w:spacing w:after="0" w:line="240" w:lineRule="auto"/>
              <w:jc w:val="center"/>
              <w:rPr>
                <w:rFonts w:cs="Calibri"/>
              </w:rPr>
            </w:pPr>
            <w:r w:rsidRPr="001D451C">
              <w:rPr>
                <w:rFonts w:cs="Calibri"/>
              </w:rPr>
              <w:t>Regionale SFR</w:t>
            </w:r>
          </w:p>
        </w:tc>
        <w:tc>
          <w:tcPr>
            <w:tcW w:w="1843" w:type="dxa"/>
            <w:vAlign w:val="center"/>
          </w:tcPr>
          <w:p w14:paraId="6466790A" w14:textId="77777777" w:rsidR="00FD2CBB" w:rsidRPr="001D451C" w:rsidRDefault="00FD2CBB" w:rsidP="001F00EF">
            <w:pPr>
              <w:spacing w:after="0" w:line="240" w:lineRule="auto"/>
              <w:rPr>
                <w:rFonts w:cs="Calibri"/>
              </w:rPr>
            </w:pPr>
            <w:r w:rsidRPr="001D451C">
              <w:rPr>
                <w:rFonts w:cs="Calibri"/>
              </w:rPr>
              <w:t>Trenitalia spa</w:t>
            </w:r>
          </w:p>
        </w:tc>
        <w:tc>
          <w:tcPr>
            <w:tcW w:w="1559" w:type="dxa"/>
            <w:vAlign w:val="center"/>
          </w:tcPr>
          <w:p w14:paraId="4A3E627A" w14:textId="77777777" w:rsidR="00FD2CBB" w:rsidRPr="001D451C" w:rsidRDefault="00FD2CBB" w:rsidP="001F00EF">
            <w:pPr>
              <w:spacing w:after="0" w:line="240" w:lineRule="auto"/>
              <w:rPr>
                <w:rFonts w:cs="Calibri"/>
              </w:rPr>
            </w:pPr>
            <w:r w:rsidRPr="001D451C">
              <w:rPr>
                <w:rFonts w:cs="Calibri"/>
              </w:rPr>
              <w:t>n.296-08/09/2022</w:t>
            </w:r>
          </w:p>
        </w:tc>
        <w:tc>
          <w:tcPr>
            <w:tcW w:w="1559" w:type="dxa"/>
            <w:vAlign w:val="center"/>
          </w:tcPr>
          <w:p w14:paraId="5654C719" w14:textId="77777777" w:rsidR="00FD2CBB" w:rsidRPr="001D451C" w:rsidRDefault="00FD2CBB" w:rsidP="001F00EF">
            <w:pPr>
              <w:spacing w:after="0" w:line="240" w:lineRule="auto"/>
              <w:jc w:val="right"/>
              <w:rPr>
                <w:rFonts w:cs="Calibri"/>
              </w:rPr>
            </w:pPr>
            <w:r>
              <w:rPr>
                <w:rFonts w:cs="Calibri"/>
              </w:rPr>
              <w:t>2.019.029</w:t>
            </w:r>
          </w:p>
        </w:tc>
      </w:tr>
      <w:tr w:rsidR="00FD2CBB" w:rsidRPr="001D451C" w14:paraId="0964E28C" w14:textId="77777777" w:rsidTr="001F00EF">
        <w:tc>
          <w:tcPr>
            <w:tcW w:w="2547" w:type="dxa"/>
            <w:vAlign w:val="center"/>
          </w:tcPr>
          <w:p w14:paraId="4105F21A" w14:textId="77777777" w:rsidR="00FD2CBB" w:rsidRPr="001D451C" w:rsidRDefault="00FD2CBB" w:rsidP="001F00EF">
            <w:pPr>
              <w:spacing w:after="0" w:line="240" w:lineRule="auto"/>
              <w:jc w:val="left"/>
              <w:rPr>
                <w:rFonts w:cs="Calibri"/>
              </w:rPr>
            </w:pPr>
            <w:r>
              <w:rPr>
                <w:rFonts w:cs="Calibri"/>
              </w:rPr>
              <w:t>RV Torino - Cuneo</w:t>
            </w:r>
          </w:p>
        </w:tc>
        <w:tc>
          <w:tcPr>
            <w:tcW w:w="1559" w:type="dxa"/>
            <w:vAlign w:val="center"/>
          </w:tcPr>
          <w:p w14:paraId="1C25AE02" w14:textId="77777777" w:rsidR="00FD2CBB" w:rsidRPr="001D451C" w:rsidRDefault="00FD2CBB" w:rsidP="001F00EF">
            <w:pPr>
              <w:spacing w:after="0" w:line="240" w:lineRule="auto"/>
              <w:jc w:val="center"/>
              <w:rPr>
                <w:rFonts w:cs="Calibri"/>
              </w:rPr>
            </w:pPr>
            <w:r w:rsidRPr="00125D13">
              <w:rPr>
                <w:rFonts w:cs="Calibri"/>
              </w:rPr>
              <w:t>Regionale SFR</w:t>
            </w:r>
          </w:p>
        </w:tc>
        <w:tc>
          <w:tcPr>
            <w:tcW w:w="1843" w:type="dxa"/>
          </w:tcPr>
          <w:p w14:paraId="6C913F0B" w14:textId="77777777" w:rsidR="00FD2CBB" w:rsidRPr="001D451C" w:rsidRDefault="00FD2CBB" w:rsidP="001F00EF">
            <w:pPr>
              <w:spacing w:after="0" w:line="240" w:lineRule="auto"/>
              <w:rPr>
                <w:rFonts w:cs="Calibri"/>
              </w:rPr>
            </w:pPr>
            <w:r w:rsidRPr="00BE5D67">
              <w:rPr>
                <w:rFonts w:cs="Calibri"/>
              </w:rPr>
              <w:t>Trenitalia spa</w:t>
            </w:r>
          </w:p>
        </w:tc>
        <w:tc>
          <w:tcPr>
            <w:tcW w:w="1559" w:type="dxa"/>
          </w:tcPr>
          <w:p w14:paraId="1B2C6B4E" w14:textId="77777777" w:rsidR="00FD2CBB" w:rsidRPr="001D451C" w:rsidRDefault="00FD2CBB" w:rsidP="001F00EF">
            <w:pPr>
              <w:spacing w:after="0" w:line="240" w:lineRule="auto"/>
              <w:rPr>
                <w:rFonts w:cs="Calibri"/>
              </w:rPr>
            </w:pPr>
            <w:r w:rsidRPr="00EE6125">
              <w:rPr>
                <w:rFonts w:cs="Calibri"/>
              </w:rPr>
              <w:t>n.296-08/09/2022</w:t>
            </w:r>
          </w:p>
        </w:tc>
        <w:tc>
          <w:tcPr>
            <w:tcW w:w="1559" w:type="dxa"/>
            <w:vAlign w:val="center"/>
          </w:tcPr>
          <w:p w14:paraId="121D4ECE" w14:textId="77777777" w:rsidR="00FD2CBB" w:rsidRPr="001D451C" w:rsidRDefault="00FD2CBB" w:rsidP="001F00EF">
            <w:pPr>
              <w:spacing w:after="0" w:line="240" w:lineRule="auto"/>
              <w:jc w:val="right"/>
              <w:rPr>
                <w:rFonts w:cs="Calibri"/>
              </w:rPr>
            </w:pPr>
            <w:r>
              <w:rPr>
                <w:rFonts w:cs="Calibri"/>
              </w:rPr>
              <w:t>658.061</w:t>
            </w:r>
          </w:p>
        </w:tc>
      </w:tr>
      <w:tr w:rsidR="00FD2CBB" w:rsidRPr="001D451C" w14:paraId="6E07560E" w14:textId="77777777" w:rsidTr="001F00EF">
        <w:tc>
          <w:tcPr>
            <w:tcW w:w="2547" w:type="dxa"/>
            <w:vAlign w:val="center"/>
          </w:tcPr>
          <w:p w14:paraId="7E53C0B0" w14:textId="77777777" w:rsidR="00FD2CBB" w:rsidRPr="001D451C" w:rsidRDefault="00FD2CBB" w:rsidP="001F00EF">
            <w:pPr>
              <w:spacing w:after="0" w:line="240" w:lineRule="auto"/>
              <w:jc w:val="left"/>
              <w:rPr>
                <w:rFonts w:cs="Calibri"/>
              </w:rPr>
            </w:pPr>
            <w:r>
              <w:rPr>
                <w:rFonts w:cs="Calibri"/>
              </w:rPr>
              <w:t>RV Torino - Milano</w:t>
            </w:r>
          </w:p>
        </w:tc>
        <w:tc>
          <w:tcPr>
            <w:tcW w:w="1559" w:type="dxa"/>
            <w:vAlign w:val="center"/>
          </w:tcPr>
          <w:p w14:paraId="6E142A1A" w14:textId="77777777" w:rsidR="00FD2CBB" w:rsidRPr="001D451C" w:rsidRDefault="00FD2CBB" w:rsidP="001F00EF">
            <w:pPr>
              <w:spacing w:after="0" w:line="240" w:lineRule="auto"/>
              <w:jc w:val="center"/>
              <w:rPr>
                <w:rFonts w:cs="Calibri"/>
              </w:rPr>
            </w:pPr>
            <w:r w:rsidRPr="00125D13">
              <w:rPr>
                <w:rFonts w:cs="Calibri"/>
              </w:rPr>
              <w:t>Regionale SFR</w:t>
            </w:r>
          </w:p>
        </w:tc>
        <w:tc>
          <w:tcPr>
            <w:tcW w:w="1843" w:type="dxa"/>
          </w:tcPr>
          <w:p w14:paraId="16A0258D" w14:textId="77777777" w:rsidR="00FD2CBB" w:rsidRPr="001D451C" w:rsidRDefault="00FD2CBB" w:rsidP="001F00EF">
            <w:pPr>
              <w:spacing w:after="0" w:line="240" w:lineRule="auto"/>
              <w:rPr>
                <w:rFonts w:cs="Calibri"/>
              </w:rPr>
            </w:pPr>
            <w:r w:rsidRPr="00BE5D67">
              <w:rPr>
                <w:rFonts w:cs="Calibri"/>
              </w:rPr>
              <w:t>Trenitalia spa</w:t>
            </w:r>
          </w:p>
        </w:tc>
        <w:tc>
          <w:tcPr>
            <w:tcW w:w="1559" w:type="dxa"/>
          </w:tcPr>
          <w:p w14:paraId="18CD60AD" w14:textId="77777777" w:rsidR="00FD2CBB" w:rsidRPr="001D451C" w:rsidRDefault="00FD2CBB" w:rsidP="001F00EF">
            <w:pPr>
              <w:spacing w:after="0" w:line="240" w:lineRule="auto"/>
              <w:rPr>
                <w:rFonts w:cs="Calibri"/>
              </w:rPr>
            </w:pPr>
            <w:r w:rsidRPr="00EE6125">
              <w:rPr>
                <w:rFonts w:cs="Calibri"/>
              </w:rPr>
              <w:t>n.296-08/09/2022</w:t>
            </w:r>
          </w:p>
        </w:tc>
        <w:tc>
          <w:tcPr>
            <w:tcW w:w="1559" w:type="dxa"/>
            <w:vAlign w:val="center"/>
          </w:tcPr>
          <w:p w14:paraId="1A028725" w14:textId="77777777" w:rsidR="00FD2CBB" w:rsidRPr="001D451C" w:rsidRDefault="00FD2CBB" w:rsidP="001F00EF">
            <w:pPr>
              <w:spacing w:after="0" w:line="240" w:lineRule="auto"/>
              <w:jc w:val="right"/>
              <w:rPr>
                <w:rFonts w:cs="Calibri"/>
              </w:rPr>
            </w:pPr>
            <w:r>
              <w:rPr>
                <w:rFonts w:cs="Calibri"/>
              </w:rPr>
              <w:t>2.260.354</w:t>
            </w:r>
          </w:p>
        </w:tc>
      </w:tr>
      <w:tr w:rsidR="00FD2CBB" w:rsidRPr="001D451C" w14:paraId="64D0C937" w14:textId="77777777" w:rsidTr="001F00EF">
        <w:tc>
          <w:tcPr>
            <w:tcW w:w="2547" w:type="dxa"/>
            <w:vAlign w:val="center"/>
          </w:tcPr>
          <w:p w14:paraId="2A7D3918" w14:textId="77777777" w:rsidR="00FD2CBB" w:rsidRPr="001D451C" w:rsidRDefault="00FD2CBB" w:rsidP="001F00EF">
            <w:pPr>
              <w:spacing w:after="0" w:line="240" w:lineRule="auto"/>
              <w:jc w:val="left"/>
              <w:rPr>
                <w:rFonts w:cs="Calibri"/>
              </w:rPr>
            </w:pPr>
            <w:r>
              <w:rPr>
                <w:rFonts w:cs="Calibri"/>
              </w:rPr>
              <w:t>RV Torino - Savona</w:t>
            </w:r>
          </w:p>
        </w:tc>
        <w:tc>
          <w:tcPr>
            <w:tcW w:w="1559" w:type="dxa"/>
            <w:vAlign w:val="center"/>
          </w:tcPr>
          <w:p w14:paraId="210417AD" w14:textId="77777777" w:rsidR="00FD2CBB" w:rsidRPr="001D451C" w:rsidRDefault="00FD2CBB" w:rsidP="001F00EF">
            <w:pPr>
              <w:spacing w:after="0" w:line="240" w:lineRule="auto"/>
              <w:jc w:val="center"/>
              <w:rPr>
                <w:rFonts w:cs="Calibri"/>
              </w:rPr>
            </w:pPr>
            <w:r w:rsidRPr="00125D13">
              <w:rPr>
                <w:rFonts w:cs="Calibri"/>
              </w:rPr>
              <w:t>Regionale SFR</w:t>
            </w:r>
          </w:p>
        </w:tc>
        <w:tc>
          <w:tcPr>
            <w:tcW w:w="1843" w:type="dxa"/>
          </w:tcPr>
          <w:p w14:paraId="350D060A" w14:textId="77777777" w:rsidR="00FD2CBB" w:rsidRPr="001D451C" w:rsidRDefault="00FD2CBB" w:rsidP="001F00EF">
            <w:pPr>
              <w:spacing w:after="0" w:line="240" w:lineRule="auto"/>
              <w:rPr>
                <w:rFonts w:cs="Calibri"/>
              </w:rPr>
            </w:pPr>
            <w:r w:rsidRPr="00BE5D67">
              <w:rPr>
                <w:rFonts w:cs="Calibri"/>
              </w:rPr>
              <w:t>Trenitalia spa</w:t>
            </w:r>
          </w:p>
        </w:tc>
        <w:tc>
          <w:tcPr>
            <w:tcW w:w="1559" w:type="dxa"/>
          </w:tcPr>
          <w:p w14:paraId="4FAD7E54" w14:textId="77777777" w:rsidR="00FD2CBB" w:rsidRPr="001D451C" w:rsidRDefault="00FD2CBB" w:rsidP="001F00EF">
            <w:pPr>
              <w:spacing w:after="0" w:line="240" w:lineRule="auto"/>
              <w:rPr>
                <w:rFonts w:cs="Calibri"/>
              </w:rPr>
            </w:pPr>
            <w:r w:rsidRPr="00EE6125">
              <w:rPr>
                <w:rFonts w:cs="Calibri"/>
              </w:rPr>
              <w:t>n.296-08/09/2022</w:t>
            </w:r>
          </w:p>
        </w:tc>
        <w:tc>
          <w:tcPr>
            <w:tcW w:w="1559" w:type="dxa"/>
            <w:vAlign w:val="center"/>
          </w:tcPr>
          <w:p w14:paraId="4DD44E68" w14:textId="77777777" w:rsidR="00FD2CBB" w:rsidRPr="001D451C" w:rsidRDefault="00FD2CBB" w:rsidP="001F00EF">
            <w:pPr>
              <w:spacing w:after="0" w:line="240" w:lineRule="auto"/>
              <w:jc w:val="right"/>
              <w:rPr>
                <w:rFonts w:cs="Calibri"/>
              </w:rPr>
            </w:pPr>
            <w:r>
              <w:rPr>
                <w:rFonts w:cs="Calibri"/>
              </w:rPr>
              <w:t>1.194.981</w:t>
            </w:r>
          </w:p>
        </w:tc>
      </w:tr>
      <w:tr w:rsidR="00FD2CBB" w:rsidRPr="001D451C" w14:paraId="18468C31" w14:textId="77777777" w:rsidTr="001F00EF">
        <w:tc>
          <w:tcPr>
            <w:tcW w:w="2547" w:type="dxa"/>
            <w:vAlign w:val="center"/>
          </w:tcPr>
          <w:p w14:paraId="38C4303A" w14:textId="77777777" w:rsidR="00FD2CBB" w:rsidRPr="001D451C" w:rsidRDefault="00FD2CBB" w:rsidP="001F00EF">
            <w:pPr>
              <w:spacing w:after="0" w:line="240" w:lineRule="auto"/>
              <w:jc w:val="left"/>
              <w:rPr>
                <w:rFonts w:cs="Calibri"/>
              </w:rPr>
            </w:pPr>
            <w:r>
              <w:rPr>
                <w:rFonts w:cs="Calibri"/>
              </w:rPr>
              <w:t>R Biella - Torino</w:t>
            </w:r>
          </w:p>
        </w:tc>
        <w:tc>
          <w:tcPr>
            <w:tcW w:w="1559" w:type="dxa"/>
            <w:vAlign w:val="center"/>
          </w:tcPr>
          <w:p w14:paraId="597AF477" w14:textId="77777777" w:rsidR="00FD2CBB" w:rsidRPr="001D451C" w:rsidRDefault="00FD2CBB" w:rsidP="001F00EF">
            <w:pPr>
              <w:spacing w:after="0" w:line="240" w:lineRule="auto"/>
              <w:jc w:val="center"/>
              <w:rPr>
                <w:rFonts w:cs="Calibri"/>
              </w:rPr>
            </w:pPr>
            <w:r w:rsidRPr="00125D13">
              <w:rPr>
                <w:rFonts w:cs="Calibri"/>
              </w:rPr>
              <w:t>Regionale SFR</w:t>
            </w:r>
          </w:p>
        </w:tc>
        <w:tc>
          <w:tcPr>
            <w:tcW w:w="1843" w:type="dxa"/>
          </w:tcPr>
          <w:p w14:paraId="5D015970" w14:textId="77777777" w:rsidR="00FD2CBB" w:rsidRPr="001D451C" w:rsidRDefault="00FD2CBB" w:rsidP="001F00EF">
            <w:pPr>
              <w:spacing w:after="0" w:line="240" w:lineRule="auto"/>
              <w:rPr>
                <w:rFonts w:cs="Calibri"/>
              </w:rPr>
            </w:pPr>
            <w:r w:rsidRPr="00BE5D67">
              <w:rPr>
                <w:rFonts w:cs="Calibri"/>
              </w:rPr>
              <w:t>Trenitalia spa</w:t>
            </w:r>
          </w:p>
        </w:tc>
        <w:tc>
          <w:tcPr>
            <w:tcW w:w="1559" w:type="dxa"/>
          </w:tcPr>
          <w:p w14:paraId="17D10039" w14:textId="77777777" w:rsidR="00FD2CBB" w:rsidRPr="001D451C" w:rsidRDefault="00FD2CBB" w:rsidP="001F00EF">
            <w:pPr>
              <w:spacing w:after="0" w:line="240" w:lineRule="auto"/>
              <w:rPr>
                <w:rFonts w:cs="Calibri"/>
              </w:rPr>
            </w:pPr>
            <w:r w:rsidRPr="00EE6125">
              <w:rPr>
                <w:rFonts w:cs="Calibri"/>
              </w:rPr>
              <w:t>n.296-08/09/2022</w:t>
            </w:r>
          </w:p>
        </w:tc>
        <w:tc>
          <w:tcPr>
            <w:tcW w:w="1559" w:type="dxa"/>
            <w:vAlign w:val="center"/>
          </w:tcPr>
          <w:p w14:paraId="480238B6" w14:textId="77777777" w:rsidR="00FD2CBB" w:rsidRPr="001D451C" w:rsidRDefault="00FD2CBB" w:rsidP="001F00EF">
            <w:pPr>
              <w:spacing w:after="0" w:line="240" w:lineRule="auto"/>
              <w:jc w:val="right"/>
              <w:rPr>
                <w:rFonts w:cs="Calibri"/>
              </w:rPr>
            </w:pPr>
            <w:r>
              <w:rPr>
                <w:rFonts w:cs="Calibri"/>
              </w:rPr>
              <w:t>86.832</w:t>
            </w:r>
          </w:p>
        </w:tc>
      </w:tr>
    </w:tbl>
    <w:p w14:paraId="657CE0C1" w14:textId="0C489CA8" w:rsidR="00FD2CBB" w:rsidRPr="002D5CA8" w:rsidRDefault="00FD2CBB" w:rsidP="00FD2CBB">
      <w:pPr>
        <w:pStyle w:val="Didascalia"/>
        <w:spacing w:before="120" w:after="0"/>
        <w:jc w:val="center"/>
        <w:rPr>
          <w:i w:val="0"/>
        </w:rPr>
      </w:pPr>
      <w:r>
        <w:t xml:space="preserve">Tabella </w:t>
      </w:r>
      <w:r w:rsidR="00FD7EE5">
        <w:fldChar w:fldCharType="begin"/>
      </w:r>
      <w:r w:rsidR="00FD7EE5">
        <w:instrText xml:space="preserve"> SEQ Tabella \* ARABIC </w:instrText>
      </w:r>
      <w:r w:rsidR="00FD7EE5">
        <w:fldChar w:fldCharType="separate"/>
      </w:r>
      <w:r w:rsidR="00073B6D">
        <w:rPr>
          <w:noProof/>
        </w:rPr>
        <w:t>30</w:t>
      </w:r>
      <w:r w:rsidR="00FD7EE5">
        <w:rPr>
          <w:noProof/>
        </w:rPr>
        <w:fldChar w:fldCharType="end"/>
      </w:r>
      <w:r>
        <w:rPr>
          <w:i w:val="0"/>
        </w:rPr>
        <w:t xml:space="preserve"> – </w:t>
      </w:r>
      <w:r w:rsidRPr="00677A61">
        <w:rPr>
          <w:iCs w:val="0"/>
        </w:rPr>
        <w:t xml:space="preserve">Quadro del servizio ferroviario nel Bacino </w:t>
      </w:r>
      <w:r>
        <w:rPr>
          <w:iCs w:val="0"/>
        </w:rPr>
        <w:t>Metropolitano</w:t>
      </w:r>
    </w:p>
    <w:p w14:paraId="02C74BB8" w14:textId="77777777" w:rsidR="00FD2CBB" w:rsidRDefault="00FD2CBB" w:rsidP="00FD2CBB">
      <w:pPr>
        <w:spacing w:before="120" w:after="0" w:line="240" w:lineRule="auto"/>
      </w:pPr>
      <w:r>
        <w:t>Rispetto alla situazione attuale lo scenario evolutivo del SFM prevede (tra parentesi è indicata la data indicativa di attivazione):</w:t>
      </w:r>
    </w:p>
    <w:p w14:paraId="32B09222" w14:textId="77777777" w:rsidR="00FD2CBB" w:rsidRDefault="00FD2CBB" w:rsidP="004B0DBE">
      <w:pPr>
        <w:pStyle w:val="Paragrafoelenco"/>
        <w:numPr>
          <w:ilvl w:val="0"/>
          <w:numId w:val="37"/>
        </w:numPr>
        <w:spacing w:before="120" w:after="0" w:line="240" w:lineRule="auto"/>
      </w:pPr>
      <w:r>
        <w:t>il ripristino del servizio sulle tratte Germagnano-Ceres (2026) e Rivarolo-Pont (2026)</w:t>
      </w:r>
    </w:p>
    <w:p w14:paraId="3AE2F659" w14:textId="77777777" w:rsidR="00FD2CBB" w:rsidRDefault="00FD2CBB" w:rsidP="004B0DBE">
      <w:pPr>
        <w:pStyle w:val="Paragrafoelenco"/>
        <w:numPr>
          <w:ilvl w:val="0"/>
          <w:numId w:val="37"/>
        </w:numPr>
        <w:spacing w:before="120" w:after="0" w:line="240" w:lineRule="auto"/>
      </w:pPr>
      <w:r>
        <w:t>l’attestamento a Torino Aeroporto di Caselle della missione Bardonecchia della linea sfm3 (2028)</w:t>
      </w:r>
    </w:p>
    <w:p w14:paraId="30119690" w14:textId="77777777" w:rsidR="00FD2CBB" w:rsidRDefault="00FD2CBB" w:rsidP="004B0DBE">
      <w:pPr>
        <w:pStyle w:val="Paragrafoelenco"/>
        <w:numPr>
          <w:ilvl w:val="0"/>
          <w:numId w:val="37"/>
        </w:numPr>
        <w:spacing w:before="120" w:after="0" w:line="240" w:lineRule="auto"/>
      </w:pPr>
      <w:r>
        <w:t>la realizzazione delle linee sfm5 Orbassano-Torino (2027-2028) e sfm8 Torino-Chivasso (2028)</w:t>
      </w:r>
    </w:p>
    <w:p w14:paraId="2DC9F12C" w14:textId="77777777" w:rsidR="00FD2CBB" w:rsidRDefault="00FD2CBB" w:rsidP="004B0DBE">
      <w:pPr>
        <w:pStyle w:val="Paragrafoelenco"/>
        <w:numPr>
          <w:ilvl w:val="0"/>
          <w:numId w:val="37"/>
        </w:numPr>
        <w:spacing w:before="120" w:after="0" w:line="240" w:lineRule="auto"/>
      </w:pPr>
      <w:r>
        <w:t>Apertura di nuove stazioni Torino San Paolo (2028) Torino Dora e Torino Zappata (2028) Buttigliera Alta-Ferriere (2028)</w:t>
      </w:r>
    </w:p>
    <w:p w14:paraId="3735FD2D" w14:textId="77777777" w:rsidR="00FD2CBB" w:rsidRDefault="00FD2CBB" w:rsidP="00FD2CBB">
      <w:pPr>
        <w:spacing w:before="120" w:after="0" w:line="240" w:lineRule="auto"/>
      </w:pPr>
      <w:r>
        <w:t xml:space="preserve">Nel territorio metropolitano sono inoltre presenti le linee ferroviarie Pinerolo-Torre Pellice e Chivasso - Asti su cui il servizio regionale è sospeso. Per riattivare un servizio regionale su queste linee sarebbe necessario effettuare lavori di ripristino e </w:t>
      </w:r>
      <w:r w:rsidRPr="00B72CE2">
        <w:t>ammodernamento dell'infrastruttura</w:t>
      </w:r>
      <w:r>
        <w:t xml:space="preserve"> al momento non programmati</w:t>
      </w:r>
      <w:r w:rsidRPr="00B72CE2">
        <w:t xml:space="preserve">. </w:t>
      </w:r>
      <w:r>
        <w:t xml:space="preserve">Gli studi specifici sulle linee sospese e le valutazioni effettuate da RFI sui costi di ripristino del servizio sono consultabili sul sito di AMP </w:t>
      </w:r>
      <w:r>
        <w:rPr>
          <w:rStyle w:val="Rimandonotaapidipagina"/>
        </w:rPr>
        <w:footnoteReference w:id="23"/>
      </w:r>
      <w:r>
        <w:t>.</w:t>
      </w:r>
    </w:p>
    <w:p w14:paraId="2D3E792C" w14:textId="77777777" w:rsidR="00FD2CBB" w:rsidRDefault="00FD2CBB" w:rsidP="00FD2CBB">
      <w:pPr>
        <w:spacing w:before="120" w:after="0" w:line="240" w:lineRule="auto"/>
      </w:pPr>
    </w:p>
    <w:p w14:paraId="50BB4DF2" w14:textId="77777777" w:rsidR="00FD2CBB" w:rsidRDefault="00FD2CBB" w:rsidP="00FD2CBB">
      <w:pPr>
        <w:spacing w:before="120" w:after="0" w:line="240" w:lineRule="auto"/>
        <w:jc w:val="center"/>
      </w:pPr>
      <w:r>
        <w:rPr>
          <w:noProof/>
        </w:rPr>
        <w:lastRenderedPageBreak/>
        <w:drawing>
          <wp:inline distT="0" distB="0" distL="0" distR="0" wp14:anchorId="04CB7EB5" wp14:editId="57455FB7">
            <wp:extent cx="5095875" cy="3603585"/>
            <wp:effectExtent l="19050" t="19050" r="9525" b="16510"/>
            <wp:docPr id="2145285967" name="Immagine 2145285967" descr="Immagine che contiene mappa, testo, atlante, diagramm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285967" name="Immagine 2145285967" descr="Immagine che contiene mappa, testo, atlante, diagramma&#10;&#10;Descrizione generata automaticamente"/>
                    <pic:cNvPicPr>
                      <a:picLocks noChangeAspect="1" noChangeArrowheads="1"/>
                    </pic:cNvPicPr>
                  </pic:nvPicPr>
                  <pic:blipFill>
                    <a:blip r:embed="rId60" cstate="print">
                      <a:extLst>
                        <a:ext uri="{28A0092B-C50C-407E-A947-70E740481C1C}">
                          <a14:useLocalDpi xmlns:a14="http://schemas.microsoft.com/office/drawing/2010/main" val="0"/>
                        </a:ext>
                      </a:extLst>
                    </a:blip>
                    <a:stretch>
                      <a:fillRect/>
                    </a:stretch>
                  </pic:blipFill>
                  <pic:spPr bwMode="auto">
                    <a:xfrm>
                      <a:off x="0" y="0"/>
                      <a:ext cx="5102488" cy="3608262"/>
                    </a:xfrm>
                    <a:prstGeom prst="rect">
                      <a:avLst/>
                    </a:prstGeom>
                    <a:noFill/>
                    <a:ln w="19050">
                      <a:solidFill>
                        <a:srgbClr val="EE3438"/>
                      </a:solidFill>
                    </a:ln>
                  </pic:spPr>
                </pic:pic>
              </a:graphicData>
            </a:graphic>
          </wp:inline>
        </w:drawing>
      </w:r>
    </w:p>
    <w:p w14:paraId="3CAA2943" w14:textId="07FA3D2F" w:rsidR="00FD2CBB" w:rsidRDefault="00FD2CBB" w:rsidP="00FD2CBB">
      <w:pPr>
        <w:pStyle w:val="Didascalia"/>
        <w:jc w:val="center"/>
      </w:pPr>
      <w:r w:rsidRPr="00382ABF">
        <w:t xml:space="preserve">Figura </w:t>
      </w:r>
      <w:r w:rsidR="00FD7EE5">
        <w:fldChar w:fldCharType="begin"/>
      </w:r>
      <w:r w:rsidR="00FD7EE5">
        <w:instrText xml:space="preserve"> SEQ Figura \* ARABIC </w:instrText>
      </w:r>
      <w:r w:rsidR="00FD7EE5">
        <w:fldChar w:fldCharType="separate"/>
      </w:r>
      <w:r w:rsidR="00073B6D">
        <w:rPr>
          <w:noProof/>
        </w:rPr>
        <w:t>24</w:t>
      </w:r>
      <w:r w:rsidR="00FD7EE5">
        <w:rPr>
          <w:noProof/>
        </w:rPr>
        <w:fldChar w:fldCharType="end"/>
      </w:r>
      <w:r w:rsidRPr="00382ABF">
        <w:t xml:space="preserve"> </w:t>
      </w:r>
      <w:r>
        <w:t>–</w:t>
      </w:r>
      <w:r w:rsidRPr="00382ABF">
        <w:t xml:space="preserve"> </w:t>
      </w:r>
      <w:r>
        <w:t>Mappa della rete ferroviaria del Bacino Metropolitano</w:t>
      </w:r>
    </w:p>
    <w:p w14:paraId="66FDBBD7" w14:textId="77777777" w:rsidR="00FD2CBB" w:rsidRDefault="00FD2CBB" w:rsidP="00FD2CBB">
      <w:pPr>
        <w:pStyle w:val="Titolo3"/>
        <w:ind w:left="720"/>
      </w:pPr>
      <w:bookmarkStart w:id="194" w:name="_Toc204328726"/>
      <w:bookmarkStart w:id="195" w:name="_Ref205204887"/>
      <w:bookmarkStart w:id="196" w:name="_Ref212733874"/>
      <w:bookmarkStart w:id="197" w:name="_Toc213078365"/>
      <w:r>
        <w:t>Servizi automobilistici di TPL urbano ed extraurbano del Bacino Metropolitano</w:t>
      </w:r>
      <w:bookmarkEnd w:id="194"/>
      <w:bookmarkEnd w:id="195"/>
      <w:bookmarkEnd w:id="196"/>
      <w:bookmarkEnd w:id="197"/>
    </w:p>
    <w:p w14:paraId="62FAD773" w14:textId="7B801580" w:rsidR="00FD2CBB" w:rsidRDefault="00FD2CBB" w:rsidP="00FD2CBB">
      <w:pPr>
        <w:spacing w:before="120" w:after="0" w:line="240" w:lineRule="auto"/>
        <w:rPr>
          <w:rFonts w:cs="Times New Roman"/>
          <w:color w:val="000000" w:themeColor="text1"/>
        </w:rPr>
      </w:pPr>
      <w:r>
        <w:rPr>
          <w:rFonts w:cs="Times New Roman"/>
        </w:rPr>
        <w:t xml:space="preserve">Dal 2019 </w:t>
      </w:r>
      <w:r w:rsidRPr="00155017">
        <w:rPr>
          <w:rFonts w:cs="Times New Roman"/>
        </w:rPr>
        <w:t>i servizi per il trasport</w:t>
      </w:r>
      <w:r>
        <w:rPr>
          <w:rFonts w:cs="Times New Roman"/>
        </w:rPr>
        <w:t>i</w:t>
      </w:r>
      <w:r w:rsidRPr="00155017">
        <w:rPr>
          <w:rFonts w:cs="Times New Roman"/>
        </w:rPr>
        <w:t xml:space="preserve"> urban</w:t>
      </w:r>
      <w:r>
        <w:rPr>
          <w:rFonts w:cs="Times New Roman"/>
        </w:rPr>
        <w:t>i di Bardonecchia, Carmagnola, Giaveno, Ivrea e Pinerolo</w:t>
      </w:r>
      <w:r w:rsidRPr="00155017">
        <w:rPr>
          <w:rFonts w:cs="Times New Roman"/>
        </w:rPr>
        <w:t xml:space="preserve"> </w:t>
      </w:r>
      <w:r>
        <w:rPr>
          <w:rFonts w:cs="Times New Roman"/>
        </w:rPr>
        <w:t xml:space="preserve">ed i servizi </w:t>
      </w:r>
      <w:r w:rsidRPr="00155017">
        <w:rPr>
          <w:rFonts w:cs="Times New Roman"/>
        </w:rPr>
        <w:t>extraurban</w:t>
      </w:r>
      <w:r>
        <w:rPr>
          <w:rFonts w:cs="Times New Roman"/>
        </w:rPr>
        <w:t>i</w:t>
      </w:r>
      <w:r w:rsidRPr="00155017">
        <w:rPr>
          <w:rFonts w:cs="Times New Roman"/>
        </w:rPr>
        <w:t xml:space="preserve"> </w:t>
      </w:r>
      <w:r>
        <w:rPr>
          <w:rFonts w:cs="Times New Roman"/>
        </w:rPr>
        <w:t xml:space="preserve">del Bacino Metropolitano </w:t>
      </w:r>
      <w:r w:rsidRPr="00155017">
        <w:rPr>
          <w:rFonts w:cs="Times New Roman"/>
        </w:rPr>
        <w:t>sono af</w:t>
      </w:r>
      <w:r>
        <w:rPr>
          <w:rFonts w:cs="Times New Roman"/>
        </w:rPr>
        <w:t xml:space="preserve">fidati </w:t>
      </w:r>
      <w:r w:rsidRPr="00EB27A7">
        <w:rPr>
          <w:rFonts w:cs="Times New Roman"/>
        </w:rPr>
        <w:t>tramite contratto di servizio al consorzio E</w:t>
      </w:r>
      <w:r>
        <w:rPr>
          <w:rFonts w:cs="Times New Roman"/>
        </w:rPr>
        <w:t>XTRA.</w:t>
      </w:r>
      <w:r w:rsidRPr="00EB27A7">
        <w:rPr>
          <w:rFonts w:cs="Times New Roman"/>
        </w:rPr>
        <w:t>TO.</w:t>
      </w:r>
      <w:r w:rsidR="00EC7B99">
        <w:rPr>
          <w:rFonts w:cs="Times New Roman"/>
        </w:rPr>
        <w:t xml:space="preserve"> </w:t>
      </w:r>
      <w:r w:rsidRPr="00FE6B37">
        <w:rPr>
          <w:rFonts w:cs="Times New Roman"/>
          <w:color w:val="000000" w:themeColor="text1"/>
        </w:rPr>
        <w:t xml:space="preserve">La produzione </w:t>
      </w:r>
      <w:r>
        <w:rPr>
          <w:rFonts w:cs="Times New Roman"/>
          <w:color w:val="000000" w:themeColor="text1"/>
        </w:rPr>
        <w:t xml:space="preserve">annuale </w:t>
      </w:r>
      <w:r w:rsidRPr="00FE6B37">
        <w:rPr>
          <w:rFonts w:cs="Times New Roman"/>
          <w:color w:val="000000" w:themeColor="text1"/>
        </w:rPr>
        <w:t xml:space="preserve">è di </w:t>
      </w:r>
      <w:r>
        <w:rPr>
          <w:rFonts w:cs="Times New Roman"/>
          <w:color w:val="000000" w:themeColor="text1"/>
        </w:rPr>
        <w:t>circa 22,7</w:t>
      </w:r>
      <w:r w:rsidRPr="00FE6B37">
        <w:rPr>
          <w:rFonts w:cs="Times New Roman"/>
          <w:color w:val="000000" w:themeColor="text1"/>
        </w:rPr>
        <w:t xml:space="preserve"> milioni di veicoli-km/anno di cui </w:t>
      </w:r>
      <w:r>
        <w:rPr>
          <w:rFonts w:cs="Times New Roman"/>
          <w:color w:val="000000" w:themeColor="text1"/>
        </w:rPr>
        <w:t xml:space="preserve">1,9 milioni di </w:t>
      </w:r>
      <w:r w:rsidRPr="00FE6B37">
        <w:rPr>
          <w:rFonts w:cs="Times New Roman"/>
          <w:color w:val="000000" w:themeColor="text1"/>
        </w:rPr>
        <w:t>veicoli-km/anno</w:t>
      </w:r>
      <w:r>
        <w:rPr>
          <w:rFonts w:cs="Times New Roman"/>
          <w:color w:val="000000" w:themeColor="text1"/>
        </w:rPr>
        <w:t xml:space="preserve"> per i</w:t>
      </w:r>
      <w:r w:rsidRPr="00FE6B37">
        <w:rPr>
          <w:rFonts w:cs="Times New Roman"/>
          <w:color w:val="000000" w:themeColor="text1"/>
        </w:rPr>
        <w:t xml:space="preserve"> servizi urbani </w:t>
      </w:r>
      <w:r>
        <w:rPr>
          <w:rFonts w:cs="Times New Roman"/>
          <w:color w:val="000000" w:themeColor="text1"/>
        </w:rPr>
        <w:t>delle diverse conurbazioni, di cui si riporta nella seguente tabella il dettaglio in termini di relazioni servite, n° corse e produzione totale e contribuita riferiti al 2024.</w:t>
      </w:r>
    </w:p>
    <w:p w14:paraId="02605B76" w14:textId="77777777" w:rsidR="009F4CF9" w:rsidRDefault="009F4CF9" w:rsidP="00FD2CBB">
      <w:pPr>
        <w:spacing w:before="120" w:after="0" w:line="240" w:lineRule="auto"/>
        <w:rPr>
          <w:rFonts w:cs="Times New Roman"/>
          <w:color w:val="000000" w:themeColor="text1"/>
        </w:rPr>
      </w:pPr>
    </w:p>
    <w:tbl>
      <w:tblPr>
        <w:tblW w:w="5000" w:type="pct"/>
        <w:tblCellMar>
          <w:left w:w="70" w:type="dxa"/>
          <w:right w:w="70" w:type="dxa"/>
        </w:tblCellMar>
        <w:tblLook w:val="04A0" w:firstRow="1" w:lastRow="0" w:firstColumn="1" w:lastColumn="0" w:noHBand="0" w:noVBand="1"/>
      </w:tblPr>
      <w:tblGrid>
        <w:gridCol w:w="755"/>
        <w:gridCol w:w="5367"/>
        <w:gridCol w:w="822"/>
        <w:gridCol w:w="1058"/>
        <w:gridCol w:w="1058"/>
      </w:tblGrid>
      <w:tr w:rsidR="00FD2CBB" w:rsidRPr="00AC4A31" w14:paraId="67CB5257" w14:textId="77777777" w:rsidTr="009F4CF9">
        <w:trPr>
          <w:trHeight w:val="795"/>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000000" w:fill="EE3438"/>
            <w:vAlign w:val="center"/>
            <w:hideMark/>
          </w:tcPr>
          <w:p w14:paraId="4C285568" w14:textId="77777777" w:rsidR="00FD2CBB" w:rsidRPr="00AC4A31" w:rsidRDefault="00FD2CBB">
            <w:pPr>
              <w:spacing w:after="0" w:line="240" w:lineRule="auto"/>
              <w:jc w:val="center"/>
              <w:rPr>
                <w:rFonts w:eastAsia="Times New Roman" w:cs="Calibri"/>
                <w:b/>
                <w:color w:val="FFFFFF"/>
                <w:sz w:val="20"/>
                <w:szCs w:val="20"/>
              </w:rPr>
            </w:pPr>
            <w:r w:rsidRPr="00AC4A31">
              <w:rPr>
                <w:rFonts w:eastAsia="Times New Roman" w:cs="Calibri"/>
                <w:b/>
                <w:color w:val="FFFFFF"/>
                <w:sz w:val="20"/>
                <w:szCs w:val="20"/>
              </w:rPr>
              <w:t>Codice Linea</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000000" w:fill="EE3438"/>
            <w:vAlign w:val="center"/>
            <w:hideMark/>
          </w:tcPr>
          <w:p w14:paraId="42614F92" w14:textId="77777777" w:rsidR="00FD2CBB" w:rsidRPr="00AC4A31" w:rsidRDefault="00FD2CBB">
            <w:pPr>
              <w:spacing w:after="0" w:line="240" w:lineRule="auto"/>
              <w:jc w:val="left"/>
              <w:rPr>
                <w:rFonts w:eastAsia="Times New Roman" w:cs="Calibri"/>
                <w:b/>
                <w:color w:val="FFFFFF"/>
                <w:sz w:val="20"/>
                <w:szCs w:val="20"/>
              </w:rPr>
            </w:pPr>
            <w:r w:rsidRPr="00AC4A31">
              <w:rPr>
                <w:rFonts w:eastAsia="Times New Roman" w:cs="Calibri"/>
                <w:b/>
                <w:color w:val="FFFFFF"/>
                <w:sz w:val="20"/>
                <w:szCs w:val="20"/>
              </w:rPr>
              <w:t>Descrizione Linea</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000000" w:fill="EE3438"/>
            <w:vAlign w:val="center"/>
            <w:hideMark/>
          </w:tcPr>
          <w:p w14:paraId="2A36773F" w14:textId="77777777" w:rsidR="00FD2CBB" w:rsidRPr="00AC4A31" w:rsidRDefault="00FD2CBB">
            <w:pPr>
              <w:spacing w:after="0" w:line="240" w:lineRule="auto"/>
              <w:jc w:val="center"/>
              <w:rPr>
                <w:rFonts w:eastAsia="Times New Roman" w:cs="Calibri"/>
                <w:b/>
                <w:color w:val="FFFFFF"/>
                <w:sz w:val="20"/>
                <w:szCs w:val="20"/>
              </w:rPr>
            </w:pPr>
            <w:r w:rsidRPr="00AC4A31">
              <w:rPr>
                <w:rFonts w:eastAsia="Times New Roman" w:cs="Calibri"/>
                <w:b/>
                <w:color w:val="FFFFFF"/>
                <w:sz w:val="20"/>
                <w:szCs w:val="20"/>
              </w:rPr>
              <w:t>Numero corse</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000000" w:fill="EE3438"/>
            <w:vAlign w:val="center"/>
            <w:hideMark/>
          </w:tcPr>
          <w:p w14:paraId="06897240" w14:textId="77777777" w:rsidR="00FD2CBB" w:rsidRPr="00AC4A31" w:rsidRDefault="00FD2CBB">
            <w:pPr>
              <w:spacing w:after="0" w:line="240" w:lineRule="auto"/>
              <w:jc w:val="center"/>
              <w:rPr>
                <w:rFonts w:eastAsia="Times New Roman" w:cs="Calibri"/>
                <w:b/>
                <w:color w:val="FFFFFF"/>
                <w:sz w:val="20"/>
                <w:szCs w:val="20"/>
              </w:rPr>
            </w:pPr>
            <w:r w:rsidRPr="00AC4A31">
              <w:rPr>
                <w:rFonts w:eastAsia="Times New Roman" w:cs="Calibri"/>
                <w:b/>
                <w:color w:val="FFFFFF"/>
                <w:sz w:val="20"/>
                <w:szCs w:val="20"/>
              </w:rPr>
              <w:t xml:space="preserve"> vett-km/anno di linea </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000000" w:fill="EE3438"/>
            <w:vAlign w:val="center"/>
            <w:hideMark/>
          </w:tcPr>
          <w:p w14:paraId="61F0A3DD" w14:textId="77777777" w:rsidR="00FD2CBB" w:rsidRPr="00AC4A31" w:rsidRDefault="00FD2CBB">
            <w:pPr>
              <w:spacing w:after="0" w:line="240" w:lineRule="auto"/>
              <w:jc w:val="center"/>
              <w:rPr>
                <w:rFonts w:eastAsia="Times New Roman" w:cs="Calibri"/>
                <w:b/>
                <w:color w:val="FFFFFF"/>
                <w:sz w:val="20"/>
                <w:szCs w:val="20"/>
              </w:rPr>
            </w:pPr>
            <w:r w:rsidRPr="00AC4A31">
              <w:rPr>
                <w:rFonts w:eastAsia="Times New Roman" w:cs="Calibri"/>
                <w:b/>
                <w:color w:val="FFFFFF"/>
                <w:sz w:val="20"/>
                <w:szCs w:val="20"/>
              </w:rPr>
              <w:t xml:space="preserve"> vett-km/anno contribuiti </w:t>
            </w:r>
          </w:p>
        </w:tc>
      </w:tr>
      <w:tr w:rsidR="00FD2CBB" w:rsidRPr="00AC4A31" w14:paraId="5BFF7AE8"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E22B383"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2</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144D959D"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IVREA-MILANO</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F716699"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2</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C79EF1F"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57.845</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CD755B3"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57.845</w:t>
            </w:r>
          </w:p>
        </w:tc>
      </w:tr>
      <w:tr w:rsidR="00FD2CBB" w:rsidRPr="00AC4A31" w14:paraId="3226C5E4"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31B1009"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4</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70432FD7"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MILANO-TORINO</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C8F2DA2"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10</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BD69AA8"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248.320</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2F81411"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248.320</w:t>
            </w:r>
          </w:p>
        </w:tc>
      </w:tr>
      <w:tr w:rsidR="00FD2CBB" w:rsidRPr="00AC4A31" w14:paraId="10A4C8E5"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4827D18"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70</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6D05BD36"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CARMAGNOLA - BRA E DIRAMAZIONE RACCONIGI</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038A300"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22</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67D1FD81"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63.122</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DF73B24"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60.631</w:t>
            </w:r>
          </w:p>
        </w:tc>
      </w:tr>
      <w:tr w:rsidR="00FD2CBB" w:rsidRPr="00AC4A31" w14:paraId="15E26EB5"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CBBB390"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125</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67E461E5"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CHIERI-MARENTINO-VERNONE-SCIOLZE</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F8C6C14"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20</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091B0599"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36.076</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6CB27940"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36.076</w:t>
            </w:r>
          </w:p>
        </w:tc>
      </w:tr>
      <w:tr w:rsidR="00FD2CBB" w:rsidRPr="00AC4A31" w14:paraId="7AF38810"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ABDE34E"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146</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51C60119"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LA CASSA - GIVOLETTO - SAN GILLIO - PIANEZZA</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4250D26"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93</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0C764852"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206.069</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0C11947"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206.069</w:t>
            </w:r>
          </w:p>
        </w:tc>
      </w:tr>
      <w:tr w:rsidR="00FD2CBB" w:rsidRPr="00AC4A31" w14:paraId="1A694BDD"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6BB7D4C2"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148</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0669F590"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MOLINO - VAL DELLA TORRE - ALPIGNANO FS</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9FE5C1F"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50</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E20DDB1"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128.095</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6DE58D44"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128.095</w:t>
            </w:r>
          </w:p>
        </w:tc>
      </w:tr>
      <w:tr w:rsidR="00FD2CBB" w:rsidRPr="00AC4A31" w14:paraId="10FE67C8"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4900EF6"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170</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359ADD9E"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MONTECHIARO-CHIERI-TORINO</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134BF9B"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68</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FA7628B"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323.566</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37C420B"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323.566</w:t>
            </w:r>
          </w:p>
        </w:tc>
      </w:tr>
      <w:tr w:rsidR="00FD2CBB" w:rsidRPr="00AC4A31" w14:paraId="0D4FE8EC"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0AE01796"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171</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51F5843F"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ALBUGNANO-CHIERI</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2DF4BEA"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2</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B70207B"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14.090</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79AEBAB"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14.090</w:t>
            </w:r>
          </w:p>
        </w:tc>
      </w:tr>
      <w:tr w:rsidR="00FD2CBB" w:rsidRPr="00AC4A31" w14:paraId="00F8F92C"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DA76B7E"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173</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2AD39EBC"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CERES-FORNO ALPI GRAIE</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37D6399"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12</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C629B21"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37.394</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DE623D1"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37.394</w:t>
            </w:r>
          </w:p>
        </w:tc>
      </w:tr>
      <w:tr w:rsidR="00FD2CBB" w:rsidRPr="00AC4A31" w14:paraId="46D95068"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6A7BC45B"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174</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2928B9D1"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CIRI</w:t>
            </w:r>
            <w:r>
              <w:rPr>
                <w:rFonts w:eastAsia="Times New Roman" w:cs="Calibri"/>
                <w:color w:val="000000"/>
                <w:sz w:val="20"/>
                <w:szCs w:val="20"/>
              </w:rPr>
              <w:t>É</w:t>
            </w:r>
            <w:r w:rsidRPr="00AC4A31">
              <w:rPr>
                <w:rFonts w:eastAsia="Times New Roman" w:cs="Calibri"/>
                <w:color w:val="000000"/>
                <w:sz w:val="20"/>
                <w:szCs w:val="20"/>
              </w:rPr>
              <w:t>-CORIO</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A6D554E"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16</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6F6E44A9"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50.157</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44CF17D"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50.157</w:t>
            </w:r>
          </w:p>
        </w:tc>
      </w:tr>
      <w:tr w:rsidR="00FD2CBB" w:rsidRPr="00AC4A31" w14:paraId="2EB94C4F"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9EE7356"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175</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6BCB5DA4"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TORINO-SUPERGA-BALDISSERO-CHIERI</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3D44DA4"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50</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2B39087"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87.066</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DBC5FF0"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87.066</w:t>
            </w:r>
          </w:p>
        </w:tc>
      </w:tr>
      <w:tr w:rsidR="00FD2CBB" w:rsidRPr="00AC4A31" w14:paraId="067B9D06"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5B14F8A"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179</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4E4516A2"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TORINO-S.LUCA-EREMO-PECETTO-CHIERI</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B8212DA"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143</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81A1268"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211.399</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B40F81E"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211.399</w:t>
            </w:r>
          </w:p>
        </w:tc>
      </w:tr>
      <w:tr w:rsidR="00FD2CBB" w:rsidRPr="00AC4A31" w14:paraId="6BA625B0"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F43A80D"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180</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7192CF64"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CHIERI-TORINO GRONDA SUD</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82B12E9"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33</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781378F"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133.936</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33D244B"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133.936</w:t>
            </w:r>
          </w:p>
        </w:tc>
      </w:tr>
      <w:tr w:rsidR="00FD2CBB" w:rsidRPr="00AC4A31" w14:paraId="0BE8C104"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6000C5F9"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184</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18B7D72C"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POIRINO-PESSIONE-CHIERI</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FC6742C"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47</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B6396DF"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109.379</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69FCF84"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109.379</w:t>
            </w:r>
          </w:p>
        </w:tc>
      </w:tr>
      <w:tr w:rsidR="00FD2CBB" w:rsidRPr="00AC4A31" w14:paraId="69D1E77E"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B41638F"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185</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16954C21"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CHIERI-CAMBIANO-SANTENA-CARIGNANO</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896461B"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65</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80C7BE3"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142.249</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1F97387"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142.249</w:t>
            </w:r>
          </w:p>
        </w:tc>
      </w:tr>
      <w:tr w:rsidR="00FD2CBB" w:rsidRPr="00AC4A31" w14:paraId="5DF37941"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4AACABB"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188</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17302860"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CERES-BALME-PIAN DELLA MUSSA</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D89A672"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36</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4C32667"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30.207</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DA4FFBB"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30.207</w:t>
            </w:r>
          </w:p>
        </w:tc>
      </w:tr>
      <w:tr w:rsidR="00FD2CBB" w:rsidRPr="00AC4A31" w14:paraId="5C6E59F7"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607FA806"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lastRenderedPageBreak/>
              <w:t>194</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1C5DE039"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BUSSOLENO-BORGONE-AVIGLIANA-FERRIERE CON DIR.</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86FAFB7"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9</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FB4E47C"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28.875</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69AE3D30"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28.875</w:t>
            </w:r>
          </w:p>
        </w:tc>
      </w:tr>
      <w:tr w:rsidR="00FD2CBB" w:rsidRPr="00AC4A31" w14:paraId="4FB860DF"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07E386B"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196</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5547129F"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MATTIE-BUSSOLENO</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2A24EFB"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23</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7BCB844"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30.411</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DF5F4AD"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30.411</w:t>
            </w:r>
          </w:p>
        </w:tc>
      </w:tr>
      <w:tr w:rsidR="00FD2CBB" w:rsidRPr="00AC4A31" w14:paraId="03F47F5A"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6F69248C"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208</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2FAC1163"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BUSSOLENO-S.DIDERO-BORGONE</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723C69F"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37</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287C2CA"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30.584</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D489122"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24.022</w:t>
            </w:r>
          </w:p>
        </w:tc>
      </w:tr>
      <w:tr w:rsidR="00FD2CBB" w:rsidRPr="00AC4A31" w14:paraId="3B106263"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5C6436F"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209</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3215EBD1"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S.GIORIO-GIAVENO</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0E047963"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4</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CB170E1"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13.331</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E443E22"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13.331</w:t>
            </w:r>
          </w:p>
        </w:tc>
      </w:tr>
      <w:tr w:rsidR="00FD2CBB" w:rsidRPr="00AC4A31" w14:paraId="6D93883A"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E9B471A"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213</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2603BA2A"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CUMIANA-PISCINA (NAVETTA)</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809B1B3"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26</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6F31511"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27.891</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67BFC86"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27.891</w:t>
            </w:r>
          </w:p>
        </w:tc>
      </w:tr>
      <w:tr w:rsidR="00FD2CBB" w:rsidRPr="00AC4A31" w14:paraId="585542DE"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FDE1A52"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214</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16A4A25E"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PRAROSTINO-S.SECONDO-FIAT RIVALTA - (L. 1)</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4F5BD2D"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7</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26736B3"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6.088</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6CAA3236"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6.088</w:t>
            </w:r>
          </w:p>
        </w:tc>
      </w:tr>
      <w:tr w:rsidR="00FD2CBB" w:rsidRPr="00AC4A31" w14:paraId="1F43DAD3"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9F32539"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216</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5FE7EF18"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CAVOUR-TORRE PELLICE</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FCC616E"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7</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EC2A083"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37.922</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B949C7A"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37.922</w:t>
            </w:r>
          </w:p>
        </w:tc>
      </w:tr>
      <w:tr w:rsidR="00FD2CBB" w:rsidRPr="00AC4A31" w14:paraId="58F3545A"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092E96B7"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220</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5B589796"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OSASCO-PINEROLO-TORINO</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0BC3CAA"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67</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00704A89"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490.797</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6EE81826"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490.797</w:t>
            </w:r>
          </w:p>
        </w:tc>
      </w:tr>
      <w:tr w:rsidR="00FD2CBB" w:rsidRPr="00AC4A31" w14:paraId="67DB5564"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09F7F151"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226</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07F16421"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VARISELLA-CAFASSE-TORINO</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29B0633"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35</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049C5EB"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290.004</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93A97B8"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290.004</w:t>
            </w:r>
          </w:p>
        </w:tc>
      </w:tr>
      <w:tr w:rsidR="00FD2CBB" w:rsidRPr="00AC4A31" w14:paraId="1681FE7F"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6467DE94"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229</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7FD2BA44"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VARISELLA-FIANO-CIRIE</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240AF20"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19</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68B322C"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67.739</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51089C3"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67.739</w:t>
            </w:r>
          </w:p>
        </w:tc>
      </w:tr>
      <w:tr w:rsidR="00FD2CBB" w:rsidRPr="00AC4A31" w14:paraId="67878B27"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40CFCF8"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230</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51517DB9"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ROBASSOMERO-CAFASSE-LANZO</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E5114EC"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6</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79C7F18"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13.785</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9C4A1FF"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13.785</w:t>
            </w:r>
          </w:p>
        </w:tc>
      </w:tr>
      <w:tr w:rsidR="00FD2CBB" w:rsidRPr="00AC4A31" w14:paraId="3BE1B45F"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5F23700"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232</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4834E10D"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COCCONATO-CHIVASSO F.S.-TORINO</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FAA98B3"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18</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EB0D0DC"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108.002</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0496CDA"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108.002</w:t>
            </w:r>
          </w:p>
        </w:tc>
      </w:tr>
      <w:tr w:rsidR="00FD2CBB" w:rsidRPr="00AC4A31" w14:paraId="14F6C211"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CD17DCC"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234</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6BD3DA6A"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LEVONE-CIRI</w:t>
            </w:r>
            <w:r>
              <w:rPr>
                <w:rFonts w:eastAsia="Times New Roman" w:cs="Calibri"/>
                <w:color w:val="000000"/>
                <w:sz w:val="20"/>
                <w:szCs w:val="20"/>
              </w:rPr>
              <w:t>É</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96F1682"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13</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5BF58C2"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72.573</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8BCFB05"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72.573</w:t>
            </w:r>
          </w:p>
        </w:tc>
      </w:tr>
      <w:tr w:rsidR="00FD2CBB" w:rsidRPr="00AC4A31" w14:paraId="0B1B1310"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97FB215"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240</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12DFBA68"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CARMAGNOLA-CANDIOLO- FIAT RIVALTA</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BFED50A"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13</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6A3FAF61"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57.799</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83818C5"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57.799</w:t>
            </w:r>
          </w:p>
        </w:tc>
      </w:tr>
      <w:tr w:rsidR="00FD2CBB" w:rsidRPr="00AC4A31" w14:paraId="6AD14871"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8B709F5"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241</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1105B7E0"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CARMAGNOLA-PRALORMO-POIRINO-FAVARI</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36BC4DF"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19</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86C7733"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68.678</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425D7B6"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68.678</w:t>
            </w:r>
          </w:p>
        </w:tc>
      </w:tr>
      <w:tr w:rsidR="00FD2CBB" w:rsidRPr="00AC4A31" w14:paraId="42A2CA7E"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9D50378"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242</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7BF30C80"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CARMAGNOLA-CARIGNANO-POIRINO</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63378B8"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10</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6FAB0C2C"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24.075</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0FFEF251"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24.075</w:t>
            </w:r>
          </w:p>
        </w:tc>
      </w:tr>
      <w:tr w:rsidR="00FD2CBB" w:rsidRPr="00AC4A31" w14:paraId="4422F2C7"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A3F1F08"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244</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62967F3F"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CANDIOLO-VINOVO-CARMAGNOLA</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29C9224"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15</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0B9F4B65"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35.555</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91C0CC6"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35.555</w:t>
            </w:r>
          </w:p>
        </w:tc>
      </w:tr>
      <w:tr w:rsidR="00FD2CBB" w:rsidRPr="00AC4A31" w14:paraId="26370D5C"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0BC89709"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252</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2956E679"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COAZZE-ORBASSANO-TORINO</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05D47E43"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35</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3FC7CB3"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152.581</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848A6E2"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152.581</w:t>
            </w:r>
          </w:p>
        </w:tc>
      </w:tr>
      <w:tr w:rsidR="00FD2CBB" w:rsidRPr="00AC4A31" w14:paraId="5741BC12"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908536C"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253</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3F751746"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COAZZE-AVIGLIANA-FERRIERE</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0A0AA562"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114</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57768FB"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178.241</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610350DB"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174.101</w:t>
            </w:r>
          </w:p>
        </w:tc>
      </w:tr>
      <w:tr w:rsidR="00FD2CBB" w:rsidRPr="00AC4A31" w14:paraId="1139F69A"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0FD8E891"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254</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0F5EB6FB"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GIAVENO-COLLE BRAIDA</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F9E666B"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16</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ACBE94B"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13.654</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BC1B498"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13.654</w:t>
            </w:r>
          </w:p>
        </w:tc>
      </w:tr>
      <w:tr w:rsidR="00FD2CBB" w:rsidRPr="00AC4A31" w14:paraId="48BFD8E6"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7B61B14"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260</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2039C3C1"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PANCALIERI-TORINO</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631795C2"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87</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AD91ABB"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370.974</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5E336F4"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369.348</w:t>
            </w:r>
          </w:p>
        </w:tc>
      </w:tr>
      <w:tr w:rsidR="00FD2CBB" w:rsidRPr="00AC4A31" w14:paraId="2B57269D"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02F0DA7B"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261</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6CFA5BE0"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CARIGNANO-LA LOGGIA-VINOVO-CANDIOLO</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BA38D3F"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2</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C6E97CF"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6.155</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9C2A596"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6.155</w:t>
            </w:r>
          </w:p>
        </w:tc>
      </w:tr>
      <w:tr w:rsidR="00FD2CBB" w:rsidRPr="00AC4A31" w14:paraId="719B1E37"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9711493"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264</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122F2671"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CASTAGNOLE P.TE-OSASIO-CARIGNANO</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5E28B21"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13</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F002ECE"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41.119</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510690E"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41.119</w:t>
            </w:r>
          </w:p>
        </w:tc>
      </w:tr>
      <w:tr w:rsidR="00FD2CBB" w:rsidRPr="00AC4A31" w14:paraId="019AAA1B"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66E325E7"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265</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33320DEC"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PONT-CAREMA-IVREA-TORINO</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24CEC01"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151</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C06B0F6"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1.004.771</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7BFBBF7"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1.004.987</w:t>
            </w:r>
          </w:p>
        </w:tc>
      </w:tr>
      <w:tr w:rsidR="00FD2CBB" w:rsidRPr="00AC4A31" w14:paraId="13D73DA3"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57C8A34"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266</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35CEAFCE"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TORINO-SALUGGIA STAB. SORIN</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53B38AE"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8</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BFA4E44"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29.318</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C99657D"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29.318</w:t>
            </w:r>
          </w:p>
        </w:tc>
      </w:tr>
      <w:tr w:rsidR="00FD2CBB" w:rsidRPr="00AC4A31" w14:paraId="2820FCA0"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36445CB"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267</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78D663B2"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TORINO-VINOVO-PIOBESI-CARIGNANO</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3BB9388"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191</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E17A996"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336.682</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CD1CFE2"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336.682</w:t>
            </w:r>
          </w:p>
        </w:tc>
      </w:tr>
      <w:tr w:rsidR="00FD2CBB" w:rsidRPr="00AC4A31" w14:paraId="6843EE3B"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48852B4"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268</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4CD98F4B"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TORINO-CASELLE AEROPORTO</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15B0A29"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382</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CA19F89"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785.366</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F72200A"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382.677</w:t>
            </w:r>
          </w:p>
        </w:tc>
      </w:tr>
      <w:tr w:rsidR="00FD2CBB" w:rsidRPr="00AC4A31" w14:paraId="7EDD1DE4"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1173C08"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274</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4366B647"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SUSA FS-BUSSOLENO-FERRIERA TEKSID</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66BA48C"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43</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A947821"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220.840</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CD1920F"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220.840</w:t>
            </w:r>
          </w:p>
        </w:tc>
      </w:tr>
      <w:tr w:rsidR="00FD2CBB" w:rsidRPr="00AC4A31" w14:paraId="558211DF"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03D0A8DF"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275</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76EB1BFF"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SESTRIERE-PEROSA A.-TORINO</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49DED30"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227</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9A1257A"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1.163.225</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6278766"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1.163.225</w:t>
            </w:r>
          </w:p>
        </w:tc>
      </w:tr>
      <w:tr w:rsidR="00FD2CBB" w:rsidRPr="00AC4A31" w14:paraId="51CDE9C9"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9F46C3A"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277</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30E8F391"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TORINO-TROFARELLO-AIRASCA-NONE</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3D4DD4F"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40</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83B2585"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211.853</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01B490B"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211.853</w:t>
            </w:r>
          </w:p>
        </w:tc>
      </w:tr>
      <w:tr w:rsidR="00FD2CBB" w:rsidRPr="00AC4A31" w14:paraId="7610D346"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638EA619"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278</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7287045D"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PINEROLO-VIGONE-CERCENASCO CON PROL.</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0BF6A95"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39</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0A68A748"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142.360</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6BE61DC4"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142.360</w:t>
            </w:r>
          </w:p>
        </w:tc>
      </w:tr>
      <w:tr w:rsidR="00FD2CBB" w:rsidRPr="00AC4A31" w14:paraId="3A146337"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E8613FF"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279</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78BA094E"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BOBBIO PELLICE-PINEROLO</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403F64A"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70</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70C3F95"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137.898</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BF03B01"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137.898</w:t>
            </w:r>
          </w:p>
        </w:tc>
      </w:tr>
      <w:tr w:rsidR="00FD2CBB" w:rsidRPr="00AC4A31" w14:paraId="3B3AEB8F"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B2F0441"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280</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15C31233"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BARGE-PINEROLO</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79DE72C"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23</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FBA691C"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149.427</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D5F4731"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149.427</w:t>
            </w:r>
          </w:p>
        </w:tc>
      </w:tr>
      <w:tr w:rsidR="00FD2CBB" w:rsidRPr="00AC4A31" w14:paraId="3493D10C"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E6B8EBC"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281</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5F4FAE91"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LINEE SCOLASTICHE DEL PINEROLESE</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0EE8DC93"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90</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662BC76"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220.466</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64E4B22A"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220.466</w:t>
            </w:r>
          </w:p>
        </w:tc>
      </w:tr>
      <w:tr w:rsidR="00FD2CBB" w:rsidRPr="00AC4A31" w14:paraId="472BE9A2"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5C78065"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282</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71955DA8"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PEROSA ARG.-PINEROLO-TORINO</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0A36F45D"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107</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94950D9"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683.451</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0CAF9676"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683.451</w:t>
            </w:r>
          </w:p>
        </w:tc>
      </w:tr>
      <w:tr w:rsidR="00FD2CBB" w:rsidRPr="00AC4A31" w14:paraId="1474D433"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AAED19A"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283</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1FABF46A"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PINEROLO-CANTALUPA</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2CC368A"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54</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0F55102C"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132.177</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D5A18C3"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132.177</w:t>
            </w:r>
          </w:p>
        </w:tc>
      </w:tr>
      <w:tr w:rsidR="00FD2CBB" w:rsidRPr="00AC4A31" w14:paraId="01DFF0C0"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60FD5675"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284</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71EAAD9A"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BOBBIO PELLICE-PINEROLO-TORINO</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312EAC0"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65</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7C4A0B1"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396.530</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6D557114"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396.530</w:t>
            </w:r>
          </w:p>
        </w:tc>
      </w:tr>
      <w:tr w:rsidR="00FD2CBB" w:rsidRPr="00AC4A31" w14:paraId="3AE639E4"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07239932"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285</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7BB8C36B"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OULX-CESANA-CLAVIERE</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A2DCFCD"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122</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A89EAC7"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346.808</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8009F26"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346.808</w:t>
            </w:r>
          </w:p>
        </w:tc>
      </w:tr>
      <w:tr w:rsidR="00FD2CBB" w:rsidRPr="00AC4A31" w14:paraId="367BDB93"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D47A570"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286</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30A289B6"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SUSA FS-BUSSOLENO FS-VILLARFOCCHIARDO CON DIR E PROL.</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6689E4A8"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96</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315DD31"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175.724</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08D38AAE"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175.724</w:t>
            </w:r>
          </w:p>
        </w:tc>
      </w:tr>
      <w:tr w:rsidR="00FD2CBB" w:rsidRPr="00AC4A31" w14:paraId="2B3C6668"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8A3703E"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287</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4115CC32"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MERCATALE MOMPANTERO-SUSA</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C47738D"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2</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C28DCCF"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1530</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6ABE351"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1530</w:t>
            </w:r>
          </w:p>
        </w:tc>
      </w:tr>
      <w:tr w:rsidR="00FD2CBB" w:rsidRPr="00AC4A31" w14:paraId="2886C663"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7315E4D"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294</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4BFB847E"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BARGE-LUSERNA S.G.-TORRE PELLICE</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0B16AB6C"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14</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FBAF2F2"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45.366</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2072E44"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45.366</w:t>
            </w:r>
          </w:p>
        </w:tc>
      </w:tr>
      <w:tr w:rsidR="00FD2CBB" w:rsidRPr="00AC4A31" w14:paraId="69F651DD"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5759C14"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296</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1BF19C7C"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TORRE PELLICE-LUSERNA-PINEROLO</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F0D0622"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2</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1B10BF6"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5.410</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024AC65"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5.410</w:t>
            </w:r>
          </w:p>
        </w:tc>
      </w:tr>
      <w:tr w:rsidR="00FD2CBB" w:rsidRPr="00AC4A31" w14:paraId="2FA7FDD4"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9AF8DD0"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298</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4EE02813"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BARGE-BAGNOLO-PINEROLO CON PROL.</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086E2DA2"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63</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05D95355"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176.259</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D5E8F2F"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176.259</w:t>
            </w:r>
          </w:p>
        </w:tc>
      </w:tr>
      <w:tr w:rsidR="00FD2CBB" w:rsidRPr="00AC4A31" w14:paraId="66A14F28"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AC17C50"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301</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4BCB0225"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MORETTA-AIRASCA STAB. RIV/SKF</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61E33A9"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8</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0FB0BBA8"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42.300</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0A1BC6AB"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42.300</w:t>
            </w:r>
          </w:p>
        </w:tc>
      </w:tr>
      <w:tr w:rsidR="00FD2CBB" w:rsidRPr="00AC4A31" w14:paraId="3D079C25"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566A4D8"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303</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5DCEE136"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PEROSA A.-PRALI</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64A2C04A"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51</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2B7B165"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106.858</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6C1D59B6"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106.858</w:t>
            </w:r>
          </w:p>
        </w:tc>
      </w:tr>
      <w:tr w:rsidR="00FD2CBB" w:rsidRPr="00AC4A31" w14:paraId="340E9AC4"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67FE0930"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304</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17B356CC"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MURIAGLIO-CASTELLAMONTE-VALPERGA</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6159A36"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14</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5C9FC1C"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22.945</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00D986A2"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22.945</w:t>
            </w:r>
          </w:p>
        </w:tc>
      </w:tr>
      <w:tr w:rsidR="00FD2CBB" w:rsidRPr="00AC4A31" w14:paraId="38923494"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F542799"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308</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4A7FE81E"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CASTELLAMONTE-AGLI</w:t>
            </w:r>
            <w:r>
              <w:rPr>
                <w:rFonts w:eastAsia="Times New Roman" w:cs="Calibri"/>
                <w:color w:val="000000"/>
                <w:sz w:val="20"/>
                <w:szCs w:val="20"/>
              </w:rPr>
              <w:t>É</w:t>
            </w:r>
            <w:r w:rsidRPr="00AC4A31">
              <w:rPr>
                <w:rFonts w:eastAsia="Times New Roman" w:cs="Calibri"/>
                <w:color w:val="000000"/>
                <w:sz w:val="20"/>
                <w:szCs w:val="20"/>
              </w:rPr>
              <w:t>-CALUSO</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7F8ACB1"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11</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0A05BFBF"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60.726</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999B3C4"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60.726</w:t>
            </w:r>
          </w:p>
        </w:tc>
      </w:tr>
      <w:tr w:rsidR="00FD2CBB" w:rsidRPr="00AC4A31" w14:paraId="007461B1"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BF7EB74"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309</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5110AB3D"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VIALFR</w:t>
            </w:r>
            <w:r>
              <w:rPr>
                <w:rFonts w:eastAsia="Times New Roman" w:cs="Calibri"/>
                <w:color w:val="000000"/>
                <w:sz w:val="20"/>
                <w:szCs w:val="20"/>
              </w:rPr>
              <w:t>É</w:t>
            </w:r>
            <w:r w:rsidRPr="00AC4A31">
              <w:rPr>
                <w:rFonts w:eastAsia="Times New Roman" w:cs="Calibri"/>
                <w:color w:val="000000"/>
                <w:sz w:val="20"/>
                <w:szCs w:val="20"/>
              </w:rPr>
              <w:t>-ORIO-BARONE-CALUSO</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078624CC"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5</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03E4D39"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18.016</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1255681"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18.016</w:t>
            </w:r>
          </w:p>
        </w:tc>
      </w:tr>
      <w:tr w:rsidR="00FD2CBB" w:rsidRPr="00AC4A31" w14:paraId="6BCC24F3"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0BD47A14"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310</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715BFC46"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VILLAREGGIA-CALUSO</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0E9F8CF"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8</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AFB0AAB"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10.757</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6BD52A7E"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10.757</w:t>
            </w:r>
          </w:p>
        </w:tc>
      </w:tr>
      <w:tr w:rsidR="00FD2CBB" w:rsidRPr="00AC4A31" w14:paraId="4300BD69"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1B25DD0"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lastRenderedPageBreak/>
              <w:t>344</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02C5BED2"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BRUINO-AVIGLIANA</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73631FD"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4</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5289D7D"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6.692</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22EA871"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6.692</w:t>
            </w:r>
          </w:p>
        </w:tc>
      </w:tr>
      <w:tr w:rsidR="00FD2CBB" w:rsidRPr="00AC4A31" w14:paraId="1601865B"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0E6F2E21"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345</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5A495851"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TORINO-ANZASCO CON DIR. E PROL.</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ACDFB55"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86</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B2FD8E6"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289.942</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5A0D468"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289.942</w:t>
            </w:r>
          </w:p>
        </w:tc>
      </w:tr>
      <w:tr w:rsidR="00FD2CBB" w:rsidRPr="00AC4A31" w14:paraId="77C72962"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38C0C1A"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346</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3EB92061"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SALUSSOLA-CAVAGLIA'-CIGLIANO-RONDISSONE-CASTELROSSO</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F1C0865"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2</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17AFEC1"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9.913</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68C19D0"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9.913</w:t>
            </w:r>
          </w:p>
        </w:tc>
      </w:tr>
      <w:tr w:rsidR="00FD2CBB" w:rsidRPr="00AC4A31" w14:paraId="66788578"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E8B994D"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348</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3C84ECD3"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ALICE C.-LIVORNO F.-CIGLIANO-IVREA</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27E29ED"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44</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D1B49AE"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131.995</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AE67739"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131.995</w:t>
            </w:r>
          </w:p>
        </w:tc>
      </w:tr>
      <w:tr w:rsidR="00FD2CBB" w:rsidRPr="00AC4A31" w14:paraId="52C3272A"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8A53C8A"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353</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36103BD9"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CASELETTE-ALPIGNANO-AVIGLIANA CON PROL.</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7D4B2C6"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10</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5DB1F96"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29.056</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6257862C"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20.366</w:t>
            </w:r>
          </w:p>
        </w:tc>
      </w:tr>
      <w:tr w:rsidR="00FD2CBB" w:rsidRPr="00AC4A31" w14:paraId="71D9F6C4"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3C266A7"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357</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73E8D9D3"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PEROSA-CALUSO</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6F96698"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5</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68E1A145"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15.013</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2F4BBEB"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15.013</w:t>
            </w:r>
          </w:p>
        </w:tc>
      </w:tr>
      <w:tr w:rsidR="00FD2CBB" w:rsidRPr="00AC4A31" w14:paraId="7A2339ED"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1DCB995"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358</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1BC8770D"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CAVAGLIA'-PIVERONE-IVREA</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48BF31A"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25</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7FA344B"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48.886</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4B4E0DD"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48.886</w:t>
            </w:r>
          </w:p>
        </w:tc>
      </w:tr>
      <w:tr w:rsidR="00FD2CBB" w:rsidRPr="00AC4A31" w14:paraId="5E76FC7E"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472296B"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364</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1AABAC24"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LOMBRIASCO-CARMAGNOLA</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6F79261"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10</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2B78103"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12.542</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4DD0789"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12.024</w:t>
            </w:r>
          </w:p>
        </w:tc>
      </w:tr>
      <w:tr w:rsidR="00FD2CBB" w:rsidRPr="00AC4A31" w14:paraId="78504721"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5C15301"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386</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349A100D"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PONTE PIETRA-COAZZE-GIAVENO-PINEROLO</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5668F87"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28</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A9CE87D"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137.274</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08FD0F7"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137.274</w:t>
            </w:r>
          </w:p>
        </w:tc>
      </w:tr>
      <w:tr w:rsidR="00FD2CBB" w:rsidRPr="00AC4A31" w14:paraId="6B9A23A2"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AC5AE0E"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400</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4CB32CAC"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BALME-CERES-LANZO</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0C5974E"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9</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074A567E"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25.393</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9E4DA5E"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19.538</w:t>
            </w:r>
          </w:p>
        </w:tc>
      </w:tr>
      <w:tr w:rsidR="00FD2CBB" w:rsidRPr="00AC4A31" w14:paraId="41B78458"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355F5BD"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401</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63C11F1C"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LANZO-CORIO</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02D37202"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4</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04C95B5F"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9.996</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BC2F82C"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9.996</w:t>
            </w:r>
          </w:p>
        </w:tc>
      </w:tr>
      <w:tr w:rsidR="00FD2CBB" w:rsidRPr="00AC4A31" w14:paraId="11E63178"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85D02C1"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402</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633F7755"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FORNO ALPI GRAIE-GROSCAVALLO-CIRI</w:t>
            </w:r>
            <w:r>
              <w:rPr>
                <w:rFonts w:eastAsia="Times New Roman" w:cs="Calibri"/>
                <w:color w:val="000000"/>
                <w:sz w:val="20"/>
                <w:szCs w:val="20"/>
              </w:rPr>
              <w:t>É</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4D1F430"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9</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5919606"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25.739</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D35540C"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19.884</w:t>
            </w:r>
          </w:p>
        </w:tc>
      </w:tr>
      <w:tr w:rsidR="00FD2CBB" w:rsidRPr="00AC4A31" w14:paraId="20F26637"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7048BA8"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403</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146E7550"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BALME-CERES (trasporto disabili)</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6C974A43"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2</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0308E222"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2.062</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06D7D426"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2.062</w:t>
            </w:r>
          </w:p>
        </w:tc>
      </w:tr>
      <w:tr w:rsidR="00FD2CBB" w:rsidRPr="00AC4A31" w14:paraId="64F2379D"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0E47FD21"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431</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7AC68535"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PIOBESI-VINOVO-LA LOGGIA-MONCALIERI</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CF13CE0"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8</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DB92DEC"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18.999</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04239AB1"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18.999</w:t>
            </w:r>
          </w:p>
        </w:tc>
      </w:tr>
      <w:tr w:rsidR="00FD2CBB" w:rsidRPr="00AC4A31" w14:paraId="70CC4ABC"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B4C6E88"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436</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7E3931D7"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CASELETTE-ALMESE-CONDOVE-BUSSOLENO-SUSA</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33A0E85"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35</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54C099E"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100.096</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119AB45"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100.096</w:t>
            </w:r>
          </w:p>
        </w:tc>
      </w:tr>
      <w:tr w:rsidR="00FD2CBB" w:rsidRPr="00AC4A31" w14:paraId="6E446E13"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685BF1E0"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437</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2A5B07A7"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ROCCA-RIVAROLO</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01414D04"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4</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1344089"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13.602</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0C9C9673"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13.602</w:t>
            </w:r>
          </w:p>
        </w:tc>
      </w:tr>
      <w:tr w:rsidR="00FD2CBB" w:rsidRPr="00AC4A31" w14:paraId="68909CA9"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23FC6DD"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438</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73BCDEC7"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TORRE PELLICE-LUSERNA S.G.-SAN SECONDO-OSASCO</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FBB77F9"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4</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5F652B7"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11.484</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5D0065B"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11.484</w:t>
            </w:r>
          </w:p>
        </w:tc>
      </w:tr>
      <w:tr w:rsidR="00FD2CBB" w:rsidRPr="00AC4A31" w14:paraId="24E5FB5D"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0ED6E3CD"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445</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64EDF23B"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CHIVASSO-CALUSO</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772BB92"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6</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792865D"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11.726</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B396BB6"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11.726</w:t>
            </w:r>
          </w:p>
        </w:tc>
      </w:tr>
      <w:tr w:rsidR="00FD2CBB" w:rsidRPr="00AC4A31" w14:paraId="42D4F6C2"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5E8D4E3"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446</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703BC17C"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TORRE PELLICE-CAVOUR (SALUZZO)</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F7A94A7"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5</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CA5A601"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12.347</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9DE5E50"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12.347</w:t>
            </w:r>
          </w:p>
        </w:tc>
      </w:tr>
      <w:tr w:rsidR="00FD2CBB" w:rsidRPr="00AC4A31" w14:paraId="3D0B9862"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F0B4631"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500</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6E90BE35"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PEROSA ARGENTINA - VILLAR PEROSA</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1DDF38F"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10</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AD59BF9"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9.322</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6FCD964A"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9.322</w:t>
            </w:r>
          </w:p>
        </w:tc>
      </w:tr>
      <w:tr w:rsidR="00FD2CBB" w:rsidRPr="00AC4A31" w14:paraId="3C20BE05"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00E1B90E"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525</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6E84EC34"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CERES - PIANEZZA</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C6687D7"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4</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04763FB7"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15.255</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77705A7"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15.255</w:t>
            </w:r>
          </w:p>
        </w:tc>
      </w:tr>
      <w:tr w:rsidR="00FD2CBB" w:rsidRPr="00AC4A31" w14:paraId="365157BC"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F26A44D"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544</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1879F9B0"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CUORGN</w:t>
            </w:r>
            <w:r>
              <w:rPr>
                <w:rFonts w:eastAsia="Times New Roman" w:cs="Calibri"/>
                <w:color w:val="000000"/>
                <w:sz w:val="20"/>
                <w:szCs w:val="20"/>
              </w:rPr>
              <w:t>É</w:t>
            </w:r>
            <w:r w:rsidRPr="00AC4A31">
              <w:rPr>
                <w:rFonts w:eastAsia="Times New Roman" w:cs="Calibri"/>
                <w:color w:val="000000"/>
                <w:sz w:val="20"/>
                <w:szCs w:val="20"/>
              </w:rPr>
              <w:t>-FAIALLO-FRASSINETTO</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A6C9501"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5</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29D0674"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11.661</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6D0D67BB"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11.661</w:t>
            </w:r>
          </w:p>
        </w:tc>
      </w:tr>
      <w:tr w:rsidR="00FD2CBB" w:rsidRPr="00AC4A31" w14:paraId="54681060"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699FA93A"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720</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2D2BFF6C"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PUGNETTO-TRAVES-GERMAGNANO-LANZO</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0BF2948D"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2</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4398F2E"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5.602</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F36CD1F"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5.602</w:t>
            </w:r>
          </w:p>
        </w:tc>
      </w:tr>
      <w:tr w:rsidR="00FD2CBB" w:rsidRPr="00AC4A31" w14:paraId="475494D4"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7492537"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901</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0C258FDE"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TORINO-PINEROLO-TORRE PELLICE</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80CE5CF"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66</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1D8E57B"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318.070</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8E86AC3"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318.070</w:t>
            </w:r>
          </w:p>
        </w:tc>
      </w:tr>
      <w:tr w:rsidR="00FD2CBB" w:rsidRPr="00AC4A31" w14:paraId="14FF4155"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2DE68A1"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902</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79609345"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OULX-BARDONECCHIA-MODANE / SERVIZIO SOSTITUTIVO FERROVIARIO</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08FEB368"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14</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E3561A4"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93.232</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0EFA7A5"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93.232</w:t>
            </w:r>
          </w:p>
        </w:tc>
      </w:tr>
      <w:tr w:rsidR="00FD2CBB" w:rsidRPr="00AC4A31" w14:paraId="726C2F07"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F7A0BEF"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904</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28289030"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IVREA-CHIVASSO / SERVIZIO SOSTITUTIVO FERROVIARIO</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7305C67"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3</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555A286"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30.431</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148D6FB"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30.431</w:t>
            </w:r>
          </w:p>
        </w:tc>
      </w:tr>
      <w:tr w:rsidR="00FD2CBB" w:rsidRPr="00AC4A31" w14:paraId="2E5CB837"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B550333"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905</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4768857B"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SUSA-BUSSOLENO-OULX / SERVIZIO SOSTITUTIVO FERROVIARIO</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0FD5A43E"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13</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20A88DC"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22.538</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9312B73"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22.538</w:t>
            </w:r>
          </w:p>
        </w:tc>
      </w:tr>
      <w:tr w:rsidR="00FD2CBB" w:rsidRPr="00AC4A31" w14:paraId="579B1317"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613DCDD"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1068</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330CDDAE"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COLLEGNO/FERMI-ALPIGNANO-CONDOVE</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0FA13C6C"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35</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797B767"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233.222</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263BEC9"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233.222</w:t>
            </w:r>
          </w:p>
        </w:tc>
      </w:tr>
      <w:tr w:rsidR="00FD2CBB" w:rsidRPr="00AC4A31" w14:paraId="34896561"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3382CAC"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1085</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4D16C216"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TORINO-FIAT RIVALTA - PIOSSASCO</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D20ACB7"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24</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698EE9CE"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135.984</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AAC7175"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135.984</w:t>
            </w:r>
          </w:p>
        </w:tc>
      </w:tr>
      <w:tr w:rsidR="00FD2CBB" w:rsidRPr="00AC4A31" w14:paraId="7EA6934B"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60305D8"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1086</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0D03ED83"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RIVOLI-VILLARBASSE-REANO CON PROL.TRANA</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6ABB7D59"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38</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5C4B977"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77.029</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70BE6EA"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77.029</w:t>
            </w:r>
          </w:p>
        </w:tc>
      </w:tr>
      <w:tr w:rsidR="00FD2CBB" w:rsidRPr="00AC4A31" w14:paraId="3F3FF354"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76DA0DA"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1087</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23C0A7BC"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RIVOLI-ROSTA-AVIGLIANA</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0EF9749"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24</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28BAA00"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61.118</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305C413"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61.118</w:t>
            </w:r>
          </w:p>
        </w:tc>
      </w:tr>
      <w:tr w:rsidR="00FD2CBB" w:rsidRPr="00AC4A31" w14:paraId="1B454DA8"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366C30C"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1091</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68555B8E"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COLLEGNO/FERMI-AVIGLIANA-RUBIANA</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DA63945"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67</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CEFC802"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223.580</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5D8DA8D"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223.580</w:t>
            </w:r>
          </w:p>
        </w:tc>
      </w:tr>
      <w:tr w:rsidR="00FD2CBB" w:rsidRPr="00AC4A31" w14:paraId="689077CF"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CC0F861"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1117</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22056C9E"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COLLEGNO FERMI - FIAT RIVALTA</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524B8E6"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4</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CD61EAE"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23.791</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D63CBDC"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23.791</w:t>
            </w:r>
          </w:p>
        </w:tc>
      </w:tr>
      <w:tr w:rsidR="00FD2CBB" w:rsidRPr="00AC4A31" w14:paraId="56E66798"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09512595"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1128</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091B6F64"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BORGATA ADRIT-S.GIORIO-BUSSOLENO</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C8D13E2"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60</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B40CD05"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61.161</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00625D7"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61.161</w:t>
            </w:r>
          </w:p>
        </w:tc>
      </w:tr>
      <w:tr w:rsidR="00FD2CBB" w:rsidRPr="00AC4A31" w14:paraId="4424E364"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60211ECA"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1224</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71A70CC9"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BUSSOLENO-AVIGLIANA-RIVOLI</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0A28051"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10</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652182A8"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38.455</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19E6210"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38.455</w:t>
            </w:r>
          </w:p>
        </w:tc>
      </w:tr>
      <w:tr w:rsidR="00FD2CBB" w:rsidRPr="00AC4A31" w14:paraId="6C908DA2"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6345C87"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1335</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31CE81C8"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RIVOLI-GRUGLIASCO-SAN MAURO (STAB. NEW HOLLAND KOBELCO)</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A55AE38"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2</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4098F02"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10.988</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DC01273"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10.988</w:t>
            </w:r>
          </w:p>
        </w:tc>
      </w:tr>
      <w:tr w:rsidR="00FD2CBB" w:rsidRPr="00AC4A31" w14:paraId="65C0767E"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0096611D"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1432</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24184052"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ALPIGNANO-RIVOLI-RIVALTA-ORBASSANO-VOLVERA</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16858C4"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98</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B22276A"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429.082</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84EE553"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429.082</w:t>
            </w:r>
          </w:p>
        </w:tc>
      </w:tr>
      <w:tr w:rsidR="00FD2CBB" w:rsidRPr="00AC4A31" w14:paraId="74A661C8"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38EBBB5"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1435</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35C3D2DD"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TORINO - CAAT - ORBASSANO SITO</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47D4665"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21</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5026FED"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62.778</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098CABC5"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62.778</w:t>
            </w:r>
          </w:p>
        </w:tc>
      </w:tr>
      <w:tr w:rsidR="00FD2CBB" w:rsidRPr="00AC4A31" w14:paraId="39DB2566"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E021EDB"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1442</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2266924D"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NICHELINO-TORINO-FERRIERA (STAB.TEKSID)</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407462C"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6</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61BFAA6"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54.542</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6A6B8506"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54.542</w:t>
            </w:r>
          </w:p>
        </w:tc>
      </w:tr>
      <w:tr w:rsidR="00FD2CBB" w:rsidRPr="00AC4A31" w14:paraId="69B0EBBE"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7369B50"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1510</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74F11D0F"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TORINO-CUMIANA-GIAVENO (Pinerolo)</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60F4AFD9"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296</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60B0B26"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796.708</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0B77930"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796.708</w:t>
            </w:r>
          </w:p>
        </w:tc>
      </w:tr>
      <w:tr w:rsidR="00FD2CBB" w:rsidRPr="00AC4A31" w14:paraId="4B0314DC"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350D8E6"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1511</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0F9DD995"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TORINO-CUMIANA-GIAVENO (SUSA)</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5B0DD6E"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98</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D2B968E"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490.211</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6C3BBE5E"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490.211</w:t>
            </w:r>
          </w:p>
        </w:tc>
      </w:tr>
      <w:tr w:rsidR="00FD2CBB" w:rsidRPr="00AC4A31" w14:paraId="2D37207F"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0440760"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1514</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5CDBC457"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GIAVENO-FIAT RIVALTA (Pinerolo)</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6082EF8"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10</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2FED97B"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42.500</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5EA010C"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42.500</w:t>
            </w:r>
          </w:p>
        </w:tc>
      </w:tr>
      <w:tr w:rsidR="00FD2CBB" w:rsidRPr="00AC4A31" w14:paraId="23C8CA6F"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6E67AC9"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2073</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430131E8"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MONCALIERI -CARMAGNOLA</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FE476A9"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13</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AA90205"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48.937</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60BF3E60"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48.937</w:t>
            </w:r>
          </w:p>
        </w:tc>
      </w:tr>
      <w:tr w:rsidR="00FD2CBB" w:rsidRPr="00AC4A31" w14:paraId="4B0F0C06"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690ACAD4"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2075</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5E14244B"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TROFARELLO-NICHELINO-FIAT RIVALTA</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5C1460F"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8</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2A98E1C"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53.194</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DBD87C9"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53.194</w:t>
            </w:r>
          </w:p>
        </w:tc>
      </w:tr>
      <w:tr w:rsidR="00FD2CBB" w:rsidRPr="00AC4A31" w14:paraId="5AD84353"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B4D3280"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2354</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7B9716B0"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CARIGNANO-SANTENA-CAMBIANO</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6E4E54FF"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17</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E1FAC9A"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34.941</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02D746D"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34.941</w:t>
            </w:r>
          </w:p>
        </w:tc>
      </w:tr>
      <w:tr w:rsidR="00FD2CBB" w:rsidRPr="00AC4A31" w14:paraId="0980CCFA"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59BBD2A"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3092</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32B4D152"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FORNO-TORINO</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DCF0131"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54</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696D9CCD"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351.184</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D2542CF"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351.184</w:t>
            </w:r>
          </w:p>
        </w:tc>
      </w:tr>
      <w:tr w:rsidR="00FD2CBB" w:rsidRPr="00AC4A31" w14:paraId="1BEB4119"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D445B21"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3096</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3268BF54"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GASSINO-SCIOLZE</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780D826"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20</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4F11375"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56.652</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F84277A"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56.652</w:t>
            </w:r>
          </w:p>
        </w:tc>
      </w:tr>
      <w:tr w:rsidR="00FD2CBB" w:rsidRPr="00AC4A31" w14:paraId="5D05726C"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B2D2464"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lastRenderedPageBreak/>
              <w:t>3106</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7DD9CEAA"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CRESCENTINO-CHIVASSO-TORINO FIAT MIRAFIORI</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7DA54C2"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22</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DF259D5"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174.759</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56D4BE5"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174.759</w:t>
            </w:r>
          </w:p>
        </w:tc>
      </w:tr>
      <w:tr w:rsidR="00FD2CBB" w:rsidRPr="00AC4A31" w14:paraId="76BCF453"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5037818"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3107</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612308E8"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BRUSASCO-SETTIMO-TORINO</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819A478"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157</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AC7508F"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609.210</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B6A43EF"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609.210</w:t>
            </w:r>
          </w:p>
        </w:tc>
      </w:tr>
      <w:tr w:rsidR="00FD2CBB" w:rsidRPr="00AC4A31" w14:paraId="73138A48"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9F5FF73"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3121</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7D55BCCF"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CASTAGNETO PO-CHIVASSO</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D394FD4"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22</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AB850F4"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25.779</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0C0691C9"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25.779</w:t>
            </w:r>
          </w:p>
        </w:tc>
      </w:tr>
      <w:tr w:rsidR="00FD2CBB" w:rsidRPr="00AC4A31" w14:paraId="7A3A70A0"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FACEA2F"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3131</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37A0FAFF"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TORINO-LEIN</w:t>
            </w:r>
            <w:r>
              <w:rPr>
                <w:rFonts w:eastAsia="Times New Roman" w:cs="Calibri"/>
                <w:color w:val="000000"/>
                <w:sz w:val="20"/>
                <w:szCs w:val="20"/>
              </w:rPr>
              <w:t>Ì</w:t>
            </w:r>
            <w:r w:rsidRPr="00AC4A31">
              <w:rPr>
                <w:rFonts w:eastAsia="Times New Roman" w:cs="Calibri"/>
                <w:color w:val="000000"/>
                <w:sz w:val="20"/>
                <w:szCs w:val="20"/>
              </w:rPr>
              <w:t>-RIVAROLO</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5C9CE05"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18</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9F1774D"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103.536</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F7A8483"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103.536</w:t>
            </w:r>
          </w:p>
        </w:tc>
      </w:tr>
      <w:tr w:rsidR="00FD2CBB" w:rsidRPr="00AC4A31" w14:paraId="60C4FB32"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EFF9E91"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3132</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1F72DEA5"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RIVAROLO-CASTELLAMONTE</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4D41BBD"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51</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838D331"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110.707</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70AB4C0"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110.707</w:t>
            </w:r>
          </w:p>
        </w:tc>
      </w:tr>
      <w:tr w:rsidR="00FD2CBB" w:rsidRPr="00AC4A31" w14:paraId="0DA650E6"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FE59802"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3133</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260585AE"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TORINO-IVREA</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CE62EEA"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62</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65A2A484"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496.118</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B8E502B"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496.118</w:t>
            </w:r>
          </w:p>
        </w:tc>
      </w:tr>
      <w:tr w:rsidR="00FD2CBB" w:rsidRPr="00AC4A31" w14:paraId="6D4200FD"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07A41C6"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3160</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2D3A27F1"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LANZO-VIU'-USSEGLIO</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B1B0851"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53</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71AD501"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95.289</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6B6A6F70"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95.289</w:t>
            </w:r>
          </w:p>
        </w:tc>
      </w:tr>
      <w:tr w:rsidR="00FD2CBB" w:rsidRPr="00AC4A31" w14:paraId="27EC616F"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82CD9EE"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3165</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0BB14838"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TORINO-CIRI</w:t>
            </w:r>
            <w:r>
              <w:rPr>
                <w:rFonts w:eastAsia="Times New Roman" w:cs="Calibri"/>
                <w:color w:val="000000"/>
                <w:sz w:val="20"/>
                <w:szCs w:val="20"/>
              </w:rPr>
              <w:t>É</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B2C4E22"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25</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DBE3442"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19.713</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64E7B3DF"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19.713</w:t>
            </w:r>
          </w:p>
        </w:tc>
      </w:tr>
      <w:tr w:rsidR="00FD2CBB" w:rsidRPr="00AC4A31" w14:paraId="2721BD05"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262969F"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3166</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0B392D8D"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TORINO-CEBROSA-VOLPIANO-SAN BENIGNO</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B954142"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20</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7F53BF3"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95.852</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6098AE1"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95.852</w:t>
            </w:r>
          </w:p>
        </w:tc>
      </w:tr>
      <w:tr w:rsidR="00FD2CBB" w:rsidRPr="00AC4A31" w14:paraId="302070A9"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45D3624"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3316</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16F2EE4E"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RONDISSONE-CHIVASSO</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00ACD70B"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25</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01C27706"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62.928</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C5CD33C"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62.928</w:t>
            </w:r>
          </w:p>
        </w:tc>
      </w:tr>
      <w:tr w:rsidR="00FD2CBB" w:rsidRPr="00AC4A31" w14:paraId="35AC74FB"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678ED600"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3321</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6DB4B4F2"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MONTALENGHE-FOGLIZZO-CHIVASSO</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88EA27F"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12</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2FCC246"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47.940</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5B5ACA1"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47.940</w:t>
            </w:r>
          </w:p>
        </w:tc>
      </w:tr>
      <w:tr w:rsidR="00FD2CBB" w:rsidRPr="00AC4A31" w14:paraId="288A2774"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4108884"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3329</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795206CB"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LANZO-TORINO FIAT MIRAFIORI</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ADB8797"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8</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2ED90C9"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74.344</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ED83C32"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74.344</w:t>
            </w:r>
          </w:p>
        </w:tc>
      </w:tr>
      <w:tr w:rsidR="00FD2CBB" w:rsidRPr="00AC4A31" w14:paraId="7CD0E372"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7184616"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3331</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594595A1"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VERRUA SAVOIA-CRESCENTINO-BRUSASCO</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D8A20F2"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17</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71ECD7E"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44.759</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3BE0BA1"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44.759</w:t>
            </w:r>
          </w:p>
        </w:tc>
      </w:tr>
      <w:tr w:rsidR="00FD2CBB" w:rsidRPr="00AC4A31" w14:paraId="3A9CDD2E"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4B282F3"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3381</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7F568BE6"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CUORGN</w:t>
            </w:r>
            <w:r>
              <w:rPr>
                <w:rFonts w:eastAsia="Times New Roman" w:cs="Calibri"/>
                <w:color w:val="000000"/>
                <w:sz w:val="20"/>
                <w:szCs w:val="20"/>
              </w:rPr>
              <w:t>É</w:t>
            </w:r>
            <w:r w:rsidRPr="00AC4A31">
              <w:rPr>
                <w:rFonts w:eastAsia="Times New Roman" w:cs="Calibri"/>
                <w:color w:val="000000"/>
                <w:sz w:val="20"/>
                <w:szCs w:val="20"/>
              </w:rPr>
              <w:t>-CASELLE</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641FEDA"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2</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CDAB442"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14.113</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0D421143"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14.113</w:t>
            </w:r>
          </w:p>
        </w:tc>
      </w:tr>
      <w:tr w:rsidR="00FD2CBB" w:rsidRPr="00AC4A31" w14:paraId="6DC42A8B"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EDDFD23"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3382</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1544EFE0"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TORINO-CASELLE (STAB. ALENIA)</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0B314C8"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5</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130FD2B"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23.137</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0F6D4386"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23.137</w:t>
            </w:r>
          </w:p>
        </w:tc>
      </w:tr>
      <w:tr w:rsidR="00FD2CBB" w:rsidRPr="00AC4A31" w14:paraId="6EA6595D"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9A0FF8C"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3428</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50786ACF"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RIVAROSSA-FRONT-FAVRIA</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6A675F2"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3</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B078A39"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7.899</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B4E8738"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7.899</w:t>
            </w:r>
          </w:p>
        </w:tc>
      </w:tr>
      <w:tr w:rsidR="00FD2CBB" w:rsidRPr="00AC4A31" w14:paraId="79017E36"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EBF45CF"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3429</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0AE60E50"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S.BENIGNO-LEIN</w:t>
            </w:r>
            <w:r>
              <w:rPr>
                <w:rFonts w:eastAsia="Times New Roman" w:cs="Calibri"/>
                <w:color w:val="000000"/>
                <w:sz w:val="20"/>
                <w:szCs w:val="20"/>
              </w:rPr>
              <w:t>Ì</w:t>
            </w:r>
            <w:r w:rsidRPr="00AC4A31">
              <w:rPr>
                <w:rFonts w:eastAsia="Times New Roman" w:cs="Calibri"/>
                <w:color w:val="000000"/>
                <w:sz w:val="20"/>
                <w:szCs w:val="20"/>
              </w:rPr>
              <w:t>-VOLPIANO-CHIVASSO</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6BFCD22"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15</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72D626C"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41.378</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325B79B"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41.378</w:t>
            </w:r>
          </w:p>
        </w:tc>
      </w:tr>
      <w:tr w:rsidR="00FD2CBB" w:rsidRPr="00AC4A31" w14:paraId="3FB5400D"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953D3B4"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3502</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2FED846C"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SAN MAURIZIO - CASTELLAMONTE</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5FDE984"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10</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8F45554"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21.844</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07A5255"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21.844</w:t>
            </w:r>
          </w:p>
        </w:tc>
      </w:tr>
      <w:tr w:rsidR="00FD2CBB" w:rsidRPr="00AC4A31" w14:paraId="035FCDDE"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766FCE7"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3545</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3500FD04"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CARIGNANO-NICHELINO-CHIVASSO-POLO PICHI</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01F746CB"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17</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0663800A"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97.405</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233AC25"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97.405</w:t>
            </w:r>
          </w:p>
        </w:tc>
      </w:tr>
      <w:tr w:rsidR="00FD2CBB" w:rsidRPr="00AC4A31" w14:paraId="254FC08E"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0D697E5A"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4108</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23210379"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IVREA-VISCHE-CHIVASSO</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48F00B3"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47</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D1ABD04"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240.672</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5D2067D"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240.672</w:t>
            </w:r>
          </w:p>
        </w:tc>
      </w:tr>
      <w:tr w:rsidR="00FD2CBB" w:rsidRPr="00AC4A31" w14:paraId="3228CE08"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F9AC493"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4147</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6F74360F"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VIALFRE - CASTELLAMONTE</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84AC4A0"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2</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7660C9C"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2.663</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0FE9863"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2.663</w:t>
            </w:r>
          </w:p>
        </w:tc>
      </w:tr>
      <w:tr w:rsidR="00FD2CBB" w:rsidRPr="00AC4A31" w14:paraId="004CD63C"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6274C7FE"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4151</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3529593B"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COSSANO-IVREA</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0E50ECE0"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16</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19C08F1"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105.099</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6A0FEEE6"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105.099</w:t>
            </w:r>
          </w:p>
        </w:tc>
      </w:tr>
      <w:tr w:rsidR="00FD2CBB" w:rsidRPr="00AC4A31" w14:paraId="54193691"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EC365C2"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4152</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49239287"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SILVA-VIALFR</w:t>
            </w:r>
            <w:r>
              <w:rPr>
                <w:rFonts w:eastAsia="Times New Roman" w:cs="Calibri"/>
                <w:color w:val="000000"/>
                <w:sz w:val="20"/>
                <w:szCs w:val="20"/>
              </w:rPr>
              <w:t>É</w:t>
            </w:r>
            <w:r w:rsidRPr="00AC4A31">
              <w:rPr>
                <w:rFonts w:eastAsia="Times New Roman" w:cs="Calibri"/>
                <w:color w:val="000000"/>
                <w:sz w:val="20"/>
                <w:szCs w:val="20"/>
              </w:rPr>
              <w:t>-IVREA</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4B91F1B"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10</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CEB3562"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52.755</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666BE410"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52.755</w:t>
            </w:r>
          </w:p>
        </w:tc>
      </w:tr>
      <w:tr w:rsidR="00FD2CBB" w:rsidRPr="00AC4A31" w14:paraId="17C66B89"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664F4312"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4512</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09CD070C"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TRAVERSELLA-IVREA (CM VALCHIUSELLA)</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994145B"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27</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60DD94FD"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201.881</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FA99503"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201.881</w:t>
            </w:r>
          </w:p>
        </w:tc>
      </w:tr>
      <w:tr w:rsidR="00FD2CBB" w:rsidRPr="00AC4A31" w14:paraId="19931F8C"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2181946"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4513</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618E563D"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TRAVERSELLA-IVREA (IVREA)</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C8F4AC3"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2</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033E433"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7.533</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1C62556"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7.533</w:t>
            </w:r>
          </w:p>
        </w:tc>
      </w:tr>
      <w:tr w:rsidR="00FD2CBB" w:rsidRPr="00AC4A31" w14:paraId="27D2FA55"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C2E0664"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4156</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4CB7FD93"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ANDRATE-IVREA</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987C2AC"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11</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8442B41"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61.787</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6A3C5698"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61.787</w:t>
            </w:r>
          </w:p>
        </w:tc>
      </w:tr>
      <w:tr w:rsidR="00FD2CBB" w:rsidRPr="00AC4A31" w14:paraId="3CF338EF"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63DA650B"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4546</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4C6352DA"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ALBIANO - VESTIGN</w:t>
            </w:r>
            <w:r>
              <w:rPr>
                <w:rFonts w:eastAsia="Times New Roman" w:cs="Calibri"/>
                <w:color w:val="000000"/>
                <w:sz w:val="20"/>
                <w:szCs w:val="20"/>
              </w:rPr>
              <w:t>É</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96E58B4"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3</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94DAD42"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8.612</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3FC9BD5"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8.612</w:t>
            </w:r>
          </w:p>
        </w:tc>
      </w:tr>
      <w:tr w:rsidR="00FD2CBB" w:rsidRPr="00AC4A31" w14:paraId="1F39500C"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9DBFAB8"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5095</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672E5323"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FORNO-RIVAROLO</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7384DF0"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16</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612E36D"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46.920</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DABB486"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46.920</w:t>
            </w:r>
          </w:p>
        </w:tc>
      </w:tr>
      <w:tr w:rsidR="00FD2CBB" w:rsidRPr="00AC4A31" w14:paraId="48E46223"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4C0AE41"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5134</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1EE9E1E9"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FORNO C.SE-CUORGN</w:t>
            </w:r>
            <w:r>
              <w:rPr>
                <w:rFonts w:eastAsia="Times New Roman" w:cs="Calibri"/>
                <w:color w:val="000000"/>
                <w:sz w:val="20"/>
                <w:szCs w:val="20"/>
              </w:rPr>
              <w:t>É</w:t>
            </w:r>
            <w:r w:rsidRPr="00AC4A31">
              <w:rPr>
                <w:rFonts w:eastAsia="Times New Roman" w:cs="Calibri"/>
                <w:color w:val="000000"/>
                <w:sz w:val="20"/>
                <w:szCs w:val="20"/>
              </w:rPr>
              <w:t xml:space="preserve"> CON DIR. E DEV.</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0D8C6983"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12</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EB86D1A"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42.989</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643E6638"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42.989</w:t>
            </w:r>
          </w:p>
        </w:tc>
      </w:tr>
      <w:tr w:rsidR="00FD2CBB" w:rsidRPr="00AC4A31" w14:paraId="35C8367F"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C95B2DA"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5135</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15FB42BE"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RIVAROLO-S.BENIGNO-TORINO</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633C3C14"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16</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8D9A8EE"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127.900</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13267E2"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127.900</w:t>
            </w:r>
          </w:p>
        </w:tc>
      </w:tr>
      <w:tr w:rsidR="00FD2CBB" w:rsidRPr="00AC4A31" w14:paraId="381F2A18"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CDF8778"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5137</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065CDE90"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CERESOLE-PONT-RIVAROLO</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3D2F73B"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148</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F635FC3"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375.619</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625D80B2"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375.619</w:t>
            </w:r>
          </w:p>
        </w:tc>
      </w:tr>
      <w:tr w:rsidR="00FD2CBB" w:rsidRPr="00AC4A31" w14:paraId="68A90435"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E9EB71C"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5140</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49E35F39"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PONT C.SE-VALPRATO SOANA</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2C8F46F"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17</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62562149"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39.151</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D47DAFE"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39.151</w:t>
            </w:r>
          </w:p>
        </w:tc>
      </w:tr>
      <w:tr w:rsidR="00FD2CBB" w:rsidRPr="00AC4A31" w14:paraId="11AD2F92"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7135F76"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5141</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7D421585"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FRASSINETTO-PONT C.SE</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6B407F7B"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23</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4678EBE"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32.009</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3DBC8A5"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32.009</w:t>
            </w:r>
          </w:p>
        </w:tc>
      </w:tr>
      <w:tr w:rsidR="00FD2CBB" w:rsidRPr="00AC4A31" w14:paraId="3702059A"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C06AE69"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5143</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675DB8BA"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CUORGN</w:t>
            </w:r>
            <w:r>
              <w:rPr>
                <w:rFonts w:eastAsia="Times New Roman" w:cs="Calibri"/>
                <w:color w:val="000000"/>
                <w:sz w:val="20"/>
                <w:szCs w:val="20"/>
              </w:rPr>
              <w:t>É</w:t>
            </w:r>
            <w:r w:rsidRPr="00AC4A31">
              <w:rPr>
                <w:rFonts w:eastAsia="Times New Roman" w:cs="Calibri"/>
                <w:color w:val="000000"/>
                <w:sz w:val="20"/>
                <w:szCs w:val="20"/>
              </w:rPr>
              <w:t>-CASTELLAMONTE-IVREA</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1849575"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43</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66673D6"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273.119</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3769369"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273.119</w:t>
            </w:r>
          </w:p>
        </w:tc>
      </w:tr>
      <w:tr w:rsidR="00FD2CBB" w:rsidRPr="00AC4A31" w14:paraId="31CFCE9E"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639DB258"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5145</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33CFCC29"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RIVAROLO-IVREA</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5D813D7"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20</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0D7DFBDF"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148.946</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534488B"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148.946</w:t>
            </w:r>
          </w:p>
        </w:tc>
      </w:tr>
      <w:tr w:rsidR="00FD2CBB" w:rsidRPr="00AC4A31" w14:paraId="449986BC"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0C36603D"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5150</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1D16B9A9"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CASTELNUOVO NIGRA-CUORGN</w:t>
            </w:r>
            <w:r>
              <w:rPr>
                <w:rFonts w:eastAsia="Times New Roman" w:cs="Calibri"/>
                <w:color w:val="000000"/>
                <w:sz w:val="20"/>
                <w:szCs w:val="20"/>
              </w:rPr>
              <w:t>É</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0BDD5666"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14</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5483DE7"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66.298</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F7B9F41"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66.298</w:t>
            </w:r>
          </w:p>
        </w:tc>
      </w:tr>
      <w:tr w:rsidR="00FD2CBB" w:rsidRPr="00AC4A31" w14:paraId="1C433EAC"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0D2B988"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5318</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3F246B13"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CASTELNUOVO NIGRA-CASTELLAMONTE</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32C9B7B"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14</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155A6E3"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27.313</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DF006D8"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27.313</w:t>
            </w:r>
          </w:p>
        </w:tc>
      </w:tr>
      <w:tr w:rsidR="00FD2CBB" w:rsidRPr="00AC4A31" w14:paraId="76B22453"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AC81AC8"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5319</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49B863BD"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MURIAGLIO-RIVAROLO EATON CON DIR.</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1D737E1"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10</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88793FE"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51.243</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04456EA3"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51.243</w:t>
            </w:r>
          </w:p>
        </w:tc>
      </w:tr>
      <w:tr w:rsidR="00FD2CBB" w:rsidRPr="00AC4A31" w14:paraId="4C5CABA4"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B287E70"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5322</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4B8752F2"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ALPETTE-CUORGN</w:t>
            </w:r>
            <w:r>
              <w:rPr>
                <w:rFonts w:eastAsia="Times New Roman" w:cs="Calibri"/>
                <w:color w:val="000000"/>
                <w:sz w:val="20"/>
                <w:szCs w:val="20"/>
              </w:rPr>
              <w:t>É</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185F9F6"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10</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BD3295C"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23.237</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EE683D7"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23.237</w:t>
            </w:r>
          </w:p>
        </w:tc>
      </w:tr>
      <w:tr w:rsidR="00FD2CBB" w:rsidRPr="00AC4A31" w14:paraId="56C92D96"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A3198EF"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5379</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7BC4C0F1"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RIVAROLO-CIRI</w:t>
            </w:r>
            <w:r>
              <w:rPr>
                <w:rFonts w:eastAsia="Times New Roman" w:cs="Calibri"/>
                <w:color w:val="000000"/>
                <w:sz w:val="20"/>
                <w:szCs w:val="20"/>
              </w:rPr>
              <w:t>É</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62ADFA0"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7</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5D1E38D"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22.512</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0137DAE"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22.512</w:t>
            </w:r>
          </w:p>
        </w:tc>
      </w:tr>
      <w:tr w:rsidR="00FD2CBB" w:rsidRPr="00AC4A31" w14:paraId="1DF56635"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EE6C83A"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220 B</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769C591F"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BARGE-CAVOUR-PINEROLO</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6713E46F"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128</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012F5F01"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415.602</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15C5354"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415.602</w:t>
            </w:r>
          </w:p>
        </w:tc>
      </w:tr>
      <w:tr w:rsidR="00FD2CBB" w:rsidRPr="00AC4A31" w14:paraId="0FDD80EC"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6A5EB011"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299T</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4D957632"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TORINO-VILLAFRANCA PIEMONTE</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9E4419D"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92</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4B621FD"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548.080</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A42CDCA"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548.080</w:t>
            </w:r>
          </w:p>
        </w:tc>
      </w:tr>
      <w:tr w:rsidR="00FD2CBB" w:rsidRPr="00AC4A31" w14:paraId="3F8CC5C7"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FA79C99"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299V</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1C2F82A2"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VILLAFRANCA PIEMONTE-SALUZZO</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65B34DA7"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40</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AB6E07A"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183.260</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4CE75DF"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183.260</w:t>
            </w:r>
          </w:p>
        </w:tc>
      </w:tr>
      <w:tr w:rsidR="00FD2CBB" w:rsidRPr="00AC4A31" w14:paraId="4880BA61"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68C2E00"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B259</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1ACD6D26"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TORINO-LA LOGGIA-CARIGNANO-CARMAGNOLA</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5E118A7"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117</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77BB44E"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272.518</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FC0F4EC"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272.518</w:t>
            </w:r>
          </w:p>
        </w:tc>
      </w:tr>
      <w:tr w:rsidR="00FD2CBB" w:rsidRPr="00AC4A31" w14:paraId="2D46652E"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0D7B015E"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B259TK</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42F03CBA"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TORINO-CARMAGNOLA TEKSID</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55693A6"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6</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56B063F"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41.210</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65DB688A"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41.210</w:t>
            </w:r>
          </w:p>
        </w:tc>
      </w:tr>
      <w:tr w:rsidR="00FD2CBB" w:rsidRPr="00AC4A31" w14:paraId="290DDC8C"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7C80"/>
            <w:noWrap/>
            <w:vAlign w:val="center"/>
            <w:hideMark/>
          </w:tcPr>
          <w:p w14:paraId="00A45089" w14:textId="77777777" w:rsidR="00FD2CBB" w:rsidRPr="00286F73" w:rsidRDefault="00FD2CBB">
            <w:pPr>
              <w:spacing w:after="0" w:line="240" w:lineRule="auto"/>
              <w:jc w:val="center"/>
              <w:rPr>
                <w:rFonts w:eastAsia="Times New Roman" w:cs="Calibri"/>
                <w:b/>
                <w:sz w:val="20"/>
                <w:szCs w:val="20"/>
              </w:rPr>
            </w:pPr>
            <w:r w:rsidRPr="00286F73">
              <w:rPr>
                <w:rFonts w:eastAsia="Times New Roman" w:cs="Calibri"/>
                <w:b/>
                <w:sz w:val="20"/>
                <w:szCs w:val="20"/>
              </w:rPr>
              <w:t> </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7C80"/>
            <w:vAlign w:val="center"/>
            <w:hideMark/>
          </w:tcPr>
          <w:p w14:paraId="3AB23B70" w14:textId="77777777" w:rsidR="00FD2CBB" w:rsidRPr="00286F73" w:rsidRDefault="00FD2CBB">
            <w:pPr>
              <w:spacing w:after="0" w:line="240" w:lineRule="auto"/>
              <w:jc w:val="left"/>
              <w:rPr>
                <w:rFonts w:eastAsia="Times New Roman" w:cs="Calibri"/>
                <w:b/>
                <w:sz w:val="20"/>
                <w:szCs w:val="20"/>
              </w:rPr>
            </w:pPr>
            <w:r w:rsidRPr="00286F73">
              <w:rPr>
                <w:rFonts w:eastAsia="Times New Roman" w:cs="Calibri"/>
                <w:b/>
                <w:sz w:val="20"/>
                <w:szCs w:val="20"/>
              </w:rPr>
              <w:t>TOTALE SERVIZI EXTRURBANI BACINO METROPOLITANO</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7C80"/>
            <w:noWrap/>
            <w:vAlign w:val="center"/>
            <w:hideMark/>
          </w:tcPr>
          <w:p w14:paraId="629EFCD8" w14:textId="77777777" w:rsidR="00FD2CBB" w:rsidRPr="00286F73" w:rsidRDefault="00FD2CBB">
            <w:pPr>
              <w:spacing w:after="0" w:line="240" w:lineRule="auto"/>
              <w:jc w:val="center"/>
              <w:rPr>
                <w:rFonts w:eastAsia="Times New Roman" w:cs="Calibri"/>
                <w:b/>
                <w:sz w:val="20"/>
                <w:szCs w:val="20"/>
              </w:rPr>
            </w:pPr>
            <w:r w:rsidRPr="00286F73">
              <w:rPr>
                <w:rFonts w:eastAsia="Times New Roman" w:cs="Calibri"/>
                <w:b/>
                <w:sz w:val="20"/>
                <w:szCs w:val="20"/>
              </w:rPr>
              <w:t>5.867</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7C80"/>
            <w:noWrap/>
            <w:vAlign w:val="center"/>
            <w:hideMark/>
          </w:tcPr>
          <w:p w14:paraId="0856E8E0" w14:textId="77777777" w:rsidR="00FD2CBB" w:rsidRPr="00286F73" w:rsidRDefault="00FD2CBB">
            <w:pPr>
              <w:spacing w:after="0" w:line="240" w:lineRule="auto"/>
              <w:jc w:val="right"/>
              <w:rPr>
                <w:rFonts w:eastAsia="Times New Roman" w:cs="Calibri"/>
                <w:b/>
                <w:sz w:val="20"/>
                <w:szCs w:val="20"/>
              </w:rPr>
            </w:pPr>
            <w:r w:rsidRPr="00286F73">
              <w:rPr>
                <w:rFonts w:eastAsia="Times New Roman" w:cs="Calibri"/>
                <w:b/>
                <w:sz w:val="20"/>
                <w:szCs w:val="20"/>
              </w:rPr>
              <w:t>20.963.429</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7C80"/>
            <w:noWrap/>
            <w:vAlign w:val="center"/>
            <w:hideMark/>
          </w:tcPr>
          <w:p w14:paraId="09309D44" w14:textId="77777777" w:rsidR="00FD2CBB" w:rsidRPr="00286F73" w:rsidRDefault="00FD2CBB">
            <w:pPr>
              <w:spacing w:after="0" w:line="240" w:lineRule="auto"/>
              <w:jc w:val="right"/>
              <w:rPr>
                <w:rFonts w:eastAsia="Times New Roman" w:cs="Calibri"/>
                <w:b/>
                <w:sz w:val="20"/>
                <w:szCs w:val="20"/>
              </w:rPr>
            </w:pPr>
            <w:r w:rsidRPr="00286F73">
              <w:rPr>
                <w:rFonts w:eastAsia="Times New Roman" w:cs="Calibri"/>
                <w:b/>
                <w:sz w:val="20"/>
                <w:szCs w:val="20"/>
              </w:rPr>
              <w:t>20.525.219</w:t>
            </w:r>
          </w:p>
        </w:tc>
      </w:tr>
      <w:tr w:rsidR="00FD2CBB" w:rsidRPr="00AC4A31" w14:paraId="23CBEF73"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3D2AC19"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4153</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1420E844"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QUASSOLO-IVREA</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D7B407C"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70</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0C65AF57"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133.008</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4044B5D"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133.008</w:t>
            </w:r>
          </w:p>
        </w:tc>
      </w:tr>
      <w:tr w:rsidR="00FD2CBB" w:rsidRPr="00AC4A31" w14:paraId="61A5ABF9"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61ADDF40"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4154</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665A773C"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S.BERNARDO-IVREA-ALBIANO</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79D2299"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171</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2450D58"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379.833</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E1DA091"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379.833</w:t>
            </w:r>
          </w:p>
        </w:tc>
      </w:tr>
      <w:tr w:rsidR="00FD2CBB" w:rsidRPr="00AC4A31" w14:paraId="5D902B4F"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BC34C5F"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4155</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7E5594FA"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SAMONE-IVREA-BUROLO</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4412B10"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80</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31DE28C"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146.447</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6C88F79D"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146.447</w:t>
            </w:r>
          </w:p>
        </w:tc>
      </w:tr>
      <w:tr w:rsidR="00FD2CBB" w:rsidRPr="00AC4A31" w14:paraId="3404A3D9"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EDA577A"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lastRenderedPageBreak/>
              <w:t>4157</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195AE519"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S.GERMANO-PAVONE</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F13BAA3"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130</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2EBCECA"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174.058</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6B68F179"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174.058</w:t>
            </w:r>
          </w:p>
        </w:tc>
      </w:tr>
      <w:tr w:rsidR="00FD2CBB" w:rsidRPr="00AC4A31" w14:paraId="21A91BEE"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10E7D19"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4168</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13E1E394"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BELLAVISTA-IVREA Q.RE S.GIOVANNI</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BE460C8"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85</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6361C573"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124.583</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8E0C317"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124.583</w:t>
            </w:r>
          </w:p>
        </w:tc>
      </w:tr>
      <w:tr w:rsidR="00FD2CBB" w:rsidRPr="00AC4A31" w14:paraId="600D4925"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6FA13361"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4541</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163CF9BD"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IVREA-COLLERETTO G.BIOPARCO-LORANZ</w:t>
            </w:r>
            <w:r>
              <w:rPr>
                <w:rFonts w:eastAsia="Times New Roman" w:cs="Calibri"/>
                <w:color w:val="000000"/>
                <w:sz w:val="20"/>
                <w:szCs w:val="20"/>
              </w:rPr>
              <w:t>É</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C4597E9"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15</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4E18DB9"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29.826</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6C06E85E"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29.826</w:t>
            </w:r>
          </w:p>
        </w:tc>
      </w:tr>
      <w:tr w:rsidR="00FD2CBB" w:rsidRPr="00AC4A31" w14:paraId="1D3A5379"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7C80"/>
            <w:noWrap/>
            <w:vAlign w:val="center"/>
            <w:hideMark/>
          </w:tcPr>
          <w:p w14:paraId="78BBF8F7" w14:textId="77777777" w:rsidR="00FD2CBB" w:rsidRPr="00286F73" w:rsidRDefault="00FD2CBB">
            <w:pPr>
              <w:spacing w:after="0" w:line="240" w:lineRule="auto"/>
              <w:jc w:val="center"/>
              <w:rPr>
                <w:rFonts w:eastAsia="Times New Roman" w:cs="Calibri"/>
                <w:b/>
                <w:sz w:val="20"/>
                <w:szCs w:val="20"/>
              </w:rPr>
            </w:pPr>
            <w:r w:rsidRPr="00286F73">
              <w:rPr>
                <w:rFonts w:eastAsia="Times New Roman" w:cs="Calibri"/>
                <w:b/>
                <w:sz w:val="20"/>
                <w:szCs w:val="20"/>
              </w:rPr>
              <w:t> </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7C80"/>
            <w:vAlign w:val="center"/>
            <w:hideMark/>
          </w:tcPr>
          <w:p w14:paraId="5E4B047B" w14:textId="77777777" w:rsidR="00FD2CBB" w:rsidRPr="00286F73" w:rsidRDefault="00FD2CBB">
            <w:pPr>
              <w:spacing w:after="0" w:line="240" w:lineRule="auto"/>
              <w:jc w:val="left"/>
              <w:rPr>
                <w:rFonts w:eastAsia="Times New Roman" w:cs="Calibri"/>
                <w:b/>
                <w:sz w:val="20"/>
                <w:szCs w:val="20"/>
              </w:rPr>
            </w:pPr>
            <w:r w:rsidRPr="00286F73">
              <w:rPr>
                <w:rFonts w:eastAsia="Times New Roman" w:cs="Calibri"/>
                <w:b/>
                <w:sz w:val="20"/>
                <w:szCs w:val="20"/>
              </w:rPr>
              <w:t>TOTALE SERVIZI URBANI DI IVREA</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7C80"/>
            <w:noWrap/>
            <w:vAlign w:val="center"/>
            <w:hideMark/>
          </w:tcPr>
          <w:p w14:paraId="7EF7BA1F" w14:textId="77777777" w:rsidR="00FD2CBB" w:rsidRPr="00286F73" w:rsidRDefault="00FD2CBB">
            <w:pPr>
              <w:spacing w:after="0" w:line="240" w:lineRule="auto"/>
              <w:jc w:val="center"/>
              <w:rPr>
                <w:rFonts w:eastAsia="Times New Roman" w:cs="Calibri"/>
                <w:b/>
                <w:sz w:val="20"/>
                <w:szCs w:val="20"/>
              </w:rPr>
            </w:pPr>
            <w:r w:rsidRPr="00286F73">
              <w:rPr>
                <w:rFonts w:eastAsia="Times New Roman" w:cs="Calibri"/>
                <w:b/>
                <w:sz w:val="20"/>
                <w:szCs w:val="20"/>
              </w:rPr>
              <w:t>551</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7C80"/>
            <w:noWrap/>
            <w:vAlign w:val="center"/>
            <w:hideMark/>
          </w:tcPr>
          <w:p w14:paraId="00AC367F" w14:textId="77777777" w:rsidR="00FD2CBB" w:rsidRPr="00286F73" w:rsidRDefault="00FD2CBB">
            <w:pPr>
              <w:spacing w:after="0" w:line="240" w:lineRule="auto"/>
              <w:jc w:val="right"/>
              <w:rPr>
                <w:rFonts w:eastAsia="Times New Roman" w:cs="Calibri"/>
                <w:b/>
                <w:sz w:val="20"/>
                <w:szCs w:val="20"/>
              </w:rPr>
            </w:pPr>
            <w:r w:rsidRPr="00286F73">
              <w:rPr>
                <w:rFonts w:eastAsia="Times New Roman" w:cs="Calibri"/>
                <w:b/>
                <w:sz w:val="20"/>
                <w:szCs w:val="20"/>
              </w:rPr>
              <w:t>987.755</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7C80"/>
            <w:noWrap/>
            <w:vAlign w:val="center"/>
            <w:hideMark/>
          </w:tcPr>
          <w:p w14:paraId="69B343BB" w14:textId="77777777" w:rsidR="00FD2CBB" w:rsidRPr="00286F73" w:rsidRDefault="00FD2CBB">
            <w:pPr>
              <w:spacing w:after="0" w:line="240" w:lineRule="auto"/>
              <w:jc w:val="right"/>
              <w:rPr>
                <w:rFonts w:eastAsia="Times New Roman" w:cs="Calibri"/>
                <w:b/>
                <w:sz w:val="20"/>
                <w:szCs w:val="20"/>
              </w:rPr>
            </w:pPr>
            <w:r w:rsidRPr="00286F73">
              <w:rPr>
                <w:rFonts w:eastAsia="Times New Roman" w:cs="Calibri"/>
                <w:b/>
                <w:sz w:val="20"/>
                <w:szCs w:val="20"/>
              </w:rPr>
              <w:t>987.755</w:t>
            </w:r>
          </w:p>
        </w:tc>
      </w:tr>
      <w:tr w:rsidR="00FD2CBB" w:rsidRPr="00AC4A31" w14:paraId="790AB96C"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61A11588"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700</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7BC3F4AB"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AREA VASTA DI PINEROLO (SAPAV) L.7 STUDENTESCA</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78E4466"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3</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7E2D5B3"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2.360</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42CE2EE"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2.360</w:t>
            </w:r>
          </w:p>
        </w:tc>
      </w:tr>
      <w:tr w:rsidR="00FD2CBB" w:rsidRPr="00AC4A31" w14:paraId="12DADFF5"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B7852E8"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701</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42114CB2"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AREA VASTA DI PINEROLO - (SAPAV) L.3</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CB82E45"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33</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0D3CC3B"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124.745</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84ED1FE"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124.745</w:t>
            </w:r>
          </w:p>
        </w:tc>
      </w:tr>
      <w:tr w:rsidR="00FD2CBB" w:rsidRPr="00AC4A31" w14:paraId="6EE77C81"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1CE75F2"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702</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188FAABF"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AREA VASTA DI PINEROLO (SAPAV) L.4B MERCATALE</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A960F2B"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4</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9D0BDC9"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5.484</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680DA7B3"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5.484</w:t>
            </w:r>
          </w:p>
        </w:tc>
      </w:tr>
      <w:tr w:rsidR="00FD2CBB" w:rsidRPr="00AC4A31" w14:paraId="2768DFD3"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1A05215"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703</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3E79B4CA"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AREA VASTA DI PINEROLO - (SAPAV) L.4 andata/ritorno</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E1975F5"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23</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1CF2A46"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83.926</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39572FB"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83.926</w:t>
            </w:r>
          </w:p>
        </w:tc>
      </w:tr>
      <w:tr w:rsidR="00FD2CBB" w:rsidRPr="00AC4A31" w14:paraId="3E042F90"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D5F76EB"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705</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52620A55"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AREA VASTA DI PINEROLO (CAVOURESE)  L.2</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6334D8D"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90</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932D890"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158.681</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EAAEAF3"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158.681</w:t>
            </w:r>
          </w:p>
        </w:tc>
      </w:tr>
      <w:tr w:rsidR="00FD2CBB" w:rsidRPr="00AC4A31" w14:paraId="3FACBC93"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1A1857F"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706</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6C8B3F56"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AREA VASTA DI PINEROLO (CAVOURESE) L.2B</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509BD28"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20</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1AA6532"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51.020</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0F91BD0"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51.020</w:t>
            </w:r>
          </w:p>
        </w:tc>
      </w:tr>
      <w:tr w:rsidR="00FD2CBB" w:rsidRPr="00AC4A31" w14:paraId="369098F8"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60CB2E37"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707</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6DB8D383"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AREA VASTA DI PINEROLO (CAVOURESE)  L.5</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66973921"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61</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277A099"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68.917</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258DFDA"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68.917</w:t>
            </w:r>
          </w:p>
        </w:tc>
      </w:tr>
      <w:tr w:rsidR="00FD2CBB" w:rsidRPr="00AC4A31" w14:paraId="6F764407"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644935B6"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708</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679E7C3A"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AREA VASTA DI PINEROLO - NAVETTA MERCATALE A</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610B99A"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24</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0AAD1E71"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5.162</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E759232"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5.162</w:t>
            </w:r>
          </w:p>
        </w:tc>
      </w:tr>
      <w:tr w:rsidR="00FD2CBB" w:rsidRPr="00AC4A31" w14:paraId="315DDB4D"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71CC5C4"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709</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15DBC88C"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AREA VASTA DI PINEROLO - NAVETTA MERCATALE B</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BA95C42"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24</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B4508B3"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5.162</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26B81C3"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5.162</w:t>
            </w:r>
          </w:p>
        </w:tc>
      </w:tr>
      <w:tr w:rsidR="00FD2CBB" w:rsidRPr="00AC4A31" w14:paraId="3D1AC2A4"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7C80"/>
            <w:noWrap/>
            <w:vAlign w:val="center"/>
            <w:hideMark/>
          </w:tcPr>
          <w:p w14:paraId="78B2DB0E" w14:textId="77777777" w:rsidR="00FD2CBB" w:rsidRPr="00286F73" w:rsidRDefault="00FD2CBB">
            <w:pPr>
              <w:spacing w:after="0" w:line="240" w:lineRule="auto"/>
              <w:jc w:val="center"/>
              <w:rPr>
                <w:rFonts w:eastAsia="Times New Roman" w:cs="Calibri"/>
                <w:b/>
                <w:sz w:val="20"/>
                <w:szCs w:val="20"/>
              </w:rPr>
            </w:pPr>
            <w:r w:rsidRPr="00286F73">
              <w:rPr>
                <w:rFonts w:eastAsia="Times New Roman" w:cs="Calibri"/>
                <w:b/>
                <w:sz w:val="20"/>
                <w:szCs w:val="20"/>
              </w:rPr>
              <w:t> </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7C80"/>
            <w:vAlign w:val="center"/>
            <w:hideMark/>
          </w:tcPr>
          <w:p w14:paraId="008AB03C" w14:textId="77777777" w:rsidR="00FD2CBB" w:rsidRPr="00286F73" w:rsidRDefault="00FD2CBB">
            <w:pPr>
              <w:spacing w:after="0" w:line="240" w:lineRule="auto"/>
              <w:jc w:val="left"/>
              <w:rPr>
                <w:rFonts w:eastAsia="Times New Roman" w:cs="Calibri"/>
                <w:b/>
                <w:sz w:val="20"/>
                <w:szCs w:val="20"/>
              </w:rPr>
            </w:pPr>
            <w:r w:rsidRPr="00286F73">
              <w:rPr>
                <w:rFonts w:eastAsia="Times New Roman" w:cs="Calibri"/>
                <w:b/>
                <w:sz w:val="20"/>
                <w:szCs w:val="20"/>
              </w:rPr>
              <w:t>TOTALE SERVIZI URBANI DI PINEROLO</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7C80"/>
            <w:noWrap/>
            <w:vAlign w:val="center"/>
            <w:hideMark/>
          </w:tcPr>
          <w:p w14:paraId="6397A2EB" w14:textId="77777777" w:rsidR="00FD2CBB" w:rsidRPr="00286F73" w:rsidRDefault="00FD2CBB">
            <w:pPr>
              <w:spacing w:after="0" w:line="240" w:lineRule="auto"/>
              <w:jc w:val="center"/>
              <w:rPr>
                <w:rFonts w:eastAsia="Times New Roman" w:cs="Calibri"/>
                <w:b/>
                <w:sz w:val="20"/>
                <w:szCs w:val="20"/>
              </w:rPr>
            </w:pPr>
            <w:r w:rsidRPr="00286F73">
              <w:rPr>
                <w:rFonts w:eastAsia="Times New Roman" w:cs="Calibri"/>
                <w:b/>
                <w:sz w:val="20"/>
                <w:szCs w:val="20"/>
              </w:rPr>
              <w:t>282</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7C80"/>
            <w:noWrap/>
            <w:vAlign w:val="center"/>
            <w:hideMark/>
          </w:tcPr>
          <w:p w14:paraId="4B520942" w14:textId="77777777" w:rsidR="00FD2CBB" w:rsidRPr="00286F73" w:rsidRDefault="00FD2CBB">
            <w:pPr>
              <w:spacing w:after="0" w:line="240" w:lineRule="auto"/>
              <w:jc w:val="right"/>
              <w:rPr>
                <w:rFonts w:eastAsia="Times New Roman" w:cs="Calibri"/>
                <w:b/>
                <w:sz w:val="20"/>
                <w:szCs w:val="20"/>
              </w:rPr>
            </w:pPr>
            <w:r w:rsidRPr="00286F73">
              <w:rPr>
                <w:rFonts w:eastAsia="Times New Roman" w:cs="Calibri"/>
                <w:b/>
                <w:sz w:val="20"/>
                <w:szCs w:val="20"/>
              </w:rPr>
              <w:t>505.457</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7C80"/>
            <w:noWrap/>
            <w:vAlign w:val="center"/>
            <w:hideMark/>
          </w:tcPr>
          <w:p w14:paraId="2539FFE5" w14:textId="77777777" w:rsidR="00FD2CBB" w:rsidRPr="00286F73" w:rsidRDefault="00FD2CBB">
            <w:pPr>
              <w:spacing w:after="0" w:line="240" w:lineRule="auto"/>
              <w:jc w:val="right"/>
              <w:rPr>
                <w:rFonts w:eastAsia="Times New Roman" w:cs="Calibri"/>
                <w:b/>
                <w:sz w:val="20"/>
                <w:szCs w:val="20"/>
              </w:rPr>
            </w:pPr>
            <w:r w:rsidRPr="00286F73">
              <w:rPr>
                <w:rFonts w:eastAsia="Times New Roman" w:cs="Calibri"/>
                <w:b/>
                <w:sz w:val="20"/>
                <w:szCs w:val="20"/>
              </w:rPr>
              <w:t>505.457</w:t>
            </w:r>
          </w:p>
        </w:tc>
      </w:tr>
      <w:tr w:rsidR="00FD2CBB" w:rsidRPr="00AC4A31" w14:paraId="42D576B8"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6A9EE3C"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600</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002559C7"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URBANO CARMAGNOLA - LINEA A</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3F1E2F0"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11</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619BDB24"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16.882</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332E705"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16.882</w:t>
            </w:r>
          </w:p>
        </w:tc>
      </w:tr>
      <w:tr w:rsidR="00FD2CBB" w:rsidRPr="00AC4A31" w14:paraId="0CA9DFED"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2384AC3"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602</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1498CD1F"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URBANO CARMAGNOLA - LINEA C</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501CD2B"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9</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128B938"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11.550</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25687F0"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11.550</w:t>
            </w:r>
          </w:p>
        </w:tc>
      </w:tr>
      <w:tr w:rsidR="00FD2CBB" w:rsidRPr="00AC4A31" w14:paraId="52558D2A"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6C00437D"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604</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6129FBAF"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URBANO CARMAGNOLA - LINEA D</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2A94A5C"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5</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3966078"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8.007</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AFFCC83"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8.007</w:t>
            </w:r>
          </w:p>
        </w:tc>
      </w:tr>
      <w:tr w:rsidR="00FD2CBB" w:rsidRPr="00AC4A31" w14:paraId="37435CD4"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7155A5A"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605</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4937FD38"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URBANO CARMAGNOLA - LINEA E  e  F</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03FA34F9"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6</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0CEEFF4"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15.695</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0DD81FA9"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15.695</w:t>
            </w:r>
          </w:p>
        </w:tc>
      </w:tr>
      <w:tr w:rsidR="00FD2CBB" w:rsidRPr="00AC4A31" w14:paraId="75C7562C"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E4D00F7"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607</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5B2AD64D"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URBANO CARMAGNOLA - LINEA G</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56C2842"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2</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1512F1C"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2.639</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2893BC8"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2.639</w:t>
            </w:r>
          </w:p>
        </w:tc>
      </w:tr>
      <w:tr w:rsidR="00FD2CBB" w:rsidRPr="00AC4A31" w14:paraId="0F67C739"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B41D31D"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608</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274CE690"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URBANO CARMAGNOLA - LINEA H</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C35F2DC"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3</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CB2C5E0"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4.581</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015E080F"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4.581</w:t>
            </w:r>
          </w:p>
        </w:tc>
      </w:tr>
      <w:tr w:rsidR="00FD2CBB" w:rsidRPr="00AC4A31" w14:paraId="6641A898"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B5289C9"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610</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487CAC36"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URBANO CARMAGNOLA - TEKSID</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1E7810C"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6</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94EA165"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4.788</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892793B"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4.788</w:t>
            </w:r>
          </w:p>
        </w:tc>
      </w:tr>
      <w:tr w:rsidR="00FD2CBB" w:rsidRPr="00AC4A31" w14:paraId="113669DF"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FEDB917"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611</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5DE29A72"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NAVETTA SAN GIOVANNI - SAN MICHELE - CASANOVA - TUNINE</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94BE140"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24</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F0D4C49"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44.857</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C3465E9"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44.857</w:t>
            </w:r>
          </w:p>
        </w:tc>
      </w:tr>
      <w:tr w:rsidR="00FD2CBB" w:rsidRPr="00AC4A31" w14:paraId="740D89D1"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6F885BC3"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612</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5D353A2E"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NAVETTA OSELLE -CAVALLERI - FUMERI - VALLONGO - TETTI GRANDI</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E05D7BE"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20</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132767B"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11.819</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7F81A16"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11.819</w:t>
            </w:r>
          </w:p>
        </w:tc>
      </w:tr>
      <w:tr w:rsidR="00FD2CBB" w:rsidRPr="00AC4A31" w14:paraId="48A84667"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66D103C"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613</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6114AAA2"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NAVETTA SALSASIO - SAN BERNARDO - MOTTA</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0E2E4B6"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92</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B6D0E7B"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91.380</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1D161F8"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91.380</w:t>
            </w:r>
          </w:p>
        </w:tc>
      </w:tr>
      <w:tr w:rsidR="00FD2CBB" w:rsidRPr="00AC4A31" w14:paraId="48B1FB44"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7C80"/>
            <w:noWrap/>
            <w:vAlign w:val="center"/>
            <w:hideMark/>
          </w:tcPr>
          <w:p w14:paraId="7AA1B90D" w14:textId="77777777" w:rsidR="00FD2CBB" w:rsidRPr="00286F73" w:rsidRDefault="00FD2CBB">
            <w:pPr>
              <w:spacing w:after="0" w:line="240" w:lineRule="auto"/>
              <w:jc w:val="center"/>
              <w:rPr>
                <w:rFonts w:eastAsia="Times New Roman" w:cs="Calibri"/>
                <w:b/>
                <w:sz w:val="20"/>
                <w:szCs w:val="20"/>
              </w:rPr>
            </w:pPr>
            <w:r w:rsidRPr="00286F73">
              <w:rPr>
                <w:rFonts w:eastAsia="Times New Roman" w:cs="Calibri"/>
                <w:b/>
                <w:sz w:val="20"/>
                <w:szCs w:val="20"/>
              </w:rPr>
              <w:t> </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7C80"/>
            <w:vAlign w:val="center"/>
            <w:hideMark/>
          </w:tcPr>
          <w:p w14:paraId="29452D8C" w14:textId="77777777" w:rsidR="00FD2CBB" w:rsidRPr="00286F73" w:rsidRDefault="00FD2CBB">
            <w:pPr>
              <w:spacing w:after="0" w:line="240" w:lineRule="auto"/>
              <w:jc w:val="left"/>
              <w:rPr>
                <w:rFonts w:eastAsia="Times New Roman" w:cs="Calibri"/>
                <w:b/>
                <w:sz w:val="20"/>
                <w:szCs w:val="20"/>
              </w:rPr>
            </w:pPr>
            <w:r w:rsidRPr="00286F73">
              <w:rPr>
                <w:rFonts w:eastAsia="Times New Roman" w:cs="Calibri"/>
                <w:b/>
                <w:sz w:val="20"/>
                <w:szCs w:val="20"/>
              </w:rPr>
              <w:t>TOTALE SERVIZI URBANI DI CARMAGNOLA</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7C80"/>
            <w:noWrap/>
            <w:vAlign w:val="center"/>
            <w:hideMark/>
          </w:tcPr>
          <w:p w14:paraId="5DF11738" w14:textId="77777777" w:rsidR="00FD2CBB" w:rsidRPr="00286F73" w:rsidRDefault="00FD2CBB">
            <w:pPr>
              <w:spacing w:after="0" w:line="240" w:lineRule="auto"/>
              <w:jc w:val="center"/>
              <w:rPr>
                <w:rFonts w:eastAsia="Times New Roman" w:cs="Calibri"/>
                <w:b/>
                <w:sz w:val="20"/>
                <w:szCs w:val="20"/>
              </w:rPr>
            </w:pPr>
            <w:r w:rsidRPr="00286F73">
              <w:rPr>
                <w:rFonts w:eastAsia="Times New Roman" w:cs="Calibri"/>
                <w:b/>
                <w:sz w:val="20"/>
                <w:szCs w:val="20"/>
              </w:rPr>
              <w:t>178</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7C80"/>
            <w:noWrap/>
            <w:vAlign w:val="center"/>
            <w:hideMark/>
          </w:tcPr>
          <w:p w14:paraId="0514A480" w14:textId="77777777" w:rsidR="00FD2CBB" w:rsidRPr="00286F73" w:rsidRDefault="00FD2CBB">
            <w:pPr>
              <w:spacing w:after="0" w:line="240" w:lineRule="auto"/>
              <w:jc w:val="right"/>
              <w:rPr>
                <w:rFonts w:eastAsia="Times New Roman" w:cs="Calibri"/>
                <w:b/>
                <w:sz w:val="20"/>
                <w:szCs w:val="20"/>
              </w:rPr>
            </w:pPr>
            <w:r w:rsidRPr="00286F73">
              <w:rPr>
                <w:rFonts w:eastAsia="Times New Roman" w:cs="Calibri"/>
                <w:b/>
                <w:sz w:val="20"/>
                <w:szCs w:val="20"/>
              </w:rPr>
              <w:t>212.198</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7C80"/>
            <w:noWrap/>
            <w:vAlign w:val="center"/>
            <w:hideMark/>
          </w:tcPr>
          <w:p w14:paraId="03F77E39" w14:textId="77777777" w:rsidR="00FD2CBB" w:rsidRPr="00286F73" w:rsidRDefault="00FD2CBB">
            <w:pPr>
              <w:spacing w:after="0" w:line="240" w:lineRule="auto"/>
              <w:jc w:val="right"/>
              <w:rPr>
                <w:rFonts w:eastAsia="Times New Roman" w:cs="Calibri"/>
                <w:b/>
                <w:sz w:val="20"/>
                <w:szCs w:val="20"/>
              </w:rPr>
            </w:pPr>
            <w:r w:rsidRPr="00286F73">
              <w:rPr>
                <w:rFonts w:eastAsia="Times New Roman" w:cs="Calibri"/>
                <w:b/>
                <w:sz w:val="20"/>
                <w:szCs w:val="20"/>
              </w:rPr>
              <w:t>212.198</w:t>
            </w:r>
          </w:p>
        </w:tc>
      </w:tr>
      <w:tr w:rsidR="00FD2CBB" w:rsidRPr="00AC4A31" w14:paraId="58FFAE9A"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6F014022"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801</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1E064FCA"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GIAVENO-MADDALENA-CHIARMETTA</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32FC089"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18</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09FA44E7"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15.899</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61321294"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15.899</w:t>
            </w:r>
          </w:p>
        </w:tc>
      </w:tr>
      <w:tr w:rsidR="00FD2CBB" w:rsidRPr="00AC4A31" w14:paraId="3CFBB9CB"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63DA26EE"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802</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43146243"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GIAVENO - PROVONDA</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000A6A1A"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4</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A951F0B"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2.346</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5D4BA4C"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2.346</w:t>
            </w:r>
          </w:p>
        </w:tc>
      </w:tr>
      <w:tr w:rsidR="00FD2CBB" w:rsidRPr="00AC4A31" w14:paraId="3149CDD7"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7C80"/>
            <w:noWrap/>
            <w:vAlign w:val="center"/>
            <w:hideMark/>
          </w:tcPr>
          <w:p w14:paraId="201385D4" w14:textId="77777777" w:rsidR="00FD2CBB" w:rsidRPr="00286F73" w:rsidRDefault="00FD2CBB">
            <w:pPr>
              <w:spacing w:after="0" w:line="240" w:lineRule="auto"/>
              <w:jc w:val="center"/>
              <w:rPr>
                <w:rFonts w:eastAsia="Times New Roman" w:cs="Calibri"/>
                <w:b/>
                <w:sz w:val="20"/>
                <w:szCs w:val="20"/>
              </w:rPr>
            </w:pPr>
            <w:r w:rsidRPr="00286F73">
              <w:rPr>
                <w:rFonts w:eastAsia="Times New Roman" w:cs="Calibri"/>
                <w:b/>
                <w:sz w:val="20"/>
                <w:szCs w:val="20"/>
              </w:rPr>
              <w:t> </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7C80"/>
            <w:vAlign w:val="center"/>
            <w:hideMark/>
          </w:tcPr>
          <w:p w14:paraId="2801CAC4" w14:textId="77777777" w:rsidR="00FD2CBB" w:rsidRPr="00286F73" w:rsidRDefault="00FD2CBB">
            <w:pPr>
              <w:spacing w:after="0" w:line="240" w:lineRule="auto"/>
              <w:jc w:val="left"/>
              <w:rPr>
                <w:rFonts w:eastAsia="Times New Roman" w:cs="Calibri"/>
                <w:b/>
                <w:sz w:val="20"/>
                <w:szCs w:val="20"/>
              </w:rPr>
            </w:pPr>
            <w:r w:rsidRPr="00286F73">
              <w:rPr>
                <w:rFonts w:eastAsia="Times New Roman" w:cs="Calibri"/>
                <w:b/>
                <w:sz w:val="20"/>
                <w:szCs w:val="20"/>
              </w:rPr>
              <w:t>TOTALE SERVIZI URBANI DI GIAVENO</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7C80"/>
            <w:noWrap/>
            <w:vAlign w:val="center"/>
            <w:hideMark/>
          </w:tcPr>
          <w:p w14:paraId="67CC963F" w14:textId="77777777" w:rsidR="00FD2CBB" w:rsidRPr="00286F73" w:rsidRDefault="00FD2CBB">
            <w:pPr>
              <w:spacing w:after="0" w:line="240" w:lineRule="auto"/>
              <w:jc w:val="center"/>
              <w:rPr>
                <w:rFonts w:eastAsia="Times New Roman" w:cs="Calibri"/>
                <w:b/>
                <w:sz w:val="20"/>
                <w:szCs w:val="20"/>
              </w:rPr>
            </w:pPr>
            <w:r w:rsidRPr="00286F73">
              <w:rPr>
                <w:rFonts w:eastAsia="Times New Roman" w:cs="Calibri"/>
                <w:b/>
                <w:sz w:val="20"/>
                <w:szCs w:val="20"/>
              </w:rPr>
              <w:t>22</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7C80"/>
            <w:noWrap/>
            <w:vAlign w:val="center"/>
            <w:hideMark/>
          </w:tcPr>
          <w:p w14:paraId="2EACCEF2" w14:textId="77777777" w:rsidR="00FD2CBB" w:rsidRPr="00286F73" w:rsidRDefault="00FD2CBB">
            <w:pPr>
              <w:spacing w:after="0" w:line="240" w:lineRule="auto"/>
              <w:jc w:val="right"/>
              <w:rPr>
                <w:rFonts w:eastAsia="Times New Roman" w:cs="Calibri"/>
                <w:b/>
                <w:sz w:val="20"/>
                <w:szCs w:val="20"/>
              </w:rPr>
            </w:pPr>
            <w:r w:rsidRPr="00286F73">
              <w:rPr>
                <w:rFonts w:eastAsia="Times New Roman" w:cs="Calibri"/>
                <w:b/>
                <w:sz w:val="20"/>
                <w:szCs w:val="20"/>
              </w:rPr>
              <w:t>18.245</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7C80"/>
            <w:noWrap/>
            <w:vAlign w:val="center"/>
            <w:hideMark/>
          </w:tcPr>
          <w:p w14:paraId="368BEE82" w14:textId="77777777" w:rsidR="00FD2CBB" w:rsidRPr="00286F73" w:rsidRDefault="00FD2CBB">
            <w:pPr>
              <w:spacing w:after="0" w:line="240" w:lineRule="auto"/>
              <w:jc w:val="right"/>
              <w:rPr>
                <w:rFonts w:eastAsia="Times New Roman" w:cs="Calibri"/>
                <w:b/>
                <w:sz w:val="20"/>
                <w:szCs w:val="20"/>
              </w:rPr>
            </w:pPr>
            <w:r w:rsidRPr="00286F73">
              <w:rPr>
                <w:rFonts w:eastAsia="Times New Roman" w:cs="Calibri"/>
                <w:b/>
                <w:sz w:val="20"/>
                <w:szCs w:val="20"/>
              </w:rPr>
              <w:t>18.245</w:t>
            </w:r>
          </w:p>
        </w:tc>
      </w:tr>
      <w:tr w:rsidR="00FD2CBB" w:rsidRPr="00AC4A31" w14:paraId="4D731307"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76A780F"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 </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4A8CD82D"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Circolare 2</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84E1296"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55</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062BCEFA"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15.179</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9AFEF10"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15.179</w:t>
            </w:r>
          </w:p>
        </w:tc>
      </w:tr>
      <w:tr w:rsidR="00FD2CBB" w:rsidRPr="00AC4A31" w14:paraId="55A8B537"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2ADC1B1"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 </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6EEC8E72"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Linea 6 - Rochemolles</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0421A1E1"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10</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94BEEF6"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3.721</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11B0C04"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3.721</w:t>
            </w:r>
          </w:p>
        </w:tc>
      </w:tr>
      <w:tr w:rsidR="00FD2CBB" w:rsidRPr="00AC4A31" w14:paraId="577E00D1"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43CEEEC"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 </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70A6BBCF"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Linea Valle Stretta - Pian del Colle/Alpeggio Valle Stretta</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77FD981"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22</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0EC7F385"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3.279</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7D5FE00"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3.279</w:t>
            </w:r>
          </w:p>
        </w:tc>
      </w:tr>
      <w:tr w:rsidR="00FD2CBB" w:rsidRPr="00AC4A31" w14:paraId="0427144D"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7F24252"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 </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43E708F3"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Linea 5 - Millaures-Gleise</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14F1EDB"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121</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35F8377"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41.140</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2431FC9"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41.140</w:t>
            </w:r>
          </w:p>
        </w:tc>
      </w:tr>
      <w:tr w:rsidR="00FD2CBB" w:rsidRPr="00AC4A31" w14:paraId="02CA4F2E"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6A427CE0"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 </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13BD9257"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Linea 5 - Millaures-Gleise - Scolastica</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6AA3DBD6"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2</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B357E7B"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1.416</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E41F114"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1.416</w:t>
            </w:r>
          </w:p>
        </w:tc>
      </w:tr>
      <w:tr w:rsidR="00FD2CBB" w:rsidRPr="00AC4A31" w14:paraId="4A4A6FDE"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64C530E"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 </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591B1488"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Linea 3 - Melezet</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EEF8B15"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145</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6B79120"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67.376</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0B475311"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67.376</w:t>
            </w:r>
          </w:p>
        </w:tc>
      </w:tr>
      <w:tr w:rsidR="00FD2CBB" w:rsidRPr="00AC4A31" w14:paraId="5A835B50"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4B2766F"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 </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6D76518B"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Linea 3 - Melezet/Pian del Colle - Scolastica</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6F233DCD"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7</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606C880"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2.529</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D46A70C"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2.529</w:t>
            </w:r>
          </w:p>
        </w:tc>
      </w:tr>
      <w:tr w:rsidR="00FD2CBB" w:rsidRPr="00AC4A31" w14:paraId="700FBB13"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C52F1BD"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 </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1510CC29"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Linea 7 - Campo Smith - Telecabina Jafferau</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074F4F8"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106</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61E6B126"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25.321</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6A26DD96"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25.321</w:t>
            </w:r>
          </w:p>
        </w:tc>
      </w:tr>
      <w:tr w:rsidR="00FD2CBB" w:rsidRPr="00AC4A31" w14:paraId="2C292A1B"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688C436"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 </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67DC0C47"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Circolare 1</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FCFF6A0"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30</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68355B79"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1.781</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62031AD4"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1.781</w:t>
            </w:r>
          </w:p>
        </w:tc>
      </w:tr>
      <w:tr w:rsidR="00FD2CBB" w:rsidRPr="00AC4A31" w14:paraId="259F91C3"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24127A6"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 </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589ADCFA"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Linea 4 (old) - Borgo Vecchio - Scolastica</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81C3C36"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2</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E3EB1D7"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943</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6397739"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943</w:t>
            </w:r>
          </w:p>
        </w:tc>
      </w:tr>
      <w:tr w:rsidR="00FD2CBB" w:rsidRPr="00AC4A31" w14:paraId="0A2990B4"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5A7A753"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 </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3BCB11EA"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Linea 4 (old) - Borgo Vecchio</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87B1419"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59</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4BEF7F9"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9.342</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D3BCCB8"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9.342</w:t>
            </w:r>
          </w:p>
        </w:tc>
      </w:tr>
      <w:tr w:rsidR="00FD2CBB" w:rsidRPr="00AC4A31" w14:paraId="3FCD4BC1"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7A10568"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 </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77595393"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Circolare 4</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8E824B7"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62</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CD55320"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46.359</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EE2D9E0"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46.359</w:t>
            </w:r>
          </w:p>
        </w:tc>
      </w:tr>
      <w:tr w:rsidR="00FD2CBB" w:rsidRPr="00AC4A31" w14:paraId="661C7546"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1DFFBBD"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 </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48C94638"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Circolare 4 - Scolastica</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6C97B3E6"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10</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2DD6B6E"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4.456</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36F0B97"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4.456</w:t>
            </w:r>
          </w:p>
        </w:tc>
      </w:tr>
      <w:tr w:rsidR="00FD2CBB" w:rsidRPr="00AC4A31" w14:paraId="01CBA1AB"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6CCBDAF7"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 </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639C1C15" w14:textId="77777777" w:rsidR="00FD2CBB" w:rsidRPr="00AC4A31" w:rsidRDefault="00FD2CBB">
            <w:pPr>
              <w:spacing w:after="0" w:line="240" w:lineRule="auto"/>
              <w:jc w:val="left"/>
              <w:rPr>
                <w:rFonts w:eastAsia="Times New Roman" w:cs="Calibri"/>
                <w:color w:val="000000"/>
                <w:sz w:val="20"/>
                <w:szCs w:val="20"/>
              </w:rPr>
            </w:pPr>
            <w:r w:rsidRPr="00AC4A31">
              <w:rPr>
                <w:rFonts w:eastAsia="Times New Roman" w:cs="Calibri"/>
                <w:color w:val="000000"/>
                <w:sz w:val="20"/>
                <w:szCs w:val="20"/>
              </w:rPr>
              <w:t>Circolare 1 - Scolastica</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6EE3043" w14:textId="77777777" w:rsidR="00FD2CBB" w:rsidRPr="00AC4A31" w:rsidRDefault="00FD2CBB">
            <w:pPr>
              <w:spacing w:after="0" w:line="240" w:lineRule="auto"/>
              <w:jc w:val="center"/>
              <w:rPr>
                <w:rFonts w:eastAsia="Times New Roman" w:cs="Calibri"/>
                <w:color w:val="000000"/>
                <w:sz w:val="20"/>
                <w:szCs w:val="20"/>
              </w:rPr>
            </w:pPr>
            <w:r w:rsidRPr="00AC4A31">
              <w:rPr>
                <w:rFonts w:eastAsia="Times New Roman" w:cs="Calibri"/>
                <w:color w:val="000000"/>
                <w:sz w:val="20"/>
                <w:szCs w:val="20"/>
              </w:rPr>
              <w:t>1</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ABE63FE"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137</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650EBF3E" w14:textId="77777777" w:rsidR="00FD2CBB" w:rsidRPr="00AC4A31" w:rsidRDefault="00FD2CBB">
            <w:pPr>
              <w:spacing w:after="0" w:line="240" w:lineRule="auto"/>
              <w:jc w:val="right"/>
              <w:rPr>
                <w:rFonts w:eastAsia="Times New Roman" w:cs="Calibri"/>
                <w:color w:val="000000"/>
                <w:sz w:val="20"/>
                <w:szCs w:val="20"/>
              </w:rPr>
            </w:pPr>
            <w:r w:rsidRPr="00AC4A31">
              <w:rPr>
                <w:rFonts w:eastAsia="Times New Roman" w:cs="Calibri"/>
                <w:color w:val="000000"/>
                <w:sz w:val="20"/>
                <w:szCs w:val="20"/>
              </w:rPr>
              <w:t>137</w:t>
            </w:r>
          </w:p>
        </w:tc>
      </w:tr>
      <w:tr w:rsidR="00FD2CBB" w:rsidRPr="00AC4A31" w14:paraId="5F43C4FE" w14:textId="77777777" w:rsidTr="009F4CF9">
        <w:trPr>
          <w:trHeight w:val="27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7C80"/>
            <w:noWrap/>
            <w:vAlign w:val="center"/>
            <w:hideMark/>
          </w:tcPr>
          <w:p w14:paraId="7C05BF0F" w14:textId="77777777" w:rsidR="00FD2CBB" w:rsidRPr="00286F73" w:rsidRDefault="00FD2CBB">
            <w:pPr>
              <w:spacing w:after="0" w:line="240" w:lineRule="auto"/>
              <w:jc w:val="center"/>
              <w:rPr>
                <w:rFonts w:eastAsia="Times New Roman" w:cs="Calibri"/>
                <w:b/>
                <w:sz w:val="20"/>
                <w:szCs w:val="20"/>
              </w:rPr>
            </w:pPr>
            <w:r w:rsidRPr="00286F73">
              <w:rPr>
                <w:rFonts w:eastAsia="Times New Roman" w:cs="Calibri"/>
                <w:b/>
                <w:sz w:val="20"/>
                <w:szCs w:val="20"/>
              </w:rPr>
              <w:t> </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7C80"/>
            <w:vAlign w:val="center"/>
            <w:hideMark/>
          </w:tcPr>
          <w:p w14:paraId="037FAD86" w14:textId="77777777" w:rsidR="00FD2CBB" w:rsidRPr="00286F73" w:rsidRDefault="00FD2CBB">
            <w:pPr>
              <w:spacing w:after="0" w:line="240" w:lineRule="auto"/>
              <w:jc w:val="left"/>
              <w:rPr>
                <w:rFonts w:eastAsia="Times New Roman" w:cs="Calibri"/>
                <w:b/>
                <w:sz w:val="20"/>
                <w:szCs w:val="20"/>
              </w:rPr>
            </w:pPr>
            <w:r w:rsidRPr="00286F73">
              <w:rPr>
                <w:rFonts w:eastAsia="Times New Roman" w:cs="Calibri"/>
                <w:b/>
                <w:sz w:val="20"/>
                <w:szCs w:val="20"/>
              </w:rPr>
              <w:t>TOTALE SERVIZI URBANI DI BARDONECCHIA</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7C80"/>
            <w:noWrap/>
            <w:vAlign w:val="center"/>
            <w:hideMark/>
          </w:tcPr>
          <w:p w14:paraId="543096AA" w14:textId="77777777" w:rsidR="00FD2CBB" w:rsidRPr="00286F73" w:rsidRDefault="00FD2CBB">
            <w:pPr>
              <w:spacing w:after="0" w:line="240" w:lineRule="auto"/>
              <w:jc w:val="center"/>
              <w:rPr>
                <w:rFonts w:eastAsia="Times New Roman" w:cs="Calibri"/>
                <w:b/>
                <w:sz w:val="20"/>
                <w:szCs w:val="20"/>
              </w:rPr>
            </w:pPr>
            <w:r w:rsidRPr="00286F73">
              <w:rPr>
                <w:rFonts w:eastAsia="Times New Roman" w:cs="Calibri"/>
                <w:b/>
                <w:sz w:val="20"/>
                <w:szCs w:val="20"/>
              </w:rPr>
              <w:t>632</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7C80"/>
            <w:noWrap/>
            <w:vAlign w:val="center"/>
            <w:hideMark/>
          </w:tcPr>
          <w:p w14:paraId="6710DF4F" w14:textId="77777777" w:rsidR="00FD2CBB" w:rsidRPr="00286F73" w:rsidRDefault="00FD2CBB">
            <w:pPr>
              <w:spacing w:after="0" w:line="240" w:lineRule="auto"/>
              <w:jc w:val="right"/>
              <w:rPr>
                <w:rFonts w:eastAsia="Times New Roman" w:cs="Calibri"/>
                <w:b/>
                <w:sz w:val="20"/>
                <w:szCs w:val="20"/>
              </w:rPr>
            </w:pPr>
            <w:r w:rsidRPr="00286F73">
              <w:rPr>
                <w:rFonts w:eastAsia="Times New Roman" w:cs="Calibri"/>
                <w:b/>
                <w:sz w:val="20"/>
                <w:szCs w:val="20"/>
              </w:rPr>
              <w:t>222.979</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7C80"/>
            <w:noWrap/>
            <w:vAlign w:val="center"/>
            <w:hideMark/>
          </w:tcPr>
          <w:p w14:paraId="0D53B497" w14:textId="77777777" w:rsidR="00FD2CBB" w:rsidRPr="00286F73" w:rsidRDefault="00FD2CBB">
            <w:pPr>
              <w:spacing w:after="0" w:line="240" w:lineRule="auto"/>
              <w:jc w:val="right"/>
              <w:rPr>
                <w:rFonts w:eastAsia="Times New Roman" w:cs="Calibri"/>
                <w:b/>
                <w:sz w:val="20"/>
                <w:szCs w:val="20"/>
              </w:rPr>
            </w:pPr>
            <w:r w:rsidRPr="00286F73">
              <w:rPr>
                <w:rFonts w:eastAsia="Times New Roman" w:cs="Calibri"/>
                <w:b/>
                <w:sz w:val="20"/>
                <w:szCs w:val="20"/>
              </w:rPr>
              <w:t>222.979</w:t>
            </w:r>
          </w:p>
        </w:tc>
      </w:tr>
      <w:tr w:rsidR="00FD2CBB" w:rsidRPr="00AC4A31" w14:paraId="4010F2A6" w14:textId="77777777" w:rsidTr="009F4CF9">
        <w:trPr>
          <w:trHeight w:val="30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7C80"/>
            <w:noWrap/>
            <w:vAlign w:val="center"/>
            <w:hideMark/>
          </w:tcPr>
          <w:p w14:paraId="45E930B2" w14:textId="77777777" w:rsidR="00FD2CBB" w:rsidRPr="00286F73" w:rsidRDefault="00FD2CBB">
            <w:pPr>
              <w:spacing w:after="0" w:line="240" w:lineRule="auto"/>
              <w:jc w:val="center"/>
              <w:rPr>
                <w:rFonts w:eastAsia="Times New Roman" w:cs="Calibri"/>
                <w:b/>
                <w:sz w:val="20"/>
                <w:szCs w:val="20"/>
              </w:rPr>
            </w:pPr>
            <w:r w:rsidRPr="00286F73">
              <w:rPr>
                <w:rFonts w:eastAsia="Times New Roman" w:cs="Calibri"/>
                <w:b/>
                <w:sz w:val="20"/>
                <w:szCs w:val="20"/>
              </w:rPr>
              <w:t> </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7C80"/>
            <w:vAlign w:val="center"/>
            <w:hideMark/>
          </w:tcPr>
          <w:p w14:paraId="1DFDF023" w14:textId="77777777" w:rsidR="00FD2CBB" w:rsidRPr="00286F73" w:rsidRDefault="00FD2CBB">
            <w:pPr>
              <w:spacing w:after="0" w:line="240" w:lineRule="auto"/>
              <w:jc w:val="left"/>
              <w:rPr>
                <w:rFonts w:eastAsia="Times New Roman" w:cs="Calibri"/>
                <w:b/>
                <w:sz w:val="20"/>
                <w:szCs w:val="20"/>
              </w:rPr>
            </w:pPr>
            <w:r w:rsidRPr="00286F73">
              <w:rPr>
                <w:rFonts w:eastAsia="Times New Roman" w:cs="Calibri"/>
                <w:b/>
                <w:sz w:val="20"/>
                <w:szCs w:val="20"/>
              </w:rPr>
              <w:t>TOTALE SERVIZI URBANI BACINO METROPOLITANO</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7C80"/>
            <w:noWrap/>
            <w:vAlign w:val="center"/>
            <w:hideMark/>
          </w:tcPr>
          <w:p w14:paraId="31F22F87" w14:textId="77777777" w:rsidR="00FD2CBB" w:rsidRPr="00286F73" w:rsidRDefault="00FD2CBB">
            <w:pPr>
              <w:spacing w:after="0" w:line="240" w:lineRule="auto"/>
              <w:jc w:val="center"/>
              <w:rPr>
                <w:rFonts w:eastAsia="Times New Roman" w:cs="Calibri"/>
                <w:b/>
                <w:sz w:val="20"/>
                <w:szCs w:val="20"/>
              </w:rPr>
            </w:pPr>
            <w:r w:rsidRPr="00286F73">
              <w:rPr>
                <w:rFonts w:eastAsia="Times New Roman" w:cs="Calibri"/>
                <w:b/>
                <w:sz w:val="20"/>
                <w:szCs w:val="20"/>
              </w:rPr>
              <w:t>1.665</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7C80"/>
            <w:noWrap/>
            <w:vAlign w:val="center"/>
            <w:hideMark/>
          </w:tcPr>
          <w:p w14:paraId="33162C74" w14:textId="77777777" w:rsidR="00FD2CBB" w:rsidRPr="00286F73" w:rsidRDefault="00FD2CBB">
            <w:pPr>
              <w:spacing w:after="0" w:line="240" w:lineRule="auto"/>
              <w:jc w:val="right"/>
              <w:rPr>
                <w:rFonts w:eastAsia="Times New Roman" w:cs="Calibri"/>
                <w:b/>
                <w:sz w:val="20"/>
                <w:szCs w:val="20"/>
              </w:rPr>
            </w:pPr>
            <w:r w:rsidRPr="00286F73">
              <w:rPr>
                <w:rFonts w:eastAsia="Times New Roman" w:cs="Calibri"/>
                <w:b/>
                <w:sz w:val="20"/>
                <w:szCs w:val="20"/>
              </w:rPr>
              <w:t>1.946.634</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7C80"/>
            <w:noWrap/>
            <w:vAlign w:val="center"/>
            <w:hideMark/>
          </w:tcPr>
          <w:p w14:paraId="74B432E2" w14:textId="77777777" w:rsidR="00FD2CBB" w:rsidRPr="00286F73" w:rsidRDefault="00FD2CBB">
            <w:pPr>
              <w:spacing w:after="0" w:line="240" w:lineRule="auto"/>
              <w:jc w:val="right"/>
              <w:rPr>
                <w:rFonts w:eastAsia="Times New Roman" w:cs="Calibri"/>
                <w:b/>
                <w:sz w:val="20"/>
                <w:szCs w:val="20"/>
              </w:rPr>
            </w:pPr>
            <w:r w:rsidRPr="00286F73">
              <w:rPr>
                <w:rFonts w:eastAsia="Times New Roman" w:cs="Calibri"/>
                <w:b/>
                <w:sz w:val="20"/>
                <w:szCs w:val="20"/>
              </w:rPr>
              <w:t>1.946.634</w:t>
            </w:r>
          </w:p>
        </w:tc>
      </w:tr>
      <w:tr w:rsidR="00FD2CBB" w:rsidRPr="00AC4A31" w14:paraId="49683AEE" w14:textId="77777777" w:rsidTr="009F4CF9">
        <w:trPr>
          <w:trHeight w:val="300"/>
        </w:trPr>
        <w:tc>
          <w:tcPr>
            <w:tcW w:w="3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000000" w:fill="EE3438"/>
            <w:vAlign w:val="center"/>
            <w:hideMark/>
          </w:tcPr>
          <w:p w14:paraId="6539AF88" w14:textId="77777777" w:rsidR="00FD2CBB" w:rsidRPr="00AC4A31" w:rsidRDefault="00FD2CBB">
            <w:pPr>
              <w:spacing w:after="0" w:line="240" w:lineRule="auto"/>
              <w:jc w:val="left"/>
              <w:rPr>
                <w:rFonts w:eastAsia="Times New Roman" w:cs="Calibri"/>
                <w:b/>
                <w:color w:val="000000"/>
                <w:sz w:val="20"/>
                <w:szCs w:val="20"/>
              </w:rPr>
            </w:pPr>
            <w:r w:rsidRPr="00AC4A31">
              <w:rPr>
                <w:rFonts w:eastAsia="Times New Roman" w:cs="Calibri"/>
                <w:b/>
                <w:color w:val="000000"/>
                <w:sz w:val="20"/>
                <w:szCs w:val="20"/>
              </w:rPr>
              <w:t> </w:t>
            </w:r>
          </w:p>
        </w:tc>
        <w:tc>
          <w:tcPr>
            <w:tcW w:w="31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000000" w:fill="EE3438"/>
            <w:vAlign w:val="center"/>
            <w:hideMark/>
          </w:tcPr>
          <w:p w14:paraId="710FDD74" w14:textId="77777777" w:rsidR="00FD2CBB" w:rsidRPr="00AC4A31" w:rsidRDefault="00FD2CBB">
            <w:pPr>
              <w:spacing w:after="0" w:line="240" w:lineRule="auto"/>
              <w:jc w:val="left"/>
              <w:rPr>
                <w:rFonts w:eastAsia="Times New Roman" w:cs="Calibri"/>
                <w:b/>
                <w:color w:val="FFFFFF"/>
                <w:sz w:val="20"/>
                <w:szCs w:val="20"/>
              </w:rPr>
            </w:pPr>
            <w:r w:rsidRPr="00AC4A31">
              <w:rPr>
                <w:rFonts w:eastAsia="Times New Roman" w:cs="Calibri"/>
                <w:b/>
                <w:color w:val="FFFFFF"/>
                <w:sz w:val="20"/>
                <w:szCs w:val="20"/>
              </w:rPr>
              <w:t>TOTALE SERVIZI BACINO METROPOLITANO</w:t>
            </w:r>
          </w:p>
        </w:tc>
        <w:tc>
          <w:tcPr>
            <w:tcW w:w="4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000000" w:fill="EE3438"/>
            <w:vAlign w:val="center"/>
            <w:hideMark/>
          </w:tcPr>
          <w:p w14:paraId="08AF9E4F" w14:textId="77777777" w:rsidR="00FD2CBB" w:rsidRPr="00AC4A31" w:rsidRDefault="00FD2CBB">
            <w:pPr>
              <w:spacing w:after="0" w:line="240" w:lineRule="auto"/>
              <w:jc w:val="center"/>
              <w:rPr>
                <w:rFonts w:eastAsia="Times New Roman" w:cs="Calibri"/>
                <w:b/>
                <w:color w:val="FFFFFF"/>
                <w:sz w:val="20"/>
                <w:szCs w:val="20"/>
              </w:rPr>
            </w:pPr>
            <w:r w:rsidRPr="00AC4A31">
              <w:rPr>
                <w:rFonts w:eastAsia="Times New Roman" w:cs="Calibri"/>
                <w:b/>
                <w:color w:val="FFFFFF"/>
                <w:sz w:val="20"/>
                <w:szCs w:val="20"/>
              </w:rPr>
              <w:t>7.532</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000000" w:fill="EE3438"/>
            <w:vAlign w:val="center"/>
            <w:hideMark/>
          </w:tcPr>
          <w:p w14:paraId="5458F738" w14:textId="77777777" w:rsidR="00FD2CBB" w:rsidRPr="00AC4A31" w:rsidRDefault="00FD2CBB">
            <w:pPr>
              <w:spacing w:after="0" w:line="240" w:lineRule="auto"/>
              <w:jc w:val="center"/>
              <w:rPr>
                <w:rFonts w:eastAsia="Times New Roman" w:cs="Calibri"/>
                <w:b/>
                <w:color w:val="FFFFFF"/>
                <w:sz w:val="20"/>
                <w:szCs w:val="20"/>
              </w:rPr>
            </w:pPr>
            <w:r w:rsidRPr="00AC4A31">
              <w:rPr>
                <w:rFonts w:eastAsia="Times New Roman" w:cs="Calibri"/>
                <w:b/>
                <w:color w:val="FFFFFF"/>
                <w:sz w:val="20"/>
                <w:szCs w:val="20"/>
              </w:rPr>
              <w:t>22.910.063</w:t>
            </w:r>
          </w:p>
        </w:tc>
        <w:tc>
          <w:tcPr>
            <w:tcW w:w="50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000000" w:fill="EE3438"/>
            <w:vAlign w:val="center"/>
            <w:hideMark/>
          </w:tcPr>
          <w:p w14:paraId="7410F3DC" w14:textId="77777777" w:rsidR="00FD2CBB" w:rsidRPr="00AC4A31" w:rsidRDefault="00FD2CBB">
            <w:pPr>
              <w:spacing w:after="0" w:line="240" w:lineRule="auto"/>
              <w:jc w:val="center"/>
              <w:rPr>
                <w:rFonts w:eastAsia="Times New Roman" w:cs="Calibri"/>
                <w:b/>
                <w:color w:val="FFFFFF"/>
                <w:sz w:val="20"/>
                <w:szCs w:val="20"/>
              </w:rPr>
            </w:pPr>
            <w:r w:rsidRPr="00AC4A31">
              <w:rPr>
                <w:rFonts w:eastAsia="Times New Roman" w:cs="Calibri"/>
                <w:b/>
                <w:color w:val="FFFFFF"/>
                <w:sz w:val="20"/>
                <w:szCs w:val="20"/>
              </w:rPr>
              <w:t>22.471.853</w:t>
            </w:r>
          </w:p>
        </w:tc>
      </w:tr>
      <w:tr w:rsidR="00FD2CBB" w:rsidRPr="00AC4A31" w14:paraId="31C76CA1" w14:textId="77777777" w:rsidTr="009F4CF9">
        <w:trPr>
          <w:trHeight w:val="300"/>
        </w:trPr>
        <w:tc>
          <w:tcPr>
            <w:tcW w:w="362" w:type="pct"/>
            <w:tcBorders>
              <w:top w:val="single" w:sz="4" w:space="0" w:color="A6A6A6" w:themeColor="background1" w:themeShade="A6"/>
              <w:left w:val="nil"/>
              <w:bottom w:val="nil"/>
              <w:right w:val="nil"/>
            </w:tcBorders>
            <w:shd w:val="clear" w:color="000000" w:fill="FFFFFF"/>
            <w:noWrap/>
            <w:vAlign w:val="center"/>
            <w:hideMark/>
          </w:tcPr>
          <w:p w14:paraId="3EA9879D" w14:textId="77777777" w:rsidR="00FD2CBB" w:rsidRPr="00AC4A31" w:rsidRDefault="00FD2CBB">
            <w:pPr>
              <w:spacing w:after="0" w:line="240" w:lineRule="auto"/>
              <w:jc w:val="left"/>
              <w:rPr>
                <w:rFonts w:eastAsia="Times New Roman" w:cs="Calibri"/>
                <w:b/>
                <w:color w:val="000000"/>
                <w:sz w:val="20"/>
                <w:szCs w:val="20"/>
              </w:rPr>
            </w:pPr>
            <w:r w:rsidRPr="00AC4A31">
              <w:rPr>
                <w:rFonts w:eastAsia="Times New Roman" w:cs="Calibri"/>
                <w:b/>
                <w:color w:val="000000"/>
                <w:sz w:val="20"/>
                <w:szCs w:val="20"/>
              </w:rPr>
              <w:t> </w:t>
            </w:r>
          </w:p>
        </w:tc>
        <w:tc>
          <w:tcPr>
            <w:tcW w:w="3163" w:type="pct"/>
            <w:tcBorders>
              <w:top w:val="single" w:sz="4" w:space="0" w:color="A6A6A6" w:themeColor="background1" w:themeShade="A6"/>
              <w:left w:val="nil"/>
              <w:bottom w:val="nil"/>
              <w:right w:val="nil"/>
            </w:tcBorders>
            <w:shd w:val="clear" w:color="000000" w:fill="FFFFFF"/>
            <w:vAlign w:val="center"/>
            <w:hideMark/>
          </w:tcPr>
          <w:p w14:paraId="08C472FF" w14:textId="77777777" w:rsidR="00FD2CBB" w:rsidRPr="00AC4A31" w:rsidRDefault="00FD2CBB">
            <w:pPr>
              <w:spacing w:after="0" w:line="240" w:lineRule="auto"/>
              <w:jc w:val="left"/>
              <w:rPr>
                <w:rFonts w:eastAsia="Times New Roman" w:cs="Calibri"/>
                <w:b/>
                <w:color w:val="000000"/>
                <w:sz w:val="20"/>
                <w:szCs w:val="20"/>
              </w:rPr>
            </w:pPr>
            <w:r w:rsidRPr="00AC4A31">
              <w:rPr>
                <w:rFonts w:eastAsia="Times New Roman" w:cs="Calibri"/>
                <w:b/>
                <w:color w:val="000000"/>
                <w:sz w:val="20"/>
                <w:szCs w:val="20"/>
              </w:rPr>
              <w:t>(*esclusi gli Accordi di Programma)</w:t>
            </w:r>
          </w:p>
        </w:tc>
        <w:tc>
          <w:tcPr>
            <w:tcW w:w="460" w:type="pct"/>
            <w:tcBorders>
              <w:top w:val="single" w:sz="4" w:space="0" w:color="A6A6A6" w:themeColor="background1" w:themeShade="A6"/>
              <w:left w:val="nil"/>
              <w:bottom w:val="nil"/>
              <w:right w:val="nil"/>
            </w:tcBorders>
            <w:shd w:val="clear" w:color="000000" w:fill="FFFFFF"/>
            <w:noWrap/>
            <w:vAlign w:val="center"/>
            <w:hideMark/>
          </w:tcPr>
          <w:p w14:paraId="737C55C2" w14:textId="77777777" w:rsidR="00FD2CBB" w:rsidRPr="00AC4A31" w:rsidRDefault="00FD2CBB">
            <w:pPr>
              <w:spacing w:after="0" w:line="240" w:lineRule="auto"/>
              <w:jc w:val="center"/>
              <w:rPr>
                <w:rFonts w:eastAsia="Times New Roman" w:cs="Calibri"/>
                <w:b/>
                <w:color w:val="000000"/>
                <w:sz w:val="20"/>
                <w:szCs w:val="20"/>
              </w:rPr>
            </w:pPr>
            <w:r w:rsidRPr="00AC4A31">
              <w:rPr>
                <w:rFonts w:eastAsia="Times New Roman" w:cs="Calibri"/>
                <w:b/>
                <w:color w:val="000000"/>
                <w:sz w:val="20"/>
                <w:szCs w:val="20"/>
              </w:rPr>
              <w:t> </w:t>
            </w:r>
          </w:p>
        </w:tc>
        <w:tc>
          <w:tcPr>
            <w:tcW w:w="508" w:type="pct"/>
            <w:tcBorders>
              <w:top w:val="single" w:sz="4" w:space="0" w:color="A6A6A6" w:themeColor="background1" w:themeShade="A6"/>
              <w:left w:val="nil"/>
              <w:bottom w:val="nil"/>
              <w:right w:val="nil"/>
            </w:tcBorders>
            <w:shd w:val="clear" w:color="000000" w:fill="FFFFFF"/>
            <w:noWrap/>
            <w:vAlign w:val="center"/>
            <w:hideMark/>
          </w:tcPr>
          <w:p w14:paraId="03F2EB5E" w14:textId="77777777" w:rsidR="00FD2CBB" w:rsidRPr="00AC4A31" w:rsidRDefault="00FD2CBB">
            <w:pPr>
              <w:spacing w:after="0" w:line="240" w:lineRule="auto"/>
              <w:jc w:val="right"/>
              <w:rPr>
                <w:rFonts w:eastAsia="Times New Roman" w:cs="Calibri"/>
                <w:b/>
                <w:color w:val="000000"/>
                <w:sz w:val="20"/>
                <w:szCs w:val="20"/>
              </w:rPr>
            </w:pPr>
            <w:r w:rsidRPr="00AC4A31">
              <w:rPr>
                <w:rFonts w:eastAsia="Times New Roman" w:cs="Calibri"/>
                <w:b/>
                <w:color w:val="000000"/>
                <w:sz w:val="20"/>
                <w:szCs w:val="20"/>
              </w:rPr>
              <w:t> </w:t>
            </w:r>
          </w:p>
        </w:tc>
        <w:tc>
          <w:tcPr>
            <w:tcW w:w="508" w:type="pct"/>
            <w:tcBorders>
              <w:top w:val="single" w:sz="4" w:space="0" w:color="A6A6A6" w:themeColor="background1" w:themeShade="A6"/>
              <w:left w:val="nil"/>
              <w:bottom w:val="nil"/>
              <w:right w:val="nil"/>
            </w:tcBorders>
            <w:shd w:val="clear" w:color="000000" w:fill="FFFFFF"/>
            <w:noWrap/>
            <w:vAlign w:val="center"/>
            <w:hideMark/>
          </w:tcPr>
          <w:p w14:paraId="193C1A3E" w14:textId="77777777" w:rsidR="00FD2CBB" w:rsidRPr="00AC4A31" w:rsidRDefault="00FD2CBB">
            <w:pPr>
              <w:spacing w:after="0" w:line="240" w:lineRule="auto"/>
              <w:jc w:val="right"/>
              <w:rPr>
                <w:rFonts w:eastAsia="Times New Roman" w:cs="Calibri"/>
                <w:b/>
                <w:color w:val="000000"/>
                <w:sz w:val="20"/>
                <w:szCs w:val="20"/>
              </w:rPr>
            </w:pPr>
            <w:r w:rsidRPr="00AC4A31">
              <w:rPr>
                <w:rFonts w:eastAsia="Times New Roman" w:cs="Calibri"/>
                <w:b/>
                <w:color w:val="000000"/>
                <w:sz w:val="20"/>
                <w:szCs w:val="20"/>
              </w:rPr>
              <w:t> </w:t>
            </w:r>
          </w:p>
        </w:tc>
      </w:tr>
    </w:tbl>
    <w:p w14:paraId="5A285279" w14:textId="7688F3EA" w:rsidR="00FD2CBB" w:rsidRPr="00677A61" w:rsidRDefault="00FD2CBB" w:rsidP="00FD2CBB">
      <w:pPr>
        <w:pStyle w:val="Didascalia"/>
        <w:jc w:val="center"/>
        <w:rPr>
          <w:iCs w:val="0"/>
        </w:rPr>
      </w:pPr>
      <w:bookmarkStart w:id="198" w:name="_Hlk205055834"/>
      <w:r>
        <w:t xml:space="preserve">Tabella </w:t>
      </w:r>
      <w:r w:rsidR="00FD7EE5">
        <w:fldChar w:fldCharType="begin"/>
      </w:r>
      <w:r w:rsidR="00FD7EE5">
        <w:instrText xml:space="preserve"> SEQ Tabella \* ARABIC </w:instrText>
      </w:r>
      <w:r w:rsidR="00FD7EE5">
        <w:fldChar w:fldCharType="separate"/>
      </w:r>
      <w:r w:rsidR="00073B6D">
        <w:rPr>
          <w:noProof/>
        </w:rPr>
        <w:t>31</w:t>
      </w:r>
      <w:r w:rsidR="00FD7EE5">
        <w:rPr>
          <w:noProof/>
        </w:rPr>
        <w:fldChar w:fldCharType="end"/>
      </w:r>
      <w:r>
        <w:rPr>
          <w:i w:val="0"/>
        </w:rPr>
        <w:t xml:space="preserve"> – </w:t>
      </w:r>
      <w:r w:rsidRPr="00677A61">
        <w:rPr>
          <w:iCs w:val="0"/>
        </w:rPr>
        <w:t xml:space="preserve">Quadro del servizio automobilistico del Bacino </w:t>
      </w:r>
      <w:r>
        <w:rPr>
          <w:iCs w:val="0"/>
        </w:rPr>
        <w:t>Metropolitano</w:t>
      </w:r>
      <w:r w:rsidRPr="00677A61">
        <w:rPr>
          <w:iCs w:val="0"/>
        </w:rPr>
        <w:t xml:space="preserve"> (PEA 2024)</w:t>
      </w:r>
    </w:p>
    <w:bookmarkEnd w:id="198"/>
    <w:p w14:paraId="57F0E318" w14:textId="77777777" w:rsidR="00FD2CBB" w:rsidRPr="00677A61" w:rsidRDefault="00FD2CBB" w:rsidP="00FD2CBB">
      <w:pPr>
        <w:spacing w:before="120" w:after="0" w:line="240" w:lineRule="auto"/>
        <w:rPr>
          <w:i/>
        </w:rPr>
      </w:pPr>
    </w:p>
    <w:p w14:paraId="4F44E237" w14:textId="77777777" w:rsidR="00FD2CBB" w:rsidRDefault="00FD2CBB" w:rsidP="00FD2CBB">
      <w:pPr>
        <w:spacing w:before="120" w:after="0" w:line="240" w:lineRule="auto"/>
        <w:rPr>
          <w:rFonts w:cs="Times New Roman"/>
          <w:color w:val="000000" w:themeColor="text1"/>
        </w:rPr>
      </w:pPr>
      <w:r>
        <w:rPr>
          <w:noProof/>
        </w:rPr>
        <w:drawing>
          <wp:inline distT="0" distB="0" distL="0" distR="0" wp14:anchorId="61105C1B" wp14:editId="1D74C695">
            <wp:extent cx="5753100" cy="4068345"/>
            <wp:effectExtent l="19050" t="19050" r="19050" b="27940"/>
            <wp:docPr id="504177835" name="Immagine 504177835" descr="Immagine che contiene mappa, testo, atlante, diagramm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177835" name="Immagine 504177835" descr="Immagine che contiene mappa, testo, atlante, diagramma&#10;&#10;Descrizione generata automaticamente"/>
                    <pic:cNvPicPr>
                      <a:picLocks noChangeAspect="1" noChangeArrowheads="1"/>
                    </pic:cNvPicPr>
                  </pic:nvPicPr>
                  <pic:blipFill>
                    <a:blip r:embed="rId61" cstate="print">
                      <a:extLst>
                        <a:ext uri="{28A0092B-C50C-407E-A947-70E740481C1C}">
                          <a14:useLocalDpi xmlns:a14="http://schemas.microsoft.com/office/drawing/2010/main" val="0"/>
                        </a:ext>
                      </a:extLst>
                    </a:blip>
                    <a:stretch>
                      <a:fillRect/>
                    </a:stretch>
                  </pic:blipFill>
                  <pic:spPr bwMode="auto">
                    <a:xfrm>
                      <a:off x="0" y="0"/>
                      <a:ext cx="5753100" cy="4068345"/>
                    </a:xfrm>
                    <a:prstGeom prst="rect">
                      <a:avLst/>
                    </a:prstGeom>
                    <a:noFill/>
                    <a:ln w="19050">
                      <a:solidFill>
                        <a:srgbClr val="EE3438"/>
                      </a:solidFill>
                    </a:ln>
                  </pic:spPr>
                </pic:pic>
              </a:graphicData>
            </a:graphic>
          </wp:inline>
        </w:drawing>
      </w:r>
    </w:p>
    <w:p w14:paraId="20A7314C" w14:textId="0A207793" w:rsidR="00FD2CBB" w:rsidRPr="00382ABF" w:rsidRDefault="00FD2CBB" w:rsidP="00FD2CBB">
      <w:pPr>
        <w:pStyle w:val="Didascalia"/>
        <w:jc w:val="center"/>
        <w:rPr>
          <w:rFonts w:cs="Times New Roman"/>
          <w:szCs w:val="22"/>
        </w:rPr>
      </w:pPr>
      <w:r w:rsidRPr="00382ABF">
        <w:t xml:space="preserve">Figura </w:t>
      </w:r>
      <w:r w:rsidR="00FD7EE5">
        <w:fldChar w:fldCharType="begin"/>
      </w:r>
      <w:r w:rsidR="00FD7EE5">
        <w:instrText xml:space="preserve"> SEQ Figura \* ARABIC </w:instrText>
      </w:r>
      <w:r w:rsidR="00FD7EE5">
        <w:fldChar w:fldCharType="separate"/>
      </w:r>
      <w:r w:rsidR="00073B6D">
        <w:rPr>
          <w:noProof/>
        </w:rPr>
        <w:t>25</w:t>
      </w:r>
      <w:r w:rsidR="00FD7EE5">
        <w:rPr>
          <w:noProof/>
        </w:rPr>
        <w:fldChar w:fldCharType="end"/>
      </w:r>
      <w:r w:rsidRPr="00382ABF">
        <w:t xml:space="preserve"> </w:t>
      </w:r>
      <w:r>
        <w:t>–</w:t>
      </w:r>
      <w:r w:rsidRPr="00382ABF">
        <w:t xml:space="preserve"> </w:t>
      </w:r>
      <w:r>
        <w:t>Mappa della rete automobilistica del Bacino Metropolitano</w:t>
      </w:r>
    </w:p>
    <w:p w14:paraId="491AF7DE" w14:textId="77777777" w:rsidR="00FD2CBB" w:rsidRPr="00EE3E83" w:rsidRDefault="00FD2CBB" w:rsidP="00FD2CBB">
      <w:pPr>
        <w:pStyle w:val="Didascalia"/>
        <w:keepNext/>
        <w:spacing w:before="120" w:after="0"/>
        <w:jc w:val="center"/>
        <w:rPr>
          <w:color w:val="auto"/>
        </w:rPr>
      </w:pPr>
      <w:r w:rsidRPr="00EE3E83">
        <w:rPr>
          <w:noProof/>
          <w:color w:val="auto"/>
        </w:rPr>
        <w:drawing>
          <wp:inline distT="0" distB="0" distL="0" distR="0" wp14:anchorId="6546A2B5" wp14:editId="11E93A68">
            <wp:extent cx="5530639" cy="3911030"/>
            <wp:effectExtent l="19050" t="19050" r="13335" b="13335"/>
            <wp:docPr id="2006680353" name="Immagine 2" descr="Immagine che contiene mappa, testo, atlante, diagramm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680353" name="Immagine 2" descr="Immagine che contiene mappa, testo, atlante, diagramma&#10;&#10;Descrizione generata automaticamente"/>
                    <pic:cNvPicPr>
                      <a:picLocks noChangeAspect="1" noChangeArrowheads="1"/>
                    </pic:cNvPicPr>
                  </pic:nvPicPr>
                  <pic:blipFill>
                    <a:blip r:embed="rId62" cstate="print">
                      <a:extLst>
                        <a:ext uri="{28A0092B-C50C-407E-A947-70E740481C1C}">
                          <a14:useLocalDpi xmlns:a14="http://schemas.microsoft.com/office/drawing/2010/main" val="0"/>
                        </a:ext>
                      </a:extLst>
                    </a:blip>
                    <a:stretch>
                      <a:fillRect/>
                    </a:stretch>
                  </pic:blipFill>
                  <pic:spPr bwMode="auto">
                    <a:xfrm>
                      <a:off x="0" y="0"/>
                      <a:ext cx="5530639" cy="3911030"/>
                    </a:xfrm>
                    <a:prstGeom prst="rect">
                      <a:avLst/>
                    </a:prstGeom>
                    <a:noFill/>
                    <a:ln w="19050">
                      <a:solidFill>
                        <a:srgbClr val="EE3438"/>
                      </a:solidFill>
                    </a:ln>
                  </pic:spPr>
                </pic:pic>
              </a:graphicData>
            </a:graphic>
          </wp:inline>
        </w:drawing>
      </w:r>
    </w:p>
    <w:p w14:paraId="2AA3CF86" w14:textId="5B79B236" w:rsidR="00FD2CBB" w:rsidRDefault="00FD2CBB" w:rsidP="00FD2CBB">
      <w:pPr>
        <w:pStyle w:val="Didascalia"/>
        <w:jc w:val="center"/>
      </w:pPr>
      <w:r>
        <w:t xml:space="preserve">Figura </w:t>
      </w:r>
      <w:r w:rsidR="00FD7EE5">
        <w:fldChar w:fldCharType="begin"/>
      </w:r>
      <w:r w:rsidR="00FD7EE5">
        <w:instrText xml:space="preserve"> SEQ Figura \* ARABIC </w:instrText>
      </w:r>
      <w:r w:rsidR="00FD7EE5">
        <w:fldChar w:fldCharType="separate"/>
      </w:r>
      <w:r w:rsidR="00073B6D">
        <w:rPr>
          <w:noProof/>
        </w:rPr>
        <w:t>26</w:t>
      </w:r>
      <w:r w:rsidR="00FD7EE5">
        <w:rPr>
          <w:noProof/>
        </w:rPr>
        <w:fldChar w:fldCharType="end"/>
      </w:r>
      <w:r w:rsidRPr="007D2BF7">
        <w:t xml:space="preserve"> – Dettaglio servizio urbano di </w:t>
      </w:r>
      <w:r>
        <w:t>Ivrea</w:t>
      </w:r>
    </w:p>
    <w:p w14:paraId="695D1348" w14:textId="77777777" w:rsidR="00FD2CBB" w:rsidRPr="00EE3E83" w:rsidRDefault="00FD2CBB" w:rsidP="00FD2CBB">
      <w:pPr>
        <w:spacing w:before="120" w:after="0" w:line="240" w:lineRule="auto"/>
        <w:jc w:val="center"/>
        <w:rPr>
          <w:rFonts w:cs="Times New Roman"/>
        </w:rPr>
      </w:pPr>
      <w:r w:rsidRPr="00EE3E83">
        <w:rPr>
          <w:noProof/>
        </w:rPr>
        <w:lastRenderedPageBreak/>
        <w:drawing>
          <wp:inline distT="0" distB="0" distL="0" distR="0" wp14:anchorId="75068254" wp14:editId="44D44BB4">
            <wp:extent cx="5565117" cy="3935412"/>
            <wp:effectExtent l="19050" t="19050" r="17145" b="27305"/>
            <wp:docPr id="909310095" name="Immagine 1" descr="Immagine che contiene mappa, testo, atlante, diagramm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310095" name="Immagine 1" descr="Immagine che contiene mappa, testo, atlante, diagramma&#10;&#10;Descrizione generata automaticamente"/>
                    <pic:cNvPicPr>
                      <a:picLocks noChangeAspect="1" noChangeArrowheads="1"/>
                    </pic:cNvPicPr>
                  </pic:nvPicPr>
                  <pic:blipFill>
                    <a:blip r:embed="rId63" cstate="print">
                      <a:extLst>
                        <a:ext uri="{28A0092B-C50C-407E-A947-70E740481C1C}">
                          <a14:useLocalDpi xmlns:a14="http://schemas.microsoft.com/office/drawing/2010/main" val="0"/>
                        </a:ext>
                      </a:extLst>
                    </a:blip>
                    <a:stretch>
                      <a:fillRect/>
                    </a:stretch>
                  </pic:blipFill>
                  <pic:spPr bwMode="auto">
                    <a:xfrm>
                      <a:off x="0" y="0"/>
                      <a:ext cx="5565117" cy="3935412"/>
                    </a:xfrm>
                    <a:prstGeom prst="rect">
                      <a:avLst/>
                    </a:prstGeom>
                    <a:noFill/>
                    <a:ln w="19050">
                      <a:solidFill>
                        <a:srgbClr val="EE3438"/>
                      </a:solidFill>
                    </a:ln>
                  </pic:spPr>
                </pic:pic>
              </a:graphicData>
            </a:graphic>
          </wp:inline>
        </w:drawing>
      </w:r>
    </w:p>
    <w:p w14:paraId="32B99590" w14:textId="2925D567" w:rsidR="00FD2CBB" w:rsidRDefault="00FD2CBB" w:rsidP="00FD2CBB">
      <w:pPr>
        <w:pStyle w:val="Didascalia"/>
        <w:jc w:val="center"/>
      </w:pPr>
      <w:r w:rsidRPr="00382ABF">
        <w:t xml:space="preserve">Figura </w:t>
      </w:r>
      <w:r w:rsidR="00FD7EE5">
        <w:fldChar w:fldCharType="begin"/>
      </w:r>
      <w:r w:rsidR="00FD7EE5">
        <w:instrText xml:space="preserve"> SEQ Figura \* ARABIC </w:instrText>
      </w:r>
      <w:r w:rsidR="00FD7EE5">
        <w:fldChar w:fldCharType="separate"/>
      </w:r>
      <w:r w:rsidR="00073B6D">
        <w:rPr>
          <w:noProof/>
        </w:rPr>
        <w:t>27</w:t>
      </w:r>
      <w:r w:rsidR="00FD7EE5">
        <w:rPr>
          <w:noProof/>
        </w:rPr>
        <w:fldChar w:fldCharType="end"/>
      </w:r>
      <w:r w:rsidRPr="00382ABF">
        <w:t xml:space="preserve"> </w:t>
      </w:r>
      <w:r>
        <w:t>–</w:t>
      </w:r>
      <w:r w:rsidRPr="00382ABF">
        <w:t xml:space="preserve"> </w:t>
      </w:r>
      <w:r>
        <w:t>Dettaglio servizio urbano di Pinerolo</w:t>
      </w:r>
    </w:p>
    <w:p w14:paraId="14AB7814" w14:textId="77777777" w:rsidR="00FD2CBB" w:rsidRPr="00EE3E83" w:rsidRDefault="00FD2CBB" w:rsidP="00FD2CBB">
      <w:pPr>
        <w:spacing w:before="120" w:after="0" w:line="240" w:lineRule="auto"/>
        <w:jc w:val="center"/>
        <w:rPr>
          <w:rFonts w:cs="Times New Roman"/>
        </w:rPr>
      </w:pPr>
      <w:r w:rsidRPr="00EE3E83">
        <w:rPr>
          <w:noProof/>
        </w:rPr>
        <w:drawing>
          <wp:inline distT="0" distB="0" distL="0" distR="0" wp14:anchorId="6CF93E29" wp14:editId="1CBDE16B">
            <wp:extent cx="5565117" cy="3935412"/>
            <wp:effectExtent l="19050" t="19050" r="17145" b="27305"/>
            <wp:docPr id="1888076147" name="Immagine 1" descr="Immagine che contiene mappa, testo, atlante, diagramm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076147" name="Immagine 1" descr="Immagine che contiene mappa, testo, atlante, diagramma&#10;&#10;Descrizione generata automaticamente"/>
                    <pic:cNvPicPr>
                      <a:picLocks noChangeAspect="1" noChangeArrowheads="1"/>
                    </pic:cNvPicPr>
                  </pic:nvPicPr>
                  <pic:blipFill>
                    <a:blip r:embed="rId64" cstate="print">
                      <a:extLst>
                        <a:ext uri="{28A0092B-C50C-407E-A947-70E740481C1C}">
                          <a14:useLocalDpi xmlns:a14="http://schemas.microsoft.com/office/drawing/2010/main" val="0"/>
                        </a:ext>
                      </a:extLst>
                    </a:blip>
                    <a:stretch>
                      <a:fillRect/>
                    </a:stretch>
                  </pic:blipFill>
                  <pic:spPr bwMode="auto">
                    <a:xfrm>
                      <a:off x="0" y="0"/>
                      <a:ext cx="5565117" cy="3935412"/>
                    </a:xfrm>
                    <a:prstGeom prst="rect">
                      <a:avLst/>
                    </a:prstGeom>
                    <a:noFill/>
                    <a:ln w="19050">
                      <a:solidFill>
                        <a:srgbClr val="EE3438"/>
                      </a:solidFill>
                    </a:ln>
                  </pic:spPr>
                </pic:pic>
              </a:graphicData>
            </a:graphic>
          </wp:inline>
        </w:drawing>
      </w:r>
    </w:p>
    <w:p w14:paraId="112A44AD" w14:textId="68F667C6" w:rsidR="00FD2CBB" w:rsidRDefault="00FD2CBB" w:rsidP="00FD2CBB">
      <w:pPr>
        <w:pStyle w:val="Didascalia"/>
        <w:jc w:val="center"/>
      </w:pPr>
      <w:r w:rsidRPr="00382ABF">
        <w:t xml:space="preserve">Figura </w:t>
      </w:r>
      <w:r w:rsidR="00FD7EE5">
        <w:fldChar w:fldCharType="begin"/>
      </w:r>
      <w:r w:rsidR="00FD7EE5">
        <w:instrText xml:space="preserve"> SEQ Figura \* ARABIC </w:instrText>
      </w:r>
      <w:r w:rsidR="00FD7EE5">
        <w:fldChar w:fldCharType="separate"/>
      </w:r>
      <w:r w:rsidR="00073B6D">
        <w:rPr>
          <w:noProof/>
        </w:rPr>
        <w:t>28</w:t>
      </w:r>
      <w:r w:rsidR="00FD7EE5">
        <w:rPr>
          <w:noProof/>
        </w:rPr>
        <w:fldChar w:fldCharType="end"/>
      </w:r>
      <w:r w:rsidRPr="00382ABF">
        <w:t xml:space="preserve"> </w:t>
      </w:r>
      <w:r>
        <w:t>–</w:t>
      </w:r>
      <w:r w:rsidRPr="00382ABF">
        <w:t xml:space="preserve"> </w:t>
      </w:r>
      <w:r>
        <w:t>Dettaglio servizio urbano di Carmagnola</w:t>
      </w:r>
    </w:p>
    <w:p w14:paraId="1D99572C" w14:textId="77777777" w:rsidR="00FD2CBB" w:rsidRDefault="00FD2CBB" w:rsidP="00FD2CBB">
      <w:pPr>
        <w:spacing w:before="120" w:after="0" w:line="240" w:lineRule="auto"/>
        <w:rPr>
          <w:rFonts w:cs="Times New Roman"/>
          <w:color w:val="000000" w:themeColor="text1"/>
        </w:rPr>
      </w:pPr>
      <w:r w:rsidRPr="003C5E08">
        <w:rPr>
          <w:rFonts w:cs="Times New Roman"/>
          <w:color w:val="000000" w:themeColor="text1"/>
        </w:rPr>
        <w:lastRenderedPageBreak/>
        <w:t>I dati caratteristici del servizio sono indicati nella Tabella seguente ove è indicata anche la Fonte da cui il dato è stato ricavato.</w:t>
      </w:r>
    </w:p>
    <w:p w14:paraId="2DD9C0E3" w14:textId="704C7ACE" w:rsidR="00FD2CBB" w:rsidRPr="003C5E08" w:rsidRDefault="00FD2CBB" w:rsidP="00B42258">
      <w:pPr>
        <w:spacing w:before="120" w:line="240" w:lineRule="auto"/>
        <w:rPr>
          <w:rFonts w:cs="Times New Roman"/>
          <w:color w:val="000000" w:themeColor="text1"/>
        </w:rPr>
      </w:pPr>
      <w:r>
        <w:rPr>
          <w:rFonts w:cs="Times New Roman"/>
          <w:color w:val="000000" w:themeColor="text1"/>
        </w:rPr>
        <w:t xml:space="preserve">Si </w:t>
      </w:r>
      <w:r w:rsidRPr="00AC4A31">
        <w:rPr>
          <w:rFonts w:cs="Times New Roman"/>
          <w:color w:val="000000" w:themeColor="text1"/>
        </w:rPr>
        <w:t>segnala che le fonti ufficiali consultate sono quelle dell’Osservatorio Nazionale per il TPL (ONTPL), quelle del Conto Nazionale Trasporti e quella della contabilità Regolatoria ART verificando la sostanziale congruenza delle informazioni; analoga verifica è stata fatta con le informazioni in possesso di AMP anche se non sono ancora disponibili i rendiconti dei contratti di servizio; si ricorda che per il 2023 le condizioni contrattuali sono differenti per il rinnovo dei contratti avvenuto con le proroghe</w:t>
      </w:r>
      <w:r w:rsidRPr="00AC4A31">
        <w:rPr>
          <w:rStyle w:val="Rimandonotaapidipagina"/>
          <w:rFonts w:cs="Times New Roman"/>
          <w:color w:val="000000" w:themeColor="text1"/>
        </w:rPr>
        <w:footnoteReference w:id="24"/>
      </w:r>
      <w:r w:rsidRPr="00AC4A31">
        <w:rPr>
          <w:rFonts w:cs="Times New Roman"/>
          <w:color w:val="000000" w:themeColor="text1"/>
        </w:rPr>
        <w:t xml:space="preserve"> come meglio descritto in precedenza.</w:t>
      </w:r>
    </w:p>
    <w:tbl>
      <w:tblPr>
        <w:tblW w:w="9120" w:type="dxa"/>
        <w:tblCellMar>
          <w:left w:w="70" w:type="dxa"/>
          <w:right w:w="70" w:type="dxa"/>
        </w:tblCellMar>
        <w:tblLook w:val="04A0" w:firstRow="1" w:lastRow="0" w:firstColumn="1" w:lastColumn="0" w:noHBand="0" w:noVBand="1"/>
      </w:tblPr>
      <w:tblGrid>
        <w:gridCol w:w="2980"/>
        <w:gridCol w:w="2120"/>
        <w:gridCol w:w="1340"/>
        <w:gridCol w:w="1340"/>
        <w:gridCol w:w="1340"/>
      </w:tblGrid>
      <w:tr w:rsidR="00FD2CBB" w:rsidRPr="00471876" w14:paraId="6643FC67" w14:textId="77777777">
        <w:trPr>
          <w:trHeight w:val="300"/>
        </w:trPr>
        <w:tc>
          <w:tcPr>
            <w:tcW w:w="2980" w:type="dxa"/>
            <w:tcBorders>
              <w:top w:val="single" w:sz="8" w:space="0" w:color="A6A6A6"/>
              <w:left w:val="single" w:sz="8" w:space="0" w:color="A6A6A6"/>
              <w:bottom w:val="single" w:sz="8" w:space="0" w:color="A6A6A6"/>
              <w:right w:val="single" w:sz="8" w:space="0" w:color="A6A6A6"/>
            </w:tcBorders>
            <w:shd w:val="clear" w:color="auto" w:fill="EE3438"/>
            <w:noWrap/>
            <w:vAlign w:val="center"/>
            <w:hideMark/>
          </w:tcPr>
          <w:p w14:paraId="15C9A0EE" w14:textId="77777777" w:rsidR="00FD2CBB" w:rsidRPr="00AC4A31" w:rsidRDefault="00FD2CBB">
            <w:pPr>
              <w:spacing w:after="0" w:line="240" w:lineRule="auto"/>
              <w:jc w:val="left"/>
              <w:rPr>
                <w:rFonts w:eastAsia="Times New Roman" w:cs="Calibri"/>
                <w:b/>
                <w:color w:val="FFFFFF" w:themeColor="background1"/>
              </w:rPr>
            </w:pPr>
            <w:r w:rsidRPr="00AC4A31">
              <w:rPr>
                <w:rFonts w:eastAsia="Times New Roman" w:cs="Calibri"/>
                <w:b/>
                <w:color w:val="FFFFFF" w:themeColor="background1"/>
              </w:rPr>
              <w:t>Valori</w:t>
            </w:r>
          </w:p>
        </w:tc>
        <w:tc>
          <w:tcPr>
            <w:tcW w:w="2120" w:type="dxa"/>
            <w:tcBorders>
              <w:top w:val="single" w:sz="8" w:space="0" w:color="A6A6A6"/>
              <w:left w:val="nil"/>
              <w:bottom w:val="single" w:sz="8" w:space="0" w:color="A6A6A6"/>
              <w:right w:val="single" w:sz="8" w:space="0" w:color="A6A6A6"/>
            </w:tcBorders>
            <w:shd w:val="clear" w:color="auto" w:fill="EE3438"/>
            <w:noWrap/>
            <w:vAlign w:val="center"/>
            <w:hideMark/>
          </w:tcPr>
          <w:p w14:paraId="732F837B" w14:textId="77777777" w:rsidR="00FD2CBB" w:rsidRPr="00AC4A31" w:rsidRDefault="00FD2CBB">
            <w:pPr>
              <w:spacing w:after="0" w:line="240" w:lineRule="auto"/>
              <w:jc w:val="center"/>
              <w:rPr>
                <w:rFonts w:eastAsia="Times New Roman" w:cs="Calibri"/>
                <w:b/>
                <w:color w:val="FFFFFF" w:themeColor="background1"/>
              </w:rPr>
            </w:pPr>
            <w:r w:rsidRPr="00AC4A31">
              <w:rPr>
                <w:rFonts w:eastAsia="Times New Roman" w:cs="Calibri"/>
                <w:b/>
                <w:color w:val="FFFFFF" w:themeColor="background1"/>
              </w:rPr>
              <w:t>Fonte</w:t>
            </w:r>
          </w:p>
        </w:tc>
        <w:tc>
          <w:tcPr>
            <w:tcW w:w="1340" w:type="dxa"/>
            <w:tcBorders>
              <w:top w:val="single" w:sz="8" w:space="0" w:color="A6A6A6"/>
              <w:left w:val="nil"/>
              <w:bottom w:val="single" w:sz="8" w:space="0" w:color="A6A6A6"/>
              <w:right w:val="single" w:sz="8" w:space="0" w:color="A6A6A6"/>
            </w:tcBorders>
            <w:shd w:val="clear" w:color="auto" w:fill="EE3438"/>
            <w:noWrap/>
            <w:vAlign w:val="center"/>
            <w:hideMark/>
          </w:tcPr>
          <w:p w14:paraId="00D3E84B" w14:textId="77777777" w:rsidR="00FD2CBB" w:rsidRPr="00AC4A31" w:rsidRDefault="00FD2CBB">
            <w:pPr>
              <w:spacing w:after="0" w:line="240" w:lineRule="auto"/>
              <w:jc w:val="center"/>
              <w:rPr>
                <w:rFonts w:eastAsia="Times New Roman" w:cs="Calibri"/>
                <w:b/>
                <w:color w:val="FFFFFF" w:themeColor="background1"/>
              </w:rPr>
            </w:pPr>
            <w:r w:rsidRPr="00AC4A31">
              <w:rPr>
                <w:rFonts w:eastAsia="Times New Roman" w:cs="Calibri"/>
                <w:b/>
                <w:color w:val="FFFFFF" w:themeColor="background1"/>
              </w:rPr>
              <w:t>2021</w:t>
            </w:r>
          </w:p>
        </w:tc>
        <w:tc>
          <w:tcPr>
            <w:tcW w:w="1340" w:type="dxa"/>
            <w:tcBorders>
              <w:top w:val="single" w:sz="8" w:space="0" w:color="A6A6A6"/>
              <w:left w:val="nil"/>
              <w:bottom w:val="single" w:sz="8" w:space="0" w:color="A6A6A6"/>
              <w:right w:val="single" w:sz="8" w:space="0" w:color="A6A6A6"/>
            </w:tcBorders>
            <w:shd w:val="clear" w:color="auto" w:fill="EE3438"/>
            <w:noWrap/>
            <w:vAlign w:val="center"/>
            <w:hideMark/>
          </w:tcPr>
          <w:p w14:paraId="5C833A38" w14:textId="77777777" w:rsidR="00FD2CBB" w:rsidRPr="00AC4A31" w:rsidRDefault="00FD2CBB">
            <w:pPr>
              <w:spacing w:after="0" w:line="240" w:lineRule="auto"/>
              <w:jc w:val="center"/>
              <w:rPr>
                <w:rFonts w:eastAsia="Times New Roman" w:cs="Calibri"/>
                <w:b/>
                <w:color w:val="FFFFFF" w:themeColor="background1"/>
              </w:rPr>
            </w:pPr>
            <w:r w:rsidRPr="00AC4A31">
              <w:rPr>
                <w:rFonts w:eastAsia="Times New Roman" w:cs="Calibri"/>
                <w:b/>
                <w:color w:val="FFFFFF" w:themeColor="background1"/>
              </w:rPr>
              <w:t>2022</w:t>
            </w:r>
          </w:p>
        </w:tc>
        <w:tc>
          <w:tcPr>
            <w:tcW w:w="1340" w:type="dxa"/>
            <w:tcBorders>
              <w:top w:val="single" w:sz="8" w:space="0" w:color="A6A6A6"/>
              <w:left w:val="nil"/>
              <w:bottom w:val="single" w:sz="8" w:space="0" w:color="A6A6A6"/>
              <w:right w:val="single" w:sz="8" w:space="0" w:color="A6A6A6"/>
            </w:tcBorders>
            <w:shd w:val="clear" w:color="auto" w:fill="EE3438"/>
            <w:noWrap/>
            <w:vAlign w:val="center"/>
            <w:hideMark/>
          </w:tcPr>
          <w:p w14:paraId="315D604B" w14:textId="77777777" w:rsidR="00FD2CBB" w:rsidRPr="00471876" w:rsidRDefault="00FD2CBB">
            <w:pPr>
              <w:spacing w:after="0" w:line="240" w:lineRule="auto"/>
              <w:jc w:val="center"/>
              <w:rPr>
                <w:rFonts w:eastAsia="Times New Roman" w:cs="Calibri"/>
                <w:b/>
                <w:color w:val="FFFFFF" w:themeColor="background1"/>
              </w:rPr>
            </w:pPr>
            <w:r w:rsidRPr="00AC4A31">
              <w:rPr>
                <w:rFonts w:eastAsia="Times New Roman" w:cs="Calibri"/>
                <w:b/>
                <w:color w:val="FFFFFF" w:themeColor="background1"/>
              </w:rPr>
              <w:t>2023</w:t>
            </w:r>
          </w:p>
        </w:tc>
      </w:tr>
      <w:tr w:rsidR="00FD2CBB" w:rsidRPr="00DC53B4" w14:paraId="6A67545C" w14:textId="77777777">
        <w:trPr>
          <w:trHeight w:val="300"/>
        </w:trPr>
        <w:tc>
          <w:tcPr>
            <w:tcW w:w="2980" w:type="dxa"/>
            <w:tcBorders>
              <w:top w:val="nil"/>
              <w:left w:val="single" w:sz="8" w:space="0" w:color="A6A6A6"/>
              <w:bottom w:val="single" w:sz="8" w:space="0" w:color="A6A6A6"/>
              <w:right w:val="single" w:sz="8" w:space="0" w:color="A6A6A6"/>
            </w:tcBorders>
            <w:noWrap/>
            <w:vAlign w:val="center"/>
            <w:hideMark/>
          </w:tcPr>
          <w:p w14:paraId="5936EF7B" w14:textId="77777777" w:rsidR="00FD2CBB" w:rsidRPr="00DC53B4" w:rsidRDefault="00FD2CBB">
            <w:pPr>
              <w:spacing w:after="0" w:line="240" w:lineRule="auto"/>
              <w:jc w:val="left"/>
              <w:rPr>
                <w:rFonts w:eastAsia="Times New Roman" w:cs="Calibri"/>
                <w:sz w:val="20"/>
                <w:szCs w:val="20"/>
              </w:rPr>
            </w:pPr>
            <w:r w:rsidRPr="00DC53B4">
              <w:rPr>
                <w:rFonts w:eastAsia="Times New Roman" w:cs="Calibri"/>
                <w:sz w:val="20"/>
                <w:szCs w:val="20"/>
              </w:rPr>
              <w:t>Produzione chilometrica</w:t>
            </w:r>
          </w:p>
        </w:tc>
        <w:tc>
          <w:tcPr>
            <w:tcW w:w="2120" w:type="dxa"/>
            <w:tcBorders>
              <w:top w:val="nil"/>
              <w:left w:val="nil"/>
              <w:bottom w:val="single" w:sz="8" w:space="0" w:color="A6A6A6"/>
              <w:right w:val="single" w:sz="8" w:space="0" w:color="A6A6A6"/>
            </w:tcBorders>
            <w:noWrap/>
            <w:vAlign w:val="center"/>
            <w:hideMark/>
          </w:tcPr>
          <w:p w14:paraId="2B8E2963" w14:textId="77777777" w:rsidR="00FD2CBB" w:rsidRPr="00DC53B4" w:rsidRDefault="00FD2CBB">
            <w:pPr>
              <w:spacing w:after="0" w:line="240" w:lineRule="auto"/>
              <w:jc w:val="left"/>
              <w:rPr>
                <w:rFonts w:eastAsia="Times New Roman" w:cs="Calibri"/>
              </w:rPr>
            </w:pPr>
            <w:r w:rsidRPr="00DC53B4">
              <w:rPr>
                <w:rFonts w:eastAsia="Times New Roman" w:cs="Calibri"/>
              </w:rPr>
              <w:t> </w:t>
            </w:r>
          </w:p>
        </w:tc>
        <w:tc>
          <w:tcPr>
            <w:tcW w:w="1340" w:type="dxa"/>
            <w:tcBorders>
              <w:top w:val="nil"/>
              <w:left w:val="nil"/>
              <w:bottom w:val="single" w:sz="8" w:space="0" w:color="A6A6A6"/>
              <w:right w:val="single" w:sz="8" w:space="0" w:color="A6A6A6"/>
            </w:tcBorders>
            <w:noWrap/>
            <w:vAlign w:val="center"/>
            <w:hideMark/>
          </w:tcPr>
          <w:p w14:paraId="07D67D6E" w14:textId="77777777" w:rsidR="00FD2CBB" w:rsidRPr="00DC53B4" w:rsidRDefault="00FD2CBB">
            <w:pPr>
              <w:spacing w:after="0" w:line="240" w:lineRule="auto"/>
              <w:jc w:val="right"/>
              <w:rPr>
                <w:rFonts w:eastAsia="Times New Roman" w:cs="Calibri"/>
                <w:sz w:val="20"/>
                <w:szCs w:val="20"/>
              </w:rPr>
            </w:pPr>
            <w:r>
              <w:rPr>
                <w:rFonts w:cs="Calibri"/>
                <w:color w:val="000000"/>
                <w:sz w:val="20"/>
                <w:szCs w:val="20"/>
              </w:rPr>
              <w:t>24.666.519</w:t>
            </w:r>
          </w:p>
        </w:tc>
        <w:tc>
          <w:tcPr>
            <w:tcW w:w="1340" w:type="dxa"/>
            <w:tcBorders>
              <w:top w:val="nil"/>
              <w:left w:val="nil"/>
              <w:bottom w:val="single" w:sz="8" w:space="0" w:color="A6A6A6"/>
              <w:right w:val="single" w:sz="8" w:space="0" w:color="A6A6A6"/>
            </w:tcBorders>
            <w:noWrap/>
            <w:vAlign w:val="center"/>
            <w:hideMark/>
          </w:tcPr>
          <w:p w14:paraId="4A969CDB" w14:textId="77777777" w:rsidR="00FD2CBB" w:rsidRPr="00DC53B4" w:rsidRDefault="00FD2CBB">
            <w:pPr>
              <w:spacing w:after="0" w:line="240" w:lineRule="auto"/>
              <w:jc w:val="right"/>
              <w:rPr>
                <w:rFonts w:eastAsia="Times New Roman" w:cs="Calibri"/>
                <w:sz w:val="20"/>
                <w:szCs w:val="20"/>
              </w:rPr>
            </w:pPr>
            <w:r>
              <w:rPr>
                <w:rFonts w:cs="Calibri"/>
                <w:color w:val="000000"/>
                <w:sz w:val="20"/>
                <w:szCs w:val="20"/>
              </w:rPr>
              <w:t>24.733.983</w:t>
            </w:r>
          </w:p>
        </w:tc>
        <w:tc>
          <w:tcPr>
            <w:tcW w:w="1340" w:type="dxa"/>
            <w:tcBorders>
              <w:top w:val="nil"/>
              <w:left w:val="nil"/>
              <w:bottom w:val="single" w:sz="8" w:space="0" w:color="A6A6A6"/>
              <w:right w:val="single" w:sz="8" w:space="0" w:color="A6A6A6"/>
            </w:tcBorders>
            <w:noWrap/>
            <w:vAlign w:val="center"/>
            <w:hideMark/>
          </w:tcPr>
          <w:p w14:paraId="0F0C6ABC" w14:textId="77777777" w:rsidR="00FD2CBB" w:rsidRPr="00DC53B4" w:rsidRDefault="00FD2CBB">
            <w:pPr>
              <w:spacing w:after="0" w:line="240" w:lineRule="auto"/>
              <w:jc w:val="right"/>
              <w:rPr>
                <w:rFonts w:eastAsia="Times New Roman" w:cs="Calibri"/>
                <w:sz w:val="20"/>
                <w:szCs w:val="20"/>
              </w:rPr>
            </w:pPr>
            <w:r>
              <w:rPr>
                <w:rFonts w:cs="Calibri"/>
                <w:color w:val="000000"/>
                <w:sz w:val="20"/>
                <w:szCs w:val="20"/>
              </w:rPr>
              <w:t>23.455.810</w:t>
            </w:r>
          </w:p>
        </w:tc>
      </w:tr>
      <w:tr w:rsidR="00FD2CBB" w:rsidRPr="00DC53B4" w14:paraId="13B818F0" w14:textId="77777777">
        <w:trPr>
          <w:trHeight w:val="300"/>
        </w:trPr>
        <w:tc>
          <w:tcPr>
            <w:tcW w:w="2980" w:type="dxa"/>
            <w:tcBorders>
              <w:top w:val="nil"/>
              <w:left w:val="single" w:sz="8" w:space="0" w:color="A6A6A6"/>
              <w:bottom w:val="single" w:sz="8" w:space="0" w:color="A6A6A6"/>
              <w:right w:val="single" w:sz="8" w:space="0" w:color="A6A6A6"/>
            </w:tcBorders>
            <w:noWrap/>
            <w:vAlign w:val="center"/>
            <w:hideMark/>
          </w:tcPr>
          <w:p w14:paraId="191C31C1" w14:textId="77777777" w:rsidR="00FD2CBB" w:rsidRPr="00DC53B4" w:rsidRDefault="00FD2CBB">
            <w:pPr>
              <w:spacing w:after="0" w:line="240" w:lineRule="auto"/>
              <w:jc w:val="left"/>
              <w:rPr>
                <w:rFonts w:eastAsia="Times New Roman" w:cs="Calibri"/>
                <w:sz w:val="20"/>
                <w:szCs w:val="20"/>
              </w:rPr>
            </w:pPr>
            <w:r w:rsidRPr="00DC53B4">
              <w:rPr>
                <w:rFonts w:eastAsia="Times New Roman" w:cs="Calibri"/>
                <w:sz w:val="20"/>
                <w:szCs w:val="20"/>
              </w:rPr>
              <w:t>Numero corse effettuate</w:t>
            </w:r>
          </w:p>
        </w:tc>
        <w:tc>
          <w:tcPr>
            <w:tcW w:w="2120" w:type="dxa"/>
            <w:tcBorders>
              <w:top w:val="nil"/>
              <w:left w:val="nil"/>
              <w:bottom w:val="single" w:sz="8" w:space="0" w:color="A6A6A6"/>
              <w:right w:val="single" w:sz="8" w:space="0" w:color="A6A6A6"/>
            </w:tcBorders>
            <w:noWrap/>
            <w:vAlign w:val="center"/>
            <w:hideMark/>
          </w:tcPr>
          <w:p w14:paraId="69AD74E7" w14:textId="77777777" w:rsidR="00FD2CBB" w:rsidRPr="00DC53B4" w:rsidRDefault="00FD2CBB">
            <w:pPr>
              <w:spacing w:after="0" w:line="240" w:lineRule="auto"/>
              <w:jc w:val="left"/>
              <w:rPr>
                <w:rFonts w:eastAsia="Times New Roman" w:cs="Calibri"/>
                <w:sz w:val="20"/>
                <w:szCs w:val="20"/>
              </w:rPr>
            </w:pPr>
            <w:r w:rsidRPr="00DC53B4">
              <w:rPr>
                <w:rFonts w:eastAsia="Times New Roman" w:cs="Calibri"/>
                <w:sz w:val="20"/>
                <w:szCs w:val="20"/>
              </w:rPr>
              <w:t>Calcolo</w:t>
            </w:r>
          </w:p>
        </w:tc>
        <w:tc>
          <w:tcPr>
            <w:tcW w:w="1340" w:type="dxa"/>
            <w:tcBorders>
              <w:top w:val="nil"/>
              <w:left w:val="nil"/>
              <w:bottom w:val="single" w:sz="8" w:space="0" w:color="A6A6A6"/>
              <w:right w:val="single" w:sz="8" w:space="0" w:color="A6A6A6"/>
            </w:tcBorders>
            <w:noWrap/>
            <w:vAlign w:val="center"/>
            <w:hideMark/>
          </w:tcPr>
          <w:p w14:paraId="3E6AC02C" w14:textId="77777777" w:rsidR="00FD2CBB" w:rsidRPr="00DC53B4" w:rsidRDefault="00FD2CBB">
            <w:pPr>
              <w:spacing w:after="0" w:line="240" w:lineRule="auto"/>
              <w:jc w:val="right"/>
              <w:rPr>
                <w:rFonts w:eastAsia="Times New Roman" w:cs="Calibri"/>
                <w:sz w:val="20"/>
                <w:szCs w:val="20"/>
              </w:rPr>
            </w:pPr>
            <w:r>
              <w:rPr>
                <w:rFonts w:cs="Calibri"/>
                <w:color w:val="000000"/>
                <w:sz w:val="20"/>
                <w:szCs w:val="20"/>
              </w:rPr>
              <w:t>1.111.638</w:t>
            </w:r>
          </w:p>
        </w:tc>
        <w:tc>
          <w:tcPr>
            <w:tcW w:w="1340" w:type="dxa"/>
            <w:tcBorders>
              <w:top w:val="nil"/>
              <w:left w:val="nil"/>
              <w:bottom w:val="single" w:sz="8" w:space="0" w:color="A6A6A6"/>
              <w:right w:val="single" w:sz="8" w:space="0" w:color="A6A6A6"/>
            </w:tcBorders>
            <w:noWrap/>
            <w:vAlign w:val="center"/>
            <w:hideMark/>
          </w:tcPr>
          <w:p w14:paraId="205B344C" w14:textId="77777777" w:rsidR="00FD2CBB" w:rsidRPr="00DC53B4" w:rsidRDefault="00FD2CBB">
            <w:pPr>
              <w:spacing w:after="0" w:line="240" w:lineRule="auto"/>
              <w:jc w:val="right"/>
              <w:rPr>
                <w:rFonts w:eastAsia="Times New Roman" w:cs="Calibri"/>
                <w:sz w:val="20"/>
                <w:szCs w:val="20"/>
              </w:rPr>
            </w:pPr>
            <w:r>
              <w:rPr>
                <w:rFonts w:cs="Calibri"/>
                <w:color w:val="000000"/>
                <w:sz w:val="20"/>
                <w:szCs w:val="20"/>
              </w:rPr>
              <w:t>1.147.217</w:t>
            </w:r>
          </w:p>
        </w:tc>
        <w:tc>
          <w:tcPr>
            <w:tcW w:w="1340" w:type="dxa"/>
            <w:tcBorders>
              <w:top w:val="nil"/>
              <w:left w:val="nil"/>
              <w:bottom w:val="single" w:sz="8" w:space="0" w:color="A6A6A6"/>
              <w:right w:val="single" w:sz="8" w:space="0" w:color="A6A6A6"/>
            </w:tcBorders>
            <w:noWrap/>
            <w:vAlign w:val="center"/>
            <w:hideMark/>
          </w:tcPr>
          <w:p w14:paraId="65F2190E" w14:textId="77777777" w:rsidR="00FD2CBB" w:rsidRPr="00DC53B4" w:rsidRDefault="00FD2CBB">
            <w:pPr>
              <w:spacing w:after="0" w:line="240" w:lineRule="auto"/>
              <w:jc w:val="right"/>
              <w:rPr>
                <w:rFonts w:eastAsia="Times New Roman" w:cs="Calibri"/>
                <w:sz w:val="20"/>
                <w:szCs w:val="20"/>
              </w:rPr>
            </w:pPr>
            <w:r>
              <w:rPr>
                <w:rFonts w:cs="Calibri"/>
                <w:color w:val="000000"/>
                <w:sz w:val="20"/>
                <w:szCs w:val="20"/>
              </w:rPr>
              <w:t>1.122.491</w:t>
            </w:r>
          </w:p>
        </w:tc>
      </w:tr>
      <w:tr w:rsidR="00FD2CBB" w:rsidRPr="00DC53B4" w14:paraId="403639C0" w14:textId="77777777">
        <w:trPr>
          <w:trHeight w:val="300"/>
        </w:trPr>
        <w:tc>
          <w:tcPr>
            <w:tcW w:w="2980" w:type="dxa"/>
            <w:tcBorders>
              <w:top w:val="nil"/>
              <w:left w:val="single" w:sz="8" w:space="0" w:color="A6A6A6"/>
              <w:bottom w:val="single" w:sz="8" w:space="0" w:color="A6A6A6"/>
              <w:right w:val="single" w:sz="8" w:space="0" w:color="A6A6A6"/>
            </w:tcBorders>
            <w:noWrap/>
            <w:vAlign w:val="center"/>
            <w:hideMark/>
          </w:tcPr>
          <w:p w14:paraId="18A1636A" w14:textId="77777777" w:rsidR="00FD2CBB" w:rsidRPr="00DC53B4" w:rsidRDefault="00FD2CBB">
            <w:pPr>
              <w:spacing w:after="0" w:line="240" w:lineRule="auto"/>
              <w:jc w:val="left"/>
              <w:rPr>
                <w:rFonts w:eastAsia="Times New Roman" w:cs="Calibri"/>
                <w:sz w:val="20"/>
                <w:szCs w:val="20"/>
              </w:rPr>
            </w:pPr>
            <w:r w:rsidRPr="00DC53B4">
              <w:rPr>
                <w:rFonts w:eastAsia="Times New Roman" w:cs="Calibri"/>
                <w:sz w:val="20"/>
                <w:szCs w:val="20"/>
              </w:rPr>
              <w:t>lunghezza media corse</w:t>
            </w:r>
          </w:p>
        </w:tc>
        <w:tc>
          <w:tcPr>
            <w:tcW w:w="2120" w:type="dxa"/>
            <w:tcBorders>
              <w:top w:val="nil"/>
              <w:left w:val="nil"/>
              <w:bottom w:val="single" w:sz="8" w:space="0" w:color="A6A6A6"/>
              <w:right w:val="single" w:sz="8" w:space="0" w:color="A6A6A6"/>
            </w:tcBorders>
            <w:noWrap/>
            <w:vAlign w:val="center"/>
            <w:hideMark/>
          </w:tcPr>
          <w:p w14:paraId="026FA424" w14:textId="77777777" w:rsidR="00FD2CBB" w:rsidRPr="00DC53B4" w:rsidRDefault="00FD2CBB">
            <w:pPr>
              <w:spacing w:after="0" w:line="240" w:lineRule="auto"/>
              <w:jc w:val="left"/>
              <w:rPr>
                <w:rFonts w:eastAsia="Times New Roman" w:cs="Calibri"/>
                <w:sz w:val="20"/>
                <w:szCs w:val="20"/>
              </w:rPr>
            </w:pPr>
            <w:r w:rsidRPr="00DC53B4">
              <w:rPr>
                <w:rFonts w:eastAsia="Times New Roman" w:cs="Calibri"/>
                <w:sz w:val="20"/>
                <w:szCs w:val="20"/>
              </w:rPr>
              <w:t>Calcolo</w:t>
            </w:r>
          </w:p>
        </w:tc>
        <w:tc>
          <w:tcPr>
            <w:tcW w:w="1340" w:type="dxa"/>
            <w:tcBorders>
              <w:top w:val="nil"/>
              <w:left w:val="nil"/>
              <w:bottom w:val="single" w:sz="8" w:space="0" w:color="A6A6A6"/>
              <w:right w:val="single" w:sz="8" w:space="0" w:color="A6A6A6"/>
            </w:tcBorders>
            <w:noWrap/>
            <w:vAlign w:val="center"/>
            <w:hideMark/>
          </w:tcPr>
          <w:p w14:paraId="0FF8A943" w14:textId="77777777" w:rsidR="00FD2CBB" w:rsidRPr="00DC53B4" w:rsidRDefault="00FD2CBB">
            <w:pPr>
              <w:spacing w:after="0" w:line="240" w:lineRule="auto"/>
              <w:jc w:val="right"/>
              <w:rPr>
                <w:rFonts w:eastAsia="Times New Roman" w:cs="Calibri"/>
                <w:sz w:val="20"/>
                <w:szCs w:val="20"/>
              </w:rPr>
            </w:pPr>
            <w:r>
              <w:rPr>
                <w:rFonts w:cs="Calibri"/>
                <w:color w:val="000000"/>
                <w:sz w:val="20"/>
                <w:szCs w:val="20"/>
              </w:rPr>
              <w:t>22,18934477</w:t>
            </w:r>
          </w:p>
        </w:tc>
        <w:tc>
          <w:tcPr>
            <w:tcW w:w="1340" w:type="dxa"/>
            <w:tcBorders>
              <w:top w:val="nil"/>
              <w:left w:val="nil"/>
              <w:bottom w:val="single" w:sz="8" w:space="0" w:color="A6A6A6"/>
              <w:right w:val="single" w:sz="8" w:space="0" w:color="A6A6A6"/>
            </w:tcBorders>
            <w:noWrap/>
            <w:vAlign w:val="center"/>
            <w:hideMark/>
          </w:tcPr>
          <w:p w14:paraId="51821AF3" w14:textId="77777777" w:rsidR="00FD2CBB" w:rsidRPr="00DC53B4" w:rsidRDefault="00FD2CBB">
            <w:pPr>
              <w:spacing w:after="0" w:line="240" w:lineRule="auto"/>
              <w:jc w:val="right"/>
              <w:rPr>
                <w:rFonts w:eastAsia="Times New Roman" w:cs="Calibri"/>
                <w:sz w:val="20"/>
                <w:szCs w:val="20"/>
              </w:rPr>
            </w:pPr>
            <w:r>
              <w:rPr>
                <w:rFonts w:cs="Calibri"/>
                <w:color w:val="000000"/>
                <w:sz w:val="20"/>
                <w:szCs w:val="20"/>
              </w:rPr>
              <w:t>21,5599863</w:t>
            </w:r>
          </w:p>
        </w:tc>
        <w:tc>
          <w:tcPr>
            <w:tcW w:w="1340" w:type="dxa"/>
            <w:tcBorders>
              <w:top w:val="nil"/>
              <w:left w:val="nil"/>
              <w:bottom w:val="single" w:sz="8" w:space="0" w:color="A6A6A6"/>
              <w:right w:val="single" w:sz="8" w:space="0" w:color="A6A6A6"/>
            </w:tcBorders>
            <w:noWrap/>
            <w:vAlign w:val="center"/>
            <w:hideMark/>
          </w:tcPr>
          <w:p w14:paraId="0750C22F" w14:textId="77777777" w:rsidR="00FD2CBB" w:rsidRPr="00DC53B4" w:rsidRDefault="00FD2CBB">
            <w:pPr>
              <w:spacing w:after="0" w:line="240" w:lineRule="auto"/>
              <w:jc w:val="right"/>
              <w:rPr>
                <w:rFonts w:eastAsia="Times New Roman" w:cs="Calibri"/>
                <w:sz w:val="20"/>
                <w:szCs w:val="20"/>
              </w:rPr>
            </w:pPr>
            <w:r>
              <w:rPr>
                <w:rFonts w:cs="Calibri"/>
                <w:color w:val="000000"/>
                <w:sz w:val="20"/>
                <w:szCs w:val="20"/>
              </w:rPr>
              <w:t>20,89621213</w:t>
            </w:r>
          </w:p>
        </w:tc>
      </w:tr>
      <w:tr w:rsidR="00FD2CBB" w:rsidRPr="00DC53B4" w14:paraId="70EA70B0" w14:textId="77777777">
        <w:trPr>
          <w:trHeight w:val="300"/>
        </w:trPr>
        <w:tc>
          <w:tcPr>
            <w:tcW w:w="2980" w:type="dxa"/>
            <w:tcBorders>
              <w:top w:val="nil"/>
              <w:left w:val="single" w:sz="8" w:space="0" w:color="A6A6A6"/>
              <w:bottom w:val="single" w:sz="8" w:space="0" w:color="A6A6A6"/>
              <w:right w:val="single" w:sz="8" w:space="0" w:color="A6A6A6"/>
            </w:tcBorders>
            <w:noWrap/>
            <w:vAlign w:val="center"/>
            <w:hideMark/>
          </w:tcPr>
          <w:p w14:paraId="7B5248D2" w14:textId="77777777" w:rsidR="00FD2CBB" w:rsidRPr="00DC53B4" w:rsidRDefault="00FD2CBB">
            <w:pPr>
              <w:spacing w:after="0" w:line="240" w:lineRule="auto"/>
              <w:jc w:val="left"/>
              <w:rPr>
                <w:rFonts w:eastAsia="Times New Roman" w:cs="Calibri"/>
                <w:sz w:val="20"/>
                <w:szCs w:val="20"/>
              </w:rPr>
            </w:pPr>
            <w:r w:rsidRPr="00DC53B4">
              <w:rPr>
                <w:rFonts w:eastAsia="Times New Roman" w:cs="Calibri"/>
                <w:sz w:val="20"/>
                <w:szCs w:val="20"/>
              </w:rPr>
              <w:t>capacità media unitaria veicoli</w:t>
            </w:r>
          </w:p>
        </w:tc>
        <w:tc>
          <w:tcPr>
            <w:tcW w:w="2120" w:type="dxa"/>
            <w:tcBorders>
              <w:top w:val="nil"/>
              <w:left w:val="nil"/>
              <w:bottom w:val="single" w:sz="8" w:space="0" w:color="A6A6A6"/>
              <w:right w:val="single" w:sz="8" w:space="0" w:color="A6A6A6"/>
            </w:tcBorders>
            <w:noWrap/>
            <w:vAlign w:val="center"/>
            <w:hideMark/>
          </w:tcPr>
          <w:p w14:paraId="1EC0AAD5" w14:textId="77777777" w:rsidR="00FD2CBB" w:rsidRPr="00DC53B4" w:rsidRDefault="00FD2CBB">
            <w:pPr>
              <w:spacing w:after="0" w:line="240" w:lineRule="auto"/>
              <w:jc w:val="left"/>
              <w:rPr>
                <w:rFonts w:eastAsia="Times New Roman" w:cs="Calibri"/>
                <w:sz w:val="20"/>
                <w:szCs w:val="20"/>
              </w:rPr>
            </w:pPr>
            <w:r w:rsidRPr="00DC53B4">
              <w:rPr>
                <w:rFonts w:eastAsia="Times New Roman" w:cs="Calibri"/>
                <w:sz w:val="20"/>
                <w:szCs w:val="20"/>
              </w:rPr>
              <w:t>Costi standard ONTPL</w:t>
            </w:r>
          </w:p>
        </w:tc>
        <w:tc>
          <w:tcPr>
            <w:tcW w:w="1340" w:type="dxa"/>
            <w:tcBorders>
              <w:top w:val="nil"/>
              <w:left w:val="nil"/>
              <w:bottom w:val="single" w:sz="8" w:space="0" w:color="A6A6A6"/>
              <w:right w:val="single" w:sz="8" w:space="0" w:color="A6A6A6"/>
            </w:tcBorders>
            <w:noWrap/>
            <w:vAlign w:val="center"/>
            <w:hideMark/>
          </w:tcPr>
          <w:p w14:paraId="606681AC" w14:textId="77777777" w:rsidR="00FD2CBB" w:rsidRPr="00DC53B4" w:rsidRDefault="00FD2CBB">
            <w:pPr>
              <w:spacing w:after="0" w:line="240" w:lineRule="auto"/>
              <w:jc w:val="right"/>
              <w:rPr>
                <w:rFonts w:eastAsia="Times New Roman" w:cs="Calibri"/>
                <w:sz w:val="20"/>
                <w:szCs w:val="20"/>
              </w:rPr>
            </w:pPr>
            <w:r>
              <w:rPr>
                <w:rFonts w:cs="Calibri"/>
                <w:color w:val="000000"/>
                <w:sz w:val="20"/>
                <w:szCs w:val="20"/>
              </w:rPr>
              <w:t>63,9344512</w:t>
            </w:r>
          </w:p>
        </w:tc>
        <w:tc>
          <w:tcPr>
            <w:tcW w:w="1340" w:type="dxa"/>
            <w:tcBorders>
              <w:top w:val="nil"/>
              <w:left w:val="nil"/>
              <w:bottom w:val="single" w:sz="8" w:space="0" w:color="A6A6A6"/>
              <w:right w:val="single" w:sz="8" w:space="0" w:color="A6A6A6"/>
            </w:tcBorders>
            <w:noWrap/>
            <w:vAlign w:val="center"/>
            <w:hideMark/>
          </w:tcPr>
          <w:p w14:paraId="57898A96" w14:textId="77777777" w:rsidR="00FD2CBB" w:rsidRPr="00DC53B4" w:rsidRDefault="00FD2CBB">
            <w:pPr>
              <w:spacing w:after="0" w:line="240" w:lineRule="auto"/>
              <w:jc w:val="right"/>
              <w:rPr>
                <w:rFonts w:eastAsia="Times New Roman" w:cs="Calibri"/>
                <w:sz w:val="20"/>
                <w:szCs w:val="20"/>
              </w:rPr>
            </w:pPr>
            <w:r>
              <w:rPr>
                <w:rFonts w:cs="Calibri"/>
                <w:color w:val="000000"/>
                <w:sz w:val="20"/>
                <w:szCs w:val="20"/>
              </w:rPr>
              <w:t>67,57458456</w:t>
            </w:r>
          </w:p>
        </w:tc>
        <w:tc>
          <w:tcPr>
            <w:tcW w:w="1340" w:type="dxa"/>
            <w:tcBorders>
              <w:top w:val="nil"/>
              <w:left w:val="nil"/>
              <w:bottom w:val="single" w:sz="8" w:space="0" w:color="A6A6A6"/>
              <w:right w:val="single" w:sz="8" w:space="0" w:color="A6A6A6"/>
            </w:tcBorders>
            <w:noWrap/>
            <w:vAlign w:val="center"/>
            <w:hideMark/>
          </w:tcPr>
          <w:p w14:paraId="529673EF" w14:textId="77777777" w:rsidR="00FD2CBB" w:rsidRPr="00DC53B4" w:rsidRDefault="00FD2CBB">
            <w:pPr>
              <w:spacing w:after="0" w:line="240" w:lineRule="auto"/>
              <w:jc w:val="right"/>
              <w:rPr>
                <w:rFonts w:eastAsia="Times New Roman" w:cs="Calibri"/>
                <w:sz w:val="20"/>
                <w:szCs w:val="20"/>
              </w:rPr>
            </w:pPr>
            <w:r>
              <w:rPr>
                <w:rFonts w:cs="Calibri"/>
                <w:color w:val="000000"/>
                <w:sz w:val="20"/>
                <w:szCs w:val="20"/>
              </w:rPr>
              <w:t>64,09374926</w:t>
            </w:r>
          </w:p>
        </w:tc>
      </w:tr>
      <w:tr w:rsidR="00FD2CBB" w:rsidRPr="00DC53B4" w14:paraId="7E43A768" w14:textId="77777777">
        <w:trPr>
          <w:trHeight w:val="300"/>
        </w:trPr>
        <w:tc>
          <w:tcPr>
            <w:tcW w:w="2980" w:type="dxa"/>
            <w:tcBorders>
              <w:top w:val="nil"/>
              <w:left w:val="single" w:sz="8" w:space="0" w:color="A6A6A6"/>
              <w:bottom w:val="single" w:sz="8" w:space="0" w:color="A6A6A6"/>
              <w:right w:val="single" w:sz="8" w:space="0" w:color="A6A6A6"/>
            </w:tcBorders>
            <w:noWrap/>
            <w:vAlign w:val="center"/>
            <w:hideMark/>
          </w:tcPr>
          <w:p w14:paraId="6CF1FA1C" w14:textId="77777777" w:rsidR="00FD2CBB" w:rsidRPr="00DC53B4" w:rsidRDefault="00FD2CBB">
            <w:pPr>
              <w:spacing w:after="0" w:line="240" w:lineRule="auto"/>
              <w:jc w:val="left"/>
              <w:rPr>
                <w:rFonts w:eastAsia="Times New Roman" w:cs="Calibri"/>
                <w:sz w:val="20"/>
                <w:szCs w:val="20"/>
              </w:rPr>
            </w:pPr>
            <w:r w:rsidRPr="00DC53B4">
              <w:rPr>
                <w:rFonts w:eastAsia="Times New Roman" w:cs="Calibri"/>
                <w:sz w:val="20"/>
                <w:szCs w:val="20"/>
              </w:rPr>
              <w:t>Offerta (Posti*Km)</w:t>
            </w:r>
          </w:p>
        </w:tc>
        <w:tc>
          <w:tcPr>
            <w:tcW w:w="2120" w:type="dxa"/>
            <w:tcBorders>
              <w:top w:val="nil"/>
              <w:left w:val="nil"/>
              <w:bottom w:val="single" w:sz="8" w:space="0" w:color="A6A6A6"/>
              <w:right w:val="single" w:sz="8" w:space="0" w:color="A6A6A6"/>
            </w:tcBorders>
            <w:noWrap/>
            <w:vAlign w:val="center"/>
            <w:hideMark/>
          </w:tcPr>
          <w:p w14:paraId="1A14ECD9" w14:textId="77777777" w:rsidR="00FD2CBB" w:rsidRPr="00DC53B4" w:rsidRDefault="00FD2CBB">
            <w:pPr>
              <w:spacing w:after="0" w:line="240" w:lineRule="auto"/>
              <w:jc w:val="left"/>
              <w:rPr>
                <w:rFonts w:eastAsia="Times New Roman" w:cs="Calibri"/>
                <w:sz w:val="20"/>
                <w:szCs w:val="20"/>
              </w:rPr>
            </w:pPr>
            <w:r w:rsidRPr="00DC53B4">
              <w:rPr>
                <w:rFonts w:eastAsia="Times New Roman" w:cs="Calibri"/>
                <w:sz w:val="20"/>
                <w:szCs w:val="20"/>
              </w:rPr>
              <w:t>Costi standard ONTPL</w:t>
            </w:r>
          </w:p>
        </w:tc>
        <w:tc>
          <w:tcPr>
            <w:tcW w:w="1340" w:type="dxa"/>
            <w:tcBorders>
              <w:top w:val="nil"/>
              <w:left w:val="nil"/>
              <w:bottom w:val="single" w:sz="8" w:space="0" w:color="A6A6A6"/>
              <w:right w:val="single" w:sz="8" w:space="0" w:color="A6A6A6"/>
            </w:tcBorders>
            <w:noWrap/>
            <w:vAlign w:val="center"/>
            <w:hideMark/>
          </w:tcPr>
          <w:p w14:paraId="2FCF113B" w14:textId="77777777" w:rsidR="00FD2CBB" w:rsidRPr="00DC53B4" w:rsidRDefault="00FD2CBB">
            <w:pPr>
              <w:spacing w:after="0" w:line="240" w:lineRule="auto"/>
              <w:jc w:val="right"/>
              <w:rPr>
                <w:rFonts w:eastAsia="Times New Roman" w:cs="Calibri"/>
                <w:sz w:val="20"/>
                <w:szCs w:val="20"/>
              </w:rPr>
            </w:pPr>
            <w:r>
              <w:rPr>
                <w:rFonts w:cs="Calibri"/>
                <w:color w:val="000000"/>
                <w:sz w:val="20"/>
                <w:szCs w:val="20"/>
              </w:rPr>
              <w:t>1.577.040.345</w:t>
            </w:r>
          </w:p>
        </w:tc>
        <w:tc>
          <w:tcPr>
            <w:tcW w:w="1340" w:type="dxa"/>
            <w:tcBorders>
              <w:top w:val="nil"/>
              <w:left w:val="nil"/>
              <w:bottom w:val="single" w:sz="8" w:space="0" w:color="A6A6A6"/>
              <w:right w:val="single" w:sz="8" w:space="0" w:color="A6A6A6"/>
            </w:tcBorders>
            <w:noWrap/>
            <w:vAlign w:val="center"/>
            <w:hideMark/>
          </w:tcPr>
          <w:p w14:paraId="35D4DA74" w14:textId="77777777" w:rsidR="00FD2CBB" w:rsidRPr="00DC53B4" w:rsidRDefault="00FD2CBB">
            <w:pPr>
              <w:spacing w:after="0" w:line="240" w:lineRule="auto"/>
              <w:jc w:val="right"/>
              <w:rPr>
                <w:rFonts w:eastAsia="Times New Roman" w:cs="Calibri"/>
                <w:sz w:val="20"/>
                <w:szCs w:val="20"/>
              </w:rPr>
            </w:pPr>
            <w:r>
              <w:rPr>
                <w:rFonts w:cs="Calibri"/>
                <w:color w:val="000000"/>
                <w:sz w:val="20"/>
                <w:szCs w:val="20"/>
              </w:rPr>
              <w:t>1.671.388.612</w:t>
            </w:r>
          </w:p>
        </w:tc>
        <w:tc>
          <w:tcPr>
            <w:tcW w:w="1340" w:type="dxa"/>
            <w:tcBorders>
              <w:top w:val="nil"/>
              <w:left w:val="nil"/>
              <w:bottom w:val="single" w:sz="8" w:space="0" w:color="A6A6A6"/>
              <w:right w:val="single" w:sz="8" w:space="0" w:color="A6A6A6"/>
            </w:tcBorders>
            <w:noWrap/>
            <w:vAlign w:val="center"/>
            <w:hideMark/>
          </w:tcPr>
          <w:p w14:paraId="41CD5BB3" w14:textId="77777777" w:rsidR="00FD2CBB" w:rsidRPr="00DC53B4" w:rsidRDefault="00FD2CBB">
            <w:pPr>
              <w:spacing w:after="0" w:line="240" w:lineRule="auto"/>
              <w:jc w:val="right"/>
              <w:rPr>
                <w:rFonts w:eastAsia="Times New Roman" w:cs="Calibri"/>
                <w:sz w:val="20"/>
                <w:szCs w:val="20"/>
              </w:rPr>
            </w:pPr>
            <w:r>
              <w:rPr>
                <w:rFonts w:cs="Calibri"/>
                <w:color w:val="000000"/>
                <w:sz w:val="20"/>
                <w:szCs w:val="20"/>
              </w:rPr>
              <w:t>1.503.370.808</w:t>
            </w:r>
          </w:p>
        </w:tc>
      </w:tr>
      <w:tr w:rsidR="00FD2CBB" w:rsidRPr="00DC53B4" w14:paraId="50ED8DFF" w14:textId="77777777">
        <w:trPr>
          <w:trHeight w:val="300"/>
        </w:trPr>
        <w:tc>
          <w:tcPr>
            <w:tcW w:w="2980" w:type="dxa"/>
            <w:tcBorders>
              <w:top w:val="nil"/>
              <w:left w:val="single" w:sz="8" w:space="0" w:color="A6A6A6"/>
              <w:bottom w:val="single" w:sz="8" w:space="0" w:color="A6A6A6"/>
              <w:right w:val="single" w:sz="8" w:space="0" w:color="A6A6A6"/>
            </w:tcBorders>
            <w:noWrap/>
            <w:vAlign w:val="center"/>
            <w:hideMark/>
          </w:tcPr>
          <w:p w14:paraId="047A48A1" w14:textId="77777777" w:rsidR="00FD2CBB" w:rsidRPr="00DC53B4" w:rsidRDefault="00FD2CBB">
            <w:pPr>
              <w:spacing w:after="0" w:line="240" w:lineRule="auto"/>
              <w:jc w:val="left"/>
              <w:rPr>
                <w:rFonts w:eastAsia="Times New Roman" w:cs="Calibri"/>
                <w:sz w:val="20"/>
                <w:szCs w:val="20"/>
              </w:rPr>
            </w:pPr>
            <w:r w:rsidRPr="00DC53B4">
              <w:rPr>
                <w:rFonts w:eastAsia="Times New Roman" w:cs="Calibri"/>
                <w:sz w:val="20"/>
                <w:szCs w:val="20"/>
              </w:rPr>
              <w:t>Ricavi totali</w:t>
            </w:r>
          </w:p>
        </w:tc>
        <w:tc>
          <w:tcPr>
            <w:tcW w:w="2120" w:type="dxa"/>
            <w:tcBorders>
              <w:top w:val="nil"/>
              <w:left w:val="nil"/>
              <w:bottom w:val="single" w:sz="8" w:space="0" w:color="A6A6A6"/>
              <w:right w:val="single" w:sz="8" w:space="0" w:color="A6A6A6"/>
            </w:tcBorders>
            <w:noWrap/>
            <w:vAlign w:val="center"/>
            <w:hideMark/>
          </w:tcPr>
          <w:p w14:paraId="6241081A" w14:textId="77777777" w:rsidR="00FD2CBB" w:rsidRPr="00DC53B4" w:rsidRDefault="00FD2CBB">
            <w:pPr>
              <w:spacing w:after="0" w:line="240" w:lineRule="auto"/>
              <w:jc w:val="left"/>
              <w:rPr>
                <w:rFonts w:eastAsia="Times New Roman" w:cs="Calibri"/>
                <w:sz w:val="20"/>
                <w:szCs w:val="20"/>
              </w:rPr>
            </w:pPr>
            <w:r w:rsidRPr="00DC53B4">
              <w:rPr>
                <w:rFonts w:eastAsia="Times New Roman" w:cs="Calibri"/>
                <w:sz w:val="20"/>
                <w:szCs w:val="20"/>
              </w:rPr>
              <w:t>Dati sintetici ONTPL</w:t>
            </w:r>
          </w:p>
        </w:tc>
        <w:tc>
          <w:tcPr>
            <w:tcW w:w="1340" w:type="dxa"/>
            <w:tcBorders>
              <w:top w:val="nil"/>
              <w:left w:val="nil"/>
              <w:bottom w:val="single" w:sz="8" w:space="0" w:color="A6A6A6"/>
              <w:right w:val="single" w:sz="8" w:space="0" w:color="A6A6A6"/>
            </w:tcBorders>
            <w:noWrap/>
            <w:vAlign w:val="center"/>
            <w:hideMark/>
          </w:tcPr>
          <w:p w14:paraId="73E0AF73" w14:textId="77777777" w:rsidR="00FD2CBB" w:rsidRPr="00DC53B4" w:rsidRDefault="00FD2CBB">
            <w:pPr>
              <w:spacing w:after="0" w:line="240" w:lineRule="auto"/>
              <w:jc w:val="right"/>
              <w:rPr>
                <w:rFonts w:eastAsia="Times New Roman" w:cs="Calibri"/>
                <w:sz w:val="20"/>
                <w:szCs w:val="20"/>
              </w:rPr>
            </w:pPr>
            <w:r>
              <w:rPr>
                <w:rFonts w:cs="Calibri"/>
                <w:color w:val="000000"/>
                <w:sz w:val="20"/>
                <w:szCs w:val="20"/>
              </w:rPr>
              <w:t>13.821.943</w:t>
            </w:r>
          </w:p>
        </w:tc>
        <w:tc>
          <w:tcPr>
            <w:tcW w:w="1340" w:type="dxa"/>
            <w:tcBorders>
              <w:top w:val="nil"/>
              <w:left w:val="nil"/>
              <w:bottom w:val="single" w:sz="8" w:space="0" w:color="A6A6A6"/>
              <w:right w:val="single" w:sz="8" w:space="0" w:color="A6A6A6"/>
            </w:tcBorders>
            <w:noWrap/>
            <w:vAlign w:val="center"/>
            <w:hideMark/>
          </w:tcPr>
          <w:p w14:paraId="0DB7BF19" w14:textId="77777777" w:rsidR="00FD2CBB" w:rsidRPr="00DC53B4" w:rsidRDefault="00FD2CBB">
            <w:pPr>
              <w:spacing w:after="0" w:line="240" w:lineRule="auto"/>
              <w:jc w:val="right"/>
              <w:rPr>
                <w:rFonts w:eastAsia="Times New Roman" w:cs="Calibri"/>
                <w:sz w:val="20"/>
                <w:szCs w:val="20"/>
              </w:rPr>
            </w:pPr>
            <w:r>
              <w:rPr>
                <w:rFonts w:cs="Calibri"/>
                <w:color w:val="000000"/>
                <w:sz w:val="20"/>
                <w:szCs w:val="20"/>
              </w:rPr>
              <w:t>22.432.869</w:t>
            </w:r>
          </w:p>
        </w:tc>
        <w:tc>
          <w:tcPr>
            <w:tcW w:w="1340" w:type="dxa"/>
            <w:tcBorders>
              <w:top w:val="nil"/>
              <w:left w:val="nil"/>
              <w:bottom w:val="single" w:sz="8" w:space="0" w:color="A6A6A6"/>
              <w:right w:val="single" w:sz="8" w:space="0" w:color="A6A6A6"/>
            </w:tcBorders>
            <w:noWrap/>
            <w:vAlign w:val="center"/>
            <w:hideMark/>
          </w:tcPr>
          <w:p w14:paraId="5D2AE059" w14:textId="77777777" w:rsidR="00FD2CBB" w:rsidRPr="00DC53B4" w:rsidRDefault="00FD2CBB">
            <w:pPr>
              <w:spacing w:after="0" w:line="240" w:lineRule="auto"/>
              <w:jc w:val="right"/>
              <w:rPr>
                <w:rFonts w:eastAsia="Times New Roman" w:cs="Calibri"/>
                <w:sz w:val="20"/>
                <w:szCs w:val="20"/>
              </w:rPr>
            </w:pPr>
            <w:r>
              <w:rPr>
                <w:rFonts w:cs="Calibri"/>
                <w:color w:val="000000"/>
                <w:sz w:val="20"/>
                <w:szCs w:val="20"/>
              </w:rPr>
              <w:t>23.352.851</w:t>
            </w:r>
          </w:p>
        </w:tc>
      </w:tr>
      <w:tr w:rsidR="00FD2CBB" w:rsidRPr="00DC53B4" w14:paraId="1DAC1811" w14:textId="77777777">
        <w:trPr>
          <w:trHeight w:val="300"/>
        </w:trPr>
        <w:tc>
          <w:tcPr>
            <w:tcW w:w="2980" w:type="dxa"/>
            <w:tcBorders>
              <w:top w:val="nil"/>
              <w:left w:val="single" w:sz="8" w:space="0" w:color="A6A6A6"/>
              <w:bottom w:val="single" w:sz="8" w:space="0" w:color="A6A6A6"/>
              <w:right w:val="single" w:sz="8" w:space="0" w:color="A6A6A6"/>
            </w:tcBorders>
            <w:noWrap/>
            <w:vAlign w:val="center"/>
            <w:hideMark/>
          </w:tcPr>
          <w:p w14:paraId="446D5D68" w14:textId="77777777" w:rsidR="00FD2CBB" w:rsidRPr="00DC53B4" w:rsidRDefault="00FD2CBB">
            <w:pPr>
              <w:spacing w:after="0" w:line="240" w:lineRule="auto"/>
              <w:jc w:val="left"/>
              <w:rPr>
                <w:rFonts w:eastAsia="Times New Roman" w:cs="Calibri"/>
                <w:i/>
                <w:sz w:val="20"/>
                <w:szCs w:val="20"/>
              </w:rPr>
            </w:pPr>
            <w:r w:rsidRPr="00DC53B4">
              <w:rPr>
                <w:rFonts w:eastAsia="Times New Roman" w:cs="Calibri"/>
                <w:i/>
                <w:sz w:val="20"/>
                <w:szCs w:val="20"/>
              </w:rPr>
              <w:t xml:space="preserve"> di cui Ricavi da traffico</w:t>
            </w:r>
          </w:p>
        </w:tc>
        <w:tc>
          <w:tcPr>
            <w:tcW w:w="2120" w:type="dxa"/>
            <w:tcBorders>
              <w:top w:val="nil"/>
              <w:left w:val="nil"/>
              <w:bottom w:val="single" w:sz="8" w:space="0" w:color="A6A6A6"/>
              <w:right w:val="single" w:sz="8" w:space="0" w:color="A6A6A6"/>
            </w:tcBorders>
            <w:noWrap/>
            <w:vAlign w:val="center"/>
            <w:hideMark/>
          </w:tcPr>
          <w:p w14:paraId="32A53C98" w14:textId="77777777" w:rsidR="00FD2CBB" w:rsidRPr="00DC53B4" w:rsidRDefault="00FD2CBB">
            <w:pPr>
              <w:spacing w:after="0" w:line="240" w:lineRule="auto"/>
              <w:jc w:val="left"/>
              <w:rPr>
                <w:rFonts w:eastAsia="Times New Roman" w:cs="Calibri"/>
                <w:i/>
                <w:sz w:val="20"/>
                <w:szCs w:val="20"/>
              </w:rPr>
            </w:pPr>
            <w:r w:rsidRPr="00DC53B4">
              <w:rPr>
                <w:rFonts w:eastAsia="Times New Roman" w:cs="Calibri"/>
                <w:i/>
                <w:sz w:val="20"/>
                <w:szCs w:val="20"/>
              </w:rPr>
              <w:t>Dati sintetici ONTPL</w:t>
            </w:r>
          </w:p>
        </w:tc>
        <w:tc>
          <w:tcPr>
            <w:tcW w:w="1340" w:type="dxa"/>
            <w:tcBorders>
              <w:top w:val="nil"/>
              <w:left w:val="nil"/>
              <w:bottom w:val="single" w:sz="8" w:space="0" w:color="A6A6A6"/>
              <w:right w:val="single" w:sz="8" w:space="0" w:color="A6A6A6"/>
            </w:tcBorders>
            <w:noWrap/>
            <w:vAlign w:val="center"/>
            <w:hideMark/>
          </w:tcPr>
          <w:p w14:paraId="08125695" w14:textId="77777777" w:rsidR="00FD2CBB" w:rsidRPr="00DC53B4" w:rsidRDefault="00FD2CBB">
            <w:pPr>
              <w:spacing w:after="0" w:line="240" w:lineRule="auto"/>
              <w:jc w:val="right"/>
              <w:rPr>
                <w:rFonts w:eastAsia="Times New Roman" w:cs="Calibri"/>
                <w:i/>
                <w:sz w:val="20"/>
                <w:szCs w:val="20"/>
              </w:rPr>
            </w:pPr>
            <w:r>
              <w:rPr>
                <w:rFonts w:cs="Calibri"/>
                <w:i/>
                <w:color w:val="000000"/>
                <w:sz w:val="20"/>
                <w:szCs w:val="20"/>
              </w:rPr>
              <w:t>13.525.016</w:t>
            </w:r>
          </w:p>
        </w:tc>
        <w:tc>
          <w:tcPr>
            <w:tcW w:w="1340" w:type="dxa"/>
            <w:tcBorders>
              <w:top w:val="nil"/>
              <w:left w:val="nil"/>
              <w:bottom w:val="single" w:sz="8" w:space="0" w:color="A6A6A6"/>
              <w:right w:val="single" w:sz="8" w:space="0" w:color="A6A6A6"/>
            </w:tcBorders>
            <w:noWrap/>
            <w:vAlign w:val="center"/>
            <w:hideMark/>
          </w:tcPr>
          <w:p w14:paraId="429050EB" w14:textId="77777777" w:rsidR="00FD2CBB" w:rsidRPr="00DC53B4" w:rsidRDefault="00FD2CBB">
            <w:pPr>
              <w:spacing w:after="0" w:line="240" w:lineRule="auto"/>
              <w:jc w:val="right"/>
              <w:rPr>
                <w:rFonts w:eastAsia="Times New Roman" w:cs="Calibri"/>
                <w:i/>
                <w:sz w:val="20"/>
                <w:szCs w:val="20"/>
              </w:rPr>
            </w:pPr>
            <w:r>
              <w:rPr>
                <w:rFonts w:cs="Calibri"/>
                <w:i/>
                <w:color w:val="000000"/>
                <w:sz w:val="20"/>
                <w:szCs w:val="20"/>
              </w:rPr>
              <w:t>21.560.823</w:t>
            </w:r>
          </w:p>
        </w:tc>
        <w:tc>
          <w:tcPr>
            <w:tcW w:w="1340" w:type="dxa"/>
            <w:tcBorders>
              <w:top w:val="nil"/>
              <w:left w:val="nil"/>
              <w:bottom w:val="single" w:sz="8" w:space="0" w:color="A6A6A6"/>
              <w:right w:val="single" w:sz="8" w:space="0" w:color="A6A6A6"/>
            </w:tcBorders>
            <w:noWrap/>
            <w:vAlign w:val="center"/>
            <w:hideMark/>
          </w:tcPr>
          <w:p w14:paraId="357D2974" w14:textId="77777777" w:rsidR="00FD2CBB" w:rsidRPr="00DC53B4" w:rsidRDefault="00FD2CBB">
            <w:pPr>
              <w:spacing w:after="0" w:line="240" w:lineRule="auto"/>
              <w:jc w:val="right"/>
              <w:rPr>
                <w:rFonts w:eastAsia="Times New Roman" w:cs="Calibri"/>
                <w:i/>
                <w:sz w:val="20"/>
                <w:szCs w:val="20"/>
              </w:rPr>
            </w:pPr>
            <w:r>
              <w:rPr>
                <w:rFonts w:cs="Calibri"/>
                <w:i/>
                <w:color w:val="000000"/>
                <w:sz w:val="20"/>
                <w:szCs w:val="20"/>
              </w:rPr>
              <w:t>22.701.467</w:t>
            </w:r>
          </w:p>
        </w:tc>
      </w:tr>
      <w:tr w:rsidR="00FD2CBB" w:rsidRPr="00DC53B4" w14:paraId="510EE8AC" w14:textId="77777777">
        <w:trPr>
          <w:trHeight w:val="300"/>
        </w:trPr>
        <w:tc>
          <w:tcPr>
            <w:tcW w:w="2980" w:type="dxa"/>
            <w:tcBorders>
              <w:top w:val="nil"/>
              <w:left w:val="single" w:sz="8" w:space="0" w:color="A6A6A6"/>
              <w:bottom w:val="single" w:sz="8" w:space="0" w:color="A6A6A6"/>
              <w:right w:val="single" w:sz="8" w:space="0" w:color="A6A6A6"/>
            </w:tcBorders>
            <w:noWrap/>
            <w:vAlign w:val="center"/>
            <w:hideMark/>
          </w:tcPr>
          <w:p w14:paraId="6E23FE3E" w14:textId="77777777" w:rsidR="00FD2CBB" w:rsidRPr="00DC53B4" w:rsidRDefault="00FD2CBB">
            <w:pPr>
              <w:spacing w:after="0" w:line="240" w:lineRule="auto"/>
              <w:jc w:val="left"/>
              <w:rPr>
                <w:rFonts w:eastAsia="Times New Roman" w:cs="Calibri"/>
                <w:sz w:val="20"/>
                <w:szCs w:val="20"/>
              </w:rPr>
            </w:pPr>
            <w:r w:rsidRPr="00DC53B4">
              <w:rPr>
                <w:rFonts w:eastAsia="Times New Roman" w:cs="Calibri"/>
                <w:sz w:val="20"/>
                <w:szCs w:val="20"/>
              </w:rPr>
              <w:t>Compensazioni o Corrispettivi</w:t>
            </w:r>
          </w:p>
        </w:tc>
        <w:tc>
          <w:tcPr>
            <w:tcW w:w="2120" w:type="dxa"/>
            <w:tcBorders>
              <w:top w:val="nil"/>
              <w:left w:val="nil"/>
              <w:bottom w:val="single" w:sz="8" w:space="0" w:color="A6A6A6"/>
              <w:right w:val="single" w:sz="8" w:space="0" w:color="A6A6A6"/>
            </w:tcBorders>
            <w:noWrap/>
            <w:vAlign w:val="center"/>
            <w:hideMark/>
          </w:tcPr>
          <w:p w14:paraId="75DD87F5" w14:textId="77777777" w:rsidR="00FD2CBB" w:rsidRPr="00DC53B4" w:rsidRDefault="00FD2CBB">
            <w:pPr>
              <w:spacing w:after="0" w:line="240" w:lineRule="auto"/>
              <w:jc w:val="left"/>
              <w:rPr>
                <w:rFonts w:eastAsia="Times New Roman" w:cs="Calibri"/>
                <w:sz w:val="20"/>
                <w:szCs w:val="20"/>
              </w:rPr>
            </w:pPr>
            <w:r w:rsidRPr="00DC53B4">
              <w:rPr>
                <w:rFonts w:eastAsia="Times New Roman" w:cs="Calibri"/>
                <w:sz w:val="20"/>
                <w:szCs w:val="20"/>
              </w:rPr>
              <w:t>Dati sintetici ONTPL</w:t>
            </w:r>
          </w:p>
        </w:tc>
        <w:tc>
          <w:tcPr>
            <w:tcW w:w="1340" w:type="dxa"/>
            <w:tcBorders>
              <w:top w:val="nil"/>
              <w:left w:val="nil"/>
              <w:bottom w:val="single" w:sz="8" w:space="0" w:color="A6A6A6"/>
              <w:right w:val="single" w:sz="8" w:space="0" w:color="A6A6A6"/>
            </w:tcBorders>
            <w:noWrap/>
            <w:vAlign w:val="center"/>
            <w:hideMark/>
          </w:tcPr>
          <w:p w14:paraId="4EB5B086" w14:textId="77777777" w:rsidR="00FD2CBB" w:rsidRPr="00DC53B4" w:rsidRDefault="00FD2CBB">
            <w:pPr>
              <w:spacing w:after="0" w:line="240" w:lineRule="auto"/>
              <w:jc w:val="right"/>
              <w:rPr>
                <w:rFonts w:eastAsia="Times New Roman" w:cs="Calibri"/>
                <w:sz w:val="20"/>
                <w:szCs w:val="20"/>
              </w:rPr>
            </w:pPr>
            <w:r>
              <w:rPr>
                <w:rFonts w:cs="Calibri"/>
                <w:color w:val="000000"/>
                <w:sz w:val="20"/>
                <w:szCs w:val="20"/>
              </w:rPr>
              <w:t>37.809.123</w:t>
            </w:r>
          </w:p>
        </w:tc>
        <w:tc>
          <w:tcPr>
            <w:tcW w:w="1340" w:type="dxa"/>
            <w:tcBorders>
              <w:top w:val="nil"/>
              <w:left w:val="nil"/>
              <w:bottom w:val="single" w:sz="8" w:space="0" w:color="A6A6A6"/>
              <w:right w:val="single" w:sz="8" w:space="0" w:color="A6A6A6"/>
            </w:tcBorders>
            <w:noWrap/>
            <w:vAlign w:val="center"/>
            <w:hideMark/>
          </w:tcPr>
          <w:p w14:paraId="2B41DB86" w14:textId="77777777" w:rsidR="00FD2CBB" w:rsidRPr="00DC53B4" w:rsidRDefault="00FD2CBB">
            <w:pPr>
              <w:spacing w:after="0" w:line="240" w:lineRule="auto"/>
              <w:jc w:val="right"/>
              <w:rPr>
                <w:rFonts w:eastAsia="Times New Roman" w:cs="Calibri"/>
                <w:sz w:val="20"/>
                <w:szCs w:val="20"/>
              </w:rPr>
            </w:pPr>
            <w:r>
              <w:rPr>
                <w:rFonts w:cs="Calibri"/>
                <w:color w:val="000000"/>
                <w:sz w:val="20"/>
                <w:szCs w:val="20"/>
              </w:rPr>
              <w:t>38.464.666</w:t>
            </w:r>
          </w:p>
        </w:tc>
        <w:tc>
          <w:tcPr>
            <w:tcW w:w="1340" w:type="dxa"/>
            <w:tcBorders>
              <w:top w:val="nil"/>
              <w:left w:val="nil"/>
              <w:bottom w:val="single" w:sz="8" w:space="0" w:color="A6A6A6"/>
              <w:right w:val="single" w:sz="8" w:space="0" w:color="A6A6A6"/>
            </w:tcBorders>
            <w:noWrap/>
            <w:vAlign w:val="center"/>
            <w:hideMark/>
          </w:tcPr>
          <w:p w14:paraId="188F6B2A" w14:textId="77777777" w:rsidR="00FD2CBB" w:rsidRPr="00DC53B4" w:rsidRDefault="00FD2CBB">
            <w:pPr>
              <w:spacing w:after="0" w:line="240" w:lineRule="auto"/>
              <w:jc w:val="right"/>
              <w:rPr>
                <w:rFonts w:eastAsia="Times New Roman" w:cs="Calibri"/>
                <w:sz w:val="20"/>
                <w:szCs w:val="20"/>
              </w:rPr>
            </w:pPr>
            <w:r>
              <w:rPr>
                <w:rFonts w:cs="Calibri"/>
                <w:color w:val="000000"/>
                <w:sz w:val="20"/>
                <w:szCs w:val="20"/>
              </w:rPr>
              <w:t>39.215.441</w:t>
            </w:r>
          </w:p>
        </w:tc>
      </w:tr>
      <w:tr w:rsidR="00FD2CBB" w:rsidRPr="00DC53B4" w14:paraId="3B80B9CF" w14:textId="77777777">
        <w:trPr>
          <w:trHeight w:val="300"/>
        </w:trPr>
        <w:tc>
          <w:tcPr>
            <w:tcW w:w="2980" w:type="dxa"/>
            <w:tcBorders>
              <w:top w:val="nil"/>
              <w:left w:val="single" w:sz="8" w:space="0" w:color="A6A6A6"/>
              <w:bottom w:val="single" w:sz="8" w:space="0" w:color="A6A6A6"/>
              <w:right w:val="single" w:sz="8" w:space="0" w:color="A6A6A6"/>
            </w:tcBorders>
            <w:noWrap/>
            <w:vAlign w:val="center"/>
            <w:hideMark/>
          </w:tcPr>
          <w:p w14:paraId="4400F416" w14:textId="77777777" w:rsidR="00FD2CBB" w:rsidRPr="00DC53B4" w:rsidRDefault="00FD2CBB">
            <w:pPr>
              <w:spacing w:after="0" w:line="240" w:lineRule="auto"/>
              <w:jc w:val="left"/>
              <w:rPr>
                <w:rFonts w:eastAsia="Times New Roman" w:cs="Calibri"/>
                <w:sz w:val="20"/>
                <w:szCs w:val="20"/>
              </w:rPr>
            </w:pPr>
            <w:r w:rsidRPr="00DC53B4">
              <w:rPr>
                <w:rFonts w:eastAsia="Times New Roman" w:cs="Calibri"/>
                <w:sz w:val="20"/>
                <w:szCs w:val="20"/>
              </w:rPr>
              <w:t>Costo Infrastruttura</w:t>
            </w:r>
          </w:p>
        </w:tc>
        <w:tc>
          <w:tcPr>
            <w:tcW w:w="2120" w:type="dxa"/>
            <w:tcBorders>
              <w:top w:val="nil"/>
              <w:left w:val="nil"/>
              <w:bottom w:val="single" w:sz="8" w:space="0" w:color="A6A6A6"/>
              <w:right w:val="single" w:sz="8" w:space="0" w:color="A6A6A6"/>
            </w:tcBorders>
            <w:noWrap/>
            <w:vAlign w:val="center"/>
            <w:hideMark/>
          </w:tcPr>
          <w:p w14:paraId="73A0D584" w14:textId="77777777" w:rsidR="00FD2CBB" w:rsidRPr="00DC53B4" w:rsidRDefault="00FD2CBB">
            <w:pPr>
              <w:spacing w:after="0" w:line="240" w:lineRule="auto"/>
              <w:jc w:val="left"/>
              <w:rPr>
                <w:rFonts w:eastAsia="Times New Roman" w:cs="Calibri"/>
                <w:sz w:val="20"/>
                <w:szCs w:val="20"/>
              </w:rPr>
            </w:pPr>
            <w:r w:rsidRPr="00DC53B4">
              <w:rPr>
                <w:rFonts w:eastAsia="Times New Roman" w:cs="Calibri"/>
                <w:sz w:val="20"/>
                <w:szCs w:val="20"/>
              </w:rPr>
              <w:t>Dati sintetici ONTPL</w:t>
            </w:r>
          </w:p>
        </w:tc>
        <w:tc>
          <w:tcPr>
            <w:tcW w:w="1340" w:type="dxa"/>
            <w:tcBorders>
              <w:top w:val="nil"/>
              <w:left w:val="nil"/>
              <w:bottom w:val="single" w:sz="8" w:space="0" w:color="A6A6A6"/>
              <w:right w:val="single" w:sz="8" w:space="0" w:color="A6A6A6"/>
            </w:tcBorders>
            <w:noWrap/>
            <w:vAlign w:val="center"/>
            <w:hideMark/>
          </w:tcPr>
          <w:p w14:paraId="7C2C2DDF" w14:textId="77777777" w:rsidR="00FD2CBB" w:rsidRPr="00DC53B4" w:rsidRDefault="00FD2CBB">
            <w:pPr>
              <w:spacing w:after="0" w:line="240" w:lineRule="auto"/>
              <w:jc w:val="right"/>
              <w:rPr>
                <w:rFonts w:eastAsia="Times New Roman" w:cs="Calibri"/>
                <w:sz w:val="20"/>
                <w:szCs w:val="20"/>
              </w:rPr>
            </w:pPr>
            <w:r>
              <w:rPr>
                <w:rFonts w:cs="Calibri"/>
                <w:color w:val="000000"/>
                <w:sz w:val="20"/>
                <w:szCs w:val="20"/>
              </w:rPr>
              <w:t>169.135</w:t>
            </w:r>
          </w:p>
        </w:tc>
        <w:tc>
          <w:tcPr>
            <w:tcW w:w="1340" w:type="dxa"/>
            <w:tcBorders>
              <w:top w:val="nil"/>
              <w:left w:val="nil"/>
              <w:bottom w:val="single" w:sz="8" w:space="0" w:color="A6A6A6"/>
              <w:right w:val="single" w:sz="8" w:space="0" w:color="A6A6A6"/>
            </w:tcBorders>
            <w:noWrap/>
            <w:vAlign w:val="center"/>
            <w:hideMark/>
          </w:tcPr>
          <w:p w14:paraId="45E8CD35" w14:textId="77777777" w:rsidR="00FD2CBB" w:rsidRPr="00DC53B4" w:rsidRDefault="00FD2CBB">
            <w:pPr>
              <w:spacing w:after="0" w:line="240" w:lineRule="auto"/>
              <w:jc w:val="right"/>
              <w:rPr>
                <w:rFonts w:eastAsia="Times New Roman" w:cs="Calibri"/>
                <w:sz w:val="20"/>
                <w:szCs w:val="20"/>
              </w:rPr>
            </w:pPr>
            <w:r>
              <w:rPr>
                <w:rFonts w:cs="Calibri"/>
                <w:color w:val="000000"/>
                <w:sz w:val="20"/>
                <w:szCs w:val="20"/>
              </w:rPr>
              <w:t>217.828</w:t>
            </w:r>
          </w:p>
        </w:tc>
        <w:tc>
          <w:tcPr>
            <w:tcW w:w="1340" w:type="dxa"/>
            <w:tcBorders>
              <w:top w:val="nil"/>
              <w:left w:val="nil"/>
              <w:bottom w:val="single" w:sz="8" w:space="0" w:color="A6A6A6"/>
              <w:right w:val="single" w:sz="8" w:space="0" w:color="A6A6A6"/>
            </w:tcBorders>
            <w:noWrap/>
            <w:vAlign w:val="center"/>
            <w:hideMark/>
          </w:tcPr>
          <w:p w14:paraId="0F153436" w14:textId="77777777" w:rsidR="00FD2CBB" w:rsidRPr="00DC53B4" w:rsidRDefault="00FD2CBB">
            <w:pPr>
              <w:spacing w:after="0" w:line="240" w:lineRule="auto"/>
              <w:jc w:val="right"/>
              <w:rPr>
                <w:rFonts w:eastAsia="Times New Roman" w:cs="Calibri"/>
                <w:sz w:val="20"/>
                <w:szCs w:val="20"/>
              </w:rPr>
            </w:pPr>
            <w:r>
              <w:rPr>
                <w:rFonts w:cs="Calibri"/>
                <w:color w:val="000000"/>
                <w:sz w:val="20"/>
                <w:szCs w:val="20"/>
              </w:rPr>
              <w:t>237.405</w:t>
            </w:r>
          </w:p>
        </w:tc>
      </w:tr>
      <w:tr w:rsidR="00FD2CBB" w:rsidRPr="00DC53B4" w14:paraId="61B6F7AD" w14:textId="77777777">
        <w:trPr>
          <w:trHeight w:val="300"/>
        </w:trPr>
        <w:tc>
          <w:tcPr>
            <w:tcW w:w="2980" w:type="dxa"/>
            <w:tcBorders>
              <w:top w:val="nil"/>
              <w:left w:val="single" w:sz="8" w:space="0" w:color="A6A6A6"/>
              <w:bottom w:val="single" w:sz="8" w:space="0" w:color="A6A6A6"/>
              <w:right w:val="single" w:sz="8" w:space="0" w:color="A6A6A6"/>
            </w:tcBorders>
            <w:noWrap/>
            <w:vAlign w:val="center"/>
            <w:hideMark/>
          </w:tcPr>
          <w:p w14:paraId="54650AE5" w14:textId="77777777" w:rsidR="00FD2CBB" w:rsidRPr="00DC53B4" w:rsidRDefault="00FD2CBB">
            <w:pPr>
              <w:spacing w:after="0" w:line="240" w:lineRule="auto"/>
              <w:jc w:val="left"/>
              <w:rPr>
                <w:rFonts w:eastAsia="Times New Roman" w:cs="Calibri"/>
                <w:sz w:val="20"/>
                <w:szCs w:val="20"/>
              </w:rPr>
            </w:pPr>
            <w:r w:rsidRPr="00DC53B4">
              <w:rPr>
                <w:rFonts w:eastAsia="Times New Roman" w:cs="Calibri"/>
                <w:sz w:val="20"/>
                <w:szCs w:val="20"/>
              </w:rPr>
              <w:t>Passeggeri trasportati</w:t>
            </w:r>
          </w:p>
        </w:tc>
        <w:tc>
          <w:tcPr>
            <w:tcW w:w="2120" w:type="dxa"/>
            <w:tcBorders>
              <w:top w:val="nil"/>
              <w:left w:val="nil"/>
              <w:bottom w:val="single" w:sz="8" w:space="0" w:color="A6A6A6"/>
              <w:right w:val="single" w:sz="8" w:space="0" w:color="A6A6A6"/>
            </w:tcBorders>
            <w:noWrap/>
            <w:vAlign w:val="center"/>
            <w:hideMark/>
          </w:tcPr>
          <w:p w14:paraId="435FE515" w14:textId="77777777" w:rsidR="00FD2CBB" w:rsidRPr="00DC53B4" w:rsidRDefault="00FD2CBB">
            <w:pPr>
              <w:spacing w:after="0" w:line="240" w:lineRule="auto"/>
              <w:jc w:val="left"/>
              <w:rPr>
                <w:rFonts w:eastAsia="Times New Roman" w:cs="Calibri"/>
                <w:sz w:val="20"/>
                <w:szCs w:val="20"/>
              </w:rPr>
            </w:pPr>
            <w:r w:rsidRPr="00DC53B4">
              <w:rPr>
                <w:rFonts w:eastAsia="Times New Roman" w:cs="Calibri"/>
                <w:sz w:val="20"/>
                <w:szCs w:val="20"/>
              </w:rPr>
              <w:t>Dati sintetici ONTPL</w:t>
            </w:r>
          </w:p>
        </w:tc>
        <w:tc>
          <w:tcPr>
            <w:tcW w:w="1340" w:type="dxa"/>
            <w:tcBorders>
              <w:top w:val="nil"/>
              <w:left w:val="nil"/>
              <w:bottom w:val="single" w:sz="8" w:space="0" w:color="A6A6A6"/>
              <w:right w:val="single" w:sz="8" w:space="0" w:color="A6A6A6"/>
            </w:tcBorders>
            <w:noWrap/>
            <w:vAlign w:val="center"/>
            <w:hideMark/>
          </w:tcPr>
          <w:p w14:paraId="50E43410" w14:textId="77777777" w:rsidR="00FD2CBB" w:rsidRPr="00DC53B4" w:rsidRDefault="00FD2CBB">
            <w:pPr>
              <w:spacing w:after="0" w:line="240" w:lineRule="auto"/>
              <w:jc w:val="right"/>
              <w:rPr>
                <w:rFonts w:eastAsia="Times New Roman" w:cs="Calibri"/>
                <w:sz w:val="20"/>
                <w:szCs w:val="20"/>
              </w:rPr>
            </w:pPr>
            <w:r>
              <w:rPr>
                <w:rFonts w:cs="Calibri"/>
                <w:color w:val="000000"/>
                <w:sz w:val="20"/>
                <w:szCs w:val="20"/>
              </w:rPr>
              <w:t>16.033.782</w:t>
            </w:r>
          </w:p>
        </w:tc>
        <w:tc>
          <w:tcPr>
            <w:tcW w:w="1340" w:type="dxa"/>
            <w:tcBorders>
              <w:top w:val="nil"/>
              <w:left w:val="nil"/>
              <w:bottom w:val="single" w:sz="8" w:space="0" w:color="A6A6A6"/>
              <w:right w:val="single" w:sz="8" w:space="0" w:color="A6A6A6"/>
            </w:tcBorders>
            <w:noWrap/>
            <w:vAlign w:val="center"/>
            <w:hideMark/>
          </w:tcPr>
          <w:p w14:paraId="5DAE370E" w14:textId="77777777" w:rsidR="00FD2CBB" w:rsidRPr="00DC53B4" w:rsidRDefault="00FD2CBB">
            <w:pPr>
              <w:spacing w:after="0" w:line="240" w:lineRule="auto"/>
              <w:jc w:val="right"/>
              <w:rPr>
                <w:rFonts w:eastAsia="Times New Roman" w:cs="Calibri"/>
                <w:sz w:val="20"/>
                <w:szCs w:val="20"/>
              </w:rPr>
            </w:pPr>
            <w:r>
              <w:rPr>
                <w:rFonts w:cs="Calibri"/>
                <w:color w:val="000000"/>
                <w:sz w:val="20"/>
                <w:szCs w:val="20"/>
              </w:rPr>
              <w:t>19.306.714</w:t>
            </w:r>
          </w:p>
        </w:tc>
        <w:tc>
          <w:tcPr>
            <w:tcW w:w="1340" w:type="dxa"/>
            <w:tcBorders>
              <w:top w:val="nil"/>
              <w:left w:val="nil"/>
              <w:bottom w:val="single" w:sz="8" w:space="0" w:color="A6A6A6"/>
              <w:right w:val="single" w:sz="8" w:space="0" w:color="A6A6A6"/>
            </w:tcBorders>
            <w:noWrap/>
            <w:vAlign w:val="center"/>
            <w:hideMark/>
          </w:tcPr>
          <w:p w14:paraId="7F830DD7" w14:textId="77777777" w:rsidR="00FD2CBB" w:rsidRPr="00DC53B4" w:rsidRDefault="00FD2CBB">
            <w:pPr>
              <w:spacing w:after="0" w:line="240" w:lineRule="auto"/>
              <w:jc w:val="right"/>
              <w:rPr>
                <w:rFonts w:eastAsia="Times New Roman" w:cs="Calibri"/>
                <w:sz w:val="20"/>
                <w:szCs w:val="20"/>
              </w:rPr>
            </w:pPr>
            <w:r>
              <w:rPr>
                <w:rFonts w:cs="Calibri"/>
                <w:color w:val="000000"/>
                <w:sz w:val="20"/>
                <w:szCs w:val="20"/>
              </w:rPr>
              <w:t>21.197.734</w:t>
            </w:r>
          </w:p>
        </w:tc>
      </w:tr>
      <w:tr w:rsidR="00FD2CBB" w:rsidRPr="00DC53B4" w14:paraId="0AAF962B" w14:textId="77777777">
        <w:trPr>
          <w:trHeight w:val="564"/>
        </w:trPr>
        <w:tc>
          <w:tcPr>
            <w:tcW w:w="2980" w:type="dxa"/>
            <w:tcBorders>
              <w:top w:val="nil"/>
              <w:left w:val="single" w:sz="8" w:space="0" w:color="A6A6A6"/>
              <w:bottom w:val="single" w:sz="8" w:space="0" w:color="A6A6A6"/>
              <w:right w:val="single" w:sz="8" w:space="0" w:color="A6A6A6"/>
            </w:tcBorders>
            <w:vAlign w:val="center"/>
            <w:hideMark/>
          </w:tcPr>
          <w:p w14:paraId="43488A61" w14:textId="77777777" w:rsidR="00FD2CBB" w:rsidRPr="00DC53B4" w:rsidRDefault="00FD2CBB">
            <w:pPr>
              <w:spacing w:after="0" w:line="240" w:lineRule="auto"/>
              <w:jc w:val="left"/>
              <w:rPr>
                <w:rFonts w:eastAsia="Times New Roman" w:cs="Calibri"/>
                <w:sz w:val="20"/>
                <w:szCs w:val="20"/>
              </w:rPr>
            </w:pPr>
            <w:r w:rsidRPr="00DC53B4">
              <w:rPr>
                <w:rFonts w:eastAsia="Times New Roman" w:cs="Calibri"/>
                <w:sz w:val="20"/>
                <w:szCs w:val="20"/>
              </w:rPr>
              <w:t>Lunghezza media convenzionale di viaggio (lungh. Media corse/2)</w:t>
            </w:r>
          </w:p>
        </w:tc>
        <w:tc>
          <w:tcPr>
            <w:tcW w:w="2120" w:type="dxa"/>
            <w:tcBorders>
              <w:top w:val="nil"/>
              <w:left w:val="nil"/>
              <w:bottom w:val="single" w:sz="8" w:space="0" w:color="A6A6A6"/>
              <w:right w:val="single" w:sz="8" w:space="0" w:color="A6A6A6"/>
            </w:tcBorders>
            <w:noWrap/>
            <w:vAlign w:val="center"/>
            <w:hideMark/>
          </w:tcPr>
          <w:p w14:paraId="50F17F9B" w14:textId="77777777" w:rsidR="00FD2CBB" w:rsidRPr="00DC53B4" w:rsidRDefault="00FD2CBB">
            <w:pPr>
              <w:spacing w:after="0" w:line="240" w:lineRule="auto"/>
              <w:jc w:val="left"/>
              <w:rPr>
                <w:rFonts w:eastAsia="Times New Roman" w:cs="Calibri"/>
                <w:sz w:val="20"/>
                <w:szCs w:val="20"/>
              </w:rPr>
            </w:pPr>
            <w:r w:rsidRPr="00DC53B4">
              <w:rPr>
                <w:rFonts w:eastAsia="Times New Roman" w:cs="Calibri"/>
                <w:sz w:val="20"/>
                <w:szCs w:val="20"/>
              </w:rPr>
              <w:t>Calcolo</w:t>
            </w:r>
          </w:p>
        </w:tc>
        <w:tc>
          <w:tcPr>
            <w:tcW w:w="1340" w:type="dxa"/>
            <w:tcBorders>
              <w:top w:val="nil"/>
              <w:left w:val="nil"/>
              <w:bottom w:val="single" w:sz="8" w:space="0" w:color="A6A6A6"/>
              <w:right w:val="single" w:sz="8" w:space="0" w:color="A6A6A6"/>
            </w:tcBorders>
            <w:noWrap/>
            <w:vAlign w:val="center"/>
            <w:hideMark/>
          </w:tcPr>
          <w:p w14:paraId="5BB94B60" w14:textId="77777777" w:rsidR="00FD2CBB" w:rsidRPr="00DC53B4" w:rsidRDefault="00FD2CBB">
            <w:pPr>
              <w:spacing w:after="0" w:line="240" w:lineRule="auto"/>
              <w:jc w:val="right"/>
              <w:rPr>
                <w:rFonts w:eastAsia="Times New Roman" w:cs="Calibri"/>
                <w:sz w:val="20"/>
                <w:szCs w:val="20"/>
              </w:rPr>
            </w:pPr>
            <w:r>
              <w:rPr>
                <w:rFonts w:cs="Calibri"/>
                <w:color w:val="000000"/>
                <w:sz w:val="20"/>
                <w:szCs w:val="20"/>
              </w:rPr>
              <w:t>11,09467238</w:t>
            </w:r>
          </w:p>
        </w:tc>
        <w:tc>
          <w:tcPr>
            <w:tcW w:w="1340" w:type="dxa"/>
            <w:tcBorders>
              <w:top w:val="nil"/>
              <w:left w:val="nil"/>
              <w:bottom w:val="single" w:sz="8" w:space="0" w:color="A6A6A6"/>
              <w:right w:val="single" w:sz="8" w:space="0" w:color="A6A6A6"/>
            </w:tcBorders>
            <w:noWrap/>
            <w:vAlign w:val="center"/>
            <w:hideMark/>
          </w:tcPr>
          <w:p w14:paraId="6E8D9B8E" w14:textId="77777777" w:rsidR="00FD2CBB" w:rsidRPr="00DC53B4" w:rsidRDefault="00FD2CBB">
            <w:pPr>
              <w:spacing w:after="0" w:line="240" w:lineRule="auto"/>
              <w:jc w:val="right"/>
              <w:rPr>
                <w:rFonts w:eastAsia="Times New Roman" w:cs="Calibri"/>
                <w:sz w:val="20"/>
                <w:szCs w:val="20"/>
              </w:rPr>
            </w:pPr>
            <w:r>
              <w:rPr>
                <w:rFonts w:cs="Calibri"/>
                <w:color w:val="000000"/>
                <w:sz w:val="20"/>
                <w:szCs w:val="20"/>
              </w:rPr>
              <w:t>10,77999315</w:t>
            </w:r>
          </w:p>
        </w:tc>
        <w:tc>
          <w:tcPr>
            <w:tcW w:w="1340" w:type="dxa"/>
            <w:tcBorders>
              <w:top w:val="nil"/>
              <w:left w:val="nil"/>
              <w:bottom w:val="single" w:sz="8" w:space="0" w:color="A6A6A6"/>
              <w:right w:val="single" w:sz="8" w:space="0" w:color="A6A6A6"/>
            </w:tcBorders>
            <w:noWrap/>
            <w:vAlign w:val="center"/>
            <w:hideMark/>
          </w:tcPr>
          <w:p w14:paraId="49959630" w14:textId="77777777" w:rsidR="00FD2CBB" w:rsidRPr="00DC53B4" w:rsidRDefault="00FD2CBB">
            <w:pPr>
              <w:spacing w:after="0" w:line="240" w:lineRule="auto"/>
              <w:jc w:val="right"/>
              <w:rPr>
                <w:rFonts w:eastAsia="Times New Roman" w:cs="Calibri"/>
                <w:sz w:val="20"/>
                <w:szCs w:val="20"/>
              </w:rPr>
            </w:pPr>
            <w:r>
              <w:rPr>
                <w:rFonts w:cs="Calibri"/>
                <w:color w:val="000000"/>
                <w:sz w:val="20"/>
                <w:szCs w:val="20"/>
              </w:rPr>
              <w:t>10,44810606</w:t>
            </w:r>
          </w:p>
        </w:tc>
      </w:tr>
      <w:tr w:rsidR="00FD2CBB" w:rsidRPr="00DC53B4" w14:paraId="6E553ABE" w14:textId="77777777">
        <w:trPr>
          <w:trHeight w:val="564"/>
        </w:trPr>
        <w:tc>
          <w:tcPr>
            <w:tcW w:w="2980" w:type="dxa"/>
            <w:tcBorders>
              <w:top w:val="nil"/>
              <w:left w:val="single" w:sz="8" w:space="0" w:color="A6A6A6"/>
              <w:bottom w:val="single" w:sz="8" w:space="0" w:color="A6A6A6"/>
              <w:right w:val="single" w:sz="8" w:space="0" w:color="A6A6A6"/>
            </w:tcBorders>
            <w:vAlign w:val="center"/>
            <w:hideMark/>
          </w:tcPr>
          <w:p w14:paraId="0D20A439" w14:textId="77777777" w:rsidR="00FD2CBB" w:rsidRPr="00DC53B4" w:rsidRDefault="00FD2CBB">
            <w:pPr>
              <w:spacing w:after="0" w:line="240" w:lineRule="auto"/>
              <w:jc w:val="left"/>
              <w:rPr>
                <w:rFonts w:eastAsia="Times New Roman" w:cs="Calibri"/>
                <w:sz w:val="20"/>
                <w:szCs w:val="20"/>
              </w:rPr>
            </w:pPr>
            <w:r w:rsidRPr="00DC53B4">
              <w:rPr>
                <w:rFonts w:eastAsia="Times New Roman" w:cs="Calibri"/>
                <w:sz w:val="20"/>
                <w:szCs w:val="20"/>
              </w:rPr>
              <w:t>percorrenze passeggeri 2023 (pax*km/anno)</w:t>
            </w:r>
          </w:p>
        </w:tc>
        <w:tc>
          <w:tcPr>
            <w:tcW w:w="2120" w:type="dxa"/>
            <w:tcBorders>
              <w:top w:val="nil"/>
              <w:left w:val="nil"/>
              <w:bottom w:val="single" w:sz="8" w:space="0" w:color="A6A6A6"/>
              <w:right w:val="single" w:sz="8" w:space="0" w:color="A6A6A6"/>
            </w:tcBorders>
            <w:noWrap/>
            <w:vAlign w:val="center"/>
            <w:hideMark/>
          </w:tcPr>
          <w:p w14:paraId="3848E5D1" w14:textId="77777777" w:rsidR="00FD2CBB" w:rsidRPr="00DC53B4" w:rsidRDefault="00FD2CBB">
            <w:pPr>
              <w:spacing w:after="0" w:line="240" w:lineRule="auto"/>
              <w:jc w:val="left"/>
              <w:rPr>
                <w:rFonts w:eastAsia="Times New Roman" w:cs="Calibri"/>
                <w:sz w:val="20"/>
                <w:szCs w:val="20"/>
              </w:rPr>
            </w:pPr>
            <w:r w:rsidRPr="00DC53B4">
              <w:rPr>
                <w:rFonts w:eastAsia="Times New Roman" w:cs="Calibri"/>
                <w:sz w:val="20"/>
                <w:szCs w:val="20"/>
              </w:rPr>
              <w:t>Calcolo</w:t>
            </w:r>
          </w:p>
        </w:tc>
        <w:tc>
          <w:tcPr>
            <w:tcW w:w="1340" w:type="dxa"/>
            <w:tcBorders>
              <w:top w:val="nil"/>
              <w:left w:val="nil"/>
              <w:bottom w:val="single" w:sz="8" w:space="0" w:color="A6A6A6"/>
              <w:right w:val="single" w:sz="8" w:space="0" w:color="A6A6A6"/>
            </w:tcBorders>
            <w:noWrap/>
            <w:vAlign w:val="center"/>
            <w:hideMark/>
          </w:tcPr>
          <w:p w14:paraId="5FA544DC" w14:textId="77777777" w:rsidR="00FD2CBB" w:rsidRPr="00DC53B4" w:rsidRDefault="00FD2CBB">
            <w:pPr>
              <w:spacing w:after="0" w:line="240" w:lineRule="auto"/>
              <w:jc w:val="right"/>
              <w:rPr>
                <w:rFonts w:eastAsia="Times New Roman" w:cs="Calibri"/>
                <w:sz w:val="20"/>
                <w:szCs w:val="20"/>
              </w:rPr>
            </w:pPr>
            <w:r>
              <w:rPr>
                <w:rFonts w:cs="Calibri"/>
                <w:color w:val="000000"/>
                <w:sz w:val="20"/>
                <w:szCs w:val="20"/>
              </w:rPr>
              <w:t>177.889.558</w:t>
            </w:r>
          </w:p>
        </w:tc>
        <w:tc>
          <w:tcPr>
            <w:tcW w:w="1340" w:type="dxa"/>
            <w:tcBorders>
              <w:top w:val="nil"/>
              <w:left w:val="nil"/>
              <w:bottom w:val="single" w:sz="8" w:space="0" w:color="A6A6A6"/>
              <w:right w:val="single" w:sz="8" w:space="0" w:color="A6A6A6"/>
            </w:tcBorders>
            <w:noWrap/>
            <w:vAlign w:val="center"/>
            <w:hideMark/>
          </w:tcPr>
          <w:p w14:paraId="624FA621" w14:textId="77777777" w:rsidR="00FD2CBB" w:rsidRPr="00DC53B4" w:rsidRDefault="00FD2CBB">
            <w:pPr>
              <w:spacing w:after="0" w:line="240" w:lineRule="auto"/>
              <w:jc w:val="right"/>
              <w:rPr>
                <w:rFonts w:eastAsia="Times New Roman" w:cs="Calibri"/>
                <w:sz w:val="20"/>
                <w:szCs w:val="20"/>
              </w:rPr>
            </w:pPr>
            <w:r>
              <w:rPr>
                <w:rFonts w:cs="Calibri"/>
                <w:color w:val="000000"/>
                <w:sz w:val="20"/>
                <w:szCs w:val="20"/>
              </w:rPr>
              <w:t>208.126.245</w:t>
            </w:r>
          </w:p>
        </w:tc>
        <w:tc>
          <w:tcPr>
            <w:tcW w:w="1340" w:type="dxa"/>
            <w:tcBorders>
              <w:top w:val="nil"/>
              <w:left w:val="nil"/>
              <w:bottom w:val="single" w:sz="8" w:space="0" w:color="A6A6A6"/>
              <w:right w:val="single" w:sz="8" w:space="0" w:color="A6A6A6"/>
            </w:tcBorders>
            <w:noWrap/>
            <w:vAlign w:val="center"/>
            <w:hideMark/>
          </w:tcPr>
          <w:p w14:paraId="24A523A5" w14:textId="77777777" w:rsidR="00FD2CBB" w:rsidRPr="00DC53B4" w:rsidRDefault="00FD2CBB">
            <w:pPr>
              <w:spacing w:after="0" w:line="240" w:lineRule="auto"/>
              <w:jc w:val="right"/>
              <w:rPr>
                <w:rFonts w:eastAsia="Times New Roman" w:cs="Calibri"/>
                <w:sz w:val="20"/>
                <w:szCs w:val="20"/>
              </w:rPr>
            </w:pPr>
            <w:r>
              <w:rPr>
                <w:rFonts w:cs="Calibri"/>
                <w:color w:val="000000"/>
                <w:sz w:val="20"/>
                <w:szCs w:val="20"/>
              </w:rPr>
              <w:t>221.476.173</w:t>
            </w:r>
          </w:p>
        </w:tc>
      </w:tr>
      <w:tr w:rsidR="00FD2CBB" w:rsidRPr="00DC53B4" w14:paraId="720608A7" w14:textId="77777777">
        <w:trPr>
          <w:trHeight w:val="300"/>
        </w:trPr>
        <w:tc>
          <w:tcPr>
            <w:tcW w:w="2980" w:type="dxa"/>
            <w:tcBorders>
              <w:top w:val="nil"/>
              <w:left w:val="single" w:sz="8" w:space="0" w:color="A6A6A6"/>
              <w:bottom w:val="single" w:sz="8" w:space="0" w:color="A6A6A6"/>
              <w:right w:val="single" w:sz="8" w:space="0" w:color="A6A6A6"/>
            </w:tcBorders>
            <w:vAlign w:val="center"/>
            <w:hideMark/>
          </w:tcPr>
          <w:p w14:paraId="56BB8801" w14:textId="77777777" w:rsidR="00FD2CBB" w:rsidRPr="00DC53B4" w:rsidRDefault="00FD2CBB">
            <w:pPr>
              <w:spacing w:after="0" w:line="240" w:lineRule="auto"/>
              <w:jc w:val="left"/>
              <w:rPr>
                <w:rFonts w:eastAsia="Times New Roman" w:cs="Calibri"/>
                <w:sz w:val="20"/>
                <w:szCs w:val="20"/>
              </w:rPr>
            </w:pPr>
            <w:r w:rsidRPr="00DC53B4">
              <w:rPr>
                <w:rFonts w:eastAsia="Times New Roman" w:cs="Calibri"/>
                <w:sz w:val="20"/>
                <w:szCs w:val="20"/>
              </w:rPr>
              <w:t>Load factor</w:t>
            </w:r>
          </w:p>
        </w:tc>
        <w:tc>
          <w:tcPr>
            <w:tcW w:w="2120" w:type="dxa"/>
            <w:tcBorders>
              <w:top w:val="nil"/>
              <w:left w:val="nil"/>
              <w:bottom w:val="single" w:sz="8" w:space="0" w:color="A6A6A6"/>
              <w:right w:val="single" w:sz="8" w:space="0" w:color="A6A6A6"/>
            </w:tcBorders>
            <w:noWrap/>
            <w:vAlign w:val="center"/>
            <w:hideMark/>
          </w:tcPr>
          <w:p w14:paraId="735D674D" w14:textId="77777777" w:rsidR="00FD2CBB" w:rsidRPr="00DC53B4" w:rsidRDefault="00FD2CBB">
            <w:pPr>
              <w:spacing w:after="0" w:line="240" w:lineRule="auto"/>
              <w:jc w:val="left"/>
              <w:rPr>
                <w:rFonts w:eastAsia="Times New Roman" w:cs="Calibri"/>
                <w:sz w:val="20"/>
                <w:szCs w:val="20"/>
              </w:rPr>
            </w:pPr>
            <w:r w:rsidRPr="00DC53B4">
              <w:rPr>
                <w:rFonts w:eastAsia="Times New Roman" w:cs="Calibri"/>
                <w:sz w:val="20"/>
                <w:szCs w:val="20"/>
              </w:rPr>
              <w:t>Calcolo</w:t>
            </w:r>
          </w:p>
        </w:tc>
        <w:tc>
          <w:tcPr>
            <w:tcW w:w="1340" w:type="dxa"/>
            <w:tcBorders>
              <w:top w:val="nil"/>
              <w:left w:val="nil"/>
              <w:bottom w:val="single" w:sz="8" w:space="0" w:color="A6A6A6"/>
              <w:right w:val="single" w:sz="8" w:space="0" w:color="A6A6A6"/>
            </w:tcBorders>
            <w:noWrap/>
            <w:vAlign w:val="center"/>
            <w:hideMark/>
          </w:tcPr>
          <w:p w14:paraId="6150E61D" w14:textId="77777777" w:rsidR="00FD2CBB" w:rsidRPr="00DC53B4" w:rsidRDefault="00FD2CBB">
            <w:pPr>
              <w:spacing w:after="0" w:line="240" w:lineRule="auto"/>
              <w:jc w:val="right"/>
              <w:rPr>
                <w:rFonts w:eastAsia="Times New Roman" w:cs="Calibri"/>
                <w:sz w:val="20"/>
                <w:szCs w:val="20"/>
              </w:rPr>
            </w:pPr>
            <w:r>
              <w:rPr>
                <w:rFonts w:cs="Calibri"/>
                <w:color w:val="000000"/>
                <w:sz w:val="20"/>
                <w:szCs w:val="20"/>
              </w:rPr>
              <w:t>11,28%</w:t>
            </w:r>
          </w:p>
        </w:tc>
        <w:tc>
          <w:tcPr>
            <w:tcW w:w="1340" w:type="dxa"/>
            <w:tcBorders>
              <w:top w:val="nil"/>
              <w:left w:val="nil"/>
              <w:bottom w:val="single" w:sz="8" w:space="0" w:color="A6A6A6"/>
              <w:right w:val="single" w:sz="8" w:space="0" w:color="A6A6A6"/>
            </w:tcBorders>
            <w:noWrap/>
            <w:vAlign w:val="center"/>
            <w:hideMark/>
          </w:tcPr>
          <w:p w14:paraId="7798CB29" w14:textId="77777777" w:rsidR="00FD2CBB" w:rsidRPr="00DC53B4" w:rsidRDefault="00FD2CBB">
            <w:pPr>
              <w:spacing w:after="0" w:line="240" w:lineRule="auto"/>
              <w:jc w:val="right"/>
              <w:rPr>
                <w:rFonts w:eastAsia="Times New Roman" w:cs="Calibri"/>
                <w:sz w:val="20"/>
                <w:szCs w:val="20"/>
              </w:rPr>
            </w:pPr>
            <w:r>
              <w:rPr>
                <w:rFonts w:cs="Calibri"/>
                <w:color w:val="000000"/>
                <w:sz w:val="20"/>
                <w:szCs w:val="20"/>
              </w:rPr>
              <w:t>12,45%</w:t>
            </w:r>
          </w:p>
        </w:tc>
        <w:tc>
          <w:tcPr>
            <w:tcW w:w="1340" w:type="dxa"/>
            <w:tcBorders>
              <w:top w:val="nil"/>
              <w:left w:val="nil"/>
              <w:bottom w:val="single" w:sz="8" w:space="0" w:color="A6A6A6"/>
              <w:right w:val="single" w:sz="8" w:space="0" w:color="A6A6A6"/>
            </w:tcBorders>
            <w:noWrap/>
            <w:vAlign w:val="center"/>
            <w:hideMark/>
          </w:tcPr>
          <w:p w14:paraId="3BB6E1ED" w14:textId="77777777" w:rsidR="00FD2CBB" w:rsidRPr="00DC53B4" w:rsidRDefault="00FD2CBB">
            <w:pPr>
              <w:spacing w:after="0" w:line="240" w:lineRule="auto"/>
              <w:jc w:val="right"/>
              <w:rPr>
                <w:rFonts w:eastAsia="Times New Roman" w:cs="Calibri"/>
                <w:sz w:val="20"/>
                <w:szCs w:val="20"/>
              </w:rPr>
            </w:pPr>
            <w:r>
              <w:rPr>
                <w:rFonts w:cs="Calibri"/>
                <w:color w:val="000000"/>
                <w:sz w:val="20"/>
                <w:szCs w:val="20"/>
              </w:rPr>
              <w:t>14,73%</w:t>
            </w:r>
          </w:p>
        </w:tc>
      </w:tr>
      <w:tr w:rsidR="00FD2CBB" w:rsidRPr="00DC53B4" w14:paraId="43C582F0" w14:textId="77777777">
        <w:trPr>
          <w:trHeight w:val="300"/>
        </w:trPr>
        <w:tc>
          <w:tcPr>
            <w:tcW w:w="2980" w:type="dxa"/>
            <w:tcBorders>
              <w:top w:val="nil"/>
              <w:left w:val="single" w:sz="8" w:space="0" w:color="A6A6A6"/>
              <w:bottom w:val="single" w:sz="8" w:space="0" w:color="A6A6A6"/>
              <w:right w:val="single" w:sz="8" w:space="0" w:color="A6A6A6"/>
            </w:tcBorders>
            <w:noWrap/>
            <w:vAlign w:val="center"/>
            <w:hideMark/>
          </w:tcPr>
          <w:p w14:paraId="6C86DA6A" w14:textId="77777777" w:rsidR="00FD2CBB" w:rsidRPr="00DC53B4" w:rsidRDefault="00FD2CBB">
            <w:pPr>
              <w:spacing w:after="0" w:line="240" w:lineRule="auto"/>
              <w:jc w:val="left"/>
              <w:rPr>
                <w:rFonts w:eastAsia="Times New Roman" w:cs="Calibri"/>
                <w:sz w:val="20"/>
                <w:szCs w:val="20"/>
              </w:rPr>
            </w:pPr>
            <w:r w:rsidRPr="00DC53B4">
              <w:rPr>
                <w:rFonts w:eastAsia="Times New Roman" w:cs="Calibri"/>
                <w:sz w:val="20"/>
                <w:szCs w:val="20"/>
              </w:rPr>
              <w:t>Addetti</w:t>
            </w:r>
          </w:p>
        </w:tc>
        <w:tc>
          <w:tcPr>
            <w:tcW w:w="2120" w:type="dxa"/>
            <w:tcBorders>
              <w:top w:val="nil"/>
              <w:left w:val="nil"/>
              <w:bottom w:val="single" w:sz="8" w:space="0" w:color="A6A6A6"/>
              <w:right w:val="single" w:sz="8" w:space="0" w:color="A6A6A6"/>
            </w:tcBorders>
            <w:noWrap/>
            <w:vAlign w:val="center"/>
            <w:hideMark/>
          </w:tcPr>
          <w:p w14:paraId="0C75F625" w14:textId="77777777" w:rsidR="00FD2CBB" w:rsidRPr="00DC53B4" w:rsidRDefault="00FD2CBB">
            <w:pPr>
              <w:spacing w:after="0" w:line="240" w:lineRule="auto"/>
              <w:jc w:val="left"/>
              <w:rPr>
                <w:rFonts w:eastAsia="Times New Roman" w:cs="Calibri"/>
                <w:sz w:val="20"/>
                <w:szCs w:val="20"/>
              </w:rPr>
            </w:pPr>
            <w:r w:rsidRPr="00DC53B4">
              <w:rPr>
                <w:rFonts w:eastAsia="Times New Roman" w:cs="Calibri"/>
                <w:sz w:val="20"/>
                <w:szCs w:val="20"/>
              </w:rPr>
              <w:t>Dati sintetici ONTPL</w:t>
            </w:r>
          </w:p>
        </w:tc>
        <w:tc>
          <w:tcPr>
            <w:tcW w:w="1340" w:type="dxa"/>
            <w:tcBorders>
              <w:top w:val="nil"/>
              <w:left w:val="nil"/>
              <w:bottom w:val="single" w:sz="8" w:space="0" w:color="A6A6A6"/>
              <w:right w:val="single" w:sz="8" w:space="0" w:color="A6A6A6"/>
            </w:tcBorders>
            <w:noWrap/>
            <w:vAlign w:val="center"/>
            <w:hideMark/>
          </w:tcPr>
          <w:p w14:paraId="247090A2" w14:textId="77777777" w:rsidR="00FD2CBB" w:rsidRPr="00DC53B4" w:rsidRDefault="00FD2CBB">
            <w:pPr>
              <w:spacing w:after="0" w:line="240" w:lineRule="auto"/>
              <w:jc w:val="right"/>
              <w:rPr>
                <w:rFonts w:eastAsia="Times New Roman" w:cs="Calibri"/>
                <w:sz w:val="20"/>
                <w:szCs w:val="20"/>
              </w:rPr>
            </w:pPr>
            <w:r>
              <w:rPr>
                <w:rFonts w:cs="Calibri"/>
                <w:color w:val="000000"/>
                <w:sz w:val="20"/>
                <w:szCs w:val="20"/>
              </w:rPr>
              <w:t>925</w:t>
            </w:r>
          </w:p>
        </w:tc>
        <w:tc>
          <w:tcPr>
            <w:tcW w:w="1340" w:type="dxa"/>
            <w:tcBorders>
              <w:top w:val="nil"/>
              <w:left w:val="nil"/>
              <w:bottom w:val="single" w:sz="8" w:space="0" w:color="A6A6A6"/>
              <w:right w:val="single" w:sz="8" w:space="0" w:color="A6A6A6"/>
            </w:tcBorders>
            <w:noWrap/>
            <w:vAlign w:val="center"/>
            <w:hideMark/>
          </w:tcPr>
          <w:p w14:paraId="0D694A41" w14:textId="77777777" w:rsidR="00FD2CBB" w:rsidRPr="00DC53B4" w:rsidRDefault="00FD2CBB">
            <w:pPr>
              <w:spacing w:after="0" w:line="240" w:lineRule="auto"/>
              <w:jc w:val="right"/>
              <w:rPr>
                <w:rFonts w:eastAsia="Times New Roman" w:cs="Calibri"/>
                <w:sz w:val="20"/>
                <w:szCs w:val="20"/>
              </w:rPr>
            </w:pPr>
            <w:r>
              <w:rPr>
                <w:rFonts w:cs="Calibri"/>
                <w:color w:val="000000"/>
                <w:sz w:val="20"/>
                <w:szCs w:val="20"/>
              </w:rPr>
              <w:t>947</w:t>
            </w:r>
          </w:p>
        </w:tc>
        <w:tc>
          <w:tcPr>
            <w:tcW w:w="1340" w:type="dxa"/>
            <w:tcBorders>
              <w:top w:val="nil"/>
              <w:left w:val="nil"/>
              <w:bottom w:val="single" w:sz="8" w:space="0" w:color="A6A6A6"/>
              <w:right w:val="single" w:sz="8" w:space="0" w:color="A6A6A6"/>
            </w:tcBorders>
            <w:noWrap/>
            <w:vAlign w:val="center"/>
            <w:hideMark/>
          </w:tcPr>
          <w:p w14:paraId="1B526A52" w14:textId="77777777" w:rsidR="00FD2CBB" w:rsidRPr="00DC53B4" w:rsidRDefault="00FD2CBB">
            <w:pPr>
              <w:spacing w:after="0" w:line="240" w:lineRule="auto"/>
              <w:jc w:val="right"/>
              <w:rPr>
                <w:rFonts w:eastAsia="Times New Roman" w:cs="Calibri"/>
                <w:sz w:val="20"/>
                <w:szCs w:val="20"/>
              </w:rPr>
            </w:pPr>
            <w:r>
              <w:rPr>
                <w:rFonts w:cs="Calibri"/>
                <w:color w:val="000000"/>
                <w:sz w:val="20"/>
                <w:szCs w:val="20"/>
              </w:rPr>
              <w:t>917</w:t>
            </w:r>
          </w:p>
        </w:tc>
      </w:tr>
      <w:tr w:rsidR="00FD2CBB" w:rsidRPr="00DC53B4" w14:paraId="1ED07D75" w14:textId="77777777">
        <w:trPr>
          <w:trHeight w:val="300"/>
        </w:trPr>
        <w:tc>
          <w:tcPr>
            <w:tcW w:w="2980" w:type="dxa"/>
            <w:tcBorders>
              <w:top w:val="nil"/>
              <w:left w:val="single" w:sz="8" w:space="0" w:color="A6A6A6"/>
              <w:bottom w:val="single" w:sz="8" w:space="0" w:color="A6A6A6"/>
              <w:right w:val="single" w:sz="8" w:space="0" w:color="A6A6A6"/>
            </w:tcBorders>
            <w:noWrap/>
            <w:vAlign w:val="center"/>
            <w:hideMark/>
          </w:tcPr>
          <w:p w14:paraId="0B3CFF0B" w14:textId="77777777" w:rsidR="00FD2CBB" w:rsidRPr="00DC53B4" w:rsidRDefault="00FD2CBB">
            <w:pPr>
              <w:spacing w:after="0" w:line="240" w:lineRule="auto"/>
              <w:jc w:val="left"/>
              <w:rPr>
                <w:rFonts w:eastAsia="Times New Roman" w:cs="Calibri"/>
                <w:sz w:val="20"/>
                <w:szCs w:val="20"/>
              </w:rPr>
            </w:pPr>
            <w:r w:rsidRPr="00DC53B4">
              <w:rPr>
                <w:rFonts w:eastAsia="Times New Roman" w:cs="Calibri"/>
                <w:sz w:val="20"/>
                <w:szCs w:val="20"/>
              </w:rPr>
              <w:t>Contributi CCNL</w:t>
            </w:r>
          </w:p>
        </w:tc>
        <w:tc>
          <w:tcPr>
            <w:tcW w:w="2120" w:type="dxa"/>
            <w:tcBorders>
              <w:top w:val="nil"/>
              <w:left w:val="nil"/>
              <w:bottom w:val="single" w:sz="8" w:space="0" w:color="A6A6A6"/>
              <w:right w:val="single" w:sz="8" w:space="0" w:color="A6A6A6"/>
            </w:tcBorders>
            <w:noWrap/>
            <w:vAlign w:val="center"/>
            <w:hideMark/>
          </w:tcPr>
          <w:p w14:paraId="3E10F1E8" w14:textId="77777777" w:rsidR="00FD2CBB" w:rsidRPr="00DC53B4" w:rsidRDefault="00FD2CBB">
            <w:pPr>
              <w:spacing w:after="0" w:line="240" w:lineRule="auto"/>
              <w:jc w:val="left"/>
              <w:rPr>
                <w:rFonts w:eastAsia="Times New Roman" w:cs="Calibri"/>
                <w:sz w:val="20"/>
                <w:szCs w:val="20"/>
              </w:rPr>
            </w:pPr>
            <w:r w:rsidRPr="00DC53B4">
              <w:rPr>
                <w:rFonts w:eastAsia="Times New Roman" w:cs="Calibri"/>
                <w:sz w:val="20"/>
                <w:szCs w:val="20"/>
              </w:rPr>
              <w:t>Dati sintetici ONTPL</w:t>
            </w:r>
          </w:p>
        </w:tc>
        <w:tc>
          <w:tcPr>
            <w:tcW w:w="1340" w:type="dxa"/>
            <w:tcBorders>
              <w:top w:val="nil"/>
              <w:left w:val="nil"/>
              <w:bottom w:val="single" w:sz="8" w:space="0" w:color="A6A6A6"/>
              <w:right w:val="single" w:sz="8" w:space="0" w:color="A6A6A6"/>
            </w:tcBorders>
            <w:noWrap/>
            <w:vAlign w:val="center"/>
            <w:hideMark/>
          </w:tcPr>
          <w:p w14:paraId="2B1D31DE" w14:textId="77777777" w:rsidR="00FD2CBB" w:rsidRPr="00DC53B4" w:rsidRDefault="00FD2CBB">
            <w:pPr>
              <w:spacing w:after="0" w:line="240" w:lineRule="auto"/>
              <w:jc w:val="right"/>
              <w:rPr>
                <w:rFonts w:eastAsia="Times New Roman" w:cs="Calibri"/>
                <w:sz w:val="20"/>
                <w:szCs w:val="20"/>
              </w:rPr>
            </w:pPr>
            <w:r>
              <w:rPr>
                <w:rFonts w:cs="Calibri"/>
                <w:color w:val="000000"/>
                <w:sz w:val="20"/>
                <w:szCs w:val="20"/>
              </w:rPr>
              <w:t>4.783.685</w:t>
            </w:r>
          </w:p>
        </w:tc>
        <w:tc>
          <w:tcPr>
            <w:tcW w:w="1340" w:type="dxa"/>
            <w:tcBorders>
              <w:top w:val="nil"/>
              <w:left w:val="nil"/>
              <w:bottom w:val="single" w:sz="8" w:space="0" w:color="A6A6A6"/>
              <w:right w:val="single" w:sz="8" w:space="0" w:color="A6A6A6"/>
            </w:tcBorders>
            <w:noWrap/>
            <w:vAlign w:val="center"/>
            <w:hideMark/>
          </w:tcPr>
          <w:p w14:paraId="1A0ECA4C" w14:textId="77777777" w:rsidR="00FD2CBB" w:rsidRPr="00DC53B4" w:rsidRDefault="00FD2CBB">
            <w:pPr>
              <w:spacing w:after="0" w:line="240" w:lineRule="auto"/>
              <w:jc w:val="right"/>
              <w:rPr>
                <w:rFonts w:eastAsia="Times New Roman" w:cs="Calibri"/>
                <w:sz w:val="20"/>
                <w:szCs w:val="20"/>
              </w:rPr>
            </w:pPr>
            <w:r>
              <w:rPr>
                <w:rFonts w:cs="Calibri"/>
                <w:color w:val="000000"/>
                <w:sz w:val="20"/>
                <w:szCs w:val="20"/>
              </w:rPr>
              <w:t>5.081.152</w:t>
            </w:r>
          </w:p>
        </w:tc>
        <w:tc>
          <w:tcPr>
            <w:tcW w:w="1340" w:type="dxa"/>
            <w:tcBorders>
              <w:top w:val="nil"/>
              <w:left w:val="nil"/>
              <w:bottom w:val="single" w:sz="8" w:space="0" w:color="A6A6A6"/>
              <w:right w:val="single" w:sz="8" w:space="0" w:color="A6A6A6"/>
            </w:tcBorders>
            <w:noWrap/>
            <w:vAlign w:val="center"/>
            <w:hideMark/>
          </w:tcPr>
          <w:p w14:paraId="44738560" w14:textId="77777777" w:rsidR="00FD2CBB" w:rsidRPr="00DC53B4" w:rsidRDefault="00FD2CBB">
            <w:pPr>
              <w:spacing w:after="0" w:line="240" w:lineRule="auto"/>
              <w:jc w:val="right"/>
              <w:rPr>
                <w:rFonts w:eastAsia="Times New Roman" w:cs="Calibri"/>
                <w:sz w:val="20"/>
                <w:szCs w:val="20"/>
              </w:rPr>
            </w:pPr>
            <w:r>
              <w:rPr>
                <w:rFonts w:cs="Calibri"/>
                <w:color w:val="000000"/>
                <w:sz w:val="20"/>
                <w:szCs w:val="20"/>
              </w:rPr>
              <w:t>4.973.769</w:t>
            </w:r>
          </w:p>
        </w:tc>
      </w:tr>
    </w:tbl>
    <w:p w14:paraId="3F69B337" w14:textId="6D6581A9" w:rsidR="00FD2CBB" w:rsidRPr="00677A61" w:rsidRDefault="00FD2CBB" w:rsidP="00FD2CBB">
      <w:pPr>
        <w:pStyle w:val="Didascalia"/>
        <w:jc w:val="center"/>
        <w:rPr>
          <w:iCs w:val="0"/>
        </w:rPr>
      </w:pPr>
      <w:bookmarkStart w:id="199" w:name="_Toc188861786"/>
      <w:bookmarkStart w:id="200" w:name="_Toc193195707"/>
      <w:bookmarkStart w:id="201" w:name="_Ref193385894"/>
      <w:bookmarkStart w:id="202" w:name="_Toc247419587"/>
      <w:bookmarkStart w:id="203" w:name="_Toc197695683"/>
      <w:bookmarkStart w:id="204" w:name="_Toc204616496"/>
      <w:r>
        <w:t xml:space="preserve">Tabella </w:t>
      </w:r>
      <w:r w:rsidR="00FD7EE5">
        <w:fldChar w:fldCharType="begin"/>
      </w:r>
      <w:r w:rsidR="00FD7EE5">
        <w:instrText xml:space="preserve"> SEQ Tabella \* ARABIC </w:instrText>
      </w:r>
      <w:r w:rsidR="00FD7EE5">
        <w:fldChar w:fldCharType="separate"/>
      </w:r>
      <w:r w:rsidR="00073B6D">
        <w:rPr>
          <w:noProof/>
        </w:rPr>
        <w:t>32</w:t>
      </w:r>
      <w:r w:rsidR="00FD7EE5">
        <w:rPr>
          <w:noProof/>
        </w:rPr>
        <w:fldChar w:fldCharType="end"/>
      </w:r>
      <w:r>
        <w:rPr>
          <w:i w:val="0"/>
        </w:rPr>
        <w:t xml:space="preserve"> </w:t>
      </w:r>
      <w:r w:rsidRPr="00677A61">
        <w:rPr>
          <w:iCs w:val="0"/>
        </w:rPr>
        <w:t>– Quadro dei principali driver di contratto per gli anni 2021-2023</w:t>
      </w:r>
    </w:p>
    <w:p w14:paraId="550D2A48" w14:textId="77777777" w:rsidR="00FD2CBB" w:rsidRDefault="00FD2CBB" w:rsidP="00FD2CBB">
      <w:pPr>
        <w:spacing w:before="120" w:after="0" w:line="240" w:lineRule="auto"/>
        <w:rPr>
          <w:rFonts w:cs="Times New Roman"/>
        </w:rPr>
      </w:pPr>
      <w:r w:rsidRPr="00DF080F">
        <w:rPr>
          <w:rFonts w:cs="Times New Roman"/>
        </w:rPr>
        <w:t>I valori di load factor sono inferibili a livello di linea solo parametricamente a partire dai dati complessivi di CdS e/o di Azienda in proporzione a driver noti a livello disaggregato. Non sono disponibili valori disaggregati misurati all’origine.</w:t>
      </w:r>
    </w:p>
    <w:p w14:paraId="751BFC2C" w14:textId="77777777" w:rsidR="00FD2CBB" w:rsidRDefault="00FD2CBB" w:rsidP="00FD2CBB">
      <w:pPr>
        <w:spacing w:before="120" w:after="0" w:line="240" w:lineRule="auto"/>
        <w:rPr>
          <w:rFonts w:cs="Times New Roman"/>
        </w:rPr>
      </w:pPr>
      <w:r w:rsidRPr="003D0F69">
        <w:rPr>
          <w:rFonts w:cs="Times New Roman"/>
        </w:rPr>
        <w:t>Per quanto riguarda i passeggeri trasportati, si segnala che i dati sono dichiarati dalle aziende utilizzando il metodo di stima previsto da CNT ed ONTPL. Questo metodo consiste nel moltiplicare il numero di titoli di viaggio venduti per un coefficiente medio di fruizione</w:t>
      </w:r>
      <w:r>
        <w:rPr>
          <w:rFonts w:cs="Times New Roman"/>
        </w:rPr>
        <w:t xml:space="preserve"> (non univocamente definito)</w:t>
      </w:r>
      <w:r w:rsidRPr="003D0F69">
        <w:rPr>
          <w:rFonts w:cs="Times New Roman"/>
        </w:rPr>
        <w:t>.</w:t>
      </w:r>
    </w:p>
    <w:p w14:paraId="4DA61307" w14:textId="77777777" w:rsidR="00FD2CBB" w:rsidRDefault="00FD2CBB" w:rsidP="00FD2CBB">
      <w:pPr>
        <w:pStyle w:val="Titolo3"/>
        <w:ind w:left="720"/>
      </w:pPr>
      <w:bookmarkStart w:id="205" w:name="_Ref212733908"/>
      <w:bookmarkStart w:id="206" w:name="_Toc213078366"/>
      <w:r w:rsidRPr="009E35FF">
        <w:t>Servizi a Chiamata</w:t>
      </w:r>
      <w:bookmarkEnd w:id="205"/>
      <w:bookmarkEnd w:id="206"/>
    </w:p>
    <w:p w14:paraId="7734D4DF" w14:textId="77777777" w:rsidR="00FD2CBB" w:rsidRDefault="00FD2CBB" w:rsidP="00D05096">
      <w:pPr>
        <w:spacing w:line="240" w:lineRule="auto"/>
      </w:pPr>
      <w:r>
        <w:t xml:space="preserve">I servizi a chiamata sono una modalità di trasporto pubblico flessibile che consente agli utenti di prenotare un viaggio in autobus in base alle proprie esigenze, anziché seguire un orario fisso o un percorso prestabilito. Questi servizi operano solitamente in aree a bassa densità abitativa o in fasce orarie con domanda limitata, dove il trasporto tradizionale sarebbe poco efficiente. La prenotazione può avvenire tramite telefono, app o sito web, e l’autobus effettua fermate solo dove richiesto, ottimizzando tempi e costi. Questo sistema favorisce l’accessibilità, riduce l’impatto ambientale e </w:t>
      </w:r>
      <w:r>
        <w:lastRenderedPageBreak/>
        <w:t xml:space="preserve">migliora la copertura del servizio pubblico. Nel territorio del bacino metropolitano sono presenti tre servizi a chiamata: </w:t>
      </w:r>
      <w:r w:rsidRPr="009D76AE">
        <w:rPr>
          <w:b/>
          <w:bCs/>
        </w:rPr>
        <w:t>Me</w:t>
      </w:r>
      <w:r>
        <w:rPr>
          <w:b/>
          <w:bCs/>
        </w:rPr>
        <w:t>BUS</w:t>
      </w:r>
      <w:r>
        <w:t xml:space="preserve">, </w:t>
      </w:r>
      <w:r w:rsidRPr="009D76AE">
        <w:rPr>
          <w:b/>
          <w:bCs/>
        </w:rPr>
        <w:t>Provibus</w:t>
      </w:r>
      <w:r>
        <w:t xml:space="preserve"> e </w:t>
      </w:r>
      <w:r w:rsidRPr="009D76AE">
        <w:rPr>
          <w:b/>
          <w:bCs/>
        </w:rPr>
        <w:t>Setti</w:t>
      </w:r>
      <w:r>
        <w:rPr>
          <w:b/>
          <w:bCs/>
        </w:rPr>
        <w:t>BUS</w:t>
      </w:r>
      <w:r>
        <w:t>; Di seguito sono riportate la produzione annuale dei suddetti servizi e il numero di passeggeri trasportati nel 2023:</w:t>
      </w:r>
    </w:p>
    <w:tbl>
      <w:tblPr>
        <w:tblW w:w="4999" w:type="pct"/>
        <w:tblCellMar>
          <w:left w:w="70" w:type="dxa"/>
          <w:right w:w="70" w:type="dxa"/>
        </w:tblCellMar>
        <w:tblLook w:val="04A0" w:firstRow="1" w:lastRow="0" w:firstColumn="1" w:lastColumn="0" w:noHBand="0" w:noVBand="1"/>
      </w:tblPr>
      <w:tblGrid>
        <w:gridCol w:w="4884"/>
        <w:gridCol w:w="2087"/>
        <w:gridCol w:w="2087"/>
      </w:tblGrid>
      <w:tr w:rsidR="00FD2CBB" w:rsidRPr="000E7034" w14:paraId="31B35E63" w14:textId="77777777" w:rsidTr="00E2336D">
        <w:trPr>
          <w:trHeight w:val="20"/>
        </w:trPr>
        <w:tc>
          <w:tcPr>
            <w:tcW w:w="2696" w:type="pct"/>
            <w:tcBorders>
              <w:top w:val="single" w:sz="4" w:space="0" w:color="A6A6A6"/>
              <w:left w:val="single" w:sz="4" w:space="0" w:color="A6A6A6"/>
              <w:bottom w:val="single" w:sz="4" w:space="0" w:color="A6A6A6"/>
              <w:right w:val="single" w:sz="4" w:space="0" w:color="A6A6A6"/>
            </w:tcBorders>
            <w:shd w:val="clear" w:color="000000" w:fill="EE3438"/>
            <w:noWrap/>
            <w:vAlign w:val="bottom"/>
            <w:hideMark/>
          </w:tcPr>
          <w:p w14:paraId="40D76D57" w14:textId="77777777" w:rsidR="00FD2CBB" w:rsidRPr="000E7034" w:rsidRDefault="00FD2CBB">
            <w:pPr>
              <w:spacing w:after="0" w:line="240" w:lineRule="auto"/>
              <w:jc w:val="left"/>
              <w:rPr>
                <w:rFonts w:eastAsia="Times New Roman" w:cs="Calibri"/>
                <w:b/>
                <w:color w:val="FFFFFF"/>
              </w:rPr>
            </w:pPr>
            <w:bookmarkStart w:id="207" w:name="_Hlk212471797"/>
            <w:r w:rsidRPr="000E7034">
              <w:rPr>
                <w:rFonts w:eastAsia="Times New Roman" w:cs="Calibri"/>
                <w:b/>
                <w:color w:val="FFFFFF"/>
              </w:rPr>
              <w:t>Servizio a chiamata</w:t>
            </w:r>
          </w:p>
        </w:tc>
        <w:tc>
          <w:tcPr>
            <w:tcW w:w="1152" w:type="pct"/>
            <w:tcBorders>
              <w:top w:val="single" w:sz="4" w:space="0" w:color="A6A6A6"/>
              <w:left w:val="nil"/>
              <w:bottom w:val="single" w:sz="4" w:space="0" w:color="A6A6A6"/>
              <w:right w:val="single" w:sz="4" w:space="0" w:color="A6A6A6"/>
            </w:tcBorders>
            <w:shd w:val="clear" w:color="000000" w:fill="EE3438"/>
            <w:noWrap/>
            <w:vAlign w:val="bottom"/>
            <w:hideMark/>
          </w:tcPr>
          <w:p w14:paraId="238A860A" w14:textId="77777777" w:rsidR="00FD2CBB" w:rsidRPr="000E7034" w:rsidRDefault="00FD2CBB">
            <w:pPr>
              <w:spacing w:after="0" w:line="240" w:lineRule="auto"/>
              <w:jc w:val="center"/>
              <w:rPr>
                <w:rFonts w:eastAsia="Times New Roman" w:cs="Calibri"/>
                <w:b/>
                <w:color w:val="FFFFFF"/>
              </w:rPr>
            </w:pPr>
            <w:r w:rsidRPr="000E7034">
              <w:rPr>
                <w:rFonts w:eastAsia="Times New Roman" w:cs="Calibri"/>
                <w:b/>
                <w:color w:val="FFFFFF"/>
              </w:rPr>
              <w:t>Produzione km</w:t>
            </w:r>
            <w:r>
              <w:rPr>
                <w:rFonts w:eastAsia="Times New Roman" w:cs="Calibri"/>
                <w:b/>
                <w:color w:val="FFFFFF"/>
              </w:rPr>
              <w:t>/anno</w:t>
            </w:r>
          </w:p>
        </w:tc>
        <w:tc>
          <w:tcPr>
            <w:tcW w:w="1152" w:type="pct"/>
            <w:tcBorders>
              <w:top w:val="single" w:sz="4" w:space="0" w:color="A6A6A6"/>
              <w:left w:val="nil"/>
              <w:bottom w:val="single" w:sz="4" w:space="0" w:color="A6A6A6"/>
              <w:right w:val="single" w:sz="4" w:space="0" w:color="A6A6A6"/>
            </w:tcBorders>
            <w:shd w:val="clear" w:color="000000" w:fill="EE3438"/>
          </w:tcPr>
          <w:p w14:paraId="1444E289" w14:textId="77777777" w:rsidR="00FD2CBB" w:rsidRPr="000E7034" w:rsidRDefault="00FD2CBB">
            <w:pPr>
              <w:spacing w:after="0" w:line="240" w:lineRule="auto"/>
              <w:jc w:val="center"/>
              <w:rPr>
                <w:rFonts w:eastAsia="Times New Roman" w:cs="Calibri"/>
                <w:b/>
                <w:color w:val="FFFFFF"/>
              </w:rPr>
            </w:pPr>
            <w:r>
              <w:rPr>
                <w:rFonts w:eastAsia="Times New Roman" w:cs="Calibri"/>
                <w:b/>
                <w:color w:val="FFFFFF"/>
              </w:rPr>
              <w:t>Passeggeri/anno</w:t>
            </w:r>
          </w:p>
        </w:tc>
      </w:tr>
      <w:bookmarkEnd w:id="207"/>
      <w:tr w:rsidR="00FD2CBB" w:rsidRPr="000E7034" w14:paraId="330FE326" w14:textId="77777777" w:rsidTr="00E2336D">
        <w:trPr>
          <w:trHeight w:val="20"/>
        </w:trPr>
        <w:tc>
          <w:tcPr>
            <w:tcW w:w="2696" w:type="pct"/>
            <w:tcBorders>
              <w:top w:val="nil"/>
              <w:left w:val="single" w:sz="4" w:space="0" w:color="A6A6A6"/>
              <w:bottom w:val="single" w:sz="4" w:space="0" w:color="A6A6A6"/>
              <w:right w:val="single" w:sz="4" w:space="0" w:color="A6A6A6"/>
            </w:tcBorders>
            <w:shd w:val="clear" w:color="000000" w:fill="FF7C80"/>
            <w:noWrap/>
            <w:vAlign w:val="center"/>
            <w:hideMark/>
          </w:tcPr>
          <w:p w14:paraId="4938D3C8" w14:textId="77777777" w:rsidR="00FD2CBB" w:rsidRPr="00B42258" w:rsidRDefault="00FD2CBB">
            <w:pPr>
              <w:spacing w:after="0" w:line="240" w:lineRule="auto"/>
              <w:jc w:val="left"/>
              <w:rPr>
                <w:rFonts w:eastAsia="Times New Roman" w:cs="Calibri"/>
              </w:rPr>
            </w:pPr>
            <w:r w:rsidRPr="00B42258">
              <w:rPr>
                <w:rFonts w:eastAsia="Times New Roman" w:cs="Calibri"/>
              </w:rPr>
              <w:t>Provibus Caluso</w:t>
            </w:r>
          </w:p>
        </w:tc>
        <w:tc>
          <w:tcPr>
            <w:tcW w:w="1152" w:type="pct"/>
            <w:tcBorders>
              <w:top w:val="nil"/>
              <w:left w:val="nil"/>
              <w:bottom w:val="single" w:sz="4" w:space="0" w:color="A6A6A6"/>
              <w:right w:val="single" w:sz="4" w:space="0" w:color="A6A6A6"/>
            </w:tcBorders>
            <w:vAlign w:val="center"/>
            <w:hideMark/>
          </w:tcPr>
          <w:p w14:paraId="24217500" w14:textId="77777777" w:rsidR="00FD2CBB" w:rsidRPr="000E7034" w:rsidRDefault="00FD2CBB">
            <w:pPr>
              <w:spacing w:after="0" w:line="240" w:lineRule="auto"/>
              <w:jc w:val="right"/>
              <w:rPr>
                <w:rFonts w:eastAsia="Times New Roman" w:cs="Calibri"/>
                <w:color w:val="000000"/>
              </w:rPr>
            </w:pPr>
            <w:r w:rsidRPr="000E7034">
              <w:rPr>
                <w:rFonts w:eastAsia="Times New Roman" w:cs="Calibri"/>
                <w:color w:val="000000"/>
              </w:rPr>
              <w:t xml:space="preserve">27.895 </w:t>
            </w:r>
          </w:p>
        </w:tc>
        <w:tc>
          <w:tcPr>
            <w:tcW w:w="1152" w:type="pct"/>
            <w:tcBorders>
              <w:top w:val="nil"/>
              <w:left w:val="nil"/>
              <w:bottom w:val="single" w:sz="4" w:space="0" w:color="A6A6A6"/>
              <w:right w:val="single" w:sz="4" w:space="0" w:color="A6A6A6"/>
            </w:tcBorders>
            <w:vAlign w:val="center"/>
          </w:tcPr>
          <w:p w14:paraId="32925692" w14:textId="77777777" w:rsidR="00FD2CBB" w:rsidRPr="000E7034" w:rsidRDefault="00FD2CBB">
            <w:pPr>
              <w:spacing w:after="0" w:line="240" w:lineRule="auto"/>
              <w:jc w:val="right"/>
              <w:rPr>
                <w:rFonts w:eastAsia="Times New Roman" w:cs="Calibri"/>
                <w:color w:val="000000"/>
              </w:rPr>
            </w:pPr>
            <w:r>
              <w:rPr>
                <w:rFonts w:eastAsia="Times New Roman" w:cs="Calibri"/>
                <w:color w:val="000000"/>
              </w:rPr>
              <w:t>6.261</w:t>
            </w:r>
          </w:p>
        </w:tc>
      </w:tr>
      <w:tr w:rsidR="00FD2CBB" w:rsidRPr="000E7034" w14:paraId="5FED0C61" w14:textId="77777777" w:rsidTr="00E2336D">
        <w:trPr>
          <w:trHeight w:val="20"/>
        </w:trPr>
        <w:tc>
          <w:tcPr>
            <w:tcW w:w="2696" w:type="pct"/>
            <w:tcBorders>
              <w:top w:val="nil"/>
              <w:left w:val="single" w:sz="4" w:space="0" w:color="A6A6A6"/>
              <w:bottom w:val="single" w:sz="4" w:space="0" w:color="A6A6A6"/>
              <w:right w:val="single" w:sz="4" w:space="0" w:color="A6A6A6"/>
            </w:tcBorders>
            <w:shd w:val="clear" w:color="000000" w:fill="FF7C80"/>
            <w:noWrap/>
            <w:vAlign w:val="center"/>
            <w:hideMark/>
          </w:tcPr>
          <w:p w14:paraId="038A06EB" w14:textId="77777777" w:rsidR="00FD2CBB" w:rsidRPr="00B42258" w:rsidRDefault="00FD2CBB">
            <w:pPr>
              <w:spacing w:after="0" w:line="240" w:lineRule="auto"/>
              <w:jc w:val="left"/>
              <w:rPr>
                <w:rFonts w:eastAsia="Times New Roman" w:cs="Calibri"/>
              </w:rPr>
            </w:pPr>
            <w:r w:rsidRPr="00B42258">
              <w:rPr>
                <w:rFonts w:eastAsia="Times New Roman" w:cs="Calibri"/>
              </w:rPr>
              <w:t>Provibus Chivassese</w:t>
            </w:r>
          </w:p>
        </w:tc>
        <w:tc>
          <w:tcPr>
            <w:tcW w:w="1152" w:type="pct"/>
            <w:tcBorders>
              <w:top w:val="nil"/>
              <w:left w:val="nil"/>
              <w:bottom w:val="single" w:sz="4" w:space="0" w:color="A6A6A6"/>
              <w:right w:val="single" w:sz="4" w:space="0" w:color="A6A6A6"/>
            </w:tcBorders>
            <w:noWrap/>
            <w:vAlign w:val="center"/>
            <w:hideMark/>
          </w:tcPr>
          <w:p w14:paraId="61381E3D" w14:textId="77777777" w:rsidR="00FD2CBB" w:rsidRPr="000E7034" w:rsidRDefault="00FD2CBB">
            <w:pPr>
              <w:spacing w:after="0" w:line="240" w:lineRule="auto"/>
              <w:jc w:val="right"/>
              <w:rPr>
                <w:rFonts w:eastAsia="Times New Roman" w:cs="Calibri"/>
                <w:color w:val="000000"/>
              </w:rPr>
            </w:pPr>
            <w:r w:rsidRPr="000E7034">
              <w:rPr>
                <w:rFonts w:eastAsia="Times New Roman" w:cs="Calibri"/>
                <w:color w:val="000000"/>
              </w:rPr>
              <w:t xml:space="preserve">46.278 </w:t>
            </w:r>
          </w:p>
        </w:tc>
        <w:tc>
          <w:tcPr>
            <w:tcW w:w="1152" w:type="pct"/>
            <w:tcBorders>
              <w:top w:val="nil"/>
              <w:left w:val="nil"/>
              <w:bottom w:val="single" w:sz="4" w:space="0" w:color="A6A6A6"/>
              <w:right w:val="single" w:sz="4" w:space="0" w:color="A6A6A6"/>
            </w:tcBorders>
            <w:vAlign w:val="center"/>
          </w:tcPr>
          <w:p w14:paraId="40ED0531" w14:textId="77777777" w:rsidR="00FD2CBB" w:rsidRPr="000E7034" w:rsidRDefault="00FD2CBB">
            <w:pPr>
              <w:spacing w:after="0" w:line="240" w:lineRule="auto"/>
              <w:jc w:val="right"/>
              <w:rPr>
                <w:rFonts w:eastAsia="Times New Roman" w:cs="Calibri"/>
                <w:color w:val="000000"/>
              </w:rPr>
            </w:pPr>
            <w:r>
              <w:rPr>
                <w:rFonts w:eastAsia="Times New Roman" w:cs="Calibri"/>
                <w:color w:val="000000"/>
              </w:rPr>
              <w:t>4.330</w:t>
            </w:r>
          </w:p>
        </w:tc>
      </w:tr>
      <w:tr w:rsidR="00FD2CBB" w:rsidRPr="000E7034" w14:paraId="3110D08F" w14:textId="77777777" w:rsidTr="00E2336D">
        <w:trPr>
          <w:trHeight w:val="20"/>
        </w:trPr>
        <w:tc>
          <w:tcPr>
            <w:tcW w:w="2696" w:type="pct"/>
            <w:tcBorders>
              <w:top w:val="nil"/>
              <w:left w:val="single" w:sz="4" w:space="0" w:color="A6A6A6"/>
              <w:bottom w:val="single" w:sz="4" w:space="0" w:color="A6A6A6"/>
              <w:right w:val="single" w:sz="4" w:space="0" w:color="A6A6A6"/>
            </w:tcBorders>
            <w:shd w:val="clear" w:color="000000" w:fill="FF7C80"/>
            <w:noWrap/>
            <w:vAlign w:val="center"/>
            <w:hideMark/>
          </w:tcPr>
          <w:p w14:paraId="2400CE71" w14:textId="77777777" w:rsidR="00FD2CBB" w:rsidRPr="00B42258" w:rsidRDefault="00FD2CBB">
            <w:pPr>
              <w:spacing w:after="0" w:line="240" w:lineRule="auto"/>
              <w:jc w:val="left"/>
              <w:rPr>
                <w:rFonts w:eastAsia="Times New Roman" w:cs="Calibri"/>
              </w:rPr>
            </w:pPr>
            <w:r w:rsidRPr="00B42258">
              <w:rPr>
                <w:rFonts w:eastAsia="Times New Roman" w:cs="Calibri"/>
              </w:rPr>
              <w:t>Provibus Crescentino</w:t>
            </w:r>
          </w:p>
        </w:tc>
        <w:tc>
          <w:tcPr>
            <w:tcW w:w="1152" w:type="pct"/>
            <w:tcBorders>
              <w:top w:val="nil"/>
              <w:left w:val="nil"/>
              <w:bottom w:val="single" w:sz="4" w:space="0" w:color="A6A6A6"/>
              <w:right w:val="single" w:sz="4" w:space="0" w:color="A6A6A6"/>
            </w:tcBorders>
            <w:noWrap/>
            <w:vAlign w:val="center"/>
            <w:hideMark/>
          </w:tcPr>
          <w:p w14:paraId="4DFC796D" w14:textId="77777777" w:rsidR="00FD2CBB" w:rsidRPr="000E7034" w:rsidRDefault="00FD2CBB">
            <w:pPr>
              <w:spacing w:after="0" w:line="240" w:lineRule="auto"/>
              <w:jc w:val="right"/>
              <w:rPr>
                <w:rFonts w:eastAsia="Times New Roman" w:cs="Calibri"/>
                <w:color w:val="000000"/>
              </w:rPr>
            </w:pPr>
            <w:r w:rsidRPr="000E7034">
              <w:rPr>
                <w:rFonts w:eastAsia="Times New Roman" w:cs="Calibri"/>
                <w:color w:val="000000"/>
              </w:rPr>
              <w:t xml:space="preserve">56.882 </w:t>
            </w:r>
          </w:p>
        </w:tc>
        <w:tc>
          <w:tcPr>
            <w:tcW w:w="1152" w:type="pct"/>
            <w:tcBorders>
              <w:top w:val="nil"/>
              <w:left w:val="nil"/>
              <w:bottom w:val="single" w:sz="4" w:space="0" w:color="A6A6A6"/>
              <w:right w:val="single" w:sz="4" w:space="0" w:color="A6A6A6"/>
            </w:tcBorders>
            <w:vAlign w:val="center"/>
          </w:tcPr>
          <w:p w14:paraId="69CB2329" w14:textId="77777777" w:rsidR="00FD2CBB" w:rsidRPr="000E7034" w:rsidRDefault="00FD2CBB">
            <w:pPr>
              <w:spacing w:after="0" w:line="240" w:lineRule="auto"/>
              <w:jc w:val="right"/>
              <w:rPr>
                <w:rFonts w:eastAsia="Times New Roman" w:cs="Calibri"/>
                <w:color w:val="000000"/>
              </w:rPr>
            </w:pPr>
            <w:r>
              <w:rPr>
                <w:rFonts w:eastAsia="Times New Roman" w:cs="Calibri"/>
                <w:color w:val="000000"/>
              </w:rPr>
              <w:t>4.752</w:t>
            </w:r>
          </w:p>
        </w:tc>
      </w:tr>
      <w:tr w:rsidR="00FD2CBB" w:rsidRPr="000E7034" w14:paraId="62875F27" w14:textId="77777777" w:rsidTr="00E2336D">
        <w:trPr>
          <w:trHeight w:val="20"/>
        </w:trPr>
        <w:tc>
          <w:tcPr>
            <w:tcW w:w="2696" w:type="pct"/>
            <w:tcBorders>
              <w:top w:val="nil"/>
              <w:left w:val="single" w:sz="4" w:space="0" w:color="A6A6A6"/>
              <w:bottom w:val="single" w:sz="4" w:space="0" w:color="A6A6A6"/>
              <w:right w:val="single" w:sz="4" w:space="0" w:color="A6A6A6"/>
            </w:tcBorders>
            <w:shd w:val="clear" w:color="000000" w:fill="FF7C80"/>
            <w:noWrap/>
            <w:vAlign w:val="center"/>
            <w:hideMark/>
          </w:tcPr>
          <w:p w14:paraId="6D1DD0AB" w14:textId="77777777" w:rsidR="00FD2CBB" w:rsidRPr="00B42258" w:rsidRDefault="00FD2CBB">
            <w:pPr>
              <w:spacing w:after="0" w:line="240" w:lineRule="auto"/>
              <w:jc w:val="left"/>
              <w:rPr>
                <w:rFonts w:eastAsia="Times New Roman" w:cs="Calibri"/>
              </w:rPr>
            </w:pPr>
            <w:r w:rsidRPr="00B42258">
              <w:rPr>
                <w:rFonts w:eastAsia="Times New Roman" w:cs="Calibri"/>
              </w:rPr>
              <w:t>Provibus Gassino</w:t>
            </w:r>
          </w:p>
        </w:tc>
        <w:tc>
          <w:tcPr>
            <w:tcW w:w="1152" w:type="pct"/>
            <w:tcBorders>
              <w:top w:val="nil"/>
              <w:left w:val="nil"/>
              <w:bottom w:val="single" w:sz="4" w:space="0" w:color="A6A6A6"/>
              <w:right w:val="single" w:sz="4" w:space="0" w:color="A6A6A6"/>
            </w:tcBorders>
            <w:noWrap/>
            <w:vAlign w:val="center"/>
            <w:hideMark/>
          </w:tcPr>
          <w:p w14:paraId="2BDB1E58" w14:textId="77777777" w:rsidR="00FD2CBB" w:rsidRPr="000E7034" w:rsidRDefault="00FD2CBB">
            <w:pPr>
              <w:spacing w:after="0" w:line="240" w:lineRule="auto"/>
              <w:jc w:val="right"/>
              <w:rPr>
                <w:rFonts w:eastAsia="Times New Roman" w:cs="Calibri"/>
                <w:color w:val="000000"/>
              </w:rPr>
            </w:pPr>
            <w:r w:rsidRPr="000E7034">
              <w:rPr>
                <w:rFonts w:eastAsia="Times New Roman" w:cs="Calibri"/>
                <w:color w:val="000000"/>
              </w:rPr>
              <w:t xml:space="preserve">13.205 </w:t>
            </w:r>
          </w:p>
        </w:tc>
        <w:tc>
          <w:tcPr>
            <w:tcW w:w="1152" w:type="pct"/>
            <w:tcBorders>
              <w:top w:val="nil"/>
              <w:left w:val="nil"/>
              <w:bottom w:val="single" w:sz="4" w:space="0" w:color="A6A6A6"/>
              <w:right w:val="single" w:sz="4" w:space="0" w:color="A6A6A6"/>
            </w:tcBorders>
            <w:vAlign w:val="center"/>
          </w:tcPr>
          <w:p w14:paraId="1027D0F1" w14:textId="77777777" w:rsidR="00FD2CBB" w:rsidRPr="000E7034" w:rsidRDefault="00FD2CBB">
            <w:pPr>
              <w:spacing w:after="0" w:line="240" w:lineRule="auto"/>
              <w:jc w:val="right"/>
              <w:rPr>
                <w:rFonts w:eastAsia="Times New Roman" w:cs="Calibri"/>
                <w:color w:val="000000"/>
              </w:rPr>
            </w:pPr>
            <w:r>
              <w:rPr>
                <w:rFonts w:eastAsia="Times New Roman" w:cs="Calibri"/>
                <w:color w:val="000000"/>
              </w:rPr>
              <w:t>1.391</w:t>
            </w:r>
          </w:p>
        </w:tc>
      </w:tr>
      <w:tr w:rsidR="00FD2CBB" w:rsidRPr="000E7034" w14:paraId="2F8F4E30" w14:textId="77777777" w:rsidTr="00E2336D">
        <w:trPr>
          <w:trHeight w:val="20"/>
        </w:trPr>
        <w:tc>
          <w:tcPr>
            <w:tcW w:w="2696" w:type="pct"/>
            <w:tcBorders>
              <w:top w:val="nil"/>
              <w:left w:val="single" w:sz="4" w:space="0" w:color="A6A6A6"/>
              <w:bottom w:val="single" w:sz="4" w:space="0" w:color="A6A6A6"/>
              <w:right w:val="single" w:sz="4" w:space="0" w:color="A6A6A6"/>
            </w:tcBorders>
            <w:shd w:val="clear" w:color="000000" w:fill="FF7C80"/>
            <w:noWrap/>
            <w:vAlign w:val="center"/>
            <w:hideMark/>
          </w:tcPr>
          <w:p w14:paraId="7E5A3E72" w14:textId="77777777" w:rsidR="00FD2CBB" w:rsidRPr="00B42258" w:rsidRDefault="00FD2CBB">
            <w:pPr>
              <w:spacing w:after="0" w:line="240" w:lineRule="auto"/>
              <w:jc w:val="left"/>
              <w:rPr>
                <w:rFonts w:eastAsia="Times New Roman" w:cs="Calibri"/>
              </w:rPr>
            </w:pPr>
            <w:r w:rsidRPr="00B42258">
              <w:rPr>
                <w:rFonts w:eastAsia="Times New Roman" w:cs="Calibri"/>
              </w:rPr>
              <w:t>Mebus Nord Est</w:t>
            </w:r>
          </w:p>
        </w:tc>
        <w:tc>
          <w:tcPr>
            <w:tcW w:w="1152" w:type="pct"/>
            <w:tcBorders>
              <w:top w:val="nil"/>
              <w:left w:val="nil"/>
              <w:bottom w:val="single" w:sz="4" w:space="0" w:color="A6A6A6"/>
              <w:right w:val="single" w:sz="4" w:space="0" w:color="A6A6A6"/>
            </w:tcBorders>
            <w:noWrap/>
            <w:vAlign w:val="center"/>
            <w:hideMark/>
          </w:tcPr>
          <w:p w14:paraId="671A8F1A" w14:textId="77777777" w:rsidR="00FD2CBB" w:rsidRPr="000E7034" w:rsidRDefault="00FD2CBB">
            <w:pPr>
              <w:spacing w:after="0" w:line="240" w:lineRule="auto"/>
              <w:jc w:val="right"/>
              <w:rPr>
                <w:rFonts w:eastAsia="Times New Roman" w:cs="Calibri"/>
                <w:color w:val="000000"/>
              </w:rPr>
            </w:pPr>
            <w:r w:rsidRPr="000E7034">
              <w:rPr>
                <w:rFonts w:eastAsia="Times New Roman" w:cs="Calibri"/>
                <w:color w:val="000000"/>
              </w:rPr>
              <w:t xml:space="preserve">20.094 </w:t>
            </w:r>
          </w:p>
        </w:tc>
        <w:tc>
          <w:tcPr>
            <w:tcW w:w="1152" w:type="pct"/>
            <w:tcBorders>
              <w:top w:val="nil"/>
              <w:left w:val="nil"/>
              <w:bottom w:val="single" w:sz="4" w:space="0" w:color="A6A6A6"/>
              <w:right w:val="single" w:sz="4" w:space="0" w:color="A6A6A6"/>
            </w:tcBorders>
            <w:vAlign w:val="center"/>
          </w:tcPr>
          <w:p w14:paraId="00F0C3AC" w14:textId="77777777" w:rsidR="00FD2CBB" w:rsidRPr="000E7034" w:rsidRDefault="00FD2CBB">
            <w:pPr>
              <w:spacing w:after="0" w:line="240" w:lineRule="auto"/>
              <w:jc w:val="right"/>
              <w:rPr>
                <w:rFonts w:eastAsia="Times New Roman" w:cs="Calibri"/>
                <w:color w:val="000000"/>
              </w:rPr>
            </w:pPr>
            <w:r>
              <w:rPr>
                <w:rFonts w:eastAsia="Times New Roman" w:cs="Calibri"/>
                <w:color w:val="000000"/>
              </w:rPr>
              <w:t>2.575</w:t>
            </w:r>
          </w:p>
        </w:tc>
      </w:tr>
      <w:tr w:rsidR="00FD2CBB" w:rsidRPr="000E7034" w14:paraId="71A1BF22" w14:textId="77777777" w:rsidTr="00E2336D">
        <w:trPr>
          <w:trHeight w:val="20"/>
        </w:trPr>
        <w:tc>
          <w:tcPr>
            <w:tcW w:w="2696" w:type="pct"/>
            <w:tcBorders>
              <w:top w:val="nil"/>
              <w:left w:val="single" w:sz="4" w:space="0" w:color="A6A6A6"/>
              <w:bottom w:val="single" w:sz="4" w:space="0" w:color="A6A6A6"/>
              <w:right w:val="single" w:sz="4" w:space="0" w:color="A6A6A6"/>
            </w:tcBorders>
            <w:shd w:val="clear" w:color="000000" w:fill="FF7C80"/>
            <w:noWrap/>
            <w:vAlign w:val="center"/>
            <w:hideMark/>
          </w:tcPr>
          <w:p w14:paraId="27B763D4" w14:textId="77777777" w:rsidR="00FD2CBB" w:rsidRPr="00B42258" w:rsidRDefault="00FD2CBB">
            <w:pPr>
              <w:spacing w:after="0" w:line="240" w:lineRule="auto"/>
              <w:jc w:val="left"/>
              <w:rPr>
                <w:rFonts w:eastAsia="Times New Roman" w:cs="Calibri"/>
              </w:rPr>
            </w:pPr>
            <w:r w:rsidRPr="00B42258">
              <w:rPr>
                <w:rFonts w:eastAsia="Times New Roman" w:cs="Calibri"/>
              </w:rPr>
              <w:t>Provibus Ciriacese</w:t>
            </w:r>
          </w:p>
        </w:tc>
        <w:tc>
          <w:tcPr>
            <w:tcW w:w="1152" w:type="pct"/>
            <w:tcBorders>
              <w:top w:val="nil"/>
              <w:left w:val="nil"/>
              <w:bottom w:val="single" w:sz="4" w:space="0" w:color="A6A6A6"/>
              <w:right w:val="single" w:sz="4" w:space="0" w:color="A6A6A6"/>
            </w:tcBorders>
            <w:noWrap/>
            <w:vAlign w:val="center"/>
            <w:hideMark/>
          </w:tcPr>
          <w:p w14:paraId="417D7992" w14:textId="77777777" w:rsidR="00FD2CBB" w:rsidRPr="000E7034" w:rsidRDefault="00FD2CBB">
            <w:pPr>
              <w:spacing w:after="0" w:line="240" w:lineRule="auto"/>
              <w:jc w:val="right"/>
              <w:rPr>
                <w:rFonts w:eastAsia="Times New Roman" w:cs="Calibri"/>
                <w:color w:val="000000"/>
              </w:rPr>
            </w:pPr>
            <w:r w:rsidRPr="000E7034">
              <w:rPr>
                <w:rFonts w:eastAsia="Times New Roman" w:cs="Calibri"/>
                <w:color w:val="000000"/>
              </w:rPr>
              <w:t xml:space="preserve">93.343 </w:t>
            </w:r>
          </w:p>
        </w:tc>
        <w:tc>
          <w:tcPr>
            <w:tcW w:w="1152" w:type="pct"/>
            <w:tcBorders>
              <w:top w:val="nil"/>
              <w:left w:val="nil"/>
              <w:bottom w:val="single" w:sz="4" w:space="0" w:color="A6A6A6"/>
              <w:right w:val="single" w:sz="4" w:space="0" w:color="A6A6A6"/>
            </w:tcBorders>
            <w:vAlign w:val="center"/>
          </w:tcPr>
          <w:p w14:paraId="05ADA50E" w14:textId="77777777" w:rsidR="00FD2CBB" w:rsidRPr="000E7034" w:rsidRDefault="00FD2CBB">
            <w:pPr>
              <w:spacing w:after="0" w:line="240" w:lineRule="auto"/>
              <w:jc w:val="right"/>
              <w:rPr>
                <w:rFonts w:eastAsia="Times New Roman" w:cs="Calibri"/>
                <w:color w:val="000000"/>
              </w:rPr>
            </w:pPr>
            <w:r>
              <w:rPr>
                <w:rFonts w:eastAsia="Times New Roman" w:cs="Calibri"/>
                <w:color w:val="000000"/>
              </w:rPr>
              <w:t>10.967</w:t>
            </w:r>
          </w:p>
        </w:tc>
      </w:tr>
      <w:tr w:rsidR="00FD2CBB" w:rsidRPr="000E7034" w14:paraId="6C1D15E6" w14:textId="77777777" w:rsidTr="00E2336D">
        <w:trPr>
          <w:trHeight w:val="20"/>
        </w:trPr>
        <w:tc>
          <w:tcPr>
            <w:tcW w:w="2696" w:type="pct"/>
            <w:tcBorders>
              <w:top w:val="nil"/>
              <w:left w:val="single" w:sz="4" w:space="0" w:color="A6A6A6"/>
              <w:bottom w:val="single" w:sz="4" w:space="0" w:color="A6A6A6"/>
              <w:right w:val="single" w:sz="4" w:space="0" w:color="A6A6A6"/>
            </w:tcBorders>
            <w:shd w:val="clear" w:color="000000" w:fill="FF7C80"/>
            <w:noWrap/>
            <w:vAlign w:val="center"/>
            <w:hideMark/>
          </w:tcPr>
          <w:p w14:paraId="652E6C44" w14:textId="77777777" w:rsidR="00FD2CBB" w:rsidRPr="00B42258" w:rsidRDefault="00FD2CBB">
            <w:pPr>
              <w:spacing w:after="0" w:line="240" w:lineRule="auto"/>
              <w:jc w:val="left"/>
              <w:rPr>
                <w:rFonts w:eastAsia="Times New Roman" w:cs="Calibri"/>
              </w:rPr>
            </w:pPr>
            <w:r w:rsidRPr="00B42258">
              <w:rPr>
                <w:rFonts w:eastAsia="Times New Roman" w:cs="Calibri"/>
              </w:rPr>
              <w:t>Provibus Val Germagnasca</w:t>
            </w:r>
          </w:p>
        </w:tc>
        <w:tc>
          <w:tcPr>
            <w:tcW w:w="1152" w:type="pct"/>
            <w:tcBorders>
              <w:top w:val="nil"/>
              <w:left w:val="nil"/>
              <w:bottom w:val="single" w:sz="4" w:space="0" w:color="A6A6A6"/>
              <w:right w:val="single" w:sz="4" w:space="0" w:color="A6A6A6"/>
            </w:tcBorders>
            <w:noWrap/>
            <w:vAlign w:val="center"/>
            <w:hideMark/>
          </w:tcPr>
          <w:p w14:paraId="40FC62B7" w14:textId="77777777" w:rsidR="00FD2CBB" w:rsidRPr="000E7034" w:rsidRDefault="00FD2CBB">
            <w:pPr>
              <w:spacing w:after="0" w:line="240" w:lineRule="auto"/>
              <w:jc w:val="right"/>
              <w:rPr>
                <w:rFonts w:eastAsia="Times New Roman" w:cs="Calibri"/>
                <w:color w:val="000000"/>
              </w:rPr>
            </w:pPr>
            <w:r w:rsidRPr="000E7034">
              <w:rPr>
                <w:rFonts w:eastAsia="Times New Roman" w:cs="Calibri"/>
                <w:color w:val="000000"/>
              </w:rPr>
              <w:t xml:space="preserve">4.925 </w:t>
            </w:r>
          </w:p>
        </w:tc>
        <w:tc>
          <w:tcPr>
            <w:tcW w:w="1152" w:type="pct"/>
            <w:tcBorders>
              <w:top w:val="nil"/>
              <w:left w:val="nil"/>
              <w:bottom w:val="single" w:sz="4" w:space="0" w:color="A6A6A6"/>
              <w:right w:val="single" w:sz="4" w:space="0" w:color="A6A6A6"/>
            </w:tcBorders>
            <w:vAlign w:val="center"/>
          </w:tcPr>
          <w:p w14:paraId="2D63E38B" w14:textId="77777777" w:rsidR="00FD2CBB" w:rsidRPr="000E7034" w:rsidRDefault="00FD2CBB">
            <w:pPr>
              <w:spacing w:after="0" w:line="240" w:lineRule="auto"/>
              <w:jc w:val="right"/>
              <w:rPr>
                <w:rFonts w:eastAsia="Times New Roman" w:cs="Calibri"/>
                <w:color w:val="000000"/>
              </w:rPr>
            </w:pPr>
            <w:r>
              <w:rPr>
                <w:rFonts w:eastAsia="Times New Roman" w:cs="Calibri"/>
                <w:color w:val="000000"/>
              </w:rPr>
              <w:t>353</w:t>
            </w:r>
          </w:p>
        </w:tc>
      </w:tr>
      <w:tr w:rsidR="00FD2CBB" w:rsidRPr="000E7034" w14:paraId="2E7815E6" w14:textId="77777777" w:rsidTr="00E2336D">
        <w:trPr>
          <w:trHeight w:val="20"/>
        </w:trPr>
        <w:tc>
          <w:tcPr>
            <w:tcW w:w="2696" w:type="pct"/>
            <w:tcBorders>
              <w:top w:val="nil"/>
              <w:left w:val="single" w:sz="4" w:space="0" w:color="A6A6A6"/>
              <w:bottom w:val="single" w:sz="4" w:space="0" w:color="A6A6A6"/>
              <w:right w:val="single" w:sz="4" w:space="0" w:color="A6A6A6"/>
            </w:tcBorders>
            <w:shd w:val="clear" w:color="000000" w:fill="FF7C80"/>
            <w:noWrap/>
            <w:vAlign w:val="center"/>
            <w:hideMark/>
          </w:tcPr>
          <w:p w14:paraId="32DE008E" w14:textId="77777777" w:rsidR="00FD2CBB" w:rsidRPr="00B42258" w:rsidRDefault="00FD2CBB">
            <w:pPr>
              <w:spacing w:after="0" w:line="240" w:lineRule="auto"/>
              <w:jc w:val="left"/>
              <w:rPr>
                <w:rFonts w:eastAsia="Times New Roman" w:cs="Calibri"/>
              </w:rPr>
            </w:pPr>
            <w:r w:rsidRPr="00B42258">
              <w:rPr>
                <w:rFonts w:eastAsia="Times New Roman" w:cs="Calibri"/>
              </w:rPr>
              <w:t>Mebub Sud Ovest</w:t>
            </w:r>
          </w:p>
        </w:tc>
        <w:tc>
          <w:tcPr>
            <w:tcW w:w="1152" w:type="pct"/>
            <w:tcBorders>
              <w:top w:val="nil"/>
              <w:left w:val="nil"/>
              <w:bottom w:val="single" w:sz="4" w:space="0" w:color="A6A6A6"/>
              <w:right w:val="single" w:sz="4" w:space="0" w:color="A6A6A6"/>
            </w:tcBorders>
            <w:noWrap/>
            <w:vAlign w:val="center"/>
            <w:hideMark/>
          </w:tcPr>
          <w:p w14:paraId="09C825ED" w14:textId="77777777" w:rsidR="00FD2CBB" w:rsidRPr="000E7034" w:rsidRDefault="00FD2CBB">
            <w:pPr>
              <w:spacing w:after="0" w:line="240" w:lineRule="auto"/>
              <w:jc w:val="right"/>
              <w:rPr>
                <w:rFonts w:eastAsia="Times New Roman" w:cs="Calibri"/>
                <w:color w:val="000000"/>
              </w:rPr>
            </w:pPr>
            <w:r w:rsidRPr="000E7034">
              <w:rPr>
                <w:rFonts w:eastAsia="Times New Roman" w:cs="Calibri"/>
                <w:color w:val="000000"/>
              </w:rPr>
              <w:t xml:space="preserve">14.860 </w:t>
            </w:r>
          </w:p>
        </w:tc>
        <w:tc>
          <w:tcPr>
            <w:tcW w:w="1152" w:type="pct"/>
            <w:tcBorders>
              <w:top w:val="nil"/>
              <w:left w:val="nil"/>
              <w:bottom w:val="single" w:sz="4" w:space="0" w:color="A6A6A6"/>
              <w:right w:val="single" w:sz="4" w:space="0" w:color="A6A6A6"/>
            </w:tcBorders>
            <w:vAlign w:val="center"/>
          </w:tcPr>
          <w:p w14:paraId="5E639C82" w14:textId="77777777" w:rsidR="00FD2CBB" w:rsidRPr="000E7034" w:rsidRDefault="00FD2CBB">
            <w:pPr>
              <w:spacing w:after="0" w:line="240" w:lineRule="auto"/>
              <w:jc w:val="right"/>
              <w:rPr>
                <w:rFonts w:eastAsia="Times New Roman" w:cs="Calibri"/>
                <w:color w:val="000000"/>
              </w:rPr>
            </w:pPr>
            <w:r>
              <w:rPr>
                <w:rFonts w:eastAsia="Times New Roman" w:cs="Calibri"/>
                <w:color w:val="000000"/>
              </w:rPr>
              <w:t>1.694</w:t>
            </w:r>
          </w:p>
        </w:tc>
      </w:tr>
      <w:tr w:rsidR="00FD2CBB" w:rsidRPr="000E7034" w14:paraId="4E04E528" w14:textId="77777777" w:rsidTr="00E2336D">
        <w:trPr>
          <w:trHeight w:val="20"/>
        </w:trPr>
        <w:tc>
          <w:tcPr>
            <w:tcW w:w="2696" w:type="pct"/>
            <w:tcBorders>
              <w:top w:val="nil"/>
              <w:left w:val="single" w:sz="4" w:space="0" w:color="A6A6A6"/>
              <w:bottom w:val="single" w:sz="4" w:space="0" w:color="A6A6A6"/>
              <w:right w:val="single" w:sz="4" w:space="0" w:color="A6A6A6"/>
            </w:tcBorders>
            <w:shd w:val="clear" w:color="000000" w:fill="FF7C80"/>
            <w:noWrap/>
            <w:vAlign w:val="center"/>
            <w:hideMark/>
          </w:tcPr>
          <w:p w14:paraId="4FECD6E5" w14:textId="77777777" w:rsidR="00FD2CBB" w:rsidRPr="00B42258" w:rsidRDefault="00FD2CBB">
            <w:pPr>
              <w:spacing w:after="0" w:line="240" w:lineRule="auto"/>
              <w:jc w:val="left"/>
              <w:rPr>
                <w:rFonts w:eastAsia="Times New Roman" w:cs="Calibri"/>
              </w:rPr>
            </w:pPr>
            <w:r w:rsidRPr="00B42258">
              <w:rPr>
                <w:rFonts w:eastAsia="Times New Roman" w:cs="Calibri"/>
              </w:rPr>
              <w:t>Mebus Collina Chierese</w:t>
            </w:r>
          </w:p>
        </w:tc>
        <w:tc>
          <w:tcPr>
            <w:tcW w:w="1152" w:type="pct"/>
            <w:tcBorders>
              <w:top w:val="nil"/>
              <w:left w:val="nil"/>
              <w:bottom w:val="single" w:sz="4" w:space="0" w:color="A6A6A6"/>
              <w:right w:val="single" w:sz="4" w:space="0" w:color="A6A6A6"/>
            </w:tcBorders>
            <w:noWrap/>
            <w:vAlign w:val="center"/>
            <w:hideMark/>
          </w:tcPr>
          <w:p w14:paraId="4BFCEDD3" w14:textId="77777777" w:rsidR="00FD2CBB" w:rsidRPr="000E7034" w:rsidRDefault="00FD2CBB">
            <w:pPr>
              <w:spacing w:after="0" w:line="240" w:lineRule="auto"/>
              <w:jc w:val="right"/>
              <w:rPr>
                <w:rFonts w:eastAsia="Times New Roman" w:cs="Calibri"/>
                <w:color w:val="000000"/>
              </w:rPr>
            </w:pPr>
            <w:r w:rsidRPr="000E7034">
              <w:rPr>
                <w:rFonts w:eastAsia="Times New Roman" w:cs="Calibri"/>
                <w:color w:val="000000"/>
              </w:rPr>
              <w:t xml:space="preserve">32.680 </w:t>
            </w:r>
          </w:p>
        </w:tc>
        <w:tc>
          <w:tcPr>
            <w:tcW w:w="1152" w:type="pct"/>
            <w:tcBorders>
              <w:top w:val="nil"/>
              <w:left w:val="nil"/>
              <w:bottom w:val="single" w:sz="4" w:space="0" w:color="A6A6A6"/>
              <w:right w:val="single" w:sz="4" w:space="0" w:color="A6A6A6"/>
            </w:tcBorders>
            <w:vAlign w:val="center"/>
          </w:tcPr>
          <w:p w14:paraId="413CA14D" w14:textId="77777777" w:rsidR="00FD2CBB" w:rsidRPr="000E7034" w:rsidRDefault="00FD2CBB">
            <w:pPr>
              <w:spacing w:after="0" w:line="240" w:lineRule="auto"/>
              <w:jc w:val="right"/>
              <w:rPr>
                <w:rFonts w:eastAsia="Times New Roman" w:cs="Calibri"/>
                <w:color w:val="000000"/>
              </w:rPr>
            </w:pPr>
            <w:r>
              <w:rPr>
                <w:rFonts w:eastAsia="Times New Roman" w:cs="Calibri"/>
                <w:color w:val="000000"/>
              </w:rPr>
              <w:t>5.024</w:t>
            </w:r>
          </w:p>
        </w:tc>
      </w:tr>
      <w:tr w:rsidR="00FD2CBB" w:rsidRPr="000E7034" w14:paraId="4B345410" w14:textId="77777777" w:rsidTr="00E2336D">
        <w:trPr>
          <w:trHeight w:val="20"/>
        </w:trPr>
        <w:tc>
          <w:tcPr>
            <w:tcW w:w="2696" w:type="pct"/>
            <w:tcBorders>
              <w:top w:val="nil"/>
              <w:left w:val="single" w:sz="4" w:space="0" w:color="A6A6A6"/>
              <w:bottom w:val="single" w:sz="4" w:space="0" w:color="A6A6A6"/>
              <w:right w:val="single" w:sz="4" w:space="0" w:color="A6A6A6"/>
            </w:tcBorders>
            <w:shd w:val="clear" w:color="000000" w:fill="FF7C80"/>
            <w:noWrap/>
            <w:vAlign w:val="center"/>
          </w:tcPr>
          <w:p w14:paraId="2CD815BC" w14:textId="77777777" w:rsidR="00FD2CBB" w:rsidRPr="00B42258" w:rsidRDefault="00FD2CBB">
            <w:pPr>
              <w:spacing w:after="0" w:line="240" w:lineRule="auto"/>
              <w:jc w:val="left"/>
              <w:rPr>
                <w:rFonts w:eastAsia="Times New Roman" w:cs="Calibri"/>
              </w:rPr>
            </w:pPr>
            <w:r w:rsidRPr="00B42258">
              <w:rPr>
                <w:rFonts w:eastAsia="Times New Roman" w:cs="Calibri"/>
              </w:rPr>
              <w:t>SettiBus</w:t>
            </w:r>
            <w:r w:rsidRPr="00B42258">
              <w:rPr>
                <w:rStyle w:val="Rimandonotaapidipagina"/>
                <w:rFonts w:eastAsia="Times New Roman" w:cs="Calibri"/>
              </w:rPr>
              <w:footnoteReference w:id="25"/>
            </w:r>
          </w:p>
        </w:tc>
        <w:tc>
          <w:tcPr>
            <w:tcW w:w="1152" w:type="pct"/>
            <w:tcBorders>
              <w:top w:val="nil"/>
              <w:left w:val="nil"/>
              <w:bottom w:val="single" w:sz="4" w:space="0" w:color="A6A6A6"/>
              <w:right w:val="single" w:sz="4" w:space="0" w:color="A6A6A6"/>
            </w:tcBorders>
            <w:noWrap/>
            <w:vAlign w:val="center"/>
          </w:tcPr>
          <w:p w14:paraId="78C69DD7" w14:textId="77777777" w:rsidR="00FD2CBB" w:rsidRPr="000E7034" w:rsidRDefault="00FD2CBB">
            <w:pPr>
              <w:spacing w:after="0" w:line="240" w:lineRule="auto"/>
              <w:jc w:val="right"/>
              <w:rPr>
                <w:rFonts w:eastAsia="Times New Roman" w:cs="Calibri"/>
                <w:color w:val="000000"/>
              </w:rPr>
            </w:pPr>
            <w:r w:rsidRPr="00C063B3">
              <w:rPr>
                <w:rFonts w:eastAsia="Times New Roman" w:cs="Calibri"/>
                <w:color w:val="000000"/>
              </w:rPr>
              <w:t>12</w:t>
            </w:r>
            <w:r>
              <w:rPr>
                <w:rFonts w:eastAsia="Times New Roman" w:cs="Calibri"/>
                <w:color w:val="000000"/>
              </w:rPr>
              <w:t>.</w:t>
            </w:r>
            <w:r w:rsidRPr="00C063B3">
              <w:rPr>
                <w:rFonts w:eastAsia="Times New Roman" w:cs="Calibri"/>
                <w:color w:val="000000"/>
              </w:rPr>
              <w:t>443</w:t>
            </w:r>
          </w:p>
        </w:tc>
        <w:tc>
          <w:tcPr>
            <w:tcW w:w="1152" w:type="pct"/>
            <w:tcBorders>
              <w:top w:val="nil"/>
              <w:left w:val="nil"/>
              <w:bottom w:val="single" w:sz="4" w:space="0" w:color="A6A6A6"/>
              <w:right w:val="single" w:sz="4" w:space="0" w:color="A6A6A6"/>
            </w:tcBorders>
            <w:vAlign w:val="center"/>
          </w:tcPr>
          <w:p w14:paraId="76A24B6C" w14:textId="77777777" w:rsidR="00FD2CBB" w:rsidRPr="000E7034" w:rsidRDefault="00FD2CBB">
            <w:pPr>
              <w:spacing w:after="0" w:line="240" w:lineRule="auto"/>
              <w:jc w:val="right"/>
              <w:rPr>
                <w:rFonts w:eastAsia="Times New Roman" w:cs="Calibri"/>
                <w:color w:val="000000"/>
              </w:rPr>
            </w:pPr>
            <w:r w:rsidRPr="00C063B3">
              <w:rPr>
                <w:rFonts w:eastAsia="Times New Roman" w:cs="Calibri"/>
                <w:color w:val="000000"/>
              </w:rPr>
              <w:t>3</w:t>
            </w:r>
            <w:r>
              <w:rPr>
                <w:rFonts w:eastAsia="Times New Roman" w:cs="Calibri"/>
                <w:color w:val="000000"/>
              </w:rPr>
              <w:t>.</w:t>
            </w:r>
            <w:r w:rsidRPr="00C063B3">
              <w:rPr>
                <w:rFonts w:eastAsia="Times New Roman" w:cs="Calibri"/>
                <w:color w:val="000000"/>
              </w:rPr>
              <w:t>107</w:t>
            </w:r>
          </w:p>
        </w:tc>
      </w:tr>
      <w:tr w:rsidR="00FD2CBB" w:rsidRPr="000E7034" w14:paraId="0AB5B675" w14:textId="77777777" w:rsidTr="00E2336D">
        <w:trPr>
          <w:trHeight w:val="20"/>
        </w:trPr>
        <w:tc>
          <w:tcPr>
            <w:tcW w:w="2696" w:type="pct"/>
            <w:tcBorders>
              <w:top w:val="single" w:sz="4" w:space="0" w:color="A6A6A6"/>
              <w:left w:val="single" w:sz="4" w:space="0" w:color="A6A6A6"/>
              <w:bottom w:val="single" w:sz="4" w:space="0" w:color="A6A6A6"/>
              <w:right w:val="single" w:sz="4" w:space="0" w:color="A6A6A6"/>
            </w:tcBorders>
            <w:shd w:val="clear" w:color="000000" w:fill="EE3438"/>
            <w:noWrap/>
            <w:vAlign w:val="bottom"/>
            <w:hideMark/>
          </w:tcPr>
          <w:p w14:paraId="3189BDF5" w14:textId="77777777" w:rsidR="00FD2CBB" w:rsidRPr="000E7034" w:rsidRDefault="00FD2CBB">
            <w:pPr>
              <w:spacing w:after="0" w:line="240" w:lineRule="auto"/>
              <w:jc w:val="left"/>
              <w:rPr>
                <w:rFonts w:eastAsia="Times New Roman" w:cs="Calibri"/>
                <w:b/>
                <w:color w:val="FFFFFF"/>
              </w:rPr>
            </w:pPr>
            <w:bookmarkStart w:id="208" w:name="_Hlk212471825"/>
            <w:r w:rsidRPr="000E7034">
              <w:rPr>
                <w:rFonts w:eastAsia="Times New Roman" w:cs="Calibri"/>
                <w:b/>
                <w:color w:val="FFFFFF"/>
              </w:rPr>
              <w:t xml:space="preserve">Servizio a </w:t>
            </w:r>
            <w:r>
              <w:rPr>
                <w:rFonts w:eastAsia="Times New Roman" w:cs="Calibri"/>
                <w:b/>
                <w:color w:val="FFFFFF"/>
              </w:rPr>
              <w:t>conferma</w:t>
            </w:r>
          </w:p>
        </w:tc>
        <w:tc>
          <w:tcPr>
            <w:tcW w:w="1152" w:type="pct"/>
            <w:tcBorders>
              <w:top w:val="single" w:sz="4" w:space="0" w:color="A6A6A6"/>
              <w:left w:val="nil"/>
              <w:bottom w:val="single" w:sz="4" w:space="0" w:color="A6A6A6"/>
              <w:right w:val="single" w:sz="4" w:space="0" w:color="A6A6A6"/>
            </w:tcBorders>
            <w:shd w:val="clear" w:color="000000" w:fill="EE3438"/>
            <w:noWrap/>
            <w:vAlign w:val="center"/>
          </w:tcPr>
          <w:p w14:paraId="0C49392C" w14:textId="77777777" w:rsidR="00FD2CBB" w:rsidRPr="000E7034" w:rsidRDefault="00FD2CBB">
            <w:pPr>
              <w:spacing w:after="0" w:line="240" w:lineRule="auto"/>
              <w:jc w:val="right"/>
              <w:rPr>
                <w:rFonts w:eastAsia="Times New Roman" w:cs="Calibri"/>
                <w:b/>
                <w:color w:val="FFFFFF"/>
              </w:rPr>
            </w:pPr>
          </w:p>
        </w:tc>
        <w:tc>
          <w:tcPr>
            <w:tcW w:w="1152" w:type="pct"/>
            <w:tcBorders>
              <w:top w:val="single" w:sz="4" w:space="0" w:color="A6A6A6"/>
              <w:left w:val="nil"/>
              <w:bottom w:val="single" w:sz="4" w:space="0" w:color="A6A6A6"/>
              <w:right w:val="single" w:sz="4" w:space="0" w:color="A6A6A6"/>
            </w:tcBorders>
            <w:shd w:val="clear" w:color="000000" w:fill="EE3438"/>
            <w:vAlign w:val="center"/>
          </w:tcPr>
          <w:p w14:paraId="7023064D" w14:textId="77777777" w:rsidR="00FD2CBB" w:rsidRPr="000E7034" w:rsidRDefault="00FD2CBB">
            <w:pPr>
              <w:spacing w:after="0" w:line="240" w:lineRule="auto"/>
              <w:jc w:val="right"/>
              <w:rPr>
                <w:rFonts w:eastAsia="Times New Roman" w:cs="Calibri"/>
                <w:b/>
                <w:color w:val="FFFFFF"/>
              </w:rPr>
            </w:pPr>
          </w:p>
        </w:tc>
      </w:tr>
      <w:bookmarkEnd w:id="208"/>
      <w:tr w:rsidR="00FD2CBB" w:rsidRPr="000E7034" w14:paraId="377C2CB1" w14:textId="77777777" w:rsidTr="00E2336D">
        <w:trPr>
          <w:trHeight w:val="20"/>
        </w:trPr>
        <w:tc>
          <w:tcPr>
            <w:tcW w:w="2696" w:type="pct"/>
            <w:tcBorders>
              <w:top w:val="single" w:sz="4" w:space="0" w:color="A6A6A6"/>
              <w:left w:val="single" w:sz="4" w:space="0" w:color="A6A6A6"/>
              <w:bottom w:val="single" w:sz="4" w:space="0" w:color="A6A6A6"/>
              <w:right w:val="single" w:sz="4" w:space="0" w:color="A6A6A6"/>
            </w:tcBorders>
            <w:shd w:val="clear" w:color="000000" w:fill="FF7C80"/>
            <w:noWrap/>
            <w:vAlign w:val="center"/>
            <w:hideMark/>
          </w:tcPr>
          <w:p w14:paraId="78254AFE" w14:textId="77777777" w:rsidR="00FD2CBB" w:rsidRPr="00B42258" w:rsidRDefault="00FD2CBB">
            <w:pPr>
              <w:spacing w:after="0" w:line="240" w:lineRule="auto"/>
              <w:jc w:val="left"/>
              <w:rPr>
                <w:rFonts w:eastAsia="Times New Roman" w:cs="Calibri"/>
              </w:rPr>
            </w:pPr>
            <w:r w:rsidRPr="00B42258">
              <w:rPr>
                <w:rFonts w:eastAsia="Times New Roman" w:cs="Calibri"/>
              </w:rPr>
              <w:t>Provibus Crescentino serv. Conferma</w:t>
            </w:r>
          </w:p>
        </w:tc>
        <w:tc>
          <w:tcPr>
            <w:tcW w:w="1152" w:type="pct"/>
            <w:tcBorders>
              <w:top w:val="single" w:sz="4" w:space="0" w:color="A6A6A6"/>
              <w:left w:val="nil"/>
              <w:bottom w:val="single" w:sz="4" w:space="0" w:color="A6A6A6"/>
              <w:right w:val="single" w:sz="4" w:space="0" w:color="A6A6A6"/>
            </w:tcBorders>
            <w:noWrap/>
            <w:vAlign w:val="center"/>
            <w:hideMark/>
          </w:tcPr>
          <w:p w14:paraId="49BADDB8" w14:textId="77777777" w:rsidR="00FD2CBB" w:rsidRPr="000E7034" w:rsidRDefault="00FD2CBB">
            <w:pPr>
              <w:spacing w:after="0" w:line="240" w:lineRule="auto"/>
              <w:jc w:val="right"/>
              <w:rPr>
                <w:rFonts w:eastAsia="Times New Roman" w:cs="Calibri"/>
                <w:color w:val="000000"/>
              </w:rPr>
            </w:pPr>
            <w:r w:rsidRPr="000E7034">
              <w:rPr>
                <w:rFonts w:eastAsia="Times New Roman" w:cs="Calibri"/>
                <w:color w:val="000000"/>
              </w:rPr>
              <w:t xml:space="preserve">11.500 </w:t>
            </w:r>
          </w:p>
        </w:tc>
        <w:tc>
          <w:tcPr>
            <w:tcW w:w="1152" w:type="pct"/>
            <w:tcBorders>
              <w:top w:val="single" w:sz="4" w:space="0" w:color="A6A6A6"/>
              <w:left w:val="nil"/>
              <w:bottom w:val="single" w:sz="4" w:space="0" w:color="A6A6A6"/>
              <w:right w:val="single" w:sz="4" w:space="0" w:color="A6A6A6"/>
            </w:tcBorders>
            <w:vAlign w:val="center"/>
          </w:tcPr>
          <w:p w14:paraId="20D8C7F8" w14:textId="77777777" w:rsidR="00FD2CBB" w:rsidRPr="000E7034" w:rsidRDefault="00FD2CBB">
            <w:pPr>
              <w:spacing w:after="0" w:line="240" w:lineRule="auto"/>
              <w:jc w:val="right"/>
              <w:rPr>
                <w:rFonts w:eastAsia="Times New Roman" w:cs="Calibri"/>
                <w:color w:val="000000"/>
              </w:rPr>
            </w:pPr>
            <w:r>
              <w:rPr>
                <w:rFonts w:eastAsia="Times New Roman" w:cs="Calibri"/>
                <w:color w:val="000000"/>
              </w:rPr>
              <w:t>n.d</w:t>
            </w:r>
          </w:p>
        </w:tc>
      </w:tr>
      <w:tr w:rsidR="00FD2CBB" w:rsidRPr="000E7034" w14:paraId="58D27130" w14:textId="77777777" w:rsidTr="00E2336D">
        <w:trPr>
          <w:trHeight w:val="20"/>
        </w:trPr>
        <w:tc>
          <w:tcPr>
            <w:tcW w:w="2696" w:type="pct"/>
            <w:tcBorders>
              <w:top w:val="nil"/>
              <w:left w:val="single" w:sz="4" w:space="0" w:color="A6A6A6"/>
              <w:bottom w:val="nil"/>
              <w:right w:val="single" w:sz="4" w:space="0" w:color="A6A6A6"/>
            </w:tcBorders>
            <w:shd w:val="clear" w:color="000000" w:fill="FF7C80"/>
            <w:noWrap/>
            <w:vAlign w:val="center"/>
            <w:hideMark/>
          </w:tcPr>
          <w:p w14:paraId="31CB5399" w14:textId="77777777" w:rsidR="00FD2CBB" w:rsidRPr="00B42258" w:rsidRDefault="00FD2CBB">
            <w:pPr>
              <w:spacing w:after="0" w:line="240" w:lineRule="auto"/>
              <w:jc w:val="left"/>
              <w:rPr>
                <w:rFonts w:eastAsia="Times New Roman" w:cs="Calibri"/>
              </w:rPr>
            </w:pPr>
            <w:r w:rsidRPr="00B42258">
              <w:rPr>
                <w:rFonts w:eastAsia="Times New Roman" w:cs="Calibri"/>
              </w:rPr>
              <w:t>Provibus Pont Canavese serv. Conferma</w:t>
            </w:r>
          </w:p>
        </w:tc>
        <w:tc>
          <w:tcPr>
            <w:tcW w:w="1152" w:type="pct"/>
            <w:tcBorders>
              <w:top w:val="nil"/>
              <w:left w:val="nil"/>
              <w:bottom w:val="nil"/>
              <w:right w:val="single" w:sz="4" w:space="0" w:color="A6A6A6"/>
            </w:tcBorders>
            <w:noWrap/>
            <w:vAlign w:val="center"/>
            <w:hideMark/>
          </w:tcPr>
          <w:p w14:paraId="6052F17E" w14:textId="77777777" w:rsidR="00FD2CBB" w:rsidRPr="000E7034" w:rsidRDefault="00FD2CBB">
            <w:pPr>
              <w:spacing w:after="0" w:line="240" w:lineRule="auto"/>
              <w:jc w:val="right"/>
              <w:rPr>
                <w:rFonts w:eastAsia="Times New Roman" w:cs="Calibri"/>
                <w:color w:val="000000"/>
              </w:rPr>
            </w:pPr>
            <w:r w:rsidRPr="000E7034">
              <w:rPr>
                <w:rFonts w:eastAsia="Times New Roman" w:cs="Calibri"/>
                <w:color w:val="000000"/>
              </w:rPr>
              <w:t xml:space="preserve">2.000 </w:t>
            </w:r>
          </w:p>
        </w:tc>
        <w:tc>
          <w:tcPr>
            <w:tcW w:w="1152" w:type="pct"/>
            <w:tcBorders>
              <w:top w:val="nil"/>
              <w:left w:val="nil"/>
              <w:bottom w:val="nil"/>
              <w:right w:val="single" w:sz="4" w:space="0" w:color="A6A6A6"/>
            </w:tcBorders>
            <w:vAlign w:val="center"/>
          </w:tcPr>
          <w:p w14:paraId="6907519A" w14:textId="77777777" w:rsidR="00FD2CBB" w:rsidRPr="000E7034" w:rsidRDefault="00FD2CBB">
            <w:pPr>
              <w:spacing w:after="0" w:line="240" w:lineRule="auto"/>
              <w:jc w:val="right"/>
              <w:rPr>
                <w:rFonts w:eastAsia="Times New Roman" w:cs="Calibri"/>
                <w:color w:val="000000"/>
              </w:rPr>
            </w:pPr>
            <w:r>
              <w:rPr>
                <w:rFonts w:eastAsia="Times New Roman" w:cs="Calibri"/>
                <w:color w:val="000000"/>
              </w:rPr>
              <w:t>n.d</w:t>
            </w:r>
          </w:p>
        </w:tc>
      </w:tr>
      <w:tr w:rsidR="00FD2CBB" w:rsidRPr="000E7034" w14:paraId="1A12D721" w14:textId="77777777" w:rsidTr="00E2336D">
        <w:trPr>
          <w:trHeight w:val="20"/>
        </w:trPr>
        <w:tc>
          <w:tcPr>
            <w:tcW w:w="2696" w:type="pct"/>
            <w:tcBorders>
              <w:top w:val="single" w:sz="4" w:space="0" w:color="A6A6A6"/>
              <w:left w:val="single" w:sz="4" w:space="0" w:color="A6A6A6"/>
              <w:bottom w:val="single" w:sz="4" w:space="0" w:color="A6A6A6"/>
              <w:right w:val="single" w:sz="4" w:space="0" w:color="A6A6A6"/>
            </w:tcBorders>
            <w:shd w:val="clear" w:color="000000" w:fill="EE3438"/>
            <w:noWrap/>
            <w:vAlign w:val="bottom"/>
            <w:hideMark/>
          </w:tcPr>
          <w:p w14:paraId="1C4D1C07" w14:textId="77777777" w:rsidR="00FD2CBB" w:rsidRPr="000E7034" w:rsidRDefault="00FD2CBB">
            <w:pPr>
              <w:spacing w:after="0" w:line="240" w:lineRule="auto"/>
              <w:jc w:val="left"/>
              <w:rPr>
                <w:rFonts w:eastAsia="Times New Roman" w:cs="Calibri"/>
                <w:b/>
                <w:color w:val="FFFFFF"/>
              </w:rPr>
            </w:pPr>
            <w:r>
              <w:rPr>
                <w:rFonts w:eastAsia="Times New Roman" w:cs="Calibri"/>
                <w:b/>
                <w:color w:val="FFFFFF"/>
              </w:rPr>
              <w:t>Totale</w:t>
            </w:r>
          </w:p>
        </w:tc>
        <w:tc>
          <w:tcPr>
            <w:tcW w:w="1152" w:type="pct"/>
            <w:tcBorders>
              <w:top w:val="single" w:sz="4" w:space="0" w:color="A6A6A6"/>
              <w:left w:val="nil"/>
              <w:bottom w:val="single" w:sz="4" w:space="0" w:color="A6A6A6"/>
              <w:right w:val="single" w:sz="4" w:space="0" w:color="A6A6A6"/>
            </w:tcBorders>
            <w:shd w:val="clear" w:color="000000" w:fill="EE3438"/>
            <w:noWrap/>
            <w:vAlign w:val="center"/>
            <w:hideMark/>
          </w:tcPr>
          <w:p w14:paraId="5538E6FF" w14:textId="292A330B" w:rsidR="00FD2CBB" w:rsidRPr="000E7034" w:rsidRDefault="00C0687D">
            <w:pPr>
              <w:spacing w:after="0" w:line="240" w:lineRule="auto"/>
              <w:jc w:val="right"/>
              <w:rPr>
                <w:rFonts w:eastAsia="Times New Roman" w:cs="Calibri"/>
                <w:b/>
                <w:color w:val="FFFFFF"/>
              </w:rPr>
            </w:pPr>
            <w:r>
              <w:rPr>
                <w:rFonts w:eastAsia="Times New Roman" w:cs="Calibri"/>
                <w:b/>
                <w:color w:val="FFFFFF"/>
              </w:rPr>
              <w:t>336.105</w:t>
            </w:r>
          </w:p>
        </w:tc>
        <w:tc>
          <w:tcPr>
            <w:tcW w:w="1152" w:type="pct"/>
            <w:tcBorders>
              <w:top w:val="single" w:sz="4" w:space="0" w:color="A6A6A6"/>
              <w:left w:val="nil"/>
              <w:bottom w:val="single" w:sz="4" w:space="0" w:color="A6A6A6"/>
              <w:right w:val="single" w:sz="4" w:space="0" w:color="A6A6A6"/>
            </w:tcBorders>
            <w:shd w:val="clear" w:color="000000" w:fill="EE3438"/>
            <w:vAlign w:val="center"/>
          </w:tcPr>
          <w:p w14:paraId="0302B628" w14:textId="4708AAF3" w:rsidR="00FD2CBB" w:rsidRPr="000E7034" w:rsidRDefault="003135A0">
            <w:pPr>
              <w:spacing w:after="0" w:line="240" w:lineRule="auto"/>
              <w:jc w:val="right"/>
              <w:rPr>
                <w:rFonts w:eastAsia="Times New Roman" w:cs="Calibri"/>
                <w:b/>
                <w:color w:val="FFFFFF"/>
              </w:rPr>
            </w:pPr>
            <w:r>
              <w:rPr>
                <w:rFonts w:eastAsia="Times New Roman" w:cs="Calibri"/>
                <w:b/>
                <w:color w:val="FFFFFF"/>
              </w:rPr>
              <w:t>40.454</w:t>
            </w:r>
          </w:p>
        </w:tc>
      </w:tr>
    </w:tbl>
    <w:p w14:paraId="063197F6" w14:textId="77777777" w:rsidR="00532AE5" w:rsidRDefault="00532AE5" w:rsidP="00FD2CBB">
      <w:pPr>
        <w:pStyle w:val="SottotitoloS"/>
        <w:rPr>
          <w:color w:val="auto"/>
          <w:sz w:val="22"/>
        </w:rPr>
      </w:pPr>
    </w:p>
    <w:p w14:paraId="59CABB0F" w14:textId="36195DD5" w:rsidR="00FD2CBB" w:rsidRPr="00145E1D" w:rsidRDefault="00FD2CBB" w:rsidP="00FD2CBB">
      <w:pPr>
        <w:pStyle w:val="SottotitoloS"/>
        <w:rPr>
          <w:sz w:val="22"/>
        </w:rPr>
      </w:pPr>
      <w:r w:rsidRPr="00145E1D">
        <w:rPr>
          <w:color w:val="auto"/>
          <w:sz w:val="22"/>
        </w:rPr>
        <w:t>MeBUS</w:t>
      </w:r>
    </w:p>
    <w:p w14:paraId="51771733" w14:textId="77777777" w:rsidR="00FD2CBB" w:rsidRDefault="00FD2CBB" w:rsidP="00FD2CBB">
      <w:r>
        <w:t xml:space="preserve">Il MeBUS è un </w:t>
      </w:r>
      <w:r w:rsidRPr="009D76AE">
        <w:t>servizio di autobus a chiamata attivo</w:t>
      </w:r>
      <w:r>
        <w:t xml:space="preserve"> in 3 zone dell’area metropolitana torinese che coinvolgono i seguenti comuni: </w:t>
      </w:r>
      <w:r w:rsidRPr="009D76AE">
        <w:t>Borgaro Torinese, Brandizzo, Caselle Torinese, Chivasso, Leinì, Mappano, San Benigno Canavese, Malanghero (frazione di San Maurizio Canavese), San Mauro Torinese, Settimo Torinese e Volpiano con estensione a Torino Stura</w:t>
      </w:r>
      <w:r>
        <w:t xml:space="preserve"> raggruppati nella area Nord Est, </w:t>
      </w:r>
      <w:r w:rsidRPr="009D76AE">
        <w:t>Beinasco, Bruino, Candiolo, Grugliasco, Nichelino, Orbassano, Piossasco, Rivalta, Rivoli e Vinovo e i presìdi sanitari Candiolo IRCC, Orbassano San Luigi e Ospedale degli Infermi di Rivoli</w:t>
      </w:r>
      <w:r>
        <w:t xml:space="preserve"> per l’area Sud Ovest e la collina chierese che comprende </w:t>
      </w:r>
      <w:r w:rsidRPr="009D76AE">
        <w:t xml:space="preserve">i </w:t>
      </w:r>
      <w:r>
        <w:t>c</w:t>
      </w:r>
      <w:r w:rsidRPr="009D76AE">
        <w:t xml:space="preserve">omuni di </w:t>
      </w:r>
      <w:bookmarkStart w:id="209" w:name="_Hlk212471031"/>
      <w:r w:rsidRPr="009D76AE">
        <w:t>Andezeno, Baldissero, Chieri, Marentino, Montaldo Torinese, Pavarolo, Pecetto Torinese, Pino Torinese e Riva presso Chieri</w:t>
      </w:r>
      <w:bookmarkEnd w:id="209"/>
      <w:r w:rsidRPr="009D76AE">
        <w:t>.</w:t>
      </w:r>
    </w:p>
    <w:p w14:paraId="60C1D6D1" w14:textId="77777777" w:rsidR="00FD2CBB" w:rsidRDefault="00FD2CBB" w:rsidP="00FD2CBB">
      <w:r>
        <w:t>La fruizione del servizio prevede una prenotazione del passaggio tramite numero verde fin alla giornata precedente del viaggio. Il costo previsto è quello di una normale corsa extraurbana.</w:t>
      </w:r>
    </w:p>
    <w:p w14:paraId="075B0139" w14:textId="77777777" w:rsidR="00FD2CBB" w:rsidRDefault="00FD2CBB" w:rsidP="00532AE5">
      <w:pPr>
        <w:keepNext/>
        <w:spacing w:after="0"/>
        <w:jc w:val="center"/>
      </w:pPr>
      <w:r>
        <w:rPr>
          <w:noProof/>
        </w:rPr>
        <w:lastRenderedPageBreak/>
        <w:drawing>
          <wp:inline distT="0" distB="0" distL="0" distR="0" wp14:anchorId="17EA4A15" wp14:editId="4279D74C">
            <wp:extent cx="5529600" cy="3909600"/>
            <wp:effectExtent l="19050" t="19050" r="13970" b="15240"/>
            <wp:docPr id="1656910023" name="Immagine 1" descr="Immagine che contiene testo, mappa, atlant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910023" name="Immagine 1" descr="Immagine che contiene testo, mappa, atlante&#10;&#10;Descrizione generata automaticamente"/>
                    <pic:cNvPicPr/>
                  </pic:nvPicPr>
                  <pic:blipFill>
                    <a:blip r:embed="rId65" cstate="print">
                      <a:extLst>
                        <a:ext uri="{28A0092B-C50C-407E-A947-70E740481C1C}">
                          <a14:useLocalDpi xmlns:a14="http://schemas.microsoft.com/office/drawing/2010/main" val="0"/>
                        </a:ext>
                      </a:extLst>
                    </a:blip>
                    <a:stretch>
                      <a:fillRect/>
                    </a:stretch>
                  </pic:blipFill>
                  <pic:spPr>
                    <a:xfrm>
                      <a:off x="0" y="0"/>
                      <a:ext cx="5529600" cy="3909600"/>
                    </a:xfrm>
                    <a:prstGeom prst="rect">
                      <a:avLst/>
                    </a:prstGeom>
                    <a:ln w="19050">
                      <a:solidFill>
                        <a:srgbClr val="EE3438"/>
                      </a:solidFill>
                    </a:ln>
                  </pic:spPr>
                </pic:pic>
              </a:graphicData>
            </a:graphic>
          </wp:inline>
        </w:drawing>
      </w:r>
    </w:p>
    <w:p w14:paraId="494A8D65" w14:textId="685129DF" w:rsidR="00FD2CBB" w:rsidRDefault="00FD2CBB" w:rsidP="00FD2CBB">
      <w:pPr>
        <w:pStyle w:val="Didascalia"/>
        <w:jc w:val="center"/>
      </w:pPr>
      <w:r>
        <w:t xml:space="preserve">Figura </w:t>
      </w:r>
      <w:r w:rsidR="00FD7EE5">
        <w:fldChar w:fldCharType="begin"/>
      </w:r>
      <w:r w:rsidR="00FD7EE5">
        <w:instrText xml:space="preserve"> SEQ Figura \* ARABIC </w:instrText>
      </w:r>
      <w:r w:rsidR="00FD7EE5">
        <w:fldChar w:fldCharType="separate"/>
      </w:r>
      <w:r w:rsidR="00073B6D">
        <w:rPr>
          <w:noProof/>
        </w:rPr>
        <w:t>29</w:t>
      </w:r>
      <w:r w:rsidR="00FD7EE5">
        <w:rPr>
          <w:noProof/>
        </w:rPr>
        <w:fldChar w:fldCharType="end"/>
      </w:r>
      <w:r>
        <w:t xml:space="preserve"> - Comuni coinvolti dal progetto MeBUS</w:t>
      </w:r>
    </w:p>
    <w:p w14:paraId="4C1F438B" w14:textId="77777777" w:rsidR="00FD2CBB" w:rsidRPr="00532AE5" w:rsidRDefault="00FD2CBB" w:rsidP="00FD2CBB">
      <w:pPr>
        <w:pStyle w:val="SottotitoloS"/>
        <w:rPr>
          <w:color w:val="auto"/>
          <w:sz w:val="22"/>
        </w:rPr>
      </w:pPr>
      <w:r w:rsidRPr="00532AE5">
        <w:rPr>
          <w:color w:val="auto"/>
          <w:sz w:val="22"/>
        </w:rPr>
        <w:t>Provibus</w:t>
      </w:r>
    </w:p>
    <w:p w14:paraId="666EFBE4" w14:textId="77777777" w:rsidR="00FD2CBB" w:rsidRDefault="00FD2CBB" w:rsidP="00D27CAD">
      <w:pPr>
        <w:spacing w:line="240" w:lineRule="auto"/>
      </w:pPr>
      <w:r>
        <w:t>Servizio simile per modalità al precedente che garantisce collegamenti tra frazioni e centri con servizi essenziali, accesso al sistema ferroviario e una maggiore flessibilità rispetto al trasporto di linea, mantenendo però la stessa tariffa. Opera su prenotazione, con fermate predefinite e percorsi variabili in base alle richieste degli utenti, ed è attivo nei giorni feriali (e in alcuni festivi) in fasce orarie specifiche. Coinvolge le seguenti zone: Caluso e frazioni, Chivassese, Ciriacese, Crescentino e dintorni, Gassino, Val Germanasca, Pont canavese e Crescentino e dintorni.</w:t>
      </w:r>
    </w:p>
    <w:p w14:paraId="4AC25635" w14:textId="77777777" w:rsidR="00FD2CBB" w:rsidRDefault="00FD2CBB" w:rsidP="00532AE5">
      <w:pPr>
        <w:keepNext/>
        <w:spacing w:after="0"/>
        <w:jc w:val="center"/>
      </w:pPr>
      <w:r>
        <w:rPr>
          <w:noProof/>
        </w:rPr>
        <w:lastRenderedPageBreak/>
        <w:drawing>
          <wp:inline distT="0" distB="0" distL="0" distR="0" wp14:anchorId="421FCFA4" wp14:editId="50B17246">
            <wp:extent cx="5554800" cy="3924000"/>
            <wp:effectExtent l="19050" t="19050" r="27305" b="19685"/>
            <wp:docPr id="2128638079" name="Immagine 2" descr="Immagine che contiene mappa, testo, atlant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638079" name="Immagine 2" descr="Immagine che contiene mappa, testo, atlante&#10;&#10;Descrizione generata automaticamente"/>
                    <pic:cNvPicPr/>
                  </pic:nvPicPr>
                  <pic:blipFill>
                    <a:blip r:embed="rId66" cstate="print">
                      <a:extLst>
                        <a:ext uri="{28A0092B-C50C-407E-A947-70E740481C1C}">
                          <a14:useLocalDpi xmlns:a14="http://schemas.microsoft.com/office/drawing/2010/main" val="0"/>
                        </a:ext>
                      </a:extLst>
                    </a:blip>
                    <a:stretch>
                      <a:fillRect/>
                    </a:stretch>
                  </pic:blipFill>
                  <pic:spPr>
                    <a:xfrm>
                      <a:off x="0" y="0"/>
                      <a:ext cx="5554800" cy="3924000"/>
                    </a:xfrm>
                    <a:prstGeom prst="rect">
                      <a:avLst/>
                    </a:prstGeom>
                    <a:ln w="19050">
                      <a:solidFill>
                        <a:srgbClr val="EE3438"/>
                      </a:solidFill>
                    </a:ln>
                  </pic:spPr>
                </pic:pic>
              </a:graphicData>
            </a:graphic>
          </wp:inline>
        </w:drawing>
      </w:r>
    </w:p>
    <w:p w14:paraId="1C721D2D" w14:textId="0EE9B6CC" w:rsidR="00FD2CBB" w:rsidRDefault="00FD2CBB" w:rsidP="004A18B2">
      <w:pPr>
        <w:pStyle w:val="Didascalia"/>
        <w:jc w:val="center"/>
      </w:pPr>
      <w:r>
        <w:t xml:space="preserve">Figura </w:t>
      </w:r>
      <w:r w:rsidR="00FD7EE5">
        <w:fldChar w:fldCharType="begin"/>
      </w:r>
      <w:r w:rsidR="00FD7EE5">
        <w:instrText xml:space="preserve"> SEQ Figura \* ARABIC </w:instrText>
      </w:r>
      <w:r w:rsidR="00FD7EE5">
        <w:fldChar w:fldCharType="separate"/>
      </w:r>
      <w:r w:rsidR="00073B6D">
        <w:rPr>
          <w:noProof/>
        </w:rPr>
        <w:t>30</w:t>
      </w:r>
      <w:r w:rsidR="00FD7EE5">
        <w:rPr>
          <w:noProof/>
        </w:rPr>
        <w:fldChar w:fldCharType="end"/>
      </w:r>
      <w:r>
        <w:t xml:space="preserve"> - Comuni coinvolti dal servizio Provibus</w:t>
      </w:r>
    </w:p>
    <w:p w14:paraId="60D60CBB" w14:textId="77777777" w:rsidR="00FD2CBB" w:rsidRDefault="00FD2CBB" w:rsidP="00532AE5">
      <w:pPr>
        <w:keepNext/>
        <w:spacing w:before="240" w:after="0"/>
        <w:jc w:val="center"/>
      </w:pPr>
      <w:r>
        <w:rPr>
          <w:noProof/>
        </w:rPr>
        <w:drawing>
          <wp:inline distT="0" distB="0" distL="0" distR="0" wp14:anchorId="5DE0D858" wp14:editId="3FB2FD6F">
            <wp:extent cx="5554800" cy="3924000"/>
            <wp:effectExtent l="19050" t="19050" r="27305" b="19685"/>
            <wp:docPr id="124302616" name="Immagine 3" descr="Immagine che contiene mappa, testo, atlant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02616" name="Immagine 3" descr="Immagine che contiene mappa, testo, atlante&#10;&#10;Descrizione generata automaticamente"/>
                    <pic:cNvPicPr/>
                  </pic:nvPicPr>
                  <pic:blipFill>
                    <a:blip r:embed="rId67" cstate="print">
                      <a:extLst>
                        <a:ext uri="{28A0092B-C50C-407E-A947-70E740481C1C}">
                          <a14:useLocalDpi xmlns:a14="http://schemas.microsoft.com/office/drawing/2010/main" val="0"/>
                        </a:ext>
                      </a:extLst>
                    </a:blip>
                    <a:stretch>
                      <a:fillRect/>
                    </a:stretch>
                  </pic:blipFill>
                  <pic:spPr>
                    <a:xfrm>
                      <a:off x="0" y="0"/>
                      <a:ext cx="5554800" cy="3924000"/>
                    </a:xfrm>
                    <a:prstGeom prst="rect">
                      <a:avLst/>
                    </a:prstGeom>
                    <a:ln w="19050">
                      <a:solidFill>
                        <a:srgbClr val="EE3438"/>
                      </a:solidFill>
                    </a:ln>
                  </pic:spPr>
                </pic:pic>
              </a:graphicData>
            </a:graphic>
          </wp:inline>
        </w:drawing>
      </w:r>
    </w:p>
    <w:p w14:paraId="0EB3436B" w14:textId="679DFBAB" w:rsidR="00FD2CBB" w:rsidRDefault="00FD2CBB" w:rsidP="00FD2CBB">
      <w:pPr>
        <w:pStyle w:val="Didascalia"/>
        <w:jc w:val="center"/>
      </w:pPr>
      <w:r>
        <w:t xml:space="preserve">Figura </w:t>
      </w:r>
      <w:r w:rsidR="00FD7EE5">
        <w:fldChar w:fldCharType="begin"/>
      </w:r>
      <w:r w:rsidR="00FD7EE5">
        <w:instrText xml:space="preserve"> SEQ Figura \* ARABIC </w:instrText>
      </w:r>
      <w:r w:rsidR="00FD7EE5">
        <w:fldChar w:fldCharType="separate"/>
      </w:r>
      <w:r w:rsidR="00073B6D">
        <w:rPr>
          <w:noProof/>
        </w:rPr>
        <w:t>31</w:t>
      </w:r>
      <w:r w:rsidR="00FD7EE5">
        <w:rPr>
          <w:noProof/>
        </w:rPr>
        <w:fldChar w:fldCharType="end"/>
      </w:r>
      <w:r>
        <w:t xml:space="preserve"> - Comuni della Val Germanasca</w:t>
      </w:r>
    </w:p>
    <w:p w14:paraId="0E2E1F6A" w14:textId="77777777" w:rsidR="00FD2CBB" w:rsidRPr="00532AE5" w:rsidRDefault="00FD2CBB" w:rsidP="00FD2CBB">
      <w:pPr>
        <w:pStyle w:val="SottotitoloS"/>
        <w:rPr>
          <w:color w:val="auto"/>
          <w:sz w:val="22"/>
        </w:rPr>
      </w:pPr>
      <w:r w:rsidRPr="00532AE5">
        <w:rPr>
          <w:color w:val="auto"/>
          <w:sz w:val="22"/>
        </w:rPr>
        <w:t>SettiBUS</w:t>
      </w:r>
    </w:p>
    <w:p w14:paraId="1A77DA2F" w14:textId="77777777" w:rsidR="00FD2CBB" w:rsidRPr="00A82C14" w:rsidRDefault="00FD2CBB" w:rsidP="004A18B2">
      <w:pPr>
        <w:pStyle w:val="SottotitoloS"/>
        <w:spacing w:line="240" w:lineRule="auto"/>
        <w:rPr>
          <w:rFonts w:cs="Times New Roman"/>
          <w:b w:val="0"/>
          <w:color w:val="000000" w:themeColor="text1"/>
          <w:sz w:val="22"/>
          <w:lang w:eastAsia="it-IT"/>
        </w:rPr>
      </w:pPr>
      <w:r w:rsidRPr="00A82C14">
        <w:rPr>
          <w:rFonts w:cs="Times New Roman"/>
          <w:b w:val="0"/>
          <w:color w:val="000000" w:themeColor="text1"/>
          <w:sz w:val="22"/>
          <w:lang w:eastAsia="it-IT"/>
        </w:rPr>
        <w:lastRenderedPageBreak/>
        <w:t>Il servizio SettiBUS</w:t>
      </w:r>
      <w:r>
        <w:rPr>
          <w:rFonts w:cs="Times New Roman"/>
          <w:b w:val="0"/>
          <w:color w:val="000000" w:themeColor="text1"/>
          <w:sz w:val="22"/>
          <w:lang w:eastAsia="it-IT"/>
        </w:rPr>
        <w:t xml:space="preserve"> del comune di Settimo torinese è il più recente tra i servizi a chiamata attivati nel bacino metropolitano. Il servizio è</w:t>
      </w:r>
      <w:r w:rsidRPr="00CE3A75">
        <w:rPr>
          <w:rFonts w:cs="Times New Roman"/>
          <w:b w:val="0"/>
          <w:color w:val="000000" w:themeColor="text1"/>
          <w:sz w:val="22"/>
          <w:lang w:eastAsia="it-IT"/>
        </w:rPr>
        <w:t xml:space="preserve"> attivo sul territorio comunale in via sperimentale dall'8 aprile 2024 dalle ore 8.00 alle ore 18.00, dal lunedì al </w:t>
      </w:r>
      <w:r>
        <w:rPr>
          <w:rFonts w:cs="Times New Roman"/>
          <w:b w:val="0"/>
          <w:color w:val="000000" w:themeColor="text1"/>
          <w:sz w:val="22"/>
          <w:lang w:eastAsia="it-IT"/>
        </w:rPr>
        <w:t>s</w:t>
      </w:r>
      <w:r w:rsidRPr="00CE3A75">
        <w:rPr>
          <w:rFonts w:cs="Times New Roman"/>
          <w:b w:val="0"/>
          <w:color w:val="000000" w:themeColor="text1"/>
          <w:sz w:val="22"/>
          <w:lang w:eastAsia="it-IT"/>
        </w:rPr>
        <w:t>abato (festivi esclusi). La corsa può essere prenotata scaricando l'app SettiBus, scegliendo la fermata di origine, la destinazione e l'orario di partenza o di arrivo.</w:t>
      </w:r>
      <w:r>
        <w:rPr>
          <w:rFonts w:cs="Times New Roman"/>
          <w:b w:val="0"/>
          <w:color w:val="000000" w:themeColor="text1"/>
          <w:sz w:val="22"/>
          <w:lang w:eastAsia="it-IT"/>
        </w:rPr>
        <w:t xml:space="preserve"> Il costo previsto per la singola corsa è di 1,70 € acquistabile tramite app o a bordo in contanti o utilizzando l’app Satispay.</w:t>
      </w:r>
    </w:p>
    <w:p w14:paraId="02FA0B27" w14:textId="77777777" w:rsidR="00FD2CBB" w:rsidRPr="00DC53B4" w:rsidRDefault="00FD2CBB" w:rsidP="00FD2CBB">
      <w:pPr>
        <w:pStyle w:val="Titolo3"/>
        <w:ind w:left="720"/>
      </w:pPr>
      <w:bookmarkStart w:id="210" w:name="_Toc213078367"/>
      <w:r w:rsidRPr="00DC53B4">
        <w:t>Servizi</w:t>
      </w:r>
      <w:r>
        <w:t xml:space="preserve"> </w:t>
      </w:r>
      <w:r w:rsidRPr="00DC53B4">
        <w:t>in</w:t>
      </w:r>
      <w:r>
        <w:t xml:space="preserve"> </w:t>
      </w:r>
      <w:r w:rsidRPr="00DC53B4">
        <w:t>are</w:t>
      </w:r>
      <w:bookmarkEnd w:id="199"/>
      <w:r>
        <w:t xml:space="preserve">e </w:t>
      </w:r>
      <w:r w:rsidRPr="00DC53B4">
        <w:t>interne</w:t>
      </w:r>
      <w:bookmarkEnd w:id="200"/>
      <w:bookmarkEnd w:id="201"/>
      <w:bookmarkEnd w:id="202"/>
      <w:bookmarkEnd w:id="203"/>
      <w:bookmarkEnd w:id="204"/>
      <w:bookmarkEnd w:id="210"/>
    </w:p>
    <w:p w14:paraId="4D8A94FC" w14:textId="4553AE65" w:rsidR="00FD2CBB" w:rsidRPr="0048350A" w:rsidRDefault="00FD2CBB" w:rsidP="00FD2CBB">
      <w:pPr>
        <w:tabs>
          <w:tab w:val="left" w:pos="6804"/>
        </w:tabs>
        <w:spacing w:before="120" w:after="0" w:line="240" w:lineRule="auto"/>
        <w:rPr>
          <w:rFonts w:cs="Times New Roman"/>
          <w:color w:val="000000" w:themeColor="text1"/>
        </w:rPr>
      </w:pPr>
      <w:r w:rsidRPr="00DC53B4">
        <w:rPr>
          <w:rFonts w:cs="Times New Roman"/>
          <w:color w:val="000000" w:themeColor="text1"/>
        </w:rPr>
        <w:t xml:space="preserve">Nel Bacino </w:t>
      </w:r>
      <w:r>
        <w:rPr>
          <w:rFonts w:cs="Times New Roman"/>
          <w:color w:val="000000" w:themeColor="text1"/>
        </w:rPr>
        <w:t>Metropolitano</w:t>
      </w:r>
      <w:r w:rsidRPr="00DC53B4">
        <w:rPr>
          <w:rFonts w:cs="Times New Roman"/>
          <w:color w:val="000000" w:themeColor="text1"/>
        </w:rPr>
        <w:t xml:space="preserve">, oltre ai servizi dettagliati in, si effettuano altri servizi gestiti o amministrati direttamente da Comuni e Unioni Montane (in economia o tramite Contratti di Servizio in affidamento diretto sottoscritti dall’Ente (cfr. paragrafo </w:t>
      </w:r>
      <w:r w:rsidR="002E2D48">
        <w:rPr>
          <w:rFonts w:cs="Times New Roman"/>
          <w:color w:val="000000" w:themeColor="text1"/>
        </w:rPr>
        <w:fldChar w:fldCharType="begin"/>
      </w:r>
      <w:r w:rsidR="002E2D48">
        <w:rPr>
          <w:rFonts w:cs="Times New Roman"/>
          <w:color w:val="000000" w:themeColor="text1"/>
        </w:rPr>
        <w:instrText xml:space="preserve"> REF _Ref204164723 \r \h </w:instrText>
      </w:r>
      <w:r w:rsidR="002E2D48">
        <w:rPr>
          <w:rFonts w:cs="Times New Roman"/>
          <w:color w:val="000000" w:themeColor="text1"/>
        </w:rPr>
      </w:r>
      <w:r w:rsidR="002E2D48">
        <w:rPr>
          <w:rFonts w:cs="Times New Roman"/>
          <w:color w:val="000000" w:themeColor="text1"/>
        </w:rPr>
        <w:fldChar w:fldCharType="separate"/>
      </w:r>
      <w:r w:rsidR="00073B6D">
        <w:rPr>
          <w:rFonts w:cs="Times New Roman"/>
          <w:color w:val="000000" w:themeColor="text1"/>
        </w:rPr>
        <w:t>2.2</w:t>
      </w:r>
      <w:r w:rsidR="002E2D48">
        <w:rPr>
          <w:rFonts w:cs="Times New Roman"/>
          <w:color w:val="000000" w:themeColor="text1"/>
        </w:rPr>
        <w:fldChar w:fldCharType="end"/>
      </w:r>
      <w:r w:rsidRPr="00DC53B4">
        <w:rPr>
          <w:rFonts w:cs="Times New Roman"/>
          <w:color w:val="000000" w:themeColor="text1"/>
        </w:rPr>
        <w:t>).</w:t>
      </w:r>
      <w:r w:rsidRPr="0048350A">
        <w:rPr>
          <w:rFonts w:cs="Times New Roman"/>
          <w:color w:val="000000" w:themeColor="text1"/>
        </w:rPr>
        <w:t xml:space="preserve"> </w:t>
      </w:r>
    </w:p>
    <w:p w14:paraId="58825BC4" w14:textId="77777777" w:rsidR="00FD2CBB" w:rsidRPr="00C128A7" w:rsidRDefault="00FD2CBB" w:rsidP="00FD2CBB">
      <w:pPr>
        <w:tabs>
          <w:tab w:val="left" w:pos="6804"/>
        </w:tabs>
        <w:spacing w:before="120" w:after="0" w:line="240" w:lineRule="auto"/>
        <w:rPr>
          <w:rFonts w:cs="Times New Roman"/>
        </w:rPr>
      </w:pPr>
      <w:r>
        <w:rPr>
          <w:rFonts w:cs="Times New Roman"/>
        </w:rPr>
        <w:t>Nel 2024 l</w:t>
      </w:r>
      <w:r w:rsidRPr="00C128A7">
        <w:rPr>
          <w:rFonts w:cs="Times New Roman"/>
        </w:rPr>
        <w:t>a produzione di questi servizi</w:t>
      </w:r>
      <w:r>
        <w:rPr>
          <w:rFonts w:cs="Times New Roman"/>
        </w:rPr>
        <w:t xml:space="preserve"> è stata </w:t>
      </w:r>
      <w:r w:rsidRPr="0023459E">
        <w:rPr>
          <w:rFonts w:cs="Times New Roman"/>
        </w:rPr>
        <w:t>di circa 280 mila veicoli-km all'anno</w:t>
      </w:r>
      <w:r w:rsidRPr="00C128A7">
        <w:rPr>
          <w:rFonts w:cs="Times New Roman"/>
        </w:rPr>
        <w:t xml:space="preserve"> e riguarda </w:t>
      </w:r>
      <w:r>
        <w:rPr>
          <w:rFonts w:cs="Times New Roman"/>
        </w:rPr>
        <w:t>sei</w:t>
      </w:r>
      <w:r w:rsidRPr="00C128A7">
        <w:rPr>
          <w:rFonts w:cs="Times New Roman"/>
        </w:rPr>
        <w:t xml:space="preserve"> realtà territoriali. Questi comuni montani o collinari sono classificabili, secondo la definizione delle aree interne, come comuni di cintura, intermedi, periferici o ultra-periferici. Attualmente, i servizi in queste aree sono difficilmente gestibili alle condizioni degli altri servizi presenti nel bacino, sia a livello qualitativo sia gestionale per i numerosi adempienti che i singoli enti si trovano a dover affrontare per l’affidamento o per la gestione in economia dei servizi stessi. Basti pensare agli sviluppi tecnologici e di integrazione richiesti, alla complessità della normativa che regola l’intero sistema dei servizi di trasporto pubblico locale, o ancora agli obblighi di rendicontazione che gli enti o i piccoli operatori sono tenuti ad assolvere.</w:t>
      </w:r>
      <w:r w:rsidRPr="00C128A7">
        <w:rPr>
          <w:noProof/>
        </w:rPr>
        <w:t xml:space="preserve"> </w:t>
      </w:r>
    </w:p>
    <w:p w14:paraId="1C076557" w14:textId="77777777" w:rsidR="00FD2CBB" w:rsidRDefault="00FD2CBB" w:rsidP="00FD2CBB">
      <w:pPr>
        <w:tabs>
          <w:tab w:val="left" w:pos="6804"/>
        </w:tabs>
        <w:spacing w:before="120" w:after="0" w:line="240" w:lineRule="auto"/>
      </w:pPr>
      <w:r>
        <w:rPr>
          <w:rFonts w:cs="Times New Roman"/>
          <w:color w:val="000000" w:themeColor="text1"/>
        </w:rPr>
        <w:t>Di seguito, come per gli altri servizi si fornisce una panoramica di dettaglio delle relazioni servite, del n° corse programmate e della produzione ricavata da programma di esercizio</w:t>
      </w:r>
      <w:r>
        <w:t>.</w:t>
      </w:r>
    </w:p>
    <w:p w14:paraId="62C78D1A" w14:textId="77777777" w:rsidR="00FD2CBB" w:rsidRDefault="00FD2CBB" w:rsidP="004A18B2">
      <w:pPr>
        <w:tabs>
          <w:tab w:val="left" w:pos="6804"/>
        </w:tabs>
        <w:spacing w:before="120" w:line="240" w:lineRule="auto"/>
      </w:pPr>
      <w:r>
        <w:t>Tali servizi saranno integrati all’interno dei futuri affidamenti, verificandone la fattibilità in sede di offerta; questo comporta che qualora la realizzazione di tali servizi non garantisse i benefici attesi AMP proporrà agli Enti il mantenimento delle attuali, e migliorate, fome di collaborazioni.</w:t>
      </w:r>
    </w:p>
    <w:tbl>
      <w:tblPr>
        <w:tblW w:w="896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left w:w="70" w:type="dxa"/>
          <w:right w:w="70" w:type="dxa"/>
        </w:tblCellMar>
        <w:tblLook w:val="04A0" w:firstRow="1" w:lastRow="0" w:firstColumn="1" w:lastColumn="0" w:noHBand="0" w:noVBand="1"/>
      </w:tblPr>
      <w:tblGrid>
        <w:gridCol w:w="800"/>
        <w:gridCol w:w="5480"/>
        <w:gridCol w:w="1340"/>
        <w:gridCol w:w="1340"/>
      </w:tblGrid>
      <w:tr w:rsidR="00FD2CBB" w:rsidRPr="002B66B1" w14:paraId="54EED46D" w14:textId="77777777" w:rsidTr="00C64A2F">
        <w:trPr>
          <w:trHeight w:val="576"/>
        </w:trPr>
        <w:tc>
          <w:tcPr>
            <w:tcW w:w="800" w:type="dxa"/>
            <w:shd w:val="clear" w:color="auto" w:fill="EE3438"/>
            <w:vAlign w:val="center"/>
            <w:hideMark/>
          </w:tcPr>
          <w:p w14:paraId="0139BB1A" w14:textId="77777777" w:rsidR="00FD2CBB" w:rsidRPr="00882931" w:rsidRDefault="00FD2CBB">
            <w:pPr>
              <w:spacing w:after="0" w:line="240" w:lineRule="auto"/>
              <w:jc w:val="center"/>
              <w:rPr>
                <w:rFonts w:eastAsia="Times New Roman" w:cs="Calibri"/>
                <w:b/>
                <w:color w:val="FFFFFF" w:themeColor="background1"/>
                <w:sz w:val="20"/>
                <w:szCs w:val="20"/>
              </w:rPr>
            </w:pPr>
            <w:r w:rsidRPr="00882931">
              <w:rPr>
                <w:rFonts w:eastAsia="Times New Roman" w:cs="Calibri"/>
                <w:b/>
                <w:color w:val="FFFFFF" w:themeColor="background1"/>
                <w:sz w:val="20"/>
                <w:szCs w:val="20"/>
              </w:rPr>
              <w:t>Codice Linea</w:t>
            </w:r>
          </w:p>
        </w:tc>
        <w:tc>
          <w:tcPr>
            <w:tcW w:w="5480" w:type="dxa"/>
            <w:shd w:val="clear" w:color="auto" w:fill="EE3438"/>
            <w:vAlign w:val="center"/>
            <w:hideMark/>
          </w:tcPr>
          <w:p w14:paraId="1ECB7DF5" w14:textId="77777777" w:rsidR="00FD2CBB" w:rsidRPr="00882931" w:rsidRDefault="00FD2CBB">
            <w:pPr>
              <w:spacing w:after="0" w:line="240" w:lineRule="auto"/>
              <w:jc w:val="left"/>
              <w:rPr>
                <w:rFonts w:eastAsia="Times New Roman" w:cs="Calibri"/>
                <w:b/>
                <w:color w:val="FFFFFF" w:themeColor="background1"/>
                <w:sz w:val="20"/>
                <w:szCs w:val="20"/>
              </w:rPr>
            </w:pPr>
            <w:r w:rsidRPr="00882931">
              <w:rPr>
                <w:rFonts w:eastAsia="Times New Roman" w:cs="Calibri"/>
                <w:b/>
                <w:color w:val="FFFFFF" w:themeColor="background1"/>
                <w:sz w:val="20"/>
                <w:szCs w:val="20"/>
              </w:rPr>
              <w:t>Descrizione Linea</w:t>
            </w:r>
          </w:p>
        </w:tc>
        <w:tc>
          <w:tcPr>
            <w:tcW w:w="1340" w:type="dxa"/>
            <w:shd w:val="clear" w:color="auto" w:fill="EE3438"/>
            <w:vAlign w:val="center"/>
            <w:hideMark/>
          </w:tcPr>
          <w:p w14:paraId="7FABEB9B" w14:textId="77777777" w:rsidR="00FD2CBB" w:rsidRPr="00882931" w:rsidRDefault="00FD2CBB">
            <w:pPr>
              <w:spacing w:after="0" w:line="240" w:lineRule="auto"/>
              <w:jc w:val="center"/>
              <w:rPr>
                <w:rFonts w:eastAsia="Times New Roman" w:cs="Calibri"/>
                <w:b/>
                <w:color w:val="FFFFFF" w:themeColor="background1"/>
                <w:sz w:val="20"/>
                <w:szCs w:val="20"/>
              </w:rPr>
            </w:pPr>
            <w:r w:rsidRPr="00882931">
              <w:rPr>
                <w:rFonts w:eastAsia="Times New Roman" w:cs="Calibri"/>
                <w:b/>
                <w:color w:val="FFFFFF" w:themeColor="background1"/>
                <w:sz w:val="20"/>
                <w:szCs w:val="20"/>
              </w:rPr>
              <w:t>Numero corse sett.</w:t>
            </w:r>
          </w:p>
        </w:tc>
        <w:tc>
          <w:tcPr>
            <w:tcW w:w="1340" w:type="dxa"/>
            <w:shd w:val="clear" w:color="auto" w:fill="EE3438"/>
            <w:vAlign w:val="center"/>
            <w:hideMark/>
          </w:tcPr>
          <w:p w14:paraId="017A8938" w14:textId="77777777" w:rsidR="00FD2CBB" w:rsidRPr="00882931" w:rsidRDefault="00FD2CBB">
            <w:pPr>
              <w:spacing w:after="0" w:line="240" w:lineRule="auto"/>
              <w:jc w:val="center"/>
              <w:rPr>
                <w:rFonts w:eastAsia="Times New Roman" w:cs="Calibri"/>
                <w:b/>
                <w:color w:val="FFFFFF" w:themeColor="background1"/>
                <w:sz w:val="20"/>
                <w:szCs w:val="20"/>
              </w:rPr>
            </w:pPr>
            <w:r w:rsidRPr="00882931">
              <w:rPr>
                <w:rFonts w:eastAsia="Times New Roman" w:cs="Calibri"/>
                <w:b/>
                <w:color w:val="FFFFFF" w:themeColor="background1"/>
                <w:sz w:val="20"/>
                <w:szCs w:val="20"/>
              </w:rPr>
              <w:t>vett-km/anno di linea</w:t>
            </w:r>
          </w:p>
        </w:tc>
      </w:tr>
      <w:tr w:rsidR="00FD2CBB" w:rsidRPr="002B66B1" w14:paraId="1D4624CB" w14:textId="77777777" w:rsidTr="00C64A2F">
        <w:trPr>
          <w:trHeight w:val="300"/>
        </w:trPr>
        <w:tc>
          <w:tcPr>
            <w:tcW w:w="800" w:type="dxa"/>
            <w:noWrap/>
          </w:tcPr>
          <w:p w14:paraId="69584472" w14:textId="77777777" w:rsidR="00FD2CBB" w:rsidRPr="00EB1A77" w:rsidRDefault="00FD2CBB">
            <w:pPr>
              <w:spacing w:after="0" w:line="240" w:lineRule="auto"/>
              <w:jc w:val="left"/>
              <w:rPr>
                <w:rFonts w:eastAsia="Times New Roman" w:cs="Calibri"/>
                <w:color w:val="000000"/>
                <w:sz w:val="20"/>
                <w:szCs w:val="20"/>
              </w:rPr>
            </w:pPr>
            <w:r w:rsidRPr="00EB1A77">
              <w:rPr>
                <w:rFonts w:cs="Calibri"/>
                <w:sz w:val="20"/>
                <w:szCs w:val="20"/>
              </w:rPr>
              <w:t>Chi1</w:t>
            </w:r>
          </w:p>
        </w:tc>
        <w:tc>
          <w:tcPr>
            <w:tcW w:w="5480" w:type="dxa"/>
            <w:noWrap/>
          </w:tcPr>
          <w:p w14:paraId="7A46AF77" w14:textId="77777777" w:rsidR="00FD2CBB" w:rsidRPr="00EB1A77" w:rsidRDefault="00FD2CBB">
            <w:pPr>
              <w:spacing w:after="0" w:line="240" w:lineRule="auto"/>
              <w:jc w:val="left"/>
              <w:rPr>
                <w:rFonts w:eastAsia="Times New Roman" w:cs="Calibri"/>
                <w:color w:val="000000"/>
                <w:sz w:val="20"/>
                <w:szCs w:val="20"/>
              </w:rPr>
            </w:pPr>
            <w:r>
              <w:rPr>
                <w:rFonts w:cs="Calibri"/>
                <w:sz w:val="20"/>
                <w:szCs w:val="20"/>
              </w:rPr>
              <w:t>A</w:t>
            </w:r>
            <w:r w:rsidRPr="00EB1A77">
              <w:rPr>
                <w:rFonts w:cs="Calibri"/>
                <w:sz w:val="20"/>
                <w:szCs w:val="20"/>
              </w:rPr>
              <w:t>zzurra</w:t>
            </w:r>
          </w:p>
        </w:tc>
        <w:tc>
          <w:tcPr>
            <w:tcW w:w="1340" w:type="dxa"/>
            <w:noWrap/>
            <w:vAlign w:val="center"/>
          </w:tcPr>
          <w:p w14:paraId="04C65135" w14:textId="77777777" w:rsidR="00FD2CBB" w:rsidRPr="00E927C4" w:rsidRDefault="00FD2CBB">
            <w:pPr>
              <w:spacing w:after="0" w:line="240" w:lineRule="auto"/>
              <w:jc w:val="right"/>
              <w:rPr>
                <w:rFonts w:eastAsia="Times New Roman" w:cs="Calibri"/>
                <w:color w:val="000000"/>
                <w:sz w:val="20"/>
                <w:szCs w:val="20"/>
              </w:rPr>
            </w:pPr>
            <w:r w:rsidRPr="00E927C4">
              <w:rPr>
                <w:rFonts w:eastAsia="Times New Roman" w:cs="Calibri"/>
                <w:color w:val="000000"/>
                <w:sz w:val="20"/>
                <w:szCs w:val="20"/>
              </w:rPr>
              <w:t>1</w:t>
            </w:r>
          </w:p>
        </w:tc>
        <w:tc>
          <w:tcPr>
            <w:tcW w:w="1340" w:type="dxa"/>
            <w:noWrap/>
            <w:vAlign w:val="center"/>
          </w:tcPr>
          <w:p w14:paraId="47262429" w14:textId="77777777" w:rsidR="00FD2CBB" w:rsidRPr="00E927C4" w:rsidRDefault="00FD2CBB">
            <w:pPr>
              <w:spacing w:after="0" w:line="240" w:lineRule="auto"/>
              <w:jc w:val="right"/>
              <w:rPr>
                <w:rFonts w:eastAsia="Times New Roman" w:cs="Calibri"/>
                <w:color w:val="000000"/>
                <w:sz w:val="20"/>
                <w:szCs w:val="20"/>
              </w:rPr>
            </w:pPr>
            <w:r w:rsidRPr="00E927C4">
              <w:rPr>
                <w:rFonts w:eastAsia="Times New Roman" w:cs="Calibri"/>
                <w:color w:val="000000"/>
                <w:sz w:val="20"/>
                <w:szCs w:val="20"/>
              </w:rPr>
              <w:t>2.510</w:t>
            </w:r>
          </w:p>
        </w:tc>
      </w:tr>
      <w:tr w:rsidR="00FD2CBB" w:rsidRPr="002B66B1" w14:paraId="0D0A5982" w14:textId="77777777" w:rsidTr="00C64A2F">
        <w:trPr>
          <w:trHeight w:val="300"/>
        </w:trPr>
        <w:tc>
          <w:tcPr>
            <w:tcW w:w="800" w:type="dxa"/>
            <w:noWrap/>
          </w:tcPr>
          <w:p w14:paraId="26FE48CE" w14:textId="77777777" w:rsidR="00FD2CBB" w:rsidRPr="00EB1A77" w:rsidRDefault="00FD2CBB">
            <w:pPr>
              <w:spacing w:after="0" w:line="240" w:lineRule="auto"/>
              <w:jc w:val="left"/>
              <w:rPr>
                <w:rFonts w:eastAsia="Times New Roman" w:cs="Calibri"/>
                <w:color w:val="000000"/>
                <w:sz w:val="20"/>
                <w:szCs w:val="20"/>
              </w:rPr>
            </w:pPr>
            <w:r w:rsidRPr="00EB1A77">
              <w:rPr>
                <w:rFonts w:cs="Calibri"/>
                <w:sz w:val="20"/>
                <w:szCs w:val="20"/>
              </w:rPr>
              <w:t>Chi2</w:t>
            </w:r>
          </w:p>
        </w:tc>
        <w:tc>
          <w:tcPr>
            <w:tcW w:w="5480" w:type="dxa"/>
            <w:noWrap/>
          </w:tcPr>
          <w:p w14:paraId="043BBE23" w14:textId="77777777" w:rsidR="00FD2CBB" w:rsidRPr="00EB1A77" w:rsidRDefault="00FD2CBB">
            <w:pPr>
              <w:spacing w:after="0" w:line="240" w:lineRule="auto"/>
              <w:jc w:val="left"/>
              <w:rPr>
                <w:rFonts w:eastAsia="Times New Roman" w:cs="Calibri"/>
                <w:color w:val="000000"/>
                <w:sz w:val="20"/>
                <w:szCs w:val="20"/>
              </w:rPr>
            </w:pPr>
            <w:r>
              <w:rPr>
                <w:rFonts w:cs="Calibri"/>
                <w:sz w:val="20"/>
                <w:szCs w:val="20"/>
              </w:rPr>
              <w:t>B</w:t>
            </w:r>
            <w:r w:rsidRPr="00EB1A77">
              <w:rPr>
                <w:rFonts w:cs="Calibri"/>
                <w:sz w:val="20"/>
                <w:szCs w:val="20"/>
              </w:rPr>
              <w:t>lu</w:t>
            </w:r>
          </w:p>
        </w:tc>
        <w:tc>
          <w:tcPr>
            <w:tcW w:w="1340" w:type="dxa"/>
            <w:noWrap/>
            <w:vAlign w:val="center"/>
          </w:tcPr>
          <w:p w14:paraId="02F9FA25" w14:textId="77777777" w:rsidR="00FD2CBB" w:rsidRPr="00E927C4" w:rsidRDefault="00FD2CBB">
            <w:pPr>
              <w:spacing w:after="0" w:line="240" w:lineRule="auto"/>
              <w:jc w:val="right"/>
              <w:rPr>
                <w:rFonts w:eastAsia="Times New Roman" w:cs="Calibri"/>
                <w:color w:val="000000"/>
                <w:sz w:val="20"/>
                <w:szCs w:val="20"/>
              </w:rPr>
            </w:pPr>
            <w:r w:rsidRPr="00E927C4">
              <w:rPr>
                <w:rFonts w:eastAsia="Times New Roman" w:cs="Calibri"/>
                <w:color w:val="000000"/>
                <w:sz w:val="20"/>
                <w:szCs w:val="20"/>
              </w:rPr>
              <w:t>7</w:t>
            </w:r>
          </w:p>
        </w:tc>
        <w:tc>
          <w:tcPr>
            <w:tcW w:w="1340" w:type="dxa"/>
            <w:noWrap/>
            <w:vAlign w:val="center"/>
          </w:tcPr>
          <w:p w14:paraId="4AFDFE1C" w14:textId="77777777" w:rsidR="00FD2CBB" w:rsidRPr="00E927C4" w:rsidRDefault="00FD2CBB">
            <w:pPr>
              <w:spacing w:after="0" w:line="240" w:lineRule="auto"/>
              <w:jc w:val="right"/>
              <w:rPr>
                <w:rFonts w:eastAsia="Times New Roman" w:cs="Calibri"/>
                <w:color w:val="000000"/>
                <w:sz w:val="20"/>
                <w:szCs w:val="20"/>
              </w:rPr>
            </w:pPr>
            <w:r w:rsidRPr="00E927C4">
              <w:rPr>
                <w:rFonts w:eastAsia="Times New Roman" w:cs="Calibri"/>
                <w:color w:val="000000"/>
                <w:sz w:val="20"/>
                <w:szCs w:val="20"/>
              </w:rPr>
              <w:t>25.468</w:t>
            </w:r>
          </w:p>
        </w:tc>
      </w:tr>
      <w:tr w:rsidR="00FD2CBB" w:rsidRPr="002B66B1" w14:paraId="40027EDC" w14:textId="77777777" w:rsidTr="00C64A2F">
        <w:trPr>
          <w:trHeight w:val="300"/>
        </w:trPr>
        <w:tc>
          <w:tcPr>
            <w:tcW w:w="800" w:type="dxa"/>
            <w:noWrap/>
          </w:tcPr>
          <w:p w14:paraId="611898D5" w14:textId="77777777" w:rsidR="00FD2CBB" w:rsidRPr="00EB1A77" w:rsidRDefault="00FD2CBB">
            <w:pPr>
              <w:spacing w:after="0" w:line="240" w:lineRule="auto"/>
              <w:jc w:val="left"/>
              <w:rPr>
                <w:rFonts w:eastAsia="Times New Roman" w:cs="Calibri"/>
                <w:color w:val="000000"/>
                <w:sz w:val="20"/>
                <w:szCs w:val="20"/>
              </w:rPr>
            </w:pPr>
            <w:r w:rsidRPr="00EB1A77">
              <w:rPr>
                <w:rFonts w:cs="Calibri"/>
                <w:sz w:val="20"/>
                <w:szCs w:val="20"/>
              </w:rPr>
              <w:t>Chi3</w:t>
            </w:r>
          </w:p>
        </w:tc>
        <w:tc>
          <w:tcPr>
            <w:tcW w:w="5480" w:type="dxa"/>
            <w:noWrap/>
          </w:tcPr>
          <w:p w14:paraId="07ABFD99" w14:textId="77777777" w:rsidR="00FD2CBB" w:rsidRPr="00EB1A77" w:rsidRDefault="00FD2CBB">
            <w:pPr>
              <w:spacing w:after="0" w:line="240" w:lineRule="auto"/>
              <w:jc w:val="left"/>
              <w:rPr>
                <w:rFonts w:eastAsia="Times New Roman" w:cs="Calibri"/>
                <w:color w:val="000000"/>
                <w:sz w:val="20"/>
                <w:szCs w:val="20"/>
              </w:rPr>
            </w:pPr>
            <w:r>
              <w:rPr>
                <w:rFonts w:cs="Calibri"/>
                <w:sz w:val="20"/>
                <w:szCs w:val="20"/>
              </w:rPr>
              <w:t>M</w:t>
            </w:r>
            <w:r w:rsidRPr="00EB1A77">
              <w:rPr>
                <w:rFonts w:cs="Calibri"/>
                <w:sz w:val="20"/>
                <w:szCs w:val="20"/>
              </w:rPr>
              <w:t>ercatale mercoledì</w:t>
            </w:r>
          </w:p>
        </w:tc>
        <w:tc>
          <w:tcPr>
            <w:tcW w:w="1340" w:type="dxa"/>
            <w:noWrap/>
            <w:vAlign w:val="center"/>
          </w:tcPr>
          <w:p w14:paraId="6C2C7E5E" w14:textId="77777777" w:rsidR="00FD2CBB" w:rsidRPr="00E927C4" w:rsidRDefault="00FD2CBB">
            <w:pPr>
              <w:spacing w:after="0" w:line="240" w:lineRule="auto"/>
              <w:jc w:val="right"/>
              <w:rPr>
                <w:rFonts w:eastAsia="Times New Roman" w:cs="Calibri"/>
                <w:color w:val="000000"/>
                <w:sz w:val="20"/>
                <w:szCs w:val="20"/>
              </w:rPr>
            </w:pPr>
            <w:r w:rsidRPr="00E927C4">
              <w:rPr>
                <w:rFonts w:eastAsia="Times New Roman" w:cs="Calibri"/>
                <w:color w:val="000000"/>
                <w:sz w:val="20"/>
                <w:szCs w:val="20"/>
              </w:rPr>
              <w:t>2</w:t>
            </w:r>
          </w:p>
        </w:tc>
        <w:tc>
          <w:tcPr>
            <w:tcW w:w="1340" w:type="dxa"/>
            <w:noWrap/>
            <w:vAlign w:val="center"/>
          </w:tcPr>
          <w:p w14:paraId="01F8C74D" w14:textId="77777777" w:rsidR="00FD2CBB" w:rsidRPr="00E927C4" w:rsidRDefault="00FD2CBB">
            <w:pPr>
              <w:spacing w:after="0" w:line="240" w:lineRule="auto"/>
              <w:jc w:val="right"/>
              <w:rPr>
                <w:rFonts w:eastAsia="Times New Roman" w:cs="Calibri"/>
                <w:color w:val="000000"/>
                <w:sz w:val="20"/>
                <w:szCs w:val="20"/>
              </w:rPr>
            </w:pPr>
            <w:r w:rsidRPr="00E927C4">
              <w:rPr>
                <w:rFonts w:eastAsia="Times New Roman" w:cs="Calibri"/>
                <w:color w:val="000000"/>
                <w:sz w:val="20"/>
                <w:szCs w:val="20"/>
              </w:rPr>
              <w:t>1.919</w:t>
            </w:r>
          </w:p>
        </w:tc>
      </w:tr>
      <w:tr w:rsidR="00FD2CBB" w:rsidRPr="002B66B1" w14:paraId="2E7575B2" w14:textId="77777777" w:rsidTr="00C64A2F">
        <w:trPr>
          <w:trHeight w:val="300"/>
        </w:trPr>
        <w:tc>
          <w:tcPr>
            <w:tcW w:w="800" w:type="dxa"/>
            <w:noWrap/>
          </w:tcPr>
          <w:p w14:paraId="3AC98602" w14:textId="77777777" w:rsidR="00FD2CBB" w:rsidRPr="00EB1A77" w:rsidRDefault="00FD2CBB">
            <w:pPr>
              <w:spacing w:after="0" w:line="240" w:lineRule="auto"/>
              <w:jc w:val="left"/>
              <w:rPr>
                <w:rFonts w:eastAsia="Times New Roman" w:cs="Calibri"/>
                <w:color w:val="000000"/>
                <w:sz w:val="20"/>
                <w:szCs w:val="20"/>
              </w:rPr>
            </w:pPr>
            <w:r w:rsidRPr="00EB1A77">
              <w:rPr>
                <w:rFonts w:cs="Calibri"/>
                <w:sz w:val="20"/>
                <w:szCs w:val="20"/>
              </w:rPr>
              <w:t>Chi4</w:t>
            </w:r>
          </w:p>
        </w:tc>
        <w:tc>
          <w:tcPr>
            <w:tcW w:w="5480" w:type="dxa"/>
            <w:noWrap/>
          </w:tcPr>
          <w:p w14:paraId="6026BB2A" w14:textId="77777777" w:rsidR="00FD2CBB" w:rsidRPr="00EB1A77" w:rsidRDefault="00FD2CBB">
            <w:pPr>
              <w:spacing w:after="0" w:line="240" w:lineRule="auto"/>
              <w:jc w:val="left"/>
              <w:rPr>
                <w:rFonts w:eastAsia="Times New Roman" w:cs="Calibri"/>
                <w:color w:val="000000"/>
                <w:sz w:val="20"/>
                <w:szCs w:val="20"/>
              </w:rPr>
            </w:pPr>
            <w:r>
              <w:rPr>
                <w:rFonts w:cs="Calibri"/>
                <w:sz w:val="20"/>
                <w:szCs w:val="20"/>
              </w:rPr>
              <w:t>M</w:t>
            </w:r>
            <w:r w:rsidRPr="00EB1A77">
              <w:rPr>
                <w:rFonts w:cs="Calibri"/>
                <w:sz w:val="20"/>
                <w:szCs w:val="20"/>
              </w:rPr>
              <w:t>ercatale sabato</w:t>
            </w:r>
          </w:p>
        </w:tc>
        <w:tc>
          <w:tcPr>
            <w:tcW w:w="1340" w:type="dxa"/>
            <w:noWrap/>
            <w:vAlign w:val="center"/>
          </w:tcPr>
          <w:p w14:paraId="48E71C30" w14:textId="77777777" w:rsidR="00FD2CBB" w:rsidRPr="00E927C4" w:rsidRDefault="00FD2CBB">
            <w:pPr>
              <w:spacing w:after="0" w:line="240" w:lineRule="auto"/>
              <w:jc w:val="right"/>
              <w:rPr>
                <w:rFonts w:eastAsia="Times New Roman" w:cs="Calibri"/>
                <w:color w:val="000000"/>
                <w:sz w:val="20"/>
                <w:szCs w:val="20"/>
              </w:rPr>
            </w:pPr>
            <w:r w:rsidRPr="00E927C4">
              <w:rPr>
                <w:rFonts w:eastAsia="Times New Roman" w:cs="Calibri"/>
                <w:color w:val="000000"/>
                <w:sz w:val="20"/>
                <w:szCs w:val="20"/>
              </w:rPr>
              <w:t>2</w:t>
            </w:r>
          </w:p>
        </w:tc>
        <w:tc>
          <w:tcPr>
            <w:tcW w:w="1340" w:type="dxa"/>
            <w:noWrap/>
            <w:vAlign w:val="center"/>
          </w:tcPr>
          <w:p w14:paraId="653146C9" w14:textId="77777777" w:rsidR="00FD2CBB" w:rsidRPr="00E927C4" w:rsidRDefault="00FD2CBB">
            <w:pPr>
              <w:spacing w:after="0" w:line="240" w:lineRule="auto"/>
              <w:jc w:val="right"/>
              <w:rPr>
                <w:rFonts w:eastAsia="Times New Roman" w:cs="Calibri"/>
                <w:color w:val="000000"/>
                <w:sz w:val="20"/>
                <w:szCs w:val="20"/>
              </w:rPr>
            </w:pPr>
            <w:r w:rsidRPr="00E927C4">
              <w:rPr>
                <w:rFonts w:eastAsia="Times New Roman" w:cs="Calibri"/>
                <w:color w:val="000000"/>
                <w:sz w:val="20"/>
                <w:szCs w:val="20"/>
              </w:rPr>
              <w:t>1.428</w:t>
            </w:r>
          </w:p>
        </w:tc>
      </w:tr>
      <w:tr w:rsidR="00FD2CBB" w:rsidRPr="002B66B1" w14:paraId="54793F3D" w14:textId="77777777" w:rsidTr="00C64A2F">
        <w:trPr>
          <w:trHeight w:val="300"/>
        </w:trPr>
        <w:tc>
          <w:tcPr>
            <w:tcW w:w="6280" w:type="dxa"/>
            <w:gridSpan w:val="2"/>
            <w:shd w:val="clear" w:color="auto" w:fill="F9CEC9"/>
            <w:noWrap/>
            <w:vAlign w:val="center"/>
            <w:hideMark/>
          </w:tcPr>
          <w:p w14:paraId="6B30FDFC" w14:textId="77777777" w:rsidR="00FD2CBB" w:rsidRPr="00EB1A77" w:rsidRDefault="00FD2CBB">
            <w:pPr>
              <w:spacing w:after="0" w:line="240" w:lineRule="auto"/>
              <w:jc w:val="left"/>
              <w:rPr>
                <w:rFonts w:eastAsia="Times New Roman" w:cs="Calibri"/>
                <w:b/>
                <w:color w:val="000000"/>
                <w:sz w:val="20"/>
                <w:szCs w:val="20"/>
              </w:rPr>
            </w:pPr>
            <w:r w:rsidRPr="00EB1A77">
              <w:rPr>
                <w:rFonts w:eastAsia="Times New Roman" w:cs="Calibri"/>
                <w:b/>
                <w:color w:val="000000"/>
                <w:sz w:val="20"/>
                <w:szCs w:val="20"/>
              </w:rPr>
              <w:t>TOTALE SERVIZI COMUNE DI CHIVASSO</w:t>
            </w:r>
          </w:p>
        </w:tc>
        <w:tc>
          <w:tcPr>
            <w:tcW w:w="1340" w:type="dxa"/>
            <w:shd w:val="clear" w:color="auto" w:fill="F9CEC9"/>
            <w:noWrap/>
            <w:vAlign w:val="center"/>
          </w:tcPr>
          <w:p w14:paraId="518CA1F5" w14:textId="77777777" w:rsidR="00FD2CBB" w:rsidRPr="00E927C4" w:rsidRDefault="00FD2CBB">
            <w:pPr>
              <w:spacing w:after="0" w:line="240" w:lineRule="auto"/>
              <w:jc w:val="right"/>
              <w:rPr>
                <w:rFonts w:eastAsia="Times New Roman" w:cs="Calibri"/>
                <w:b/>
                <w:color w:val="000000"/>
                <w:sz w:val="20"/>
                <w:szCs w:val="20"/>
              </w:rPr>
            </w:pPr>
            <w:r w:rsidRPr="00E927C4">
              <w:rPr>
                <w:rFonts w:eastAsia="Times New Roman" w:cs="Calibri"/>
                <w:b/>
                <w:color w:val="000000"/>
                <w:sz w:val="20"/>
                <w:szCs w:val="20"/>
              </w:rPr>
              <w:t>12</w:t>
            </w:r>
          </w:p>
        </w:tc>
        <w:tc>
          <w:tcPr>
            <w:tcW w:w="1340" w:type="dxa"/>
            <w:shd w:val="clear" w:color="auto" w:fill="F9CEC9"/>
            <w:noWrap/>
            <w:vAlign w:val="center"/>
          </w:tcPr>
          <w:p w14:paraId="1B2E261F" w14:textId="77777777" w:rsidR="00FD2CBB" w:rsidRPr="00E927C4" w:rsidRDefault="00FD2CBB">
            <w:pPr>
              <w:spacing w:after="0" w:line="240" w:lineRule="auto"/>
              <w:jc w:val="right"/>
              <w:rPr>
                <w:rFonts w:eastAsia="Times New Roman" w:cs="Calibri"/>
                <w:b/>
                <w:color w:val="000000"/>
                <w:sz w:val="20"/>
                <w:szCs w:val="20"/>
              </w:rPr>
            </w:pPr>
            <w:r w:rsidRPr="00E927C4">
              <w:rPr>
                <w:rFonts w:eastAsia="Times New Roman" w:cs="Calibri"/>
                <w:b/>
                <w:color w:val="000000"/>
                <w:sz w:val="20"/>
                <w:szCs w:val="20"/>
              </w:rPr>
              <w:t>31.325</w:t>
            </w:r>
          </w:p>
        </w:tc>
      </w:tr>
      <w:tr w:rsidR="00FD2CBB" w:rsidRPr="002B66B1" w14:paraId="560D1462" w14:textId="77777777" w:rsidTr="00C64A2F">
        <w:trPr>
          <w:trHeight w:val="300"/>
        </w:trPr>
        <w:tc>
          <w:tcPr>
            <w:tcW w:w="800" w:type="dxa"/>
            <w:noWrap/>
          </w:tcPr>
          <w:p w14:paraId="4A7BE80B" w14:textId="77777777" w:rsidR="00FD2CBB" w:rsidRPr="00EB1A77" w:rsidRDefault="00FD2CBB">
            <w:pPr>
              <w:spacing w:after="0" w:line="240" w:lineRule="auto"/>
              <w:jc w:val="left"/>
              <w:rPr>
                <w:rFonts w:eastAsia="Times New Roman" w:cs="Calibri"/>
                <w:color w:val="000000"/>
                <w:sz w:val="20"/>
                <w:szCs w:val="20"/>
              </w:rPr>
            </w:pPr>
            <w:r w:rsidRPr="00EB1A77">
              <w:rPr>
                <w:rFonts w:cs="Calibri"/>
                <w:sz w:val="20"/>
                <w:szCs w:val="20"/>
              </w:rPr>
              <w:t>S1</w:t>
            </w:r>
          </w:p>
        </w:tc>
        <w:tc>
          <w:tcPr>
            <w:tcW w:w="5480" w:type="dxa"/>
            <w:noWrap/>
          </w:tcPr>
          <w:p w14:paraId="0E81C285" w14:textId="77777777" w:rsidR="00FD2CBB" w:rsidRPr="00EB1A77" w:rsidRDefault="00FD2CBB">
            <w:pPr>
              <w:spacing w:after="0" w:line="240" w:lineRule="auto"/>
              <w:jc w:val="left"/>
              <w:rPr>
                <w:rFonts w:eastAsia="Times New Roman" w:cs="Calibri"/>
                <w:color w:val="000000"/>
                <w:sz w:val="20"/>
                <w:szCs w:val="20"/>
              </w:rPr>
            </w:pPr>
            <w:r w:rsidRPr="00EB1A77">
              <w:rPr>
                <w:rFonts w:cs="Calibri"/>
                <w:sz w:val="20"/>
                <w:szCs w:val="20"/>
              </w:rPr>
              <w:t>Sud Ovest - Quadrifoglio - Palace</w:t>
            </w:r>
          </w:p>
        </w:tc>
        <w:tc>
          <w:tcPr>
            <w:tcW w:w="1340" w:type="dxa"/>
            <w:noWrap/>
            <w:vAlign w:val="center"/>
          </w:tcPr>
          <w:p w14:paraId="23101799" w14:textId="77777777" w:rsidR="00FD2CBB" w:rsidRPr="00E927C4" w:rsidRDefault="00FD2CBB">
            <w:pPr>
              <w:spacing w:after="0" w:line="240" w:lineRule="auto"/>
              <w:jc w:val="right"/>
              <w:rPr>
                <w:rFonts w:eastAsia="Times New Roman" w:cs="Calibri"/>
                <w:color w:val="000000"/>
                <w:sz w:val="20"/>
                <w:szCs w:val="20"/>
              </w:rPr>
            </w:pPr>
            <w:r w:rsidRPr="00E927C4">
              <w:rPr>
                <w:rFonts w:eastAsia="Times New Roman" w:cs="Calibri"/>
                <w:color w:val="000000"/>
                <w:sz w:val="20"/>
                <w:szCs w:val="20"/>
              </w:rPr>
              <w:t>9</w:t>
            </w:r>
          </w:p>
        </w:tc>
        <w:tc>
          <w:tcPr>
            <w:tcW w:w="1340" w:type="dxa"/>
            <w:noWrap/>
            <w:vAlign w:val="center"/>
          </w:tcPr>
          <w:p w14:paraId="3B6613A9" w14:textId="77777777" w:rsidR="00FD2CBB" w:rsidRPr="00E927C4" w:rsidRDefault="00FD2CBB">
            <w:pPr>
              <w:spacing w:after="0" w:line="240" w:lineRule="auto"/>
              <w:jc w:val="right"/>
              <w:rPr>
                <w:rFonts w:eastAsia="Times New Roman" w:cs="Calibri"/>
                <w:color w:val="000000"/>
                <w:sz w:val="20"/>
                <w:szCs w:val="20"/>
              </w:rPr>
            </w:pPr>
            <w:r w:rsidRPr="00E927C4">
              <w:rPr>
                <w:rFonts w:eastAsia="Times New Roman" w:cs="Calibri"/>
                <w:color w:val="000000"/>
                <w:sz w:val="20"/>
                <w:szCs w:val="20"/>
              </w:rPr>
              <w:t>6.886</w:t>
            </w:r>
          </w:p>
        </w:tc>
      </w:tr>
      <w:tr w:rsidR="00FD2CBB" w:rsidRPr="002B66B1" w14:paraId="2FE8465E" w14:textId="77777777" w:rsidTr="00C64A2F">
        <w:trPr>
          <w:trHeight w:val="300"/>
        </w:trPr>
        <w:tc>
          <w:tcPr>
            <w:tcW w:w="800" w:type="dxa"/>
            <w:noWrap/>
          </w:tcPr>
          <w:p w14:paraId="4ED3D336" w14:textId="77777777" w:rsidR="00FD2CBB" w:rsidRPr="00EB1A77" w:rsidRDefault="00FD2CBB">
            <w:pPr>
              <w:spacing w:after="0" w:line="240" w:lineRule="auto"/>
              <w:jc w:val="left"/>
              <w:rPr>
                <w:rFonts w:eastAsia="Times New Roman" w:cs="Calibri"/>
                <w:color w:val="000000"/>
                <w:sz w:val="20"/>
                <w:szCs w:val="20"/>
              </w:rPr>
            </w:pPr>
            <w:r w:rsidRPr="00EB1A77">
              <w:rPr>
                <w:rFonts w:cs="Calibri"/>
                <w:sz w:val="20"/>
                <w:szCs w:val="20"/>
              </w:rPr>
              <w:t>S2</w:t>
            </w:r>
          </w:p>
        </w:tc>
        <w:tc>
          <w:tcPr>
            <w:tcW w:w="5480" w:type="dxa"/>
            <w:noWrap/>
          </w:tcPr>
          <w:p w14:paraId="2F5A8FC4" w14:textId="77777777" w:rsidR="00FD2CBB" w:rsidRPr="00EB1A77" w:rsidRDefault="00FD2CBB">
            <w:pPr>
              <w:spacing w:after="0" w:line="240" w:lineRule="auto"/>
              <w:jc w:val="left"/>
              <w:rPr>
                <w:rFonts w:eastAsia="Times New Roman" w:cs="Calibri"/>
                <w:color w:val="000000"/>
                <w:sz w:val="20"/>
                <w:szCs w:val="20"/>
              </w:rPr>
            </w:pPr>
            <w:r w:rsidRPr="00EB1A77">
              <w:rPr>
                <w:rFonts w:cs="Calibri"/>
                <w:sz w:val="20"/>
                <w:szCs w:val="20"/>
              </w:rPr>
              <w:t>Palace 1 - Via La Gleisa</w:t>
            </w:r>
          </w:p>
        </w:tc>
        <w:tc>
          <w:tcPr>
            <w:tcW w:w="1340" w:type="dxa"/>
            <w:noWrap/>
            <w:vAlign w:val="center"/>
          </w:tcPr>
          <w:p w14:paraId="404A212E" w14:textId="77777777" w:rsidR="00FD2CBB" w:rsidRPr="00E927C4" w:rsidRDefault="00FD2CBB">
            <w:pPr>
              <w:spacing w:after="0" w:line="240" w:lineRule="auto"/>
              <w:jc w:val="right"/>
              <w:rPr>
                <w:rFonts w:eastAsia="Times New Roman" w:cs="Calibri"/>
                <w:color w:val="000000"/>
                <w:sz w:val="20"/>
                <w:szCs w:val="20"/>
              </w:rPr>
            </w:pPr>
            <w:r w:rsidRPr="00E927C4">
              <w:rPr>
                <w:rFonts w:eastAsia="Times New Roman" w:cs="Calibri"/>
                <w:color w:val="000000"/>
                <w:sz w:val="20"/>
                <w:szCs w:val="20"/>
              </w:rPr>
              <w:t>9</w:t>
            </w:r>
          </w:p>
        </w:tc>
        <w:tc>
          <w:tcPr>
            <w:tcW w:w="1340" w:type="dxa"/>
            <w:noWrap/>
            <w:vAlign w:val="center"/>
          </w:tcPr>
          <w:p w14:paraId="76E7A66B" w14:textId="77777777" w:rsidR="00FD2CBB" w:rsidRPr="00E927C4" w:rsidRDefault="00FD2CBB">
            <w:pPr>
              <w:spacing w:after="0" w:line="240" w:lineRule="auto"/>
              <w:jc w:val="right"/>
              <w:rPr>
                <w:rFonts w:eastAsia="Times New Roman" w:cs="Calibri"/>
                <w:color w:val="000000"/>
                <w:sz w:val="20"/>
                <w:szCs w:val="20"/>
              </w:rPr>
            </w:pPr>
            <w:r w:rsidRPr="00E927C4">
              <w:rPr>
                <w:rFonts w:eastAsia="Times New Roman" w:cs="Calibri"/>
                <w:color w:val="000000"/>
                <w:sz w:val="20"/>
                <w:szCs w:val="20"/>
              </w:rPr>
              <w:t>2.688</w:t>
            </w:r>
          </w:p>
        </w:tc>
      </w:tr>
      <w:tr w:rsidR="00FD2CBB" w:rsidRPr="002B66B1" w14:paraId="24C9113E" w14:textId="77777777" w:rsidTr="00C64A2F">
        <w:trPr>
          <w:trHeight w:val="300"/>
        </w:trPr>
        <w:tc>
          <w:tcPr>
            <w:tcW w:w="800" w:type="dxa"/>
            <w:noWrap/>
          </w:tcPr>
          <w:p w14:paraId="7CE04269" w14:textId="77777777" w:rsidR="00FD2CBB" w:rsidRPr="00EB1A77" w:rsidRDefault="00FD2CBB">
            <w:pPr>
              <w:spacing w:after="0" w:line="240" w:lineRule="auto"/>
              <w:jc w:val="left"/>
              <w:rPr>
                <w:rFonts w:eastAsia="Times New Roman" w:cs="Calibri"/>
                <w:color w:val="000000"/>
                <w:sz w:val="20"/>
                <w:szCs w:val="20"/>
              </w:rPr>
            </w:pPr>
            <w:r>
              <w:rPr>
                <w:rFonts w:eastAsia="Times New Roman" w:cs="Calibri"/>
                <w:color w:val="000000"/>
                <w:sz w:val="20"/>
                <w:szCs w:val="20"/>
              </w:rPr>
              <w:t>Ses1</w:t>
            </w:r>
          </w:p>
        </w:tc>
        <w:tc>
          <w:tcPr>
            <w:tcW w:w="5480" w:type="dxa"/>
            <w:noWrap/>
          </w:tcPr>
          <w:p w14:paraId="4260B42D" w14:textId="77777777" w:rsidR="00FD2CBB" w:rsidRPr="00EB1A77" w:rsidRDefault="00FD2CBB">
            <w:pPr>
              <w:spacing w:after="0" w:line="240" w:lineRule="auto"/>
              <w:jc w:val="left"/>
              <w:rPr>
                <w:rFonts w:eastAsia="Times New Roman" w:cs="Calibri"/>
                <w:color w:val="000000"/>
                <w:sz w:val="20"/>
                <w:szCs w:val="20"/>
              </w:rPr>
            </w:pPr>
            <w:r w:rsidRPr="00EB1A77">
              <w:rPr>
                <w:rFonts w:cs="Calibri"/>
                <w:sz w:val="20"/>
                <w:szCs w:val="20"/>
              </w:rPr>
              <w:t>Sestriere - Borgate</w:t>
            </w:r>
          </w:p>
        </w:tc>
        <w:tc>
          <w:tcPr>
            <w:tcW w:w="1340" w:type="dxa"/>
            <w:noWrap/>
            <w:vAlign w:val="center"/>
          </w:tcPr>
          <w:p w14:paraId="12ECE9E8" w14:textId="77777777" w:rsidR="00FD2CBB" w:rsidRPr="00E927C4" w:rsidRDefault="00FD2CBB">
            <w:pPr>
              <w:spacing w:after="0" w:line="240" w:lineRule="auto"/>
              <w:jc w:val="right"/>
              <w:rPr>
                <w:rFonts w:eastAsia="Times New Roman" w:cs="Calibri"/>
                <w:color w:val="000000"/>
                <w:sz w:val="20"/>
                <w:szCs w:val="20"/>
              </w:rPr>
            </w:pPr>
            <w:r w:rsidRPr="00E927C4">
              <w:rPr>
                <w:rFonts w:eastAsia="Times New Roman" w:cs="Calibri"/>
                <w:color w:val="000000"/>
                <w:sz w:val="20"/>
                <w:szCs w:val="20"/>
              </w:rPr>
              <w:t>28</w:t>
            </w:r>
          </w:p>
        </w:tc>
        <w:tc>
          <w:tcPr>
            <w:tcW w:w="1340" w:type="dxa"/>
            <w:noWrap/>
            <w:vAlign w:val="center"/>
          </w:tcPr>
          <w:p w14:paraId="25D62EAB" w14:textId="77777777" w:rsidR="00FD2CBB" w:rsidRPr="00E927C4" w:rsidRDefault="00FD2CBB">
            <w:pPr>
              <w:spacing w:after="0" w:line="240" w:lineRule="auto"/>
              <w:jc w:val="right"/>
              <w:rPr>
                <w:rFonts w:eastAsia="Times New Roman" w:cs="Calibri"/>
                <w:color w:val="000000"/>
                <w:sz w:val="20"/>
                <w:szCs w:val="20"/>
              </w:rPr>
            </w:pPr>
            <w:r w:rsidRPr="00E927C4">
              <w:rPr>
                <w:rFonts w:eastAsia="Times New Roman" w:cs="Calibri"/>
                <w:color w:val="000000"/>
                <w:sz w:val="20"/>
                <w:szCs w:val="20"/>
              </w:rPr>
              <w:t>11.544</w:t>
            </w:r>
          </w:p>
        </w:tc>
      </w:tr>
      <w:tr w:rsidR="00FD2CBB" w:rsidRPr="002B66B1" w14:paraId="4642DC1C" w14:textId="77777777" w:rsidTr="00C64A2F">
        <w:trPr>
          <w:trHeight w:val="300"/>
        </w:trPr>
        <w:tc>
          <w:tcPr>
            <w:tcW w:w="800" w:type="dxa"/>
            <w:noWrap/>
          </w:tcPr>
          <w:p w14:paraId="50A73710" w14:textId="77777777" w:rsidR="00FD2CBB" w:rsidRPr="00EB1A77" w:rsidRDefault="00FD2CBB">
            <w:pPr>
              <w:spacing w:after="0" w:line="240" w:lineRule="auto"/>
              <w:jc w:val="left"/>
              <w:rPr>
                <w:rFonts w:eastAsia="Times New Roman" w:cs="Calibri"/>
                <w:color w:val="000000"/>
                <w:sz w:val="20"/>
                <w:szCs w:val="20"/>
              </w:rPr>
            </w:pPr>
            <w:r>
              <w:rPr>
                <w:rFonts w:eastAsia="Times New Roman" w:cs="Calibri"/>
                <w:color w:val="000000"/>
                <w:sz w:val="20"/>
                <w:szCs w:val="20"/>
              </w:rPr>
              <w:t>Ses2</w:t>
            </w:r>
          </w:p>
        </w:tc>
        <w:tc>
          <w:tcPr>
            <w:tcW w:w="5480" w:type="dxa"/>
            <w:noWrap/>
          </w:tcPr>
          <w:p w14:paraId="39F83BDA" w14:textId="77777777" w:rsidR="00FD2CBB" w:rsidRPr="00EB1A77" w:rsidRDefault="00FD2CBB">
            <w:pPr>
              <w:spacing w:after="0" w:line="240" w:lineRule="auto"/>
              <w:jc w:val="left"/>
              <w:rPr>
                <w:rFonts w:eastAsia="Times New Roman" w:cs="Calibri"/>
                <w:color w:val="000000"/>
                <w:sz w:val="20"/>
                <w:szCs w:val="20"/>
              </w:rPr>
            </w:pPr>
            <w:r w:rsidRPr="00EB1A77">
              <w:rPr>
                <w:rFonts w:cs="Calibri"/>
                <w:sz w:val="20"/>
                <w:szCs w:val="20"/>
              </w:rPr>
              <w:t>Sestriere - Champlas Janvier</w:t>
            </w:r>
          </w:p>
        </w:tc>
        <w:tc>
          <w:tcPr>
            <w:tcW w:w="1340" w:type="dxa"/>
            <w:noWrap/>
            <w:vAlign w:val="center"/>
          </w:tcPr>
          <w:p w14:paraId="031CE846" w14:textId="77777777" w:rsidR="00FD2CBB" w:rsidRPr="00E927C4" w:rsidRDefault="00FD2CBB">
            <w:pPr>
              <w:spacing w:after="0" w:line="240" w:lineRule="auto"/>
              <w:jc w:val="right"/>
              <w:rPr>
                <w:rFonts w:eastAsia="Times New Roman" w:cs="Calibri"/>
                <w:color w:val="000000"/>
                <w:sz w:val="20"/>
                <w:szCs w:val="20"/>
              </w:rPr>
            </w:pPr>
            <w:r w:rsidRPr="00E927C4">
              <w:rPr>
                <w:rFonts w:eastAsia="Times New Roman" w:cs="Calibri"/>
                <w:color w:val="000000"/>
                <w:sz w:val="20"/>
                <w:szCs w:val="20"/>
              </w:rPr>
              <w:t>18</w:t>
            </w:r>
          </w:p>
        </w:tc>
        <w:tc>
          <w:tcPr>
            <w:tcW w:w="1340" w:type="dxa"/>
            <w:noWrap/>
            <w:vAlign w:val="center"/>
          </w:tcPr>
          <w:p w14:paraId="07078340" w14:textId="77777777" w:rsidR="00FD2CBB" w:rsidRPr="00E927C4" w:rsidRDefault="00FD2CBB">
            <w:pPr>
              <w:spacing w:after="0" w:line="240" w:lineRule="auto"/>
              <w:jc w:val="right"/>
              <w:rPr>
                <w:rFonts w:eastAsia="Times New Roman" w:cs="Calibri"/>
                <w:color w:val="000000"/>
                <w:sz w:val="20"/>
                <w:szCs w:val="20"/>
              </w:rPr>
            </w:pPr>
            <w:r w:rsidRPr="00E927C4">
              <w:rPr>
                <w:rFonts w:eastAsia="Times New Roman" w:cs="Calibri"/>
                <w:color w:val="000000"/>
                <w:sz w:val="20"/>
                <w:szCs w:val="20"/>
              </w:rPr>
              <w:t>7.807</w:t>
            </w:r>
          </w:p>
        </w:tc>
      </w:tr>
      <w:tr w:rsidR="00FD2CBB" w:rsidRPr="002B66B1" w14:paraId="73A19163" w14:textId="77777777" w:rsidTr="00C64A2F">
        <w:trPr>
          <w:trHeight w:val="300"/>
        </w:trPr>
        <w:tc>
          <w:tcPr>
            <w:tcW w:w="6280" w:type="dxa"/>
            <w:gridSpan w:val="2"/>
            <w:shd w:val="clear" w:color="auto" w:fill="F9CEC9"/>
            <w:noWrap/>
            <w:vAlign w:val="center"/>
            <w:hideMark/>
          </w:tcPr>
          <w:p w14:paraId="0E02EEF0" w14:textId="77777777" w:rsidR="00FD2CBB" w:rsidRPr="00EB1A77" w:rsidRDefault="00FD2CBB">
            <w:pPr>
              <w:spacing w:after="0" w:line="240" w:lineRule="auto"/>
              <w:jc w:val="left"/>
              <w:rPr>
                <w:rFonts w:eastAsia="Times New Roman" w:cs="Calibri"/>
                <w:b/>
                <w:color w:val="000000"/>
                <w:sz w:val="20"/>
                <w:szCs w:val="20"/>
              </w:rPr>
            </w:pPr>
            <w:r w:rsidRPr="00EB1A77">
              <w:rPr>
                <w:rFonts w:eastAsia="Times New Roman" w:cs="Calibri"/>
                <w:b/>
                <w:color w:val="000000"/>
                <w:sz w:val="20"/>
                <w:szCs w:val="20"/>
              </w:rPr>
              <w:t>TOTALE SERVIZI COMUNE DI SESTRIERE</w:t>
            </w:r>
          </w:p>
        </w:tc>
        <w:tc>
          <w:tcPr>
            <w:tcW w:w="1340" w:type="dxa"/>
            <w:shd w:val="clear" w:color="auto" w:fill="F9CEC9"/>
            <w:noWrap/>
            <w:vAlign w:val="center"/>
          </w:tcPr>
          <w:p w14:paraId="21953066" w14:textId="77777777" w:rsidR="00FD2CBB" w:rsidRPr="00E927C4" w:rsidRDefault="00FD2CBB">
            <w:pPr>
              <w:spacing w:after="0" w:line="240" w:lineRule="auto"/>
              <w:jc w:val="right"/>
              <w:rPr>
                <w:rFonts w:eastAsia="Times New Roman" w:cs="Calibri"/>
                <w:b/>
                <w:color w:val="000000"/>
                <w:sz w:val="20"/>
                <w:szCs w:val="20"/>
              </w:rPr>
            </w:pPr>
            <w:r w:rsidRPr="00E927C4">
              <w:rPr>
                <w:rFonts w:eastAsia="Times New Roman" w:cs="Calibri"/>
                <w:b/>
                <w:color w:val="000000"/>
                <w:sz w:val="20"/>
                <w:szCs w:val="20"/>
              </w:rPr>
              <w:t>64</w:t>
            </w:r>
          </w:p>
        </w:tc>
        <w:tc>
          <w:tcPr>
            <w:tcW w:w="1340" w:type="dxa"/>
            <w:shd w:val="clear" w:color="auto" w:fill="F9CEC9"/>
            <w:noWrap/>
            <w:vAlign w:val="center"/>
          </w:tcPr>
          <w:p w14:paraId="736E9045" w14:textId="77777777" w:rsidR="00FD2CBB" w:rsidRPr="00E927C4" w:rsidRDefault="00FD2CBB">
            <w:pPr>
              <w:spacing w:after="0" w:line="240" w:lineRule="auto"/>
              <w:jc w:val="right"/>
              <w:rPr>
                <w:rFonts w:eastAsia="Times New Roman" w:cs="Calibri"/>
                <w:b/>
                <w:color w:val="000000"/>
                <w:sz w:val="20"/>
                <w:szCs w:val="20"/>
              </w:rPr>
            </w:pPr>
            <w:r w:rsidRPr="00E927C4">
              <w:rPr>
                <w:rFonts w:eastAsia="Times New Roman" w:cs="Calibri"/>
                <w:b/>
                <w:color w:val="000000"/>
                <w:sz w:val="20"/>
                <w:szCs w:val="20"/>
              </w:rPr>
              <w:t>28.925</w:t>
            </w:r>
          </w:p>
        </w:tc>
      </w:tr>
      <w:tr w:rsidR="00FD2CBB" w:rsidRPr="002B66B1" w14:paraId="4C0952C6" w14:textId="77777777" w:rsidTr="00C64A2F">
        <w:trPr>
          <w:trHeight w:val="300"/>
        </w:trPr>
        <w:tc>
          <w:tcPr>
            <w:tcW w:w="800" w:type="dxa"/>
            <w:noWrap/>
          </w:tcPr>
          <w:p w14:paraId="18537994" w14:textId="77777777" w:rsidR="00FD2CBB" w:rsidRPr="00EB1A77" w:rsidRDefault="00FD2CBB">
            <w:pPr>
              <w:spacing w:after="0" w:line="240" w:lineRule="auto"/>
              <w:jc w:val="left"/>
              <w:rPr>
                <w:rFonts w:eastAsia="Times New Roman" w:cs="Calibri"/>
                <w:color w:val="000000"/>
                <w:sz w:val="20"/>
                <w:szCs w:val="20"/>
              </w:rPr>
            </w:pPr>
            <w:r w:rsidRPr="00EB1A77">
              <w:rPr>
                <w:rFonts w:cs="Calibri"/>
                <w:sz w:val="20"/>
                <w:szCs w:val="20"/>
              </w:rPr>
              <w:t>123</w:t>
            </w:r>
          </w:p>
        </w:tc>
        <w:tc>
          <w:tcPr>
            <w:tcW w:w="5480" w:type="dxa"/>
            <w:noWrap/>
          </w:tcPr>
          <w:p w14:paraId="556BEAEC" w14:textId="77777777" w:rsidR="00FD2CBB" w:rsidRPr="00EB1A77" w:rsidRDefault="00FD2CBB">
            <w:pPr>
              <w:spacing w:after="0" w:line="240" w:lineRule="auto"/>
              <w:jc w:val="left"/>
              <w:rPr>
                <w:rFonts w:eastAsia="Times New Roman" w:cs="Calibri"/>
                <w:color w:val="000000"/>
                <w:sz w:val="20"/>
                <w:szCs w:val="20"/>
              </w:rPr>
            </w:pPr>
            <w:r w:rsidRPr="00EB1A77">
              <w:rPr>
                <w:rFonts w:cs="Calibri"/>
                <w:sz w:val="20"/>
                <w:szCs w:val="20"/>
              </w:rPr>
              <w:t>Coassolo - Lanzo</w:t>
            </w:r>
          </w:p>
        </w:tc>
        <w:tc>
          <w:tcPr>
            <w:tcW w:w="1340" w:type="dxa"/>
            <w:noWrap/>
            <w:vAlign w:val="center"/>
          </w:tcPr>
          <w:p w14:paraId="28203681" w14:textId="77777777" w:rsidR="00FD2CBB" w:rsidRPr="00E927C4" w:rsidRDefault="00FD2CBB">
            <w:pPr>
              <w:spacing w:after="0" w:line="240" w:lineRule="auto"/>
              <w:jc w:val="right"/>
              <w:rPr>
                <w:rFonts w:eastAsia="Times New Roman" w:cs="Calibri"/>
                <w:color w:val="000000"/>
                <w:sz w:val="20"/>
                <w:szCs w:val="20"/>
              </w:rPr>
            </w:pPr>
            <w:r w:rsidRPr="00E927C4">
              <w:rPr>
                <w:rFonts w:eastAsia="Times New Roman" w:cs="Calibri"/>
                <w:color w:val="000000"/>
                <w:sz w:val="20"/>
                <w:szCs w:val="20"/>
              </w:rPr>
              <w:t>20</w:t>
            </w:r>
          </w:p>
        </w:tc>
        <w:tc>
          <w:tcPr>
            <w:tcW w:w="1340" w:type="dxa"/>
            <w:noWrap/>
            <w:vAlign w:val="center"/>
          </w:tcPr>
          <w:p w14:paraId="76D7B360" w14:textId="77777777" w:rsidR="00FD2CBB" w:rsidRPr="00E927C4" w:rsidRDefault="00FD2CBB">
            <w:pPr>
              <w:spacing w:after="0" w:line="240" w:lineRule="auto"/>
              <w:jc w:val="right"/>
              <w:rPr>
                <w:rFonts w:eastAsia="Times New Roman" w:cs="Calibri"/>
                <w:color w:val="000000"/>
                <w:sz w:val="20"/>
                <w:szCs w:val="20"/>
              </w:rPr>
            </w:pPr>
            <w:r w:rsidRPr="00E927C4">
              <w:rPr>
                <w:rFonts w:eastAsia="Times New Roman" w:cs="Calibri"/>
                <w:color w:val="000000"/>
                <w:sz w:val="20"/>
                <w:szCs w:val="20"/>
              </w:rPr>
              <w:t>35.958</w:t>
            </w:r>
          </w:p>
        </w:tc>
      </w:tr>
      <w:tr w:rsidR="00FD2CBB" w:rsidRPr="002B66B1" w14:paraId="6556919E" w14:textId="77777777" w:rsidTr="00C64A2F">
        <w:trPr>
          <w:trHeight w:val="300"/>
        </w:trPr>
        <w:tc>
          <w:tcPr>
            <w:tcW w:w="800" w:type="dxa"/>
            <w:noWrap/>
          </w:tcPr>
          <w:p w14:paraId="1CB95B29" w14:textId="77777777" w:rsidR="00FD2CBB" w:rsidRPr="00EB1A77" w:rsidRDefault="00FD2CBB">
            <w:pPr>
              <w:spacing w:after="0" w:line="240" w:lineRule="auto"/>
              <w:jc w:val="left"/>
              <w:rPr>
                <w:rFonts w:eastAsia="Times New Roman" w:cs="Calibri"/>
                <w:color w:val="000000"/>
                <w:sz w:val="20"/>
                <w:szCs w:val="20"/>
              </w:rPr>
            </w:pPr>
            <w:r w:rsidRPr="00EB1A77">
              <w:rPr>
                <w:rFonts w:cs="Calibri"/>
                <w:sz w:val="20"/>
                <w:szCs w:val="20"/>
              </w:rPr>
              <w:t>126</w:t>
            </w:r>
          </w:p>
        </w:tc>
        <w:tc>
          <w:tcPr>
            <w:tcW w:w="5480" w:type="dxa"/>
            <w:noWrap/>
          </w:tcPr>
          <w:p w14:paraId="0DEAF696" w14:textId="77777777" w:rsidR="00FD2CBB" w:rsidRPr="00EB1A77" w:rsidRDefault="00FD2CBB">
            <w:pPr>
              <w:spacing w:after="0" w:line="240" w:lineRule="auto"/>
              <w:jc w:val="left"/>
              <w:rPr>
                <w:rFonts w:eastAsia="Times New Roman" w:cs="Calibri"/>
                <w:color w:val="000000"/>
                <w:sz w:val="20"/>
                <w:szCs w:val="20"/>
              </w:rPr>
            </w:pPr>
            <w:r w:rsidRPr="00EB1A77">
              <w:rPr>
                <w:rFonts w:cs="Calibri"/>
                <w:sz w:val="20"/>
                <w:szCs w:val="20"/>
              </w:rPr>
              <w:t>Chiaves - Monastero Lanzo</w:t>
            </w:r>
          </w:p>
        </w:tc>
        <w:tc>
          <w:tcPr>
            <w:tcW w:w="1340" w:type="dxa"/>
            <w:noWrap/>
            <w:vAlign w:val="center"/>
          </w:tcPr>
          <w:p w14:paraId="0A027EEF" w14:textId="77777777" w:rsidR="00FD2CBB" w:rsidRPr="00E927C4" w:rsidRDefault="00FD2CBB">
            <w:pPr>
              <w:spacing w:after="0" w:line="240" w:lineRule="auto"/>
              <w:jc w:val="right"/>
              <w:rPr>
                <w:rFonts w:eastAsia="Times New Roman" w:cs="Calibri"/>
                <w:color w:val="000000"/>
                <w:sz w:val="20"/>
                <w:szCs w:val="20"/>
              </w:rPr>
            </w:pPr>
            <w:r w:rsidRPr="00E927C4">
              <w:rPr>
                <w:rFonts w:eastAsia="Times New Roman" w:cs="Calibri"/>
                <w:color w:val="000000"/>
                <w:sz w:val="20"/>
                <w:szCs w:val="20"/>
              </w:rPr>
              <w:t>10</w:t>
            </w:r>
          </w:p>
        </w:tc>
        <w:tc>
          <w:tcPr>
            <w:tcW w:w="1340" w:type="dxa"/>
            <w:noWrap/>
            <w:vAlign w:val="center"/>
          </w:tcPr>
          <w:p w14:paraId="1CCC5145" w14:textId="77777777" w:rsidR="00FD2CBB" w:rsidRPr="00E927C4" w:rsidRDefault="00FD2CBB">
            <w:pPr>
              <w:spacing w:after="0" w:line="240" w:lineRule="auto"/>
              <w:jc w:val="right"/>
              <w:rPr>
                <w:rFonts w:eastAsia="Times New Roman" w:cs="Calibri"/>
                <w:color w:val="000000"/>
                <w:sz w:val="20"/>
                <w:szCs w:val="20"/>
              </w:rPr>
            </w:pPr>
            <w:r w:rsidRPr="00E927C4">
              <w:rPr>
                <w:rFonts w:eastAsia="Times New Roman" w:cs="Calibri"/>
                <w:color w:val="000000"/>
                <w:sz w:val="20"/>
                <w:szCs w:val="20"/>
              </w:rPr>
              <w:t>27.157</w:t>
            </w:r>
          </w:p>
        </w:tc>
      </w:tr>
      <w:tr w:rsidR="00FD2CBB" w:rsidRPr="002B66B1" w14:paraId="67899896" w14:textId="77777777" w:rsidTr="00C64A2F">
        <w:trPr>
          <w:trHeight w:val="312"/>
        </w:trPr>
        <w:tc>
          <w:tcPr>
            <w:tcW w:w="6280" w:type="dxa"/>
            <w:gridSpan w:val="2"/>
            <w:shd w:val="clear" w:color="auto" w:fill="F9CEC9"/>
            <w:noWrap/>
            <w:vAlign w:val="center"/>
            <w:hideMark/>
          </w:tcPr>
          <w:p w14:paraId="451D342A" w14:textId="77777777" w:rsidR="00FD2CBB" w:rsidRPr="00EB1A77" w:rsidRDefault="00FD2CBB">
            <w:pPr>
              <w:spacing w:after="0" w:line="240" w:lineRule="auto"/>
              <w:jc w:val="left"/>
              <w:rPr>
                <w:rFonts w:eastAsia="Times New Roman" w:cs="Calibri"/>
                <w:b/>
                <w:color w:val="000000"/>
                <w:sz w:val="20"/>
                <w:szCs w:val="20"/>
              </w:rPr>
            </w:pPr>
            <w:r w:rsidRPr="00EB1A77">
              <w:rPr>
                <w:rFonts w:eastAsia="Times New Roman" w:cs="Calibri"/>
                <w:b/>
                <w:color w:val="000000"/>
                <w:sz w:val="20"/>
                <w:szCs w:val="20"/>
              </w:rPr>
              <w:t xml:space="preserve">TOTALE SERVIZI </w:t>
            </w:r>
            <w:r w:rsidRPr="00EB1A77">
              <w:rPr>
                <w:rFonts w:cs="Calibri"/>
                <w:b/>
                <w:color w:val="000000" w:themeColor="text1"/>
                <w:sz w:val="20"/>
                <w:szCs w:val="20"/>
              </w:rPr>
              <w:t>UNIONE MONTANA DI COMUNI DELLE VALLI DI LANZO, CERONDA E CASTERNONE</w:t>
            </w:r>
          </w:p>
        </w:tc>
        <w:tc>
          <w:tcPr>
            <w:tcW w:w="1340" w:type="dxa"/>
            <w:shd w:val="clear" w:color="auto" w:fill="F9CEC9"/>
            <w:noWrap/>
            <w:vAlign w:val="center"/>
          </w:tcPr>
          <w:p w14:paraId="0C66F9F7" w14:textId="77777777" w:rsidR="00FD2CBB" w:rsidRPr="00E927C4" w:rsidRDefault="00FD2CBB">
            <w:pPr>
              <w:spacing w:after="0" w:line="240" w:lineRule="auto"/>
              <w:jc w:val="right"/>
              <w:rPr>
                <w:rFonts w:eastAsia="Times New Roman" w:cs="Calibri"/>
                <w:b/>
                <w:color w:val="000000"/>
                <w:sz w:val="20"/>
                <w:szCs w:val="20"/>
              </w:rPr>
            </w:pPr>
            <w:r w:rsidRPr="00E927C4">
              <w:rPr>
                <w:rFonts w:eastAsia="Times New Roman" w:cs="Calibri"/>
                <w:b/>
                <w:color w:val="000000"/>
                <w:sz w:val="20"/>
                <w:szCs w:val="20"/>
              </w:rPr>
              <w:t>30</w:t>
            </w:r>
          </w:p>
        </w:tc>
        <w:tc>
          <w:tcPr>
            <w:tcW w:w="1340" w:type="dxa"/>
            <w:shd w:val="clear" w:color="auto" w:fill="F9CEC9"/>
            <w:noWrap/>
            <w:vAlign w:val="center"/>
          </w:tcPr>
          <w:p w14:paraId="65902FE0" w14:textId="77777777" w:rsidR="00FD2CBB" w:rsidRPr="00E927C4" w:rsidRDefault="00FD2CBB">
            <w:pPr>
              <w:spacing w:after="0" w:line="240" w:lineRule="auto"/>
              <w:jc w:val="right"/>
              <w:rPr>
                <w:rFonts w:eastAsia="Times New Roman" w:cs="Calibri"/>
                <w:b/>
                <w:color w:val="000000"/>
                <w:sz w:val="20"/>
                <w:szCs w:val="20"/>
              </w:rPr>
            </w:pPr>
            <w:r w:rsidRPr="00E927C4">
              <w:rPr>
                <w:rFonts w:eastAsia="Times New Roman" w:cs="Calibri"/>
                <w:b/>
                <w:color w:val="000000"/>
                <w:sz w:val="20"/>
                <w:szCs w:val="20"/>
              </w:rPr>
              <w:t>63.115</w:t>
            </w:r>
          </w:p>
        </w:tc>
      </w:tr>
      <w:tr w:rsidR="00FD2CBB" w:rsidRPr="002B66B1" w14:paraId="7D5447FD" w14:textId="77777777" w:rsidTr="00C64A2F">
        <w:trPr>
          <w:trHeight w:val="300"/>
        </w:trPr>
        <w:tc>
          <w:tcPr>
            <w:tcW w:w="800" w:type="dxa"/>
            <w:noWrap/>
          </w:tcPr>
          <w:p w14:paraId="24AFA822" w14:textId="77777777" w:rsidR="00FD2CBB" w:rsidRPr="00EB1A77" w:rsidRDefault="00FD2CBB">
            <w:pPr>
              <w:spacing w:after="0" w:line="240" w:lineRule="auto"/>
              <w:jc w:val="left"/>
              <w:rPr>
                <w:rFonts w:eastAsia="Times New Roman" w:cs="Calibri"/>
                <w:color w:val="000000"/>
                <w:sz w:val="20"/>
                <w:szCs w:val="20"/>
              </w:rPr>
            </w:pPr>
            <w:r w:rsidRPr="00EB1A77">
              <w:rPr>
                <w:rFonts w:cs="Calibri"/>
                <w:sz w:val="20"/>
                <w:szCs w:val="20"/>
              </w:rPr>
              <w:t>122</w:t>
            </w:r>
          </w:p>
        </w:tc>
        <w:tc>
          <w:tcPr>
            <w:tcW w:w="5480" w:type="dxa"/>
            <w:noWrap/>
          </w:tcPr>
          <w:p w14:paraId="01D1DA93" w14:textId="77777777" w:rsidR="00FD2CBB" w:rsidRPr="00EB1A77" w:rsidRDefault="00FD2CBB">
            <w:pPr>
              <w:spacing w:after="0" w:line="240" w:lineRule="auto"/>
              <w:jc w:val="left"/>
              <w:rPr>
                <w:rFonts w:eastAsia="Times New Roman" w:cs="Calibri"/>
                <w:color w:val="000000"/>
                <w:sz w:val="20"/>
                <w:szCs w:val="20"/>
              </w:rPr>
            </w:pPr>
            <w:r w:rsidRPr="00EB1A77">
              <w:rPr>
                <w:rFonts w:cs="Calibri"/>
                <w:sz w:val="20"/>
                <w:szCs w:val="20"/>
              </w:rPr>
              <w:t>Chianocco - Bussoleno F.S.</w:t>
            </w:r>
          </w:p>
        </w:tc>
        <w:tc>
          <w:tcPr>
            <w:tcW w:w="1340" w:type="dxa"/>
            <w:noWrap/>
            <w:vAlign w:val="center"/>
          </w:tcPr>
          <w:p w14:paraId="6ABAF20C" w14:textId="77777777" w:rsidR="00FD2CBB" w:rsidRPr="00E927C4" w:rsidRDefault="00FD2CBB">
            <w:pPr>
              <w:spacing w:after="0" w:line="240" w:lineRule="auto"/>
              <w:jc w:val="right"/>
              <w:rPr>
                <w:rFonts w:eastAsia="Times New Roman" w:cs="Calibri"/>
                <w:color w:val="000000"/>
                <w:sz w:val="20"/>
                <w:szCs w:val="20"/>
              </w:rPr>
            </w:pPr>
            <w:r w:rsidRPr="00E927C4">
              <w:rPr>
                <w:rFonts w:eastAsia="Times New Roman" w:cs="Calibri"/>
                <w:color w:val="000000"/>
                <w:sz w:val="20"/>
                <w:szCs w:val="20"/>
              </w:rPr>
              <w:t>26</w:t>
            </w:r>
          </w:p>
        </w:tc>
        <w:tc>
          <w:tcPr>
            <w:tcW w:w="1340" w:type="dxa"/>
            <w:noWrap/>
            <w:vAlign w:val="center"/>
          </w:tcPr>
          <w:p w14:paraId="20E49C7E" w14:textId="77777777" w:rsidR="00FD2CBB" w:rsidRPr="00E927C4" w:rsidRDefault="00FD2CBB">
            <w:pPr>
              <w:spacing w:after="0" w:line="240" w:lineRule="auto"/>
              <w:jc w:val="right"/>
              <w:rPr>
                <w:rFonts w:eastAsia="Times New Roman" w:cs="Calibri"/>
                <w:color w:val="000000"/>
                <w:sz w:val="20"/>
                <w:szCs w:val="20"/>
              </w:rPr>
            </w:pPr>
            <w:r w:rsidRPr="00E927C4">
              <w:rPr>
                <w:rFonts w:eastAsia="Times New Roman" w:cs="Calibri"/>
                <w:color w:val="000000"/>
                <w:sz w:val="20"/>
                <w:szCs w:val="20"/>
              </w:rPr>
              <w:t>20.062</w:t>
            </w:r>
          </w:p>
        </w:tc>
      </w:tr>
      <w:tr w:rsidR="00FD2CBB" w:rsidRPr="002B66B1" w14:paraId="74EA0B28" w14:textId="77777777" w:rsidTr="00C64A2F">
        <w:trPr>
          <w:trHeight w:val="300"/>
        </w:trPr>
        <w:tc>
          <w:tcPr>
            <w:tcW w:w="6280" w:type="dxa"/>
            <w:gridSpan w:val="2"/>
            <w:shd w:val="clear" w:color="auto" w:fill="F9CEC9"/>
            <w:noWrap/>
            <w:vAlign w:val="center"/>
            <w:hideMark/>
          </w:tcPr>
          <w:p w14:paraId="255ABA49" w14:textId="77777777" w:rsidR="00FD2CBB" w:rsidRPr="00EB1A77" w:rsidRDefault="00FD2CBB">
            <w:pPr>
              <w:spacing w:after="0" w:line="240" w:lineRule="auto"/>
              <w:jc w:val="left"/>
              <w:rPr>
                <w:rFonts w:eastAsia="Times New Roman" w:cs="Calibri"/>
                <w:b/>
                <w:color w:val="000000"/>
                <w:sz w:val="20"/>
                <w:szCs w:val="20"/>
              </w:rPr>
            </w:pPr>
            <w:r w:rsidRPr="00EB1A77">
              <w:rPr>
                <w:rFonts w:eastAsia="Times New Roman" w:cs="Calibri"/>
                <w:b/>
                <w:color w:val="000000"/>
                <w:sz w:val="20"/>
                <w:szCs w:val="20"/>
              </w:rPr>
              <w:t xml:space="preserve">TOTALE SERVIZI </w:t>
            </w:r>
            <w:r w:rsidRPr="00EB1A77">
              <w:rPr>
                <w:rFonts w:cs="Calibri"/>
                <w:b/>
                <w:color w:val="000000" w:themeColor="text1"/>
                <w:sz w:val="20"/>
                <w:szCs w:val="20"/>
              </w:rPr>
              <w:t>UNIONE MONTANA VALLE SUSA</w:t>
            </w:r>
          </w:p>
        </w:tc>
        <w:tc>
          <w:tcPr>
            <w:tcW w:w="1340" w:type="dxa"/>
            <w:shd w:val="clear" w:color="auto" w:fill="F9CEC9"/>
            <w:noWrap/>
            <w:vAlign w:val="center"/>
          </w:tcPr>
          <w:p w14:paraId="24A94249" w14:textId="77777777" w:rsidR="00FD2CBB" w:rsidRPr="00E927C4" w:rsidRDefault="00FD2CBB">
            <w:pPr>
              <w:spacing w:after="0" w:line="240" w:lineRule="auto"/>
              <w:jc w:val="right"/>
              <w:rPr>
                <w:rFonts w:eastAsia="Times New Roman" w:cs="Calibri"/>
                <w:b/>
                <w:color w:val="000000"/>
                <w:sz w:val="20"/>
                <w:szCs w:val="20"/>
              </w:rPr>
            </w:pPr>
            <w:r w:rsidRPr="00E927C4">
              <w:rPr>
                <w:rFonts w:eastAsia="Times New Roman" w:cs="Calibri"/>
                <w:b/>
                <w:color w:val="000000"/>
                <w:sz w:val="20"/>
                <w:szCs w:val="20"/>
              </w:rPr>
              <w:t>26</w:t>
            </w:r>
          </w:p>
        </w:tc>
        <w:tc>
          <w:tcPr>
            <w:tcW w:w="1340" w:type="dxa"/>
            <w:shd w:val="clear" w:color="auto" w:fill="F9CEC9"/>
            <w:noWrap/>
            <w:vAlign w:val="center"/>
          </w:tcPr>
          <w:p w14:paraId="0C60B41A" w14:textId="77777777" w:rsidR="00FD2CBB" w:rsidRPr="00E927C4" w:rsidRDefault="00FD2CBB">
            <w:pPr>
              <w:spacing w:after="0" w:line="240" w:lineRule="auto"/>
              <w:jc w:val="right"/>
              <w:rPr>
                <w:rFonts w:eastAsia="Times New Roman" w:cs="Calibri"/>
                <w:b/>
                <w:color w:val="000000"/>
                <w:sz w:val="20"/>
                <w:szCs w:val="20"/>
              </w:rPr>
            </w:pPr>
            <w:r w:rsidRPr="00E927C4">
              <w:rPr>
                <w:rFonts w:eastAsia="Times New Roman" w:cs="Calibri"/>
                <w:b/>
                <w:color w:val="000000"/>
                <w:sz w:val="20"/>
                <w:szCs w:val="20"/>
              </w:rPr>
              <w:t>20.062</w:t>
            </w:r>
          </w:p>
        </w:tc>
      </w:tr>
      <w:tr w:rsidR="00FD2CBB" w:rsidRPr="002B66B1" w14:paraId="000613B8" w14:textId="77777777" w:rsidTr="00C64A2F">
        <w:trPr>
          <w:trHeight w:val="300"/>
        </w:trPr>
        <w:tc>
          <w:tcPr>
            <w:tcW w:w="800" w:type="dxa"/>
            <w:noWrap/>
          </w:tcPr>
          <w:p w14:paraId="51BAE2D5" w14:textId="77777777" w:rsidR="00FD2CBB" w:rsidRPr="00EB1A77" w:rsidRDefault="00FD2CBB">
            <w:pPr>
              <w:spacing w:after="0" w:line="240" w:lineRule="auto"/>
              <w:jc w:val="left"/>
              <w:rPr>
                <w:rFonts w:eastAsia="Times New Roman" w:cs="Calibri"/>
                <w:color w:val="000000"/>
                <w:sz w:val="20"/>
                <w:szCs w:val="20"/>
              </w:rPr>
            </w:pPr>
            <w:r w:rsidRPr="00EB1A77">
              <w:rPr>
                <w:rFonts w:cs="Calibri"/>
                <w:sz w:val="20"/>
                <w:szCs w:val="20"/>
              </w:rPr>
              <w:t>313</w:t>
            </w:r>
          </w:p>
        </w:tc>
        <w:tc>
          <w:tcPr>
            <w:tcW w:w="5480" w:type="dxa"/>
            <w:noWrap/>
          </w:tcPr>
          <w:p w14:paraId="099CF566" w14:textId="77777777" w:rsidR="00FD2CBB" w:rsidRPr="00EB1A77" w:rsidRDefault="00FD2CBB">
            <w:pPr>
              <w:spacing w:after="0" w:line="240" w:lineRule="auto"/>
              <w:jc w:val="left"/>
              <w:rPr>
                <w:rFonts w:eastAsia="Times New Roman" w:cs="Calibri"/>
                <w:color w:val="000000"/>
                <w:sz w:val="20"/>
                <w:szCs w:val="20"/>
              </w:rPr>
            </w:pPr>
            <w:r w:rsidRPr="00EB1A77">
              <w:rPr>
                <w:rFonts w:cs="Calibri"/>
                <w:sz w:val="20"/>
                <w:szCs w:val="20"/>
              </w:rPr>
              <w:t>Ruata</w:t>
            </w:r>
            <w:r>
              <w:rPr>
                <w:rFonts w:cs="Calibri"/>
                <w:sz w:val="20"/>
                <w:szCs w:val="20"/>
              </w:rPr>
              <w:t xml:space="preserve"> </w:t>
            </w:r>
            <w:r w:rsidRPr="00EB1A77">
              <w:rPr>
                <w:rFonts w:cs="Calibri"/>
                <w:sz w:val="20"/>
                <w:szCs w:val="20"/>
              </w:rPr>
              <w:t>-</w:t>
            </w:r>
            <w:r>
              <w:rPr>
                <w:rFonts w:cs="Calibri"/>
                <w:sz w:val="20"/>
                <w:szCs w:val="20"/>
              </w:rPr>
              <w:t xml:space="preserve"> </w:t>
            </w:r>
            <w:r w:rsidRPr="00EB1A77">
              <w:rPr>
                <w:rFonts w:cs="Calibri"/>
                <w:sz w:val="20"/>
                <w:szCs w:val="20"/>
              </w:rPr>
              <w:t>Pramollo</w:t>
            </w:r>
            <w:r>
              <w:rPr>
                <w:rFonts w:cs="Calibri"/>
                <w:sz w:val="20"/>
                <w:szCs w:val="20"/>
              </w:rPr>
              <w:t xml:space="preserve"> </w:t>
            </w:r>
            <w:r w:rsidRPr="00EB1A77">
              <w:rPr>
                <w:rFonts w:cs="Calibri"/>
                <w:sz w:val="20"/>
                <w:szCs w:val="20"/>
              </w:rPr>
              <w:t>-</w:t>
            </w:r>
            <w:r>
              <w:rPr>
                <w:rFonts w:cs="Calibri"/>
                <w:sz w:val="20"/>
                <w:szCs w:val="20"/>
              </w:rPr>
              <w:t xml:space="preserve"> </w:t>
            </w:r>
            <w:r w:rsidRPr="00EB1A77">
              <w:rPr>
                <w:rFonts w:cs="Calibri"/>
                <w:sz w:val="20"/>
                <w:szCs w:val="20"/>
              </w:rPr>
              <w:t>Villar Perosa</w:t>
            </w:r>
          </w:p>
        </w:tc>
        <w:tc>
          <w:tcPr>
            <w:tcW w:w="1340" w:type="dxa"/>
            <w:noWrap/>
            <w:vAlign w:val="center"/>
          </w:tcPr>
          <w:p w14:paraId="657F12BC" w14:textId="77777777" w:rsidR="00FD2CBB" w:rsidRPr="00E927C4" w:rsidRDefault="00FD2CBB">
            <w:pPr>
              <w:spacing w:after="0" w:line="240" w:lineRule="auto"/>
              <w:jc w:val="right"/>
              <w:rPr>
                <w:rFonts w:eastAsia="Times New Roman" w:cs="Calibri"/>
                <w:color w:val="000000"/>
                <w:sz w:val="20"/>
                <w:szCs w:val="20"/>
              </w:rPr>
            </w:pPr>
            <w:r w:rsidRPr="00E927C4">
              <w:rPr>
                <w:rFonts w:cs="Calibri"/>
                <w:sz w:val="20"/>
                <w:szCs w:val="20"/>
              </w:rPr>
              <w:t>18</w:t>
            </w:r>
          </w:p>
        </w:tc>
        <w:tc>
          <w:tcPr>
            <w:tcW w:w="1340" w:type="dxa"/>
            <w:noWrap/>
            <w:vAlign w:val="center"/>
          </w:tcPr>
          <w:p w14:paraId="56FE977A" w14:textId="77777777" w:rsidR="00FD2CBB" w:rsidRPr="00E927C4" w:rsidRDefault="00FD2CBB">
            <w:pPr>
              <w:spacing w:after="0" w:line="240" w:lineRule="auto"/>
              <w:jc w:val="right"/>
              <w:rPr>
                <w:rFonts w:eastAsia="Times New Roman" w:cs="Calibri"/>
                <w:color w:val="000000"/>
                <w:sz w:val="20"/>
                <w:szCs w:val="20"/>
              </w:rPr>
            </w:pPr>
            <w:r w:rsidRPr="00E927C4">
              <w:rPr>
                <w:rFonts w:cs="Calibri"/>
                <w:sz w:val="20"/>
                <w:szCs w:val="20"/>
              </w:rPr>
              <w:t>46.299</w:t>
            </w:r>
          </w:p>
        </w:tc>
      </w:tr>
      <w:tr w:rsidR="00FD2CBB" w:rsidRPr="002B66B1" w14:paraId="658C457B" w14:textId="77777777" w:rsidTr="00C64A2F">
        <w:trPr>
          <w:trHeight w:val="300"/>
        </w:trPr>
        <w:tc>
          <w:tcPr>
            <w:tcW w:w="800" w:type="dxa"/>
            <w:noWrap/>
          </w:tcPr>
          <w:p w14:paraId="042F18A5" w14:textId="77777777" w:rsidR="00FD2CBB" w:rsidRPr="00EB1A77" w:rsidRDefault="00FD2CBB">
            <w:pPr>
              <w:spacing w:after="0" w:line="240" w:lineRule="auto"/>
              <w:jc w:val="left"/>
              <w:rPr>
                <w:rFonts w:eastAsia="Times New Roman" w:cs="Calibri"/>
                <w:color w:val="000000"/>
                <w:sz w:val="20"/>
                <w:szCs w:val="20"/>
              </w:rPr>
            </w:pPr>
            <w:r w:rsidRPr="00EB1A77">
              <w:rPr>
                <w:rFonts w:cs="Calibri"/>
                <w:sz w:val="20"/>
                <w:szCs w:val="20"/>
              </w:rPr>
              <w:t>517</w:t>
            </w:r>
          </w:p>
        </w:tc>
        <w:tc>
          <w:tcPr>
            <w:tcW w:w="5480" w:type="dxa"/>
            <w:noWrap/>
          </w:tcPr>
          <w:p w14:paraId="1DD11829" w14:textId="77777777" w:rsidR="00FD2CBB" w:rsidRPr="00EB1A77" w:rsidRDefault="00FD2CBB">
            <w:pPr>
              <w:spacing w:after="0" w:line="240" w:lineRule="auto"/>
              <w:jc w:val="left"/>
              <w:rPr>
                <w:rFonts w:eastAsia="Times New Roman" w:cs="Calibri"/>
                <w:color w:val="000000"/>
                <w:sz w:val="20"/>
                <w:szCs w:val="20"/>
              </w:rPr>
            </w:pPr>
            <w:r w:rsidRPr="00EB1A77">
              <w:rPr>
                <w:rFonts w:cs="Calibri"/>
                <w:sz w:val="20"/>
                <w:szCs w:val="20"/>
              </w:rPr>
              <w:t xml:space="preserve">Scolastica </w:t>
            </w:r>
            <w:r>
              <w:rPr>
                <w:rFonts w:cs="Calibri"/>
                <w:sz w:val="20"/>
                <w:szCs w:val="20"/>
              </w:rPr>
              <w:t>d</w:t>
            </w:r>
            <w:r w:rsidRPr="00EB1A77">
              <w:rPr>
                <w:rFonts w:cs="Calibri"/>
                <w:sz w:val="20"/>
                <w:szCs w:val="20"/>
              </w:rPr>
              <w:t>i Villar Perosa</w:t>
            </w:r>
          </w:p>
        </w:tc>
        <w:tc>
          <w:tcPr>
            <w:tcW w:w="1340" w:type="dxa"/>
            <w:noWrap/>
            <w:vAlign w:val="center"/>
          </w:tcPr>
          <w:p w14:paraId="79989016" w14:textId="77777777" w:rsidR="00FD2CBB" w:rsidRPr="00E927C4" w:rsidRDefault="00FD2CBB">
            <w:pPr>
              <w:spacing w:after="0" w:line="240" w:lineRule="auto"/>
              <w:jc w:val="right"/>
              <w:rPr>
                <w:rFonts w:eastAsia="Times New Roman" w:cs="Calibri"/>
                <w:color w:val="000000"/>
                <w:sz w:val="20"/>
                <w:szCs w:val="20"/>
              </w:rPr>
            </w:pPr>
            <w:r w:rsidRPr="00E927C4">
              <w:rPr>
                <w:rFonts w:cs="Calibri"/>
                <w:sz w:val="20"/>
                <w:szCs w:val="20"/>
              </w:rPr>
              <w:t>20</w:t>
            </w:r>
          </w:p>
        </w:tc>
        <w:tc>
          <w:tcPr>
            <w:tcW w:w="1340" w:type="dxa"/>
            <w:noWrap/>
            <w:vAlign w:val="center"/>
          </w:tcPr>
          <w:p w14:paraId="6CDC96A6" w14:textId="77777777" w:rsidR="00FD2CBB" w:rsidRPr="00E927C4" w:rsidRDefault="00FD2CBB">
            <w:pPr>
              <w:spacing w:after="0" w:line="240" w:lineRule="auto"/>
              <w:jc w:val="right"/>
              <w:rPr>
                <w:rFonts w:eastAsia="Times New Roman" w:cs="Calibri"/>
                <w:color w:val="000000"/>
                <w:sz w:val="20"/>
                <w:szCs w:val="20"/>
              </w:rPr>
            </w:pPr>
            <w:r w:rsidRPr="00E927C4">
              <w:rPr>
                <w:rFonts w:cs="Calibri"/>
                <w:sz w:val="20"/>
                <w:szCs w:val="20"/>
              </w:rPr>
              <w:t>12.519</w:t>
            </w:r>
          </w:p>
        </w:tc>
      </w:tr>
      <w:tr w:rsidR="00FD2CBB" w:rsidRPr="002B66B1" w14:paraId="454877F9" w14:textId="77777777" w:rsidTr="00C64A2F">
        <w:trPr>
          <w:trHeight w:val="300"/>
        </w:trPr>
        <w:tc>
          <w:tcPr>
            <w:tcW w:w="800" w:type="dxa"/>
            <w:noWrap/>
          </w:tcPr>
          <w:p w14:paraId="51525E2B" w14:textId="77777777" w:rsidR="00FD2CBB" w:rsidRPr="00EB1A77" w:rsidRDefault="00FD2CBB">
            <w:pPr>
              <w:spacing w:after="0" w:line="240" w:lineRule="auto"/>
              <w:jc w:val="left"/>
              <w:rPr>
                <w:rFonts w:eastAsia="Times New Roman" w:cs="Calibri"/>
                <w:color w:val="000000"/>
                <w:sz w:val="20"/>
                <w:szCs w:val="20"/>
              </w:rPr>
            </w:pPr>
            <w:r w:rsidRPr="00EB1A77">
              <w:rPr>
                <w:rFonts w:cs="Calibri"/>
                <w:sz w:val="20"/>
                <w:szCs w:val="20"/>
              </w:rPr>
              <w:lastRenderedPageBreak/>
              <w:t>518</w:t>
            </w:r>
          </w:p>
        </w:tc>
        <w:tc>
          <w:tcPr>
            <w:tcW w:w="5480" w:type="dxa"/>
            <w:noWrap/>
          </w:tcPr>
          <w:p w14:paraId="5FF37355" w14:textId="77777777" w:rsidR="00FD2CBB" w:rsidRPr="00EB1A77" w:rsidRDefault="00FD2CBB">
            <w:pPr>
              <w:spacing w:after="0" w:line="240" w:lineRule="auto"/>
              <w:jc w:val="left"/>
              <w:rPr>
                <w:rFonts w:eastAsia="Times New Roman" w:cs="Calibri"/>
                <w:color w:val="000000"/>
                <w:sz w:val="20"/>
                <w:szCs w:val="20"/>
              </w:rPr>
            </w:pPr>
            <w:r w:rsidRPr="00EB1A77">
              <w:rPr>
                <w:rFonts w:cs="Calibri"/>
                <w:sz w:val="20"/>
                <w:szCs w:val="20"/>
              </w:rPr>
              <w:t xml:space="preserve">Servizio Scolastico </w:t>
            </w:r>
            <w:r>
              <w:rPr>
                <w:rFonts w:cs="Calibri"/>
                <w:sz w:val="20"/>
                <w:szCs w:val="20"/>
              </w:rPr>
              <w:t>d</w:t>
            </w:r>
            <w:r w:rsidRPr="00EB1A77">
              <w:rPr>
                <w:rFonts w:cs="Calibri"/>
                <w:sz w:val="20"/>
                <w:szCs w:val="20"/>
              </w:rPr>
              <w:t>i Pramollo</w:t>
            </w:r>
          </w:p>
        </w:tc>
        <w:tc>
          <w:tcPr>
            <w:tcW w:w="1340" w:type="dxa"/>
            <w:noWrap/>
            <w:vAlign w:val="center"/>
          </w:tcPr>
          <w:p w14:paraId="199C6A4F" w14:textId="77777777" w:rsidR="00FD2CBB" w:rsidRPr="00E927C4" w:rsidRDefault="00FD2CBB">
            <w:pPr>
              <w:spacing w:after="0" w:line="240" w:lineRule="auto"/>
              <w:jc w:val="right"/>
              <w:rPr>
                <w:rFonts w:eastAsia="Times New Roman" w:cs="Calibri"/>
                <w:color w:val="000000"/>
                <w:sz w:val="20"/>
                <w:szCs w:val="20"/>
              </w:rPr>
            </w:pPr>
            <w:r w:rsidRPr="00E927C4">
              <w:rPr>
                <w:rFonts w:cs="Calibri"/>
                <w:sz w:val="20"/>
                <w:szCs w:val="20"/>
              </w:rPr>
              <w:t>2</w:t>
            </w:r>
          </w:p>
        </w:tc>
        <w:tc>
          <w:tcPr>
            <w:tcW w:w="1340" w:type="dxa"/>
            <w:noWrap/>
            <w:vAlign w:val="center"/>
          </w:tcPr>
          <w:p w14:paraId="20A717CB" w14:textId="77777777" w:rsidR="00FD2CBB" w:rsidRPr="00E927C4" w:rsidRDefault="00FD2CBB">
            <w:pPr>
              <w:spacing w:after="0" w:line="240" w:lineRule="auto"/>
              <w:jc w:val="right"/>
              <w:rPr>
                <w:rFonts w:eastAsia="Times New Roman" w:cs="Calibri"/>
                <w:color w:val="000000"/>
                <w:sz w:val="20"/>
                <w:szCs w:val="20"/>
              </w:rPr>
            </w:pPr>
            <w:r w:rsidRPr="00E927C4">
              <w:rPr>
                <w:rFonts w:cs="Calibri"/>
                <w:sz w:val="20"/>
                <w:szCs w:val="20"/>
              </w:rPr>
              <w:t>2.765</w:t>
            </w:r>
          </w:p>
        </w:tc>
      </w:tr>
      <w:tr w:rsidR="00FD2CBB" w:rsidRPr="002B66B1" w14:paraId="4AF92095" w14:textId="77777777" w:rsidTr="00C64A2F">
        <w:trPr>
          <w:trHeight w:val="300"/>
        </w:trPr>
        <w:tc>
          <w:tcPr>
            <w:tcW w:w="800" w:type="dxa"/>
            <w:noWrap/>
          </w:tcPr>
          <w:p w14:paraId="082F7243" w14:textId="77777777" w:rsidR="00FD2CBB" w:rsidRPr="00EB1A77" w:rsidRDefault="00FD2CBB">
            <w:pPr>
              <w:spacing w:after="0" w:line="240" w:lineRule="auto"/>
              <w:jc w:val="left"/>
              <w:rPr>
                <w:rFonts w:eastAsia="Times New Roman" w:cs="Calibri"/>
                <w:color w:val="000000"/>
                <w:sz w:val="20"/>
                <w:szCs w:val="20"/>
              </w:rPr>
            </w:pPr>
            <w:r w:rsidRPr="00EB1A77">
              <w:rPr>
                <w:rFonts w:cs="Calibri"/>
                <w:sz w:val="20"/>
                <w:szCs w:val="20"/>
              </w:rPr>
              <w:t>519</w:t>
            </w:r>
          </w:p>
        </w:tc>
        <w:tc>
          <w:tcPr>
            <w:tcW w:w="5480" w:type="dxa"/>
            <w:noWrap/>
          </w:tcPr>
          <w:p w14:paraId="1F3F2FE9" w14:textId="77777777" w:rsidR="00FD2CBB" w:rsidRPr="00EB1A77" w:rsidRDefault="00FD2CBB">
            <w:pPr>
              <w:spacing w:after="0" w:line="240" w:lineRule="auto"/>
              <w:jc w:val="left"/>
              <w:rPr>
                <w:rFonts w:eastAsia="Times New Roman" w:cs="Calibri"/>
                <w:color w:val="000000"/>
                <w:sz w:val="20"/>
                <w:szCs w:val="20"/>
              </w:rPr>
            </w:pPr>
            <w:r w:rsidRPr="00EB1A77">
              <w:rPr>
                <w:rFonts w:cs="Calibri"/>
                <w:sz w:val="20"/>
                <w:szCs w:val="20"/>
              </w:rPr>
              <w:t xml:space="preserve">Servizio Scolastico </w:t>
            </w:r>
            <w:r>
              <w:rPr>
                <w:rFonts w:cs="Calibri"/>
                <w:sz w:val="20"/>
                <w:szCs w:val="20"/>
              </w:rPr>
              <w:t>d</w:t>
            </w:r>
            <w:r w:rsidRPr="00EB1A77">
              <w:rPr>
                <w:rFonts w:cs="Calibri"/>
                <w:sz w:val="20"/>
                <w:szCs w:val="20"/>
              </w:rPr>
              <w:t>i San Germano Chisone</w:t>
            </w:r>
          </w:p>
        </w:tc>
        <w:tc>
          <w:tcPr>
            <w:tcW w:w="1340" w:type="dxa"/>
            <w:noWrap/>
            <w:vAlign w:val="center"/>
          </w:tcPr>
          <w:p w14:paraId="561DC0A1" w14:textId="77777777" w:rsidR="00FD2CBB" w:rsidRPr="00E927C4" w:rsidRDefault="00FD2CBB">
            <w:pPr>
              <w:spacing w:after="0" w:line="240" w:lineRule="auto"/>
              <w:jc w:val="right"/>
              <w:rPr>
                <w:rFonts w:eastAsia="Times New Roman" w:cs="Calibri"/>
                <w:color w:val="000000"/>
                <w:sz w:val="20"/>
                <w:szCs w:val="20"/>
              </w:rPr>
            </w:pPr>
            <w:r w:rsidRPr="00E927C4">
              <w:rPr>
                <w:rFonts w:cs="Calibri"/>
                <w:sz w:val="20"/>
                <w:szCs w:val="20"/>
              </w:rPr>
              <w:t>14</w:t>
            </w:r>
          </w:p>
        </w:tc>
        <w:tc>
          <w:tcPr>
            <w:tcW w:w="1340" w:type="dxa"/>
            <w:noWrap/>
            <w:vAlign w:val="center"/>
          </w:tcPr>
          <w:p w14:paraId="4E73C92A" w14:textId="77777777" w:rsidR="00FD2CBB" w:rsidRPr="00E927C4" w:rsidRDefault="00FD2CBB">
            <w:pPr>
              <w:spacing w:after="0" w:line="240" w:lineRule="auto"/>
              <w:jc w:val="right"/>
              <w:rPr>
                <w:rFonts w:eastAsia="Times New Roman" w:cs="Calibri"/>
                <w:color w:val="000000"/>
                <w:sz w:val="20"/>
                <w:szCs w:val="20"/>
              </w:rPr>
            </w:pPr>
            <w:r w:rsidRPr="00E927C4">
              <w:rPr>
                <w:rFonts w:cs="Calibri"/>
                <w:sz w:val="20"/>
                <w:szCs w:val="20"/>
              </w:rPr>
              <w:t>10.847</w:t>
            </w:r>
          </w:p>
        </w:tc>
      </w:tr>
      <w:tr w:rsidR="00FD2CBB" w:rsidRPr="002B66B1" w14:paraId="4C351908" w14:textId="77777777" w:rsidTr="00C64A2F">
        <w:trPr>
          <w:trHeight w:val="300"/>
        </w:trPr>
        <w:tc>
          <w:tcPr>
            <w:tcW w:w="800" w:type="dxa"/>
            <w:noWrap/>
          </w:tcPr>
          <w:p w14:paraId="5263C32D" w14:textId="77777777" w:rsidR="00FD2CBB" w:rsidRPr="00EB1A77" w:rsidRDefault="00FD2CBB">
            <w:pPr>
              <w:spacing w:after="0" w:line="240" w:lineRule="auto"/>
              <w:jc w:val="left"/>
              <w:rPr>
                <w:rFonts w:eastAsia="Times New Roman" w:cs="Calibri"/>
                <w:color w:val="000000"/>
                <w:sz w:val="20"/>
                <w:szCs w:val="20"/>
              </w:rPr>
            </w:pPr>
            <w:r w:rsidRPr="00EB1A77">
              <w:rPr>
                <w:rFonts w:cs="Calibri"/>
                <w:sz w:val="20"/>
                <w:szCs w:val="20"/>
              </w:rPr>
              <w:t>520</w:t>
            </w:r>
          </w:p>
        </w:tc>
        <w:tc>
          <w:tcPr>
            <w:tcW w:w="5480" w:type="dxa"/>
            <w:noWrap/>
          </w:tcPr>
          <w:p w14:paraId="58438763" w14:textId="77777777" w:rsidR="00FD2CBB" w:rsidRPr="00EB1A77" w:rsidRDefault="00FD2CBB">
            <w:pPr>
              <w:spacing w:after="0" w:line="240" w:lineRule="auto"/>
              <w:jc w:val="left"/>
              <w:rPr>
                <w:rFonts w:eastAsia="Times New Roman" w:cs="Calibri"/>
                <w:color w:val="000000"/>
                <w:sz w:val="20"/>
                <w:szCs w:val="20"/>
              </w:rPr>
            </w:pPr>
            <w:r w:rsidRPr="00EB1A77">
              <w:rPr>
                <w:rFonts w:cs="Calibri"/>
                <w:sz w:val="20"/>
                <w:szCs w:val="20"/>
              </w:rPr>
              <w:t xml:space="preserve">Salza </w:t>
            </w:r>
            <w:r>
              <w:rPr>
                <w:rFonts w:cs="Calibri"/>
                <w:sz w:val="20"/>
                <w:szCs w:val="20"/>
              </w:rPr>
              <w:t>d</w:t>
            </w:r>
            <w:r w:rsidRPr="00EB1A77">
              <w:rPr>
                <w:rFonts w:cs="Calibri"/>
                <w:sz w:val="20"/>
                <w:szCs w:val="20"/>
              </w:rPr>
              <w:t>i Pinerolo</w:t>
            </w:r>
            <w:r>
              <w:rPr>
                <w:rFonts w:cs="Calibri"/>
                <w:sz w:val="20"/>
                <w:szCs w:val="20"/>
              </w:rPr>
              <w:t xml:space="preserve"> </w:t>
            </w:r>
            <w:r w:rsidRPr="00EB1A77">
              <w:rPr>
                <w:rFonts w:cs="Calibri"/>
                <w:sz w:val="20"/>
                <w:szCs w:val="20"/>
              </w:rPr>
              <w:t>-</w:t>
            </w:r>
            <w:r>
              <w:rPr>
                <w:rFonts w:cs="Calibri"/>
                <w:sz w:val="20"/>
                <w:szCs w:val="20"/>
              </w:rPr>
              <w:t xml:space="preserve"> </w:t>
            </w:r>
            <w:r w:rsidRPr="00EB1A77">
              <w:rPr>
                <w:rFonts w:cs="Calibri"/>
                <w:sz w:val="20"/>
                <w:szCs w:val="20"/>
              </w:rPr>
              <w:t>Massello</w:t>
            </w:r>
          </w:p>
        </w:tc>
        <w:tc>
          <w:tcPr>
            <w:tcW w:w="1340" w:type="dxa"/>
            <w:noWrap/>
            <w:vAlign w:val="center"/>
          </w:tcPr>
          <w:p w14:paraId="31ADCC57" w14:textId="77777777" w:rsidR="00FD2CBB" w:rsidRPr="00E927C4" w:rsidRDefault="00FD2CBB">
            <w:pPr>
              <w:spacing w:after="0" w:line="240" w:lineRule="auto"/>
              <w:jc w:val="right"/>
              <w:rPr>
                <w:rFonts w:eastAsia="Times New Roman" w:cs="Calibri"/>
                <w:color w:val="000000"/>
                <w:sz w:val="20"/>
                <w:szCs w:val="20"/>
              </w:rPr>
            </w:pPr>
            <w:r w:rsidRPr="00E927C4">
              <w:rPr>
                <w:rFonts w:cs="Calibri"/>
                <w:sz w:val="20"/>
                <w:szCs w:val="20"/>
              </w:rPr>
              <w:t>4</w:t>
            </w:r>
          </w:p>
        </w:tc>
        <w:tc>
          <w:tcPr>
            <w:tcW w:w="1340" w:type="dxa"/>
            <w:noWrap/>
            <w:vAlign w:val="center"/>
          </w:tcPr>
          <w:p w14:paraId="7384E43E" w14:textId="77777777" w:rsidR="00FD2CBB" w:rsidRPr="00E927C4" w:rsidRDefault="00FD2CBB">
            <w:pPr>
              <w:spacing w:after="0" w:line="240" w:lineRule="auto"/>
              <w:jc w:val="right"/>
              <w:rPr>
                <w:rFonts w:eastAsia="Times New Roman" w:cs="Calibri"/>
                <w:color w:val="000000"/>
                <w:sz w:val="20"/>
                <w:szCs w:val="20"/>
              </w:rPr>
            </w:pPr>
            <w:r w:rsidRPr="00E927C4">
              <w:rPr>
                <w:rFonts w:cs="Calibri"/>
                <w:sz w:val="20"/>
                <w:szCs w:val="20"/>
              </w:rPr>
              <w:t>5.005</w:t>
            </w:r>
          </w:p>
        </w:tc>
      </w:tr>
      <w:tr w:rsidR="00FD2CBB" w:rsidRPr="002B66B1" w14:paraId="11CAF9AF" w14:textId="77777777" w:rsidTr="00C64A2F">
        <w:trPr>
          <w:trHeight w:val="300"/>
        </w:trPr>
        <w:tc>
          <w:tcPr>
            <w:tcW w:w="800" w:type="dxa"/>
            <w:noWrap/>
          </w:tcPr>
          <w:p w14:paraId="2C0E2126" w14:textId="77777777" w:rsidR="00FD2CBB" w:rsidRPr="00EB1A77" w:rsidRDefault="00FD2CBB">
            <w:pPr>
              <w:spacing w:after="0" w:line="240" w:lineRule="auto"/>
              <w:jc w:val="left"/>
              <w:rPr>
                <w:rFonts w:eastAsia="Times New Roman" w:cs="Calibri"/>
                <w:color w:val="000000"/>
                <w:sz w:val="20"/>
                <w:szCs w:val="20"/>
              </w:rPr>
            </w:pPr>
            <w:r w:rsidRPr="00EB1A77">
              <w:rPr>
                <w:rFonts w:cs="Calibri"/>
                <w:sz w:val="20"/>
                <w:szCs w:val="20"/>
              </w:rPr>
              <w:t>523</w:t>
            </w:r>
          </w:p>
        </w:tc>
        <w:tc>
          <w:tcPr>
            <w:tcW w:w="5480" w:type="dxa"/>
            <w:noWrap/>
          </w:tcPr>
          <w:p w14:paraId="351A6F18" w14:textId="77777777" w:rsidR="00FD2CBB" w:rsidRPr="00EB1A77" w:rsidRDefault="00FD2CBB">
            <w:pPr>
              <w:spacing w:after="0" w:line="240" w:lineRule="auto"/>
              <w:jc w:val="left"/>
              <w:rPr>
                <w:rFonts w:eastAsia="Times New Roman" w:cs="Calibri"/>
                <w:color w:val="000000"/>
                <w:sz w:val="20"/>
                <w:szCs w:val="20"/>
              </w:rPr>
            </w:pPr>
            <w:r w:rsidRPr="00EB1A77">
              <w:rPr>
                <w:rFonts w:cs="Calibri"/>
                <w:sz w:val="20"/>
                <w:szCs w:val="20"/>
              </w:rPr>
              <w:t xml:space="preserve">Servizio Scolastico </w:t>
            </w:r>
            <w:r>
              <w:rPr>
                <w:rFonts w:cs="Calibri"/>
                <w:sz w:val="20"/>
                <w:szCs w:val="20"/>
              </w:rPr>
              <w:t>d</w:t>
            </w:r>
            <w:r w:rsidRPr="00EB1A77">
              <w:rPr>
                <w:rFonts w:cs="Calibri"/>
                <w:sz w:val="20"/>
                <w:szCs w:val="20"/>
              </w:rPr>
              <w:t>i Perrero</w:t>
            </w:r>
          </w:p>
        </w:tc>
        <w:tc>
          <w:tcPr>
            <w:tcW w:w="1340" w:type="dxa"/>
            <w:noWrap/>
            <w:vAlign w:val="center"/>
          </w:tcPr>
          <w:p w14:paraId="5224BFB6" w14:textId="77777777" w:rsidR="00FD2CBB" w:rsidRPr="00E927C4" w:rsidRDefault="00FD2CBB">
            <w:pPr>
              <w:spacing w:after="0" w:line="240" w:lineRule="auto"/>
              <w:jc w:val="right"/>
              <w:rPr>
                <w:rFonts w:eastAsia="Times New Roman" w:cs="Calibri"/>
                <w:color w:val="000000"/>
                <w:sz w:val="20"/>
                <w:szCs w:val="20"/>
              </w:rPr>
            </w:pPr>
            <w:r w:rsidRPr="00E927C4">
              <w:rPr>
                <w:rFonts w:cs="Calibri"/>
                <w:sz w:val="20"/>
                <w:szCs w:val="20"/>
              </w:rPr>
              <w:t>8</w:t>
            </w:r>
          </w:p>
        </w:tc>
        <w:tc>
          <w:tcPr>
            <w:tcW w:w="1340" w:type="dxa"/>
            <w:noWrap/>
            <w:vAlign w:val="center"/>
          </w:tcPr>
          <w:p w14:paraId="66DB9AB5" w14:textId="77777777" w:rsidR="00FD2CBB" w:rsidRPr="00E927C4" w:rsidRDefault="00FD2CBB">
            <w:pPr>
              <w:spacing w:after="0" w:line="240" w:lineRule="auto"/>
              <w:jc w:val="right"/>
              <w:rPr>
                <w:rFonts w:eastAsia="Times New Roman" w:cs="Calibri"/>
                <w:color w:val="000000"/>
                <w:sz w:val="20"/>
                <w:szCs w:val="20"/>
              </w:rPr>
            </w:pPr>
            <w:r w:rsidRPr="00E927C4">
              <w:rPr>
                <w:rFonts w:cs="Calibri"/>
                <w:sz w:val="20"/>
                <w:szCs w:val="20"/>
              </w:rPr>
              <w:t>9.838</w:t>
            </w:r>
          </w:p>
        </w:tc>
      </w:tr>
      <w:tr w:rsidR="00FD2CBB" w:rsidRPr="002B66B1" w14:paraId="3FA4D336" w14:textId="77777777" w:rsidTr="00C64A2F">
        <w:trPr>
          <w:trHeight w:val="300"/>
        </w:trPr>
        <w:tc>
          <w:tcPr>
            <w:tcW w:w="800" w:type="dxa"/>
            <w:noWrap/>
          </w:tcPr>
          <w:p w14:paraId="32D95F94" w14:textId="77777777" w:rsidR="00FD2CBB" w:rsidRPr="00EB1A77" w:rsidRDefault="00FD2CBB">
            <w:pPr>
              <w:spacing w:after="0" w:line="240" w:lineRule="auto"/>
              <w:jc w:val="left"/>
              <w:rPr>
                <w:rFonts w:eastAsia="Times New Roman" w:cs="Calibri"/>
                <w:color w:val="000000"/>
                <w:sz w:val="20"/>
                <w:szCs w:val="20"/>
              </w:rPr>
            </w:pPr>
            <w:r w:rsidRPr="00EB1A77">
              <w:rPr>
                <w:rFonts w:cs="Calibri"/>
                <w:sz w:val="20"/>
                <w:szCs w:val="20"/>
              </w:rPr>
              <w:t>524</w:t>
            </w:r>
          </w:p>
        </w:tc>
        <w:tc>
          <w:tcPr>
            <w:tcW w:w="5480" w:type="dxa"/>
            <w:noWrap/>
          </w:tcPr>
          <w:p w14:paraId="583482A9" w14:textId="77777777" w:rsidR="00FD2CBB" w:rsidRPr="00EB1A77" w:rsidRDefault="00FD2CBB">
            <w:pPr>
              <w:spacing w:after="0" w:line="240" w:lineRule="auto"/>
              <w:jc w:val="left"/>
              <w:rPr>
                <w:rFonts w:eastAsia="Times New Roman" w:cs="Calibri"/>
                <w:color w:val="000000"/>
                <w:sz w:val="20"/>
                <w:szCs w:val="20"/>
              </w:rPr>
            </w:pPr>
            <w:r w:rsidRPr="00EB1A77">
              <w:rPr>
                <w:rFonts w:cs="Calibri"/>
                <w:sz w:val="20"/>
                <w:szCs w:val="20"/>
              </w:rPr>
              <w:t xml:space="preserve">Servizio Scolastico </w:t>
            </w:r>
            <w:r>
              <w:rPr>
                <w:rFonts w:cs="Calibri"/>
                <w:sz w:val="20"/>
                <w:szCs w:val="20"/>
              </w:rPr>
              <w:t>d</w:t>
            </w:r>
            <w:r w:rsidRPr="00EB1A77">
              <w:rPr>
                <w:rFonts w:cs="Calibri"/>
                <w:sz w:val="20"/>
                <w:szCs w:val="20"/>
              </w:rPr>
              <w:t>i Porte</w:t>
            </w:r>
          </w:p>
        </w:tc>
        <w:tc>
          <w:tcPr>
            <w:tcW w:w="1340" w:type="dxa"/>
            <w:noWrap/>
            <w:vAlign w:val="center"/>
          </w:tcPr>
          <w:p w14:paraId="71857BB0" w14:textId="77777777" w:rsidR="00FD2CBB" w:rsidRPr="00E927C4" w:rsidRDefault="00FD2CBB">
            <w:pPr>
              <w:spacing w:after="0" w:line="240" w:lineRule="auto"/>
              <w:jc w:val="right"/>
              <w:rPr>
                <w:rFonts w:eastAsia="Times New Roman" w:cs="Calibri"/>
                <w:color w:val="000000"/>
                <w:sz w:val="20"/>
                <w:szCs w:val="20"/>
              </w:rPr>
            </w:pPr>
            <w:r w:rsidRPr="00E927C4">
              <w:rPr>
                <w:rFonts w:cs="Calibri"/>
                <w:sz w:val="20"/>
                <w:szCs w:val="20"/>
              </w:rPr>
              <w:t>6</w:t>
            </w:r>
          </w:p>
        </w:tc>
        <w:tc>
          <w:tcPr>
            <w:tcW w:w="1340" w:type="dxa"/>
            <w:noWrap/>
            <w:vAlign w:val="center"/>
          </w:tcPr>
          <w:p w14:paraId="28E6F72A" w14:textId="77777777" w:rsidR="00FD2CBB" w:rsidRPr="00E927C4" w:rsidRDefault="00FD2CBB">
            <w:pPr>
              <w:spacing w:after="0" w:line="240" w:lineRule="auto"/>
              <w:jc w:val="right"/>
              <w:rPr>
                <w:rFonts w:eastAsia="Times New Roman" w:cs="Calibri"/>
                <w:color w:val="000000"/>
                <w:sz w:val="20"/>
                <w:szCs w:val="20"/>
              </w:rPr>
            </w:pPr>
            <w:r w:rsidRPr="00E927C4">
              <w:rPr>
                <w:rFonts w:cs="Calibri"/>
                <w:sz w:val="20"/>
                <w:szCs w:val="20"/>
              </w:rPr>
              <w:t>8.534</w:t>
            </w:r>
          </w:p>
        </w:tc>
      </w:tr>
      <w:tr w:rsidR="00FD2CBB" w:rsidRPr="002B66B1" w14:paraId="62DAD43D" w14:textId="77777777" w:rsidTr="00C64A2F">
        <w:trPr>
          <w:trHeight w:val="300"/>
        </w:trPr>
        <w:tc>
          <w:tcPr>
            <w:tcW w:w="800" w:type="dxa"/>
            <w:noWrap/>
          </w:tcPr>
          <w:p w14:paraId="31478700" w14:textId="77777777" w:rsidR="00FD2CBB" w:rsidRPr="00EB1A77" w:rsidRDefault="00FD2CBB">
            <w:pPr>
              <w:spacing w:after="0" w:line="240" w:lineRule="auto"/>
              <w:jc w:val="left"/>
              <w:rPr>
                <w:rFonts w:eastAsia="Times New Roman" w:cs="Calibri"/>
                <w:color w:val="000000"/>
                <w:sz w:val="20"/>
                <w:szCs w:val="20"/>
              </w:rPr>
            </w:pPr>
            <w:r w:rsidRPr="00EB1A77">
              <w:rPr>
                <w:rFonts w:cs="Calibri"/>
                <w:sz w:val="20"/>
                <w:szCs w:val="20"/>
              </w:rPr>
              <w:t>528</w:t>
            </w:r>
          </w:p>
        </w:tc>
        <w:tc>
          <w:tcPr>
            <w:tcW w:w="5480" w:type="dxa"/>
            <w:noWrap/>
          </w:tcPr>
          <w:p w14:paraId="2012D050" w14:textId="77777777" w:rsidR="00FD2CBB" w:rsidRPr="00EB1A77" w:rsidRDefault="00FD2CBB">
            <w:pPr>
              <w:spacing w:after="0" w:line="240" w:lineRule="auto"/>
              <w:jc w:val="left"/>
              <w:rPr>
                <w:rFonts w:eastAsia="Times New Roman" w:cs="Calibri"/>
                <w:color w:val="000000"/>
                <w:sz w:val="20"/>
                <w:szCs w:val="20"/>
              </w:rPr>
            </w:pPr>
            <w:r w:rsidRPr="00EB1A77">
              <w:rPr>
                <w:rFonts w:cs="Calibri"/>
                <w:sz w:val="20"/>
                <w:szCs w:val="20"/>
              </w:rPr>
              <w:t>Ruata - Allieri - Pramollo Rua</w:t>
            </w:r>
          </w:p>
        </w:tc>
        <w:tc>
          <w:tcPr>
            <w:tcW w:w="1340" w:type="dxa"/>
            <w:noWrap/>
            <w:vAlign w:val="center"/>
          </w:tcPr>
          <w:p w14:paraId="0CCE4137" w14:textId="77777777" w:rsidR="00FD2CBB" w:rsidRPr="00E927C4" w:rsidRDefault="00FD2CBB">
            <w:pPr>
              <w:spacing w:after="0" w:line="240" w:lineRule="auto"/>
              <w:jc w:val="right"/>
              <w:rPr>
                <w:rFonts w:eastAsia="Times New Roman" w:cs="Calibri"/>
                <w:color w:val="000000"/>
                <w:sz w:val="20"/>
                <w:szCs w:val="20"/>
              </w:rPr>
            </w:pPr>
            <w:r w:rsidRPr="00E927C4">
              <w:rPr>
                <w:rFonts w:cs="Calibri"/>
                <w:sz w:val="20"/>
                <w:szCs w:val="20"/>
              </w:rPr>
              <w:t>4</w:t>
            </w:r>
          </w:p>
        </w:tc>
        <w:tc>
          <w:tcPr>
            <w:tcW w:w="1340" w:type="dxa"/>
            <w:noWrap/>
            <w:vAlign w:val="center"/>
          </w:tcPr>
          <w:p w14:paraId="5FA89EA4" w14:textId="77777777" w:rsidR="00FD2CBB" w:rsidRPr="00E927C4" w:rsidRDefault="00FD2CBB">
            <w:pPr>
              <w:spacing w:after="0" w:line="240" w:lineRule="auto"/>
              <w:jc w:val="right"/>
              <w:rPr>
                <w:rFonts w:eastAsia="Times New Roman" w:cs="Calibri"/>
                <w:color w:val="000000"/>
                <w:sz w:val="20"/>
                <w:szCs w:val="20"/>
              </w:rPr>
            </w:pPr>
            <w:r w:rsidRPr="00E927C4">
              <w:rPr>
                <w:rFonts w:cs="Calibri"/>
                <w:sz w:val="20"/>
                <w:szCs w:val="20"/>
              </w:rPr>
              <w:t>6.573</w:t>
            </w:r>
          </w:p>
        </w:tc>
      </w:tr>
      <w:tr w:rsidR="00FD2CBB" w:rsidRPr="002B66B1" w14:paraId="115F0373" w14:textId="77777777" w:rsidTr="00C64A2F">
        <w:trPr>
          <w:trHeight w:val="300"/>
        </w:trPr>
        <w:tc>
          <w:tcPr>
            <w:tcW w:w="800" w:type="dxa"/>
            <w:noWrap/>
          </w:tcPr>
          <w:p w14:paraId="000D2020" w14:textId="77777777" w:rsidR="00FD2CBB" w:rsidRPr="00EB1A77" w:rsidRDefault="00FD2CBB">
            <w:pPr>
              <w:spacing w:after="0" w:line="240" w:lineRule="auto"/>
              <w:jc w:val="left"/>
              <w:rPr>
                <w:rFonts w:eastAsia="Times New Roman" w:cs="Calibri"/>
                <w:color w:val="000000"/>
                <w:sz w:val="20"/>
                <w:szCs w:val="20"/>
              </w:rPr>
            </w:pPr>
            <w:r w:rsidRPr="00EB1A77">
              <w:rPr>
                <w:rFonts w:cs="Calibri"/>
                <w:sz w:val="20"/>
                <w:szCs w:val="20"/>
              </w:rPr>
              <w:t>534</w:t>
            </w:r>
          </w:p>
        </w:tc>
        <w:tc>
          <w:tcPr>
            <w:tcW w:w="5480" w:type="dxa"/>
            <w:noWrap/>
          </w:tcPr>
          <w:p w14:paraId="129617B0" w14:textId="77777777" w:rsidR="00FD2CBB" w:rsidRPr="00EB1A77" w:rsidRDefault="00FD2CBB">
            <w:pPr>
              <w:spacing w:after="0" w:line="240" w:lineRule="auto"/>
              <w:jc w:val="left"/>
              <w:rPr>
                <w:rFonts w:eastAsia="Times New Roman" w:cs="Calibri"/>
                <w:color w:val="000000"/>
                <w:sz w:val="20"/>
                <w:szCs w:val="20"/>
              </w:rPr>
            </w:pPr>
            <w:r w:rsidRPr="00EB1A77">
              <w:rPr>
                <w:rFonts w:cs="Calibri"/>
                <w:sz w:val="20"/>
                <w:szCs w:val="20"/>
              </w:rPr>
              <w:t>Ruata</w:t>
            </w:r>
            <w:r>
              <w:rPr>
                <w:rFonts w:cs="Calibri"/>
                <w:sz w:val="20"/>
                <w:szCs w:val="20"/>
              </w:rPr>
              <w:t xml:space="preserve"> </w:t>
            </w:r>
            <w:r w:rsidRPr="00EB1A77">
              <w:rPr>
                <w:rFonts w:cs="Calibri"/>
                <w:sz w:val="20"/>
                <w:szCs w:val="20"/>
              </w:rPr>
              <w:t>-</w:t>
            </w:r>
            <w:r>
              <w:rPr>
                <w:rFonts w:cs="Calibri"/>
                <w:sz w:val="20"/>
                <w:szCs w:val="20"/>
              </w:rPr>
              <w:t xml:space="preserve"> </w:t>
            </w:r>
            <w:r w:rsidRPr="00EB1A77">
              <w:rPr>
                <w:rFonts w:cs="Calibri"/>
                <w:sz w:val="20"/>
                <w:szCs w:val="20"/>
              </w:rPr>
              <w:t>San Germano</w:t>
            </w:r>
          </w:p>
        </w:tc>
        <w:tc>
          <w:tcPr>
            <w:tcW w:w="1340" w:type="dxa"/>
            <w:noWrap/>
            <w:vAlign w:val="center"/>
          </w:tcPr>
          <w:p w14:paraId="231766ED" w14:textId="77777777" w:rsidR="00FD2CBB" w:rsidRPr="00E927C4" w:rsidRDefault="00FD2CBB">
            <w:pPr>
              <w:spacing w:after="0" w:line="240" w:lineRule="auto"/>
              <w:jc w:val="right"/>
              <w:rPr>
                <w:rFonts w:eastAsia="Times New Roman" w:cs="Calibri"/>
                <w:color w:val="000000"/>
                <w:sz w:val="20"/>
                <w:szCs w:val="20"/>
              </w:rPr>
            </w:pPr>
            <w:r w:rsidRPr="00E927C4">
              <w:rPr>
                <w:rFonts w:cs="Calibri"/>
                <w:sz w:val="20"/>
                <w:szCs w:val="20"/>
              </w:rPr>
              <w:t>3</w:t>
            </w:r>
          </w:p>
        </w:tc>
        <w:tc>
          <w:tcPr>
            <w:tcW w:w="1340" w:type="dxa"/>
            <w:noWrap/>
            <w:vAlign w:val="center"/>
          </w:tcPr>
          <w:p w14:paraId="53D444C4" w14:textId="77777777" w:rsidR="00FD2CBB" w:rsidRPr="00E927C4" w:rsidRDefault="00FD2CBB">
            <w:pPr>
              <w:spacing w:after="0" w:line="240" w:lineRule="auto"/>
              <w:jc w:val="right"/>
              <w:rPr>
                <w:rFonts w:eastAsia="Times New Roman" w:cs="Calibri"/>
                <w:color w:val="000000"/>
                <w:sz w:val="20"/>
                <w:szCs w:val="20"/>
              </w:rPr>
            </w:pPr>
            <w:r w:rsidRPr="00E927C4">
              <w:rPr>
                <w:rFonts w:cs="Calibri"/>
                <w:sz w:val="20"/>
                <w:szCs w:val="20"/>
              </w:rPr>
              <w:t>3.413</w:t>
            </w:r>
          </w:p>
        </w:tc>
      </w:tr>
      <w:tr w:rsidR="00FD2CBB" w:rsidRPr="002B66B1" w14:paraId="203E8116" w14:textId="77777777" w:rsidTr="00C64A2F">
        <w:trPr>
          <w:trHeight w:val="300"/>
        </w:trPr>
        <w:tc>
          <w:tcPr>
            <w:tcW w:w="800" w:type="dxa"/>
            <w:noWrap/>
          </w:tcPr>
          <w:p w14:paraId="05140A01" w14:textId="77777777" w:rsidR="00FD2CBB" w:rsidRPr="00EB1A77" w:rsidRDefault="00FD2CBB">
            <w:pPr>
              <w:spacing w:after="0" w:line="240" w:lineRule="auto"/>
              <w:jc w:val="left"/>
              <w:rPr>
                <w:rFonts w:eastAsia="Times New Roman" w:cs="Calibri"/>
                <w:color w:val="000000"/>
                <w:sz w:val="20"/>
                <w:szCs w:val="20"/>
              </w:rPr>
            </w:pPr>
            <w:r w:rsidRPr="00EB1A77">
              <w:rPr>
                <w:rFonts w:cs="Calibri"/>
                <w:sz w:val="20"/>
                <w:szCs w:val="20"/>
              </w:rPr>
              <w:t>535</w:t>
            </w:r>
          </w:p>
        </w:tc>
        <w:tc>
          <w:tcPr>
            <w:tcW w:w="5480" w:type="dxa"/>
            <w:noWrap/>
          </w:tcPr>
          <w:p w14:paraId="6CD076D1" w14:textId="77777777" w:rsidR="00FD2CBB" w:rsidRPr="00EB1A77" w:rsidRDefault="00FD2CBB">
            <w:pPr>
              <w:spacing w:after="0" w:line="240" w:lineRule="auto"/>
              <w:jc w:val="left"/>
              <w:rPr>
                <w:rFonts w:eastAsia="Times New Roman" w:cs="Calibri"/>
                <w:color w:val="000000"/>
                <w:sz w:val="20"/>
                <w:szCs w:val="20"/>
              </w:rPr>
            </w:pPr>
            <w:r w:rsidRPr="00EB1A77">
              <w:rPr>
                <w:rFonts w:cs="Calibri"/>
                <w:sz w:val="20"/>
                <w:szCs w:val="20"/>
              </w:rPr>
              <w:t>Villa</w:t>
            </w:r>
            <w:r>
              <w:rPr>
                <w:rFonts w:cs="Calibri"/>
                <w:sz w:val="20"/>
                <w:szCs w:val="20"/>
              </w:rPr>
              <w:t xml:space="preserve"> </w:t>
            </w:r>
            <w:r w:rsidRPr="00EB1A77">
              <w:rPr>
                <w:rFonts w:cs="Calibri"/>
                <w:sz w:val="20"/>
                <w:szCs w:val="20"/>
              </w:rPr>
              <w:t>-</w:t>
            </w:r>
            <w:r>
              <w:rPr>
                <w:rFonts w:cs="Calibri"/>
                <w:sz w:val="20"/>
                <w:szCs w:val="20"/>
              </w:rPr>
              <w:t xml:space="preserve"> </w:t>
            </w:r>
            <w:r w:rsidRPr="00EB1A77">
              <w:rPr>
                <w:rFonts w:cs="Calibri"/>
                <w:sz w:val="20"/>
                <w:szCs w:val="20"/>
              </w:rPr>
              <w:t>Rodoretto</w:t>
            </w:r>
          </w:p>
        </w:tc>
        <w:tc>
          <w:tcPr>
            <w:tcW w:w="1340" w:type="dxa"/>
            <w:noWrap/>
            <w:vAlign w:val="center"/>
          </w:tcPr>
          <w:p w14:paraId="146B2172" w14:textId="77777777" w:rsidR="00FD2CBB" w:rsidRPr="00E927C4" w:rsidRDefault="00FD2CBB">
            <w:pPr>
              <w:spacing w:after="0" w:line="240" w:lineRule="auto"/>
              <w:jc w:val="right"/>
              <w:rPr>
                <w:rFonts w:eastAsia="Times New Roman" w:cs="Calibri"/>
                <w:color w:val="000000"/>
                <w:sz w:val="20"/>
                <w:szCs w:val="20"/>
              </w:rPr>
            </w:pPr>
            <w:r w:rsidRPr="00E927C4">
              <w:rPr>
                <w:rFonts w:cs="Calibri"/>
                <w:sz w:val="20"/>
                <w:szCs w:val="20"/>
              </w:rPr>
              <w:t>6</w:t>
            </w:r>
          </w:p>
        </w:tc>
        <w:tc>
          <w:tcPr>
            <w:tcW w:w="1340" w:type="dxa"/>
            <w:noWrap/>
            <w:vAlign w:val="center"/>
          </w:tcPr>
          <w:p w14:paraId="6CEECD15" w14:textId="77777777" w:rsidR="00FD2CBB" w:rsidRPr="00E927C4" w:rsidRDefault="00FD2CBB">
            <w:pPr>
              <w:spacing w:after="0" w:line="240" w:lineRule="auto"/>
              <w:jc w:val="right"/>
              <w:rPr>
                <w:rFonts w:eastAsia="Times New Roman" w:cs="Calibri"/>
                <w:color w:val="000000"/>
                <w:sz w:val="20"/>
                <w:szCs w:val="20"/>
              </w:rPr>
            </w:pPr>
            <w:r w:rsidRPr="00E927C4">
              <w:rPr>
                <w:rFonts w:cs="Calibri"/>
                <w:sz w:val="20"/>
                <w:szCs w:val="20"/>
              </w:rPr>
              <w:t>3.494</w:t>
            </w:r>
          </w:p>
        </w:tc>
      </w:tr>
      <w:tr w:rsidR="00FD2CBB" w:rsidRPr="002B66B1" w14:paraId="046B5915" w14:textId="77777777" w:rsidTr="00C64A2F">
        <w:trPr>
          <w:trHeight w:val="300"/>
        </w:trPr>
        <w:tc>
          <w:tcPr>
            <w:tcW w:w="800" w:type="dxa"/>
            <w:noWrap/>
          </w:tcPr>
          <w:p w14:paraId="18EAF68C" w14:textId="77777777" w:rsidR="00FD2CBB" w:rsidRPr="00EB1A77" w:rsidRDefault="00FD2CBB">
            <w:pPr>
              <w:spacing w:after="0" w:line="240" w:lineRule="auto"/>
              <w:jc w:val="left"/>
              <w:rPr>
                <w:rFonts w:eastAsia="Times New Roman" w:cs="Calibri"/>
                <w:color w:val="000000"/>
                <w:sz w:val="20"/>
                <w:szCs w:val="20"/>
              </w:rPr>
            </w:pPr>
            <w:r w:rsidRPr="00EB1A77">
              <w:rPr>
                <w:rFonts w:cs="Calibri"/>
                <w:sz w:val="20"/>
                <w:szCs w:val="20"/>
              </w:rPr>
              <w:t>536</w:t>
            </w:r>
          </w:p>
        </w:tc>
        <w:tc>
          <w:tcPr>
            <w:tcW w:w="5480" w:type="dxa"/>
            <w:noWrap/>
          </w:tcPr>
          <w:p w14:paraId="09010C44" w14:textId="77777777" w:rsidR="00FD2CBB" w:rsidRPr="00EB1A77" w:rsidRDefault="00FD2CBB">
            <w:pPr>
              <w:spacing w:after="0" w:line="240" w:lineRule="auto"/>
              <w:jc w:val="left"/>
              <w:rPr>
                <w:rFonts w:eastAsia="Times New Roman" w:cs="Calibri"/>
                <w:color w:val="000000"/>
                <w:sz w:val="20"/>
                <w:szCs w:val="20"/>
              </w:rPr>
            </w:pPr>
            <w:r w:rsidRPr="00EB1A77">
              <w:rPr>
                <w:rFonts w:cs="Calibri"/>
                <w:sz w:val="20"/>
                <w:szCs w:val="20"/>
              </w:rPr>
              <w:t>Ghigo</w:t>
            </w:r>
            <w:r>
              <w:rPr>
                <w:rFonts w:cs="Calibri"/>
                <w:sz w:val="20"/>
                <w:szCs w:val="20"/>
              </w:rPr>
              <w:t xml:space="preserve"> </w:t>
            </w:r>
            <w:r w:rsidRPr="00EB1A77">
              <w:rPr>
                <w:rFonts w:cs="Calibri"/>
                <w:sz w:val="20"/>
                <w:szCs w:val="20"/>
              </w:rPr>
              <w:t>-</w:t>
            </w:r>
            <w:r>
              <w:rPr>
                <w:rFonts w:cs="Calibri"/>
                <w:sz w:val="20"/>
                <w:szCs w:val="20"/>
              </w:rPr>
              <w:t xml:space="preserve"> </w:t>
            </w:r>
            <w:r w:rsidRPr="00EB1A77">
              <w:rPr>
                <w:rFonts w:cs="Calibri"/>
                <w:sz w:val="20"/>
                <w:szCs w:val="20"/>
              </w:rPr>
              <w:t>Giordano</w:t>
            </w:r>
          </w:p>
        </w:tc>
        <w:tc>
          <w:tcPr>
            <w:tcW w:w="1340" w:type="dxa"/>
            <w:noWrap/>
            <w:vAlign w:val="center"/>
          </w:tcPr>
          <w:p w14:paraId="0840310C" w14:textId="77777777" w:rsidR="00FD2CBB" w:rsidRPr="00E927C4" w:rsidRDefault="00FD2CBB">
            <w:pPr>
              <w:spacing w:after="0" w:line="240" w:lineRule="auto"/>
              <w:jc w:val="right"/>
              <w:rPr>
                <w:rFonts w:eastAsia="Times New Roman" w:cs="Calibri"/>
                <w:color w:val="000000"/>
                <w:sz w:val="20"/>
                <w:szCs w:val="20"/>
              </w:rPr>
            </w:pPr>
            <w:r w:rsidRPr="00E927C4">
              <w:rPr>
                <w:rFonts w:cs="Calibri"/>
                <w:sz w:val="20"/>
                <w:szCs w:val="20"/>
              </w:rPr>
              <w:t>8</w:t>
            </w:r>
          </w:p>
        </w:tc>
        <w:tc>
          <w:tcPr>
            <w:tcW w:w="1340" w:type="dxa"/>
            <w:noWrap/>
            <w:vAlign w:val="center"/>
          </w:tcPr>
          <w:p w14:paraId="21A65082" w14:textId="77777777" w:rsidR="00FD2CBB" w:rsidRPr="00E927C4" w:rsidRDefault="00FD2CBB">
            <w:pPr>
              <w:spacing w:after="0" w:line="240" w:lineRule="auto"/>
              <w:jc w:val="right"/>
              <w:rPr>
                <w:rFonts w:eastAsia="Times New Roman" w:cs="Calibri"/>
                <w:color w:val="000000"/>
                <w:sz w:val="20"/>
                <w:szCs w:val="20"/>
              </w:rPr>
            </w:pPr>
            <w:r w:rsidRPr="00E927C4">
              <w:rPr>
                <w:rFonts w:cs="Calibri"/>
                <w:sz w:val="20"/>
                <w:szCs w:val="20"/>
              </w:rPr>
              <w:t>1.613</w:t>
            </w:r>
          </w:p>
        </w:tc>
      </w:tr>
      <w:tr w:rsidR="00FD2CBB" w:rsidRPr="002B66B1" w14:paraId="15A530B7" w14:textId="77777777" w:rsidTr="00C64A2F">
        <w:trPr>
          <w:trHeight w:val="300"/>
        </w:trPr>
        <w:tc>
          <w:tcPr>
            <w:tcW w:w="800" w:type="dxa"/>
            <w:noWrap/>
          </w:tcPr>
          <w:p w14:paraId="2545238B" w14:textId="77777777" w:rsidR="00FD2CBB" w:rsidRPr="00EB1A77" w:rsidRDefault="00FD2CBB">
            <w:pPr>
              <w:spacing w:after="0" w:line="240" w:lineRule="auto"/>
              <w:jc w:val="left"/>
              <w:rPr>
                <w:rFonts w:eastAsia="Times New Roman" w:cs="Calibri"/>
                <w:color w:val="000000"/>
                <w:sz w:val="20"/>
                <w:szCs w:val="20"/>
              </w:rPr>
            </w:pPr>
            <w:r w:rsidRPr="00EB1A77">
              <w:rPr>
                <w:rFonts w:cs="Calibri"/>
                <w:sz w:val="20"/>
                <w:szCs w:val="20"/>
              </w:rPr>
              <w:t>537</w:t>
            </w:r>
          </w:p>
        </w:tc>
        <w:tc>
          <w:tcPr>
            <w:tcW w:w="5480" w:type="dxa"/>
            <w:noWrap/>
          </w:tcPr>
          <w:p w14:paraId="687145B7" w14:textId="77777777" w:rsidR="00FD2CBB" w:rsidRPr="00EB1A77" w:rsidRDefault="00FD2CBB">
            <w:pPr>
              <w:spacing w:after="0" w:line="240" w:lineRule="auto"/>
              <w:jc w:val="left"/>
              <w:rPr>
                <w:rFonts w:eastAsia="Times New Roman" w:cs="Calibri"/>
                <w:color w:val="000000"/>
                <w:sz w:val="20"/>
                <w:szCs w:val="20"/>
              </w:rPr>
            </w:pPr>
            <w:r w:rsidRPr="00EB1A77">
              <w:rPr>
                <w:rFonts w:cs="Calibri"/>
                <w:sz w:val="20"/>
                <w:szCs w:val="20"/>
              </w:rPr>
              <w:t>Ghigo</w:t>
            </w:r>
            <w:r>
              <w:rPr>
                <w:rFonts w:cs="Calibri"/>
                <w:sz w:val="20"/>
                <w:szCs w:val="20"/>
              </w:rPr>
              <w:t xml:space="preserve"> </w:t>
            </w:r>
            <w:r w:rsidRPr="00EB1A77">
              <w:rPr>
                <w:rFonts w:cs="Calibri"/>
                <w:sz w:val="20"/>
                <w:szCs w:val="20"/>
              </w:rPr>
              <w:t>-</w:t>
            </w:r>
            <w:r>
              <w:rPr>
                <w:rFonts w:cs="Calibri"/>
                <w:sz w:val="20"/>
                <w:szCs w:val="20"/>
              </w:rPr>
              <w:t xml:space="preserve"> </w:t>
            </w:r>
            <w:r w:rsidRPr="00EB1A77">
              <w:rPr>
                <w:rFonts w:cs="Calibri"/>
                <w:sz w:val="20"/>
                <w:szCs w:val="20"/>
              </w:rPr>
              <w:t>Agape</w:t>
            </w:r>
          </w:p>
        </w:tc>
        <w:tc>
          <w:tcPr>
            <w:tcW w:w="1340" w:type="dxa"/>
            <w:noWrap/>
            <w:vAlign w:val="center"/>
          </w:tcPr>
          <w:p w14:paraId="5C8C5C7D" w14:textId="77777777" w:rsidR="00FD2CBB" w:rsidRPr="00E927C4" w:rsidRDefault="00FD2CBB">
            <w:pPr>
              <w:spacing w:after="0" w:line="240" w:lineRule="auto"/>
              <w:jc w:val="right"/>
              <w:rPr>
                <w:rFonts w:eastAsia="Times New Roman" w:cs="Calibri"/>
                <w:color w:val="000000"/>
                <w:sz w:val="20"/>
                <w:szCs w:val="20"/>
              </w:rPr>
            </w:pPr>
            <w:r w:rsidRPr="00E927C4">
              <w:rPr>
                <w:rFonts w:cs="Calibri"/>
                <w:sz w:val="20"/>
                <w:szCs w:val="20"/>
              </w:rPr>
              <w:t>4</w:t>
            </w:r>
          </w:p>
        </w:tc>
        <w:tc>
          <w:tcPr>
            <w:tcW w:w="1340" w:type="dxa"/>
            <w:noWrap/>
            <w:vAlign w:val="center"/>
          </w:tcPr>
          <w:p w14:paraId="0FC50D8A" w14:textId="77777777" w:rsidR="00FD2CBB" w:rsidRPr="00E927C4" w:rsidRDefault="00FD2CBB">
            <w:pPr>
              <w:spacing w:after="0" w:line="240" w:lineRule="auto"/>
              <w:jc w:val="right"/>
              <w:rPr>
                <w:rFonts w:eastAsia="Times New Roman" w:cs="Calibri"/>
                <w:color w:val="000000"/>
                <w:sz w:val="20"/>
                <w:szCs w:val="20"/>
              </w:rPr>
            </w:pPr>
            <w:r w:rsidRPr="00E927C4">
              <w:rPr>
                <w:rFonts w:cs="Calibri"/>
                <w:sz w:val="20"/>
                <w:szCs w:val="20"/>
              </w:rPr>
              <w:t>832</w:t>
            </w:r>
          </w:p>
        </w:tc>
      </w:tr>
      <w:tr w:rsidR="00FD2CBB" w:rsidRPr="002B66B1" w14:paraId="469F40D4" w14:textId="77777777" w:rsidTr="00C64A2F">
        <w:trPr>
          <w:trHeight w:val="300"/>
        </w:trPr>
        <w:tc>
          <w:tcPr>
            <w:tcW w:w="800" w:type="dxa"/>
            <w:noWrap/>
          </w:tcPr>
          <w:p w14:paraId="7D4A9E30" w14:textId="77777777" w:rsidR="00FD2CBB" w:rsidRPr="00EB1A77" w:rsidRDefault="00FD2CBB">
            <w:pPr>
              <w:spacing w:after="0" w:line="240" w:lineRule="auto"/>
              <w:jc w:val="left"/>
              <w:rPr>
                <w:rFonts w:eastAsia="Times New Roman" w:cs="Calibri"/>
                <w:color w:val="000000"/>
                <w:sz w:val="20"/>
                <w:szCs w:val="20"/>
              </w:rPr>
            </w:pPr>
            <w:r w:rsidRPr="00EB1A77">
              <w:rPr>
                <w:rFonts w:cs="Calibri"/>
                <w:sz w:val="20"/>
                <w:szCs w:val="20"/>
              </w:rPr>
              <w:t>538</w:t>
            </w:r>
          </w:p>
        </w:tc>
        <w:tc>
          <w:tcPr>
            <w:tcW w:w="5480" w:type="dxa"/>
            <w:noWrap/>
          </w:tcPr>
          <w:p w14:paraId="32A3A31B" w14:textId="77777777" w:rsidR="00FD2CBB" w:rsidRPr="00EB1A77" w:rsidRDefault="00FD2CBB">
            <w:pPr>
              <w:spacing w:after="0" w:line="240" w:lineRule="auto"/>
              <w:jc w:val="left"/>
              <w:rPr>
                <w:rFonts w:eastAsia="Times New Roman" w:cs="Calibri"/>
                <w:color w:val="000000"/>
                <w:sz w:val="20"/>
                <w:szCs w:val="20"/>
              </w:rPr>
            </w:pPr>
            <w:r w:rsidRPr="00EB1A77">
              <w:rPr>
                <w:rFonts w:cs="Calibri"/>
                <w:sz w:val="20"/>
                <w:szCs w:val="20"/>
              </w:rPr>
              <w:t>Ghigo</w:t>
            </w:r>
            <w:r>
              <w:rPr>
                <w:rFonts w:cs="Calibri"/>
                <w:sz w:val="20"/>
                <w:szCs w:val="20"/>
              </w:rPr>
              <w:t xml:space="preserve"> </w:t>
            </w:r>
            <w:r w:rsidRPr="00EB1A77">
              <w:rPr>
                <w:rFonts w:cs="Calibri"/>
                <w:sz w:val="20"/>
                <w:szCs w:val="20"/>
              </w:rPr>
              <w:t>-</w:t>
            </w:r>
            <w:r>
              <w:rPr>
                <w:rFonts w:cs="Calibri"/>
                <w:sz w:val="20"/>
                <w:szCs w:val="20"/>
              </w:rPr>
              <w:t xml:space="preserve"> </w:t>
            </w:r>
            <w:r w:rsidRPr="00EB1A77">
              <w:rPr>
                <w:rFonts w:cs="Calibri"/>
                <w:sz w:val="20"/>
                <w:szCs w:val="20"/>
              </w:rPr>
              <w:t>Villa</w:t>
            </w:r>
          </w:p>
        </w:tc>
        <w:tc>
          <w:tcPr>
            <w:tcW w:w="1340" w:type="dxa"/>
            <w:noWrap/>
            <w:vAlign w:val="center"/>
          </w:tcPr>
          <w:p w14:paraId="4AB50C76" w14:textId="77777777" w:rsidR="00FD2CBB" w:rsidRPr="00E927C4" w:rsidRDefault="00FD2CBB">
            <w:pPr>
              <w:spacing w:after="0" w:line="240" w:lineRule="auto"/>
              <w:jc w:val="right"/>
              <w:rPr>
                <w:rFonts w:eastAsia="Times New Roman" w:cs="Calibri"/>
                <w:color w:val="000000"/>
                <w:sz w:val="20"/>
                <w:szCs w:val="20"/>
              </w:rPr>
            </w:pPr>
            <w:r w:rsidRPr="00E927C4">
              <w:rPr>
                <w:rFonts w:cs="Calibri"/>
                <w:sz w:val="20"/>
                <w:szCs w:val="20"/>
              </w:rPr>
              <w:t>8</w:t>
            </w:r>
          </w:p>
        </w:tc>
        <w:tc>
          <w:tcPr>
            <w:tcW w:w="1340" w:type="dxa"/>
            <w:noWrap/>
            <w:vAlign w:val="center"/>
          </w:tcPr>
          <w:p w14:paraId="1EABF9EA" w14:textId="77777777" w:rsidR="00FD2CBB" w:rsidRPr="00E927C4" w:rsidRDefault="00FD2CBB">
            <w:pPr>
              <w:spacing w:after="0" w:line="240" w:lineRule="auto"/>
              <w:jc w:val="right"/>
              <w:rPr>
                <w:rFonts w:eastAsia="Times New Roman" w:cs="Calibri"/>
                <w:color w:val="000000"/>
                <w:sz w:val="20"/>
                <w:szCs w:val="20"/>
              </w:rPr>
            </w:pPr>
            <w:r w:rsidRPr="00E927C4">
              <w:rPr>
                <w:rFonts w:cs="Calibri"/>
                <w:sz w:val="20"/>
                <w:szCs w:val="20"/>
              </w:rPr>
              <w:t>1.757</w:t>
            </w:r>
          </w:p>
        </w:tc>
      </w:tr>
      <w:tr w:rsidR="00FD2CBB" w:rsidRPr="002B66B1" w14:paraId="6F859317" w14:textId="77777777" w:rsidTr="00C64A2F">
        <w:trPr>
          <w:trHeight w:val="300"/>
        </w:trPr>
        <w:tc>
          <w:tcPr>
            <w:tcW w:w="6280" w:type="dxa"/>
            <w:gridSpan w:val="2"/>
            <w:shd w:val="clear" w:color="auto" w:fill="F9CEC9"/>
            <w:noWrap/>
            <w:vAlign w:val="center"/>
            <w:hideMark/>
          </w:tcPr>
          <w:p w14:paraId="6686CF0B" w14:textId="77777777" w:rsidR="00FD2CBB" w:rsidRPr="00EB1A77" w:rsidRDefault="00FD2CBB">
            <w:pPr>
              <w:spacing w:after="0" w:line="240" w:lineRule="auto"/>
              <w:jc w:val="left"/>
              <w:rPr>
                <w:rFonts w:eastAsia="Times New Roman" w:cs="Calibri"/>
                <w:b/>
                <w:color w:val="000000"/>
                <w:sz w:val="20"/>
                <w:szCs w:val="20"/>
              </w:rPr>
            </w:pPr>
            <w:r w:rsidRPr="00EB1A77">
              <w:rPr>
                <w:rFonts w:eastAsia="Times New Roman" w:cs="Calibri"/>
                <w:b/>
                <w:color w:val="000000"/>
                <w:sz w:val="20"/>
                <w:szCs w:val="20"/>
              </w:rPr>
              <w:t>TOTALE SERVIZI UNIONE MONTANA DEI COMUNI DELLE VALLI CHISONE E GERMANASCA</w:t>
            </w:r>
          </w:p>
        </w:tc>
        <w:tc>
          <w:tcPr>
            <w:tcW w:w="1340" w:type="dxa"/>
            <w:shd w:val="clear" w:color="auto" w:fill="F9CEC9"/>
            <w:noWrap/>
            <w:vAlign w:val="center"/>
          </w:tcPr>
          <w:p w14:paraId="5CC1C484" w14:textId="77777777" w:rsidR="00FD2CBB" w:rsidRPr="00E927C4" w:rsidRDefault="00FD2CBB">
            <w:pPr>
              <w:spacing w:after="0" w:line="240" w:lineRule="auto"/>
              <w:jc w:val="right"/>
              <w:rPr>
                <w:rFonts w:eastAsia="Times New Roman" w:cs="Calibri"/>
                <w:b/>
                <w:color w:val="000000"/>
                <w:sz w:val="20"/>
                <w:szCs w:val="20"/>
              </w:rPr>
            </w:pPr>
            <w:r w:rsidRPr="00E927C4">
              <w:rPr>
                <w:rFonts w:cs="Calibri"/>
                <w:b/>
                <w:sz w:val="20"/>
                <w:szCs w:val="20"/>
              </w:rPr>
              <w:t>105</w:t>
            </w:r>
          </w:p>
        </w:tc>
        <w:tc>
          <w:tcPr>
            <w:tcW w:w="1340" w:type="dxa"/>
            <w:shd w:val="clear" w:color="auto" w:fill="F9CEC9"/>
            <w:noWrap/>
            <w:vAlign w:val="center"/>
          </w:tcPr>
          <w:p w14:paraId="109CEEE5" w14:textId="77777777" w:rsidR="00FD2CBB" w:rsidRPr="00E927C4" w:rsidRDefault="00FD2CBB">
            <w:pPr>
              <w:spacing w:after="0" w:line="240" w:lineRule="auto"/>
              <w:jc w:val="right"/>
              <w:rPr>
                <w:rFonts w:eastAsia="Times New Roman" w:cs="Calibri"/>
                <w:b/>
                <w:color w:val="000000"/>
                <w:sz w:val="20"/>
                <w:szCs w:val="20"/>
              </w:rPr>
            </w:pPr>
            <w:r w:rsidRPr="00E927C4">
              <w:rPr>
                <w:rFonts w:cs="Calibri"/>
                <w:b/>
                <w:sz w:val="20"/>
                <w:szCs w:val="20"/>
              </w:rPr>
              <w:t>113.489</w:t>
            </w:r>
          </w:p>
        </w:tc>
      </w:tr>
      <w:tr w:rsidR="00FD2CBB" w:rsidRPr="002B66B1" w14:paraId="0DBDB6B5" w14:textId="77777777" w:rsidTr="00C64A2F">
        <w:trPr>
          <w:trHeight w:val="300"/>
        </w:trPr>
        <w:tc>
          <w:tcPr>
            <w:tcW w:w="800" w:type="dxa"/>
            <w:noWrap/>
          </w:tcPr>
          <w:p w14:paraId="7268D9A1" w14:textId="77777777" w:rsidR="00FD2CBB" w:rsidRPr="00EB1A77" w:rsidRDefault="00FD2CBB">
            <w:pPr>
              <w:spacing w:after="0" w:line="240" w:lineRule="auto"/>
              <w:jc w:val="left"/>
              <w:rPr>
                <w:rFonts w:eastAsia="Times New Roman" w:cs="Calibri"/>
                <w:color w:val="000000"/>
                <w:sz w:val="20"/>
                <w:szCs w:val="20"/>
              </w:rPr>
            </w:pPr>
            <w:r w:rsidRPr="00EB1A77">
              <w:rPr>
                <w:rFonts w:cs="Calibri"/>
                <w:sz w:val="20"/>
                <w:szCs w:val="20"/>
              </w:rPr>
              <w:t>120</w:t>
            </w:r>
          </w:p>
        </w:tc>
        <w:tc>
          <w:tcPr>
            <w:tcW w:w="5480" w:type="dxa"/>
            <w:noWrap/>
          </w:tcPr>
          <w:p w14:paraId="3B71F47E" w14:textId="77777777" w:rsidR="00FD2CBB" w:rsidRPr="00EB1A77" w:rsidRDefault="00FD2CBB">
            <w:pPr>
              <w:spacing w:after="0" w:line="240" w:lineRule="auto"/>
              <w:jc w:val="left"/>
              <w:rPr>
                <w:rFonts w:eastAsia="Times New Roman" w:cs="Calibri"/>
                <w:color w:val="000000"/>
                <w:sz w:val="20"/>
                <w:szCs w:val="20"/>
              </w:rPr>
            </w:pPr>
            <w:r w:rsidRPr="00EB1A77">
              <w:rPr>
                <w:rFonts w:cs="Calibri"/>
                <w:sz w:val="20"/>
                <w:szCs w:val="20"/>
              </w:rPr>
              <w:t>Angrogna - Torre Pellice</w:t>
            </w:r>
          </w:p>
        </w:tc>
        <w:tc>
          <w:tcPr>
            <w:tcW w:w="1340" w:type="dxa"/>
            <w:noWrap/>
            <w:vAlign w:val="center"/>
          </w:tcPr>
          <w:p w14:paraId="1DBD5B1F" w14:textId="77777777" w:rsidR="00FD2CBB" w:rsidRPr="00E927C4" w:rsidRDefault="00FD2CBB">
            <w:pPr>
              <w:spacing w:after="0" w:line="240" w:lineRule="auto"/>
              <w:jc w:val="right"/>
              <w:rPr>
                <w:rFonts w:eastAsia="Times New Roman" w:cs="Calibri"/>
                <w:color w:val="000000"/>
                <w:sz w:val="20"/>
                <w:szCs w:val="20"/>
              </w:rPr>
            </w:pPr>
            <w:r w:rsidRPr="00E927C4">
              <w:rPr>
                <w:rFonts w:eastAsia="Times New Roman" w:cs="Calibri"/>
                <w:color w:val="000000"/>
                <w:sz w:val="20"/>
                <w:szCs w:val="20"/>
              </w:rPr>
              <w:t>24</w:t>
            </w:r>
          </w:p>
        </w:tc>
        <w:tc>
          <w:tcPr>
            <w:tcW w:w="1340" w:type="dxa"/>
            <w:noWrap/>
            <w:vAlign w:val="center"/>
          </w:tcPr>
          <w:p w14:paraId="045D6378" w14:textId="77777777" w:rsidR="00FD2CBB" w:rsidRPr="00E927C4" w:rsidRDefault="00FD2CBB">
            <w:pPr>
              <w:spacing w:after="0" w:line="240" w:lineRule="auto"/>
              <w:jc w:val="right"/>
              <w:rPr>
                <w:rFonts w:eastAsia="Times New Roman" w:cs="Calibri"/>
                <w:color w:val="000000"/>
                <w:sz w:val="20"/>
                <w:szCs w:val="20"/>
              </w:rPr>
            </w:pPr>
            <w:r w:rsidRPr="00E927C4">
              <w:rPr>
                <w:rFonts w:eastAsia="Times New Roman" w:cs="Calibri"/>
                <w:color w:val="000000"/>
                <w:sz w:val="20"/>
                <w:szCs w:val="20"/>
              </w:rPr>
              <w:t>26.020</w:t>
            </w:r>
          </w:p>
        </w:tc>
      </w:tr>
      <w:tr w:rsidR="00FD2CBB" w:rsidRPr="002B66B1" w14:paraId="16CDF0E7" w14:textId="77777777" w:rsidTr="00C64A2F">
        <w:trPr>
          <w:trHeight w:val="300"/>
        </w:trPr>
        <w:tc>
          <w:tcPr>
            <w:tcW w:w="800" w:type="dxa"/>
            <w:noWrap/>
          </w:tcPr>
          <w:p w14:paraId="4216F580" w14:textId="77777777" w:rsidR="00FD2CBB" w:rsidRPr="00EB1A77" w:rsidRDefault="00FD2CBB">
            <w:pPr>
              <w:spacing w:after="0" w:line="240" w:lineRule="auto"/>
              <w:jc w:val="left"/>
              <w:rPr>
                <w:rFonts w:eastAsia="Times New Roman" w:cs="Calibri"/>
                <w:color w:val="000000"/>
                <w:sz w:val="20"/>
                <w:szCs w:val="20"/>
              </w:rPr>
            </w:pPr>
            <w:r w:rsidRPr="00EB1A77">
              <w:rPr>
                <w:rFonts w:cs="Calibri"/>
                <w:sz w:val="20"/>
                <w:szCs w:val="20"/>
              </w:rPr>
              <w:t>294</w:t>
            </w:r>
          </w:p>
        </w:tc>
        <w:tc>
          <w:tcPr>
            <w:tcW w:w="5480" w:type="dxa"/>
            <w:noWrap/>
          </w:tcPr>
          <w:p w14:paraId="05D50EBD" w14:textId="77777777" w:rsidR="00FD2CBB" w:rsidRPr="00EB1A77" w:rsidRDefault="00FD2CBB">
            <w:pPr>
              <w:spacing w:after="0" w:line="240" w:lineRule="auto"/>
              <w:jc w:val="left"/>
              <w:rPr>
                <w:rFonts w:eastAsia="Times New Roman" w:cs="Calibri"/>
                <w:color w:val="000000"/>
                <w:sz w:val="20"/>
                <w:szCs w:val="20"/>
              </w:rPr>
            </w:pPr>
            <w:r w:rsidRPr="00EB1A77">
              <w:rPr>
                <w:rFonts w:cs="Calibri"/>
                <w:sz w:val="20"/>
                <w:szCs w:val="20"/>
              </w:rPr>
              <w:t>Luserna san Giovanni - Rorà</w:t>
            </w:r>
          </w:p>
        </w:tc>
        <w:tc>
          <w:tcPr>
            <w:tcW w:w="1340" w:type="dxa"/>
            <w:noWrap/>
            <w:vAlign w:val="center"/>
          </w:tcPr>
          <w:p w14:paraId="59A316F7" w14:textId="77777777" w:rsidR="00FD2CBB" w:rsidRPr="00E927C4" w:rsidRDefault="00FD2CBB">
            <w:pPr>
              <w:spacing w:after="0" w:line="240" w:lineRule="auto"/>
              <w:jc w:val="right"/>
              <w:rPr>
                <w:rFonts w:eastAsia="Times New Roman" w:cs="Calibri"/>
                <w:color w:val="000000"/>
                <w:sz w:val="20"/>
                <w:szCs w:val="20"/>
              </w:rPr>
            </w:pPr>
            <w:r w:rsidRPr="00E927C4">
              <w:rPr>
                <w:rFonts w:cs="Calibri"/>
                <w:sz w:val="20"/>
                <w:szCs w:val="20"/>
              </w:rPr>
              <w:t>1</w:t>
            </w:r>
          </w:p>
        </w:tc>
        <w:tc>
          <w:tcPr>
            <w:tcW w:w="1340" w:type="dxa"/>
            <w:noWrap/>
            <w:vAlign w:val="center"/>
          </w:tcPr>
          <w:p w14:paraId="60B4E54F" w14:textId="77777777" w:rsidR="00FD2CBB" w:rsidRPr="00E927C4" w:rsidRDefault="00FD2CBB">
            <w:pPr>
              <w:spacing w:after="0" w:line="240" w:lineRule="auto"/>
              <w:jc w:val="right"/>
              <w:rPr>
                <w:rFonts w:eastAsia="Times New Roman" w:cs="Calibri"/>
                <w:color w:val="000000"/>
                <w:sz w:val="20"/>
                <w:szCs w:val="20"/>
              </w:rPr>
            </w:pPr>
            <w:r w:rsidRPr="00E927C4">
              <w:rPr>
                <w:rFonts w:eastAsia="Times New Roman" w:cs="Calibri"/>
                <w:color w:val="000000"/>
                <w:sz w:val="20"/>
                <w:szCs w:val="20"/>
              </w:rPr>
              <w:t>1.418</w:t>
            </w:r>
          </w:p>
        </w:tc>
      </w:tr>
      <w:tr w:rsidR="00FD2CBB" w:rsidRPr="002B66B1" w14:paraId="493A2CBF" w14:textId="77777777" w:rsidTr="00C64A2F">
        <w:trPr>
          <w:trHeight w:val="312"/>
        </w:trPr>
        <w:tc>
          <w:tcPr>
            <w:tcW w:w="6280" w:type="dxa"/>
            <w:gridSpan w:val="2"/>
            <w:shd w:val="clear" w:color="auto" w:fill="F9CEC9"/>
            <w:noWrap/>
            <w:vAlign w:val="center"/>
            <w:hideMark/>
          </w:tcPr>
          <w:p w14:paraId="759F824A" w14:textId="77777777" w:rsidR="00FD2CBB" w:rsidRPr="00EB1A77" w:rsidRDefault="00FD2CBB">
            <w:pPr>
              <w:spacing w:after="0" w:line="240" w:lineRule="auto"/>
              <w:jc w:val="left"/>
              <w:rPr>
                <w:rFonts w:eastAsia="Times New Roman" w:cs="Calibri"/>
                <w:b/>
                <w:color w:val="000000"/>
                <w:sz w:val="20"/>
                <w:szCs w:val="20"/>
              </w:rPr>
            </w:pPr>
            <w:r w:rsidRPr="00EB1A77">
              <w:rPr>
                <w:rFonts w:eastAsia="Times New Roman" w:cs="Calibri"/>
                <w:b/>
                <w:color w:val="000000"/>
                <w:sz w:val="20"/>
                <w:szCs w:val="20"/>
              </w:rPr>
              <w:t>TOTALE SERVIZI UNIONE MONTANA DEL PINEROLESE</w:t>
            </w:r>
          </w:p>
        </w:tc>
        <w:tc>
          <w:tcPr>
            <w:tcW w:w="1340" w:type="dxa"/>
            <w:shd w:val="clear" w:color="auto" w:fill="F9CEC9"/>
            <w:noWrap/>
            <w:vAlign w:val="center"/>
          </w:tcPr>
          <w:p w14:paraId="03564FD1" w14:textId="77777777" w:rsidR="00FD2CBB" w:rsidRPr="00D3214D" w:rsidRDefault="00FD2CBB">
            <w:pPr>
              <w:spacing w:after="0" w:line="240" w:lineRule="auto"/>
              <w:jc w:val="right"/>
              <w:rPr>
                <w:rFonts w:eastAsia="Times New Roman" w:cs="Calibri"/>
                <w:b/>
                <w:color w:val="000000"/>
                <w:sz w:val="20"/>
                <w:szCs w:val="20"/>
              </w:rPr>
            </w:pPr>
            <w:r w:rsidRPr="00D3214D">
              <w:rPr>
                <w:rFonts w:cs="Calibri"/>
                <w:b/>
                <w:sz w:val="20"/>
                <w:szCs w:val="20"/>
              </w:rPr>
              <w:t>25</w:t>
            </w:r>
          </w:p>
        </w:tc>
        <w:tc>
          <w:tcPr>
            <w:tcW w:w="1340" w:type="dxa"/>
            <w:shd w:val="clear" w:color="auto" w:fill="F9CEC9"/>
            <w:noWrap/>
            <w:vAlign w:val="center"/>
          </w:tcPr>
          <w:p w14:paraId="2140AD04" w14:textId="77777777" w:rsidR="00FD2CBB" w:rsidRPr="00D3214D" w:rsidRDefault="00FD2CBB">
            <w:pPr>
              <w:spacing w:after="0" w:line="240" w:lineRule="auto"/>
              <w:jc w:val="right"/>
              <w:rPr>
                <w:rFonts w:eastAsia="Times New Roman" w:cs="Calibri"/>
                <w:b/>
                <w:color w:val="000000"/>
                <w:sz w:val="20"/>
                <w:szCs w:val="20"/>
              </w:rPr>
            </w:pPr>
            <w:r w:rsidRPr="00D3214D">
              <w:rPr>
                <w:rFonts w:cs="Calibri"/>
                <w:b/>
                <w:sz w:val="20"/>
                <w:szCs w:val="20"/>
              </w:rPr>
              <w:t>27.438</w:t>
            </w:r>
          </w:p>
        </w:tc>
      </w:tr>
      <w:tr w:rsidR="00FD2CBB" w:rsidRPr="00882931" w14:paraId="4E29A2D3" w14:textId="77777777" w:rsidTr="00C64A2F">
        <w:trPr>
          <w:trHeight w:val="312"/>
        </w:trPr>
        <w:tc>
          <w:tcPr>
            <w:tcW w:w="800" w:type="dxa"/>
            <w:shd w:val="clear" w:color="auto" w:fill="EE3438"/>
            <w:vAlign w:val="center"/>
            <w:hideMark/>
          </w:tcPr>
          <w:p w14:paraId="57D3815D" w14:textId="77777777" w:rsidR="00FD2CBB" w:rsidRPr="00882931" w:rsidRDefault="00FD2CBB">
            <w:pPr>
              <w:spacing w:after="0" w:line="240" w:lineRule="auto"/>
              <w:jc w:val="left"/>
              <w:rPr>
                <w:rFonts w:eastAsia="Times New Roman" w:cs="Calibri"/>
                <w:b/>
                <w:color w:val="FFFFFF" w:themeColor="background1"/>
                <w:sz w:val="20"/>
                <w:szCs w:val="20"/>
              </w:rPr>
            </w:pPr>
            <w:r w:rsidRPr="00882931">
              <w:rPr>
                <w:rFonts w:eastAsia="Times New Roman" w:cs="Calibri"/>
                <w:b/>
                <w:color w:val="FFFFFF" w:themeColor="background1"/>
                <w:sz w:val="20"/>
                <w:szCs w:val="20"/>
              </w:rPr>
              <w:t> </w:t>
            </w:r>
          </w:p>
        </w:tc>
        <w:tc>
          <w:tcPr>
            <w:tcW w:w="5480" w:type="dxa"/>
            <w:shd w:val="clear" w:color="auto" w:fill="EE3438"/>
            <w:vAlign w:val="center"/>
            <w:hideMark/>
          </w:tcPr>
          <w:p w14:paraId="6816AECA" w14:textId="77777777" w:rsidR="00FD2CBB" w:rsidRPr="00882931" w:rsidRDefault="00FD2CBB">
            <w:pPr>
              <w:spacing w:after="0" w:line="240" w:lineRule="auto"/>
              <w:jc w:val="left"/>
              <w:rPr>
                <w:rFonts w:eastAsia="Times New Roman" w:cs="Calibri"/>
                <w:b/>
                <w:color w:val="FFFFFF" w:themeColor="background1"/>
                <w:sz w:val="20"/>
                <w:szCs w:val="20"/>
              </w:rPr>
            </w:pPr>
            <w:r w:rsidRPr="00882931">
              <w:rPr>
                <w:rFonts w:eastAsia="Times New Roman" w:cs="Calibri"/>
                <w:b/>
                <w:color w:val="FFFFFF" w:themeColor="background1"/>
                <w:sz w:val="20"/>
                <w:szCs w:val="20"/>
              </w:rPr>
              <w:t xml:space="preserve">TOTALE SERVIZI </w:t>
            </w:r>
          </w:p>
        </w:tc>
        <w:tc>
          <w:tcPr>
            <w:tcW w:w="1340" w:type="dxa"/>
            <w:shd w:val="clear" w:color="auto" w:fill="EE3438"/>
            <w:vAlign w:val="center"/>
          </w:tcPr>
          <w:p w14:paraId="493C6BB3" w14:textId="77777777" w:rsidR="00FD2CBB" w:rsidRPr="00882931" w:rsidRDefault="00FD2CBB">
            <w:pPr>
              <w:spacing w:after="0" w:line="240" w:lineRule="auto"/>
              <w:jc w:val="right"/>
              <w:rPr>
                <w:rFonts w:eastAsia="Times New Roman" w:cs="Calibri"/>
                <w:b/>
                <w:color w:val="FFFFFF" w:themeColor="background1"/>
                <w:sz w:val="20"/>
                <w:szCs w:val="20"/>
              </w:rPr>
            </w:pPr>
            <w:r w:rsidRPr="00882931">
              <w:rPr>
                <w:rFonts w:eastAsia="Times New Roman" w:cs="Calibri"/>
                <w:b/>
                <w:color w:val="FFFFFF" w:themeColor="background1"/>
                <w:sz w:val="20"/>
                <w:szCs w:val="20"/>
              </w:rPr>
              <w:t>262</w:t>
            </w:r>
          </w:p>
        </w:tc>
        <w:tc>
          <w:tcPr>
            <w:tcW w:w="1340" w:type="dxa"/>
            <w:shd w:val="clear" w:color="auto" w:fill="EE3438"/>
            <w:vAlign w:val="center"/>
          </w:tcPr>
          <w:p w14:paraId="2DFC9695" w14:textId="77777777" w:rsidR="00FD2CBB" w:rsidRPr="00882931" w:rsidRDefault="00FD2CBB">
            <w:pPr>
              <w:spacing w:after="0" w:line="240" w:lineRule="auto"/>
              <w:jc w:val="right"/>
              <w:rPr>
                <w:rFonts w:eastAsia="Times New Roman" w:cs="Calibri"/>
                <w:b/>
                <w:color w:val="FFFFFF" w:themeColor="background1"/>
                <w:sz w:val="20"/>
                <w:szCs w:val="20"/>
              </w:rPr>
            </w:pPr>
            <w:r w:rsidRPr="00882931">
              <w:rPr>
                <w:rFonts w:eastAsia="Times New Roman" w:cs="Calibri"/>
                <w:b/>
                <w:color w:val="FFFFFF" w:themeColor="background1"/>
                <w:sz w:val="20"/>
                <w:szCs w:val="20"/>
              </w:rPr>
              <w:t>284.354</w:t>
            </w:r>
          </w:p>
        </w:tc>
      </w:tr>
    </w:tbl>
    <w:p w14:paraId="2E586A8B" w14:textId="0358DBEE" w:rsidR="00FD2CBB" w:rsidRPr="00677A61" w:rsidRDefault="00FD2CBB" w:rsidP="00FD2CBB">
      <w:pPr>
        <w:pStyle w:val="Didascalia"/>
        <w:jc w:val="center"/>
        <w:rPr>
          <w:iCs w:val="0"/>
        </w:rPr>
      </w:pPr>
      <w:r>
        <w:t xml:space="preserve">Tabella </w:t>
      </w:r>
      <w:r w:rsidR="00FD7EE5">
        <w:fldChar w:fldCharType="begin"/>
      </w:r>
      <w:r w:rsidR="00FD7EE5">
        <w:instrText xml:space="preserve"> SEQ Tabella \* ARABIC </w:instrText>
      </w:r>
      <w:r w:rsidR="00FD7EE5">
        <w:fldChar w:fldCharType="separate"/>
      </w:r>
      <w:r w:rsidR="00073B6D">
        <w:rPr>
          <w:noProof/>
        </w:rPr>
        <w:t>33</w:t>
      </w:r>
      <w:r w:rsidR="00FD7EE5">
        <w:rPr>
          <w:noProof/>
        </w:rPr>
        <w:fldChar w:fldCharType="end"/>
      </w:r>
      <w:r>
        <w:rPr>
          <w:i w:val="0"/>
        </w:rPr>
        <w:t xml:space="preserve"> – </w:t>
      </w:r>
      <w:r w:rsidRPr="00677A61">
        <w:rPr>
          <w:iCs w:val="0"/>
        </w:rPr>
        <w:t xml:space="preserve">Quadro del servizio automobilistico erogato </w:t>
      </w:r>
      <w:r>
        <w:rPr>
          <w:iCs w:val="0"/>
        </w:rPr>
        <w:t>da Enti sottoscrittori di</w:t>
      </w:r>
      <w:r w:rsidRPr="00677A61">
        <w:rPr>
          <w:iCs w:val="0"/>
        </w:rPr>
        <w:t xml:space="preserve"> AdP</w:t>
      </w:r>
    </w:p>
    <w:p w14:paraId="10FC33EF" w14:textId="527A447B" w:rsidR="00FD2CBB" w:rsidRPr="00616B66" w:rsidRDefault="00FD2CBB" w:rsidP="00FD2CBB">
      <w:pPr>
        <w:tabs>
          <w:tab w:val="left" w:pos="6804"/>
        </w:tabs>
        <w:spacing w:before="120" w:line="240" w:lineRule="auto"/>
      </w:pPr>
      <w:r w:rsidRPr="00372774">
        <w:t>Di seguito si riportano i dati disponibili per gli Accordi di Programma del Bacino Metropolitano ricavati in prima istanza dall’ONTPL o, quando non presenti, dai riscontri ottenuti da AMP nel corso dei monitoraggi condotti nel periodo 2021-2023</w:t>
      </w:r>
      <w:r w:rsidR="00372774">
        <w:t>.</w:t>
      </w:r>
    </w:p>
    <w:tbl>
      <w:tblPr>
        <w:tblW w:w="7915" w:type="dxa"/>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CellMar>
          <w:left w:w="70" w:type="dxa"/>
          <w:right w:w="70" w:type="dxa"/>
        </w:tblCellMar>
        <w:tblLook w:val="04A0" w:firstRow="1" w:lastRow="0" w:firstColumn="1" w:lastColumn="0" w:noHBand="0" w:noVBand="1"/>
      </w:tblPr>
      <w:tblGrid>
        <w:gridCol w:w="3805"/>
        <w:gridCol w:w="1370"/>
        <w:gridCol w:w="1370"/>
        <w:gridCol w:w="1370"/>
      </w:tblGrid>
      <w:tr w:rsidR="00FD2CBB" w:rsidRPr="00DE5EAF" w14:paraId="0DF46822" w14:textId="77777777" w:rsidTr="00C64A2F">
        <w:trPr>
          <w:trHeight w:val="315"/>
          <w:jc w:val="center"/>
        </w:trPr>
        <w:tc>
          <w:tcPr>
            <w:tcW w:w="3805" w:type="dxa"/>
            <w:shd w:val="clear" w:color="000000" w:fill="EE3438"/>
            <w:noWrap/>
            <w:vAlign w:val="center"/>
            <w:hideMark/>
          </w:tcPr>
          <w:p w14:paraId="36611EB5" w14:textId="77777777" w:rsidR="00FD2CBB" w:rsidRPr="00DE5EAF" w:rsidRDefault="00FD2CBB">
            <w:pPr>
              <w:spacing w:after="0" w:line="240" w:lineRule="auto"/>
              <w:rPr>
                <w:rFonts w:eastAsia="Times New Roman" w:cs="Calibri"/>
                <w:b/>
                <w:color w:val="FFFFFF"/>
              </w:rPr>
            </w:pPr>
            <w:r w:rsidRPr="00DE5EAF">
              <w:rPr>
                <w:rFonts w:eastAsia="Times New Roman" w:cs="Calibri"/>
                <w:b/>
                <w:color w:val="FFFFFF"/>
              </w:rPr>
              <w:t>Valori</w:t>
            </w:r>
          </w:p>
        </w:tc>
        <w:tc>
          <w:tcPr>
            <w:tcW w:w="1370" w:type="dxa"/>
            <w:shd w:val="clear" w:color="000000" w:fill="EE3438"/>
            <w:noWrap/>
            <w:vAlign w:val="center"/>
            <w:hideMark/>
          </w:tcPr>
          <w:p w14:paraId="46E3D926" w14:textId="77777777" w:rsidR="00FD2CBB" w:rsidRPr="00DE5EAF" w:rsidRDefault="00FD2CBB">
            <w:pPr>
              <w:spacing w:after="0" w:line="240" w:lineRule="auto"/>
              <w:jc w:val="center"/>
              <w:rPr>
                <w:rFonts w:eastAsia="Times New Roman" w:cs="Calibri"/>
                <w:b/>
                <w:color w:val="FFFFFF"/>
              </w:rPr>
            </w:pPr>
            <w:r w:rsidRPr="00DE5EAF">
              <w:rPr>
                <w:rFonts w:eastAsia="Times New Roman" w:cs="Calibri"/>
                <w:b/>
                <w:color w:val="FFFFFF"/>
              </w:rPr>
              <w:t>2021</w:t>
            </w:r>
          </w:p>
        </w:tc>
        <w:tc>
          <w:tcPr>
            <w:tcW w:w="1370" w:type="dxa"/>
            <w:shd w:val="clear" w:color="000000" w:fill="EE3438"/>
            <w:noWrap/>
            <w:vAlign w:val="center"/>
            <w:hideMark/>
          </w:tcPr>
          <w:p w14:paraId="2E0E6704" w14:textId="77777777" w:rsidR="00FD2CBB" w:rsidRPr="00DE5EAF" w:rsidRDefault="00FD2CBB">
            <w:pPr>
              <w:spacing w:after="0" w:line="240" w:lineRule="auto"/>
              <w:jc w:val="center"/>
              <w:rPr>
                <w:rFonts w:eastAsia="Times New Roman" w:cs="Calibri"/>
                <w:b/>
                <w:color w:val="FFFFFF"/>
              </w:rPr>
            </w:pPr>
            <w:r w:rsidRPr="00DE5EAF">
              <w:rPr>
                <w:rFonts w:eastAsia="Times New Roman" w:cs="Calibri"/>
                <w:b/>
                <w:color w:val="FFFFFF"/>
              </w:rPr>
              <w:t>2022</w:t>
            </w:r>
          </w:p>
        </w:tc>
        <w:tc>
          <w:tcPr>
            <w:tcW w:w="1370" w:type="dxa"/>
            <w:shd w:val="clear" w:color="000000" w:fill="EE3438"/>
            <w:noWrap/>
            <w:vAlign w:val="center"/>
            <w:hideMark/>
          </w:tcPr>
          <w:p w14:paraId="7992C09E" w14:textId="77777777" w:rsidR="00FD2CBB" w:rsidRPr="00DE5EAF" w:rsidRDefault="00FD2CBB">
            <w:pPr>
              <w:spacing w:after="0" w:line="240" w:lineRule="auto"/>
              <w:jc w:val="center"/>
              <w:rPr>
                <w:rFonts w:eastAsia="Times New Roman" w:cs="Calibri"/>
                <w:b/>
                <w:color w:val="FFFFFF"/>
              </w:rPr>
            </w:pPr>
            <w:r w:rsidRPr="00DE5EAF">
              <w:rPr>
                <w:rFonts w:eastAsia="Times New Roman" w:cs="Calibri"/>
                <w:b/>
                <w:color w:val="FFFFFF"/>
              </w:rPr>
              <w:t>2023</w:t>
            </w:r>
          </w:p>
        </w:tc>
      </w:tr>
      <w:tr w:rsidR="00FD2CBB" w:rsidRPr="00DE5EAF" w14:paraId="1580DA84" w14:textId="77777777" w:rsidTr="00C64A2F">
        <w:trPr>
          <w:trHeight w:val="300"/>
          <w:jc w:val="center"/>
        </w:trPr>
        <w:tc>
          <w:tcPr>
            <w:tcW w:w="7915" w:type="dxa"/>
            <w:gridSpan w:val="4"/>
            <w:shd w:val="clear" w:color="000000" w:fill="FF7C80"/>
            <w:vAlign w:val="center"/>
            <w:hideMark/>
          </w:tcPr>
          <w:p w14:paraId="744BA834" w14:textId="77777777" w:rsidR="00FD2CBB" w:rsidRPr="00DE5EAF" w:rsidRDefault="00FD2CBB">
            <w:pPr>
              <w:spacing w:after="0" w:line="240" w:lineRule="auto"/>
              <w:jc w:val="left"/>
              <w:rPr>
                <w:rFonts w:eastAsia="Times New Roman" w:cs="Calibri"/>
                <w:b/>
                <w:color w:val="000000"/>
              </w:rPr>
            </w:pPr>
            <w:r w:rsidRPr="00DE5EAF">
              <w:rPr>
                <w:rFonts w:eastAsia="Times New Roman" w:cs="Calibri"/>
                <w:b/>
                <w:color w:val="000000"/>
              </w:rPr>
              <w:t>COMUNE DI CHIVASSO</w:t>
            </w:r>
          </w:p>
        </w:tc>
      </w:tr>
      <w:tr w:rsidR="00FD2CBB" w:rsidRPr="00DE5EAF" w14:paraId="7FC57091" w14:textId="77777777" w:rsidTr="00C64A2F">
        <w:trPr>
          <w:trHeight w:val="300"/>
          <w:jc w:val="center"/>
        </w:trPr>
        <w:tc>
          <w:tcPr>
            <w:tcW w:w="3805" w:type="dxa"/>
            <w:noWrap/>
            <w:vAlign w:val="center"/>
            <w:hideMark/>
          </w:tcPr>
          <w:p w14:paraId="0B4BA4BE" w14:textId="77777777" w:rsidR="00FD2CBB" w:rsidRPr="00DE5EAF" w:rsidRDefault="00FD2CBB">
            <w:pPr>
              <w:spacing w:after="0" w:line="240" w:lineRule="auto"/>
              <w:rPr>
                <w:rFonts w:eastAsia="Times New Roman" w:cs="Calibri"/>
                <w:color w:val="000000"/>
              </w:rPr>
            </w:pPr>
            <w:r w:rsidRPr="00DE5EAF">
              <w:rPr>
                <w:rFonts w:eastAsia="Times New Roman" w:cs="Calibri"/>
                <w:color w:val="000000"/>
              </w:rPr>
              <w:t>Produzione chilometrica</w:t>
            </w:r>
          </w:p>
        </w:tc>
        <w:tc>
          <w:tcPr>
            <w:tcW w:w="1370" w:type="dxa"/>
            <w:noWrap/>
            <w:vAlign w:val="center"/>
            <w:hideMark/>
          </w:tcPr>
          <w:p w14:paraId="6FFBB5A2" w14:textId="77777777" w:rsidR="00FD2CBB" w:rsidRPr="00DE5EAF" w:rsidRDefault="00FD2CBB">
            <w:pPr>
              <w:spacing w:after="0" w:line="240" w:lineRule="auto"/>
              <w:jc w:val="right"/>
              <w:rPr>
                <w:rFonts w:eastAsia="Times New Roman" w:cs="Calibri"/>
                <w:color w:val="000000"/>
              </w:rPr>
            </w:pPr>
            <w:r>
              <w:rPr>
                <w:rFonts w:cs="Calibri"/>
                <w:color w:val="000000"/>
              </w:rPr>
              <w:t>34.222</w:t>
            </w:r>
          </w:p>
        </w:tc>
        <w:tc>
          <w:tcPr>
            <w:tcW w:w="1370" w:type="dxa"/>
            <w:noWrap/>
            <w:vAlign w:val="center"/>
            <w:hideMark/>
          </w:tcPr>
          <w:p w14:paraId="2673F2ED" w14:textId="77777777" w:rsidR="00FD2CBB" w:rsidRPr="00DE5EAF" w:rsidRDefault="00FD2CBB">
            <w:pPr>
              <w:spacing w:after="0" w:line="240" w:lineRule="auto"/>
              <w:jc w:val="right"/>
              <w:rPr>
                <w:rFonts w:eastAsia="Times New Roman" w:cs="Calibri"/>
                <w:color w:val="000000"/>
              </w:rPr>
            </w:pPr>
            <w:r>
              <w:rPr>
                <w:rFonts w:cs="Calibri"/>
                <w:color w:val="000000"/>
              </w:rPr>
              <w:t>34.234</w:t>
            </w:r>
          </w:p>
        </w:tc>
        <w:tc>
          <w:tcPr>
            <w:tcW w:w="1370" w:type="dxa"/>
            <w:noWrap/>
            <w:vAlign w:val="center"/>
            <w:hideMark/>
          </w:tcPr>
          <w:p w14:paraId="493B374D" w14:textId="77777777" w:rsidR="00FD2CBB" w:rsidRPr="00DE5EAF" w:rsidRDefault="00FD2CBB">
            <w:pPr>
              <w:spacing w:after="0" w:line="240" w:lineRule="auto"/>
              <w:jc w:val="right"/>
              <w:rPr>
                <w:rFonts w:eastAsia="Times New Roman" w:cs="Calibri"/>
                <w:color w:val="000000"/>
              </w:rPr>
            </w:pPr>
            <w:r>
              <w:rPr>
                <w:rFonts w:cs="Calibri"/>
                <w:color w:val="000000"/>
              </w:rPr>
              <w:t>34.054</w:t>
            </w:r>
          </w:p>
        </w:tc>
      </w:tr>
      <w:tr w:rsidR="00FD2CBB" w:rsidRPr="00DE5EAF" w14:paraId="640DBCAB" w14:textId="77777777" w:rsidTr="00C64A2F">
        <w:trPr>
          <w:trHeight w:val="300"/>
          <w:jc w:val="center"/>
        </w:trPr>
        <w:tc>
          <w:tcPr>
            <w:tcW w:w="3805" w:type="dxa"/>
            <w:noWrap/>
            <w:vAlign w:val="center"/>
            <w:hideMark/>
          </w:tcPr>
          <w:p w14:paraId="547C6495" w14:textId="77777777" w:rsidR="00FD2CBB" w:rsidRPr="00DE5EAF" w:rsidRDefault="00FD2CBB">
            <w:pPr>
              <w:spacing w:after="0" w:line="240" w:lineRule="auto"/>
              <w:rPr>
                <w:rFonts w:eastAsia="Times New Roman" w:cs="Calibri"/>
                <w:color w:val="000000"/>
              </w:rPr>
            </w:pPr>
            <w:r w:rsidRPr="00DE5EAF">
              <w:rPr>
                <w:rFonts w:eastAsia="Times New Roman" w:cs="Calibri"/>
                <w:color w:val="000000"/>
              </w:rPr>
              <w:t>Ricavi totali</w:t>
            </w:r>
          </w:p>
        </w:tc>
        <w:tc>
          <w:tcPr>
            <w:tcW w:w="1370" w:type="dxa"/>
            <w:noWrap/>
            <w:vAlign w:val="center"/>
            <w:hideMark/>
          </w:tcPr>
          <w:p w14:paraId="432B9659" w14:textId="77777777" w:rsidR="00FD2CBB" w:rsidRPr="00DE5EAF" w:rsidRDefault="00FD2CBB">
            <w:pPr>
              <w:spacing w:after="0" w:line="240" w:lineRule="auto"/>
              <w:jc w:val="right"/>
              <w:rPr>
                <w:rFonts w:eastAsia="Times New Roman" w:cs="Calibri"/>
                <w:color w:val="000000"/>
              </w:rPr>
            </w:pPr>
            <w:r>
              <w:rPr>
                <w:rFonts w:cs="Calibri"/>
                <w:color w:val="000000"/>
              </w:rPr>
              <w:t>10.841,82</w:t>
            </w:r>
          </w:p>
        </w:tc>
        <w:tc>
          <w:tcPr>
            <w:tcW w:w="1370" w:type="dxa"/>
            <w:noWrap/>
            <w:vAlign w:val="center"/>
            <w:hideMark/>
          </w:tcPr>
          <w:p w14:paraId="7A33B596" w14:textId="77777777" w:rsidR="00FD2CBB" w:rsidRPr="00DE5EAF" w:rsidRDefault="00FD2CBB">
            <w:pPr>
              <w:spacing w:after="0" w:line="240" w:lineRule="auto"/>
              <w:jc w:val="right"/>
              <w:rPr>
                <w:rFonts w:eastAsia="Times New Roman" w:cs="Calibri"/>
                <w:color w:val="000000"/>
              </w:rPr>
            </w:pPr>
            <w:r>
              <w:rPr>
                <w:rFonts w:cs="Calibri"/>
                <w:color w:val="000000"/>
              </w:rPr>
              <w:t>13.531,63</w:t>
            </w:r>
          </w:p>
        </w:tc>
        <w:tc>
          <w:tcPr>
            <w:tcW w:w="1370" w:type="dxa"/>
            <w:noWrap/>
            <w:vAlign w:val="center"/>
            <w:hideMark/>
          </w:tcPr>
          <w:p w14:paraId="2CCA32DB" w14:textId="77777777" w:rsidR="00FD2CBB" w:rsidRPr="00DE5EAF" w:rsidRDefault="00FD2CBB">
            <w:pPr>
              <w:spacing w:after="0" w:line="240" w:lineRule="auto"/>
              <w:jc w:val="right"/>
              <w:rPr>
                <w:rFonts w:eastAsia="Times New Roman" w:cs="Calibri"/>
                <w:color w:val="000000"/>
              </w:rPr>
            </w:pPr>
            <w:r>
              <w:rPr>
                <w:rFonts w:cs="Calibri"/>
                <w:color w:val="000000"/>
              </w:rPr>
              <w:t>19.352,08</w:t>
            </w:r>
          </w:p>
        </w:tc>
      </w:tr>
      <w:tr w:rsidR="00FD2CBB" w:rsidRPr="00DE5EAF" w14:paraId="32A99733" w14:textId="77777777" w:rsidTr="00C64A2F">
        <w:trPr>
          <w:trHeight w:val="300"/>
          <w:jc w:val="center"/>
        </w:trPr>
        <w:tc>
          <w:tcPr>
            <w:tcW w:w="3805" w:type="dxa"/>
            <w:noWrap/>
            <w:vAlign w:val="center"/>
            <w:hideMark/>
          </w:tcPr>
          <w:p w14:paraId="7E0BE667" w14:textId="77777777" w:rsidR="00FD2CBB" w:rsidRPr="00DE5EAF" w:rsidRDefault="00FD2CBB">
            <w:pPr>
              <w:spacing w:after="0" w:line="240" w:lineRule="auto"/>
              <w:rPr>
                <w:rFonts w:eastAsia="Times New Roman" w:cs="Calibri"/>
                <w:i/>
                <w:color w:val="000000"/>
              </w:rPr>
            </w:pPr>
            <w:r w:rsidRPr="00DE5EAF">
              <w:rPr>
                <w:rFonts w:eastAsia="Times New Roman" w:cs="Calibri"/>
                <w:i/>
                <w:color w:val="000000"/>
              </w:rPr>
              <w:t xml:space="preserve"> di cui Ricavi da traffico</w:t>
            </w:r>
          </w:p>
        </w:tc>
        <w:tc>
          <w:tcPr>
            <w:tcW w:w="1370" w:type="dxa"/>
            <w:noWrap/>
            <w:vAlign w:val="center"/>
            <w:hideMark/>
          </w:tcPr>
          <w:p w14:paraId="2992E80B" w14:textId="77777777" w:rsidR="00FD2CBB" w:rsidRPr="00DE5EAF" w:rsidRDefault="00FD2CBB">
            <w:pPr>
              <w:spacing w:after="0" w:line="240" w:lineRule="auto"/>
              <w:jc w:val="right"/>
              <w:rPr>
                <w:rFonts w:eastAsia="Times New Roman" w:cs="Calibri"/>
                <w:color w:val="000000"/>
              </w:rPr>
            </w:pPr>
            <w:r>
              <w:rPr>
                <w:rFonts w:cs="Calibri"/>
                <w:color w:val="000000"/>
              </w:rPr>
              <w:t>10.841,82</w:t>
            </w:r>
          </w:p>
        </w:tc>
        <w:tc>
          <w:tcPr>
            <w:tcW w:w="1370" w:type="dxa"/>
            <w:noWrap/>
            <w:vAlign w:val="center"/>
            <w:hideMark/>
          </w:tcPr>
          <w:p w14:paraId="03DCB3C2" w14:textId="77777777" w:rsidR="00FD2CBB" w:rsidRPr="00DE5EAF" w:rsidRDefault="00FD2CBB">
            <w:pPr>
              <w:spacing w:after="0" w:line="240" w:lineRule="auto"/>
              <w:jc w:val="right"/>
              <w:rPr>
                <w:rFonts w:eastAsia="Times New Roman" w:cs="Calibri"/>
                <w:color w:val="000000"/>
              </w:rPr>
            </w:pPr>
            <w:r>
              <w:rPr>
                <w:rFonts w:cs="Calibri"/>
                <w:color w:val="000000"/>
              </w:rPr>
              <w:t>13.531,63</w:t>
            </w:r>
          </w:p>
        </w:tc>
        <w:tc>
          <w:tcPr>
            <w:tcW w:w="1370" w:type="dxa"/>
            <w:noWrap/>
            <w:vAlign w:val="center"/>
            <w:hideMark/>
          </w:tcPr>
          <w:p w14:paraId="44E8D113" w14:textId="77777777" w:rsidR="00FD2CBB" w:rsidRPr="00DE5EAF" w:rsidRDefault="00FD2CBB">
            <w:pPr>
              <w:spacing w:after="0" w:line="240" w:lineRule="auto"/>
              <w:jc w:val="right"/>
              <w:rPr>
                <w:rFonts w:eastAsia="Times New Roman" w:cs="Calibri"/>
                <w:color w:val="000000"/>
              </w:rPr>
            </w:pPr>
            <w:r>
              <w:rPr>
                <w:rFonts w:cs="Calibri"/>
                <w:color w:val="000000"/>
              </w:rPr>
              <w:t>19.352,08</w:t>
            </w:r>
          </w:p>
        </w:tc>
      </w:tr>
      <w:tr w:rsidR="00FD2CBB" w:rsidRPr="00DE5EAF" w14:paraId="694E94A4" w14:textId="77777777" w:rsidTr="00C64A2F">
        <w:trPr>
          <w:trHeight w:val="300"/>
          <w:jc w:val="center"/>
        </w:trPr>
        <w:tc>
          <w:tcPr>
            <w:tcW w:w="3805" w:type="dxa"/>
            <w:noWrap/>
            <w:vAlign w:val="center"/>
            <w:hideMark/>
          </w:tcPr>
          <w:p w14:paraId="2F1A5C71" w14:textId="77777777" w:rsidR="00FD2CBB" w:rsidRPr="00DE5EAF" w:rsidRDefault="00FD2CBB">
            <w:pPr>
              <w:spacing w:after="0" w:line="240" w:lineRule="auto"/>
              <w:rPr>
                <w:rFonts w:eastAsia="Times New Roman" w:cs="Calibri"/>
                <w:color w:val="000000"/>
              </w:rPr>
            </w:pPr>
            <w:r w:rsidRPr="00DE5EAF">
              <w:rPr>
                <w:rFonts w:eastAsia="Times New Roman" w:cs="Calibri"/>
                <w:color w:val="000000"/>
              </w:rPr>
              <w:t>Corrispettivi</w:t>
            </w:r>
          </w:p>
        </w:tc>
        <w:tc>
          <w:tcPr>
            <w:tcW w:w="1370" w:type="dxa"/>
            <w:noWrap/>
            <w:vAlign w:val="center"/>
            <w:hideMark/>
          </w:tcPr>
          <w:p w14:paraId="21591785" w14:textId="77777777" w:rsidR="00FD2CBB" w:rsidRPr="00DE5EAF" w:rsidRDefault="00FD2CBB">
            <w:pPr>
              <w:spacing w:after="0" w:line="240" w:lineRule="auto"/>
              <w:jc w:val="right"/>
              <w:rPr>
                <w:rFonts w:eastAsia="Times New Roman" w:cs="Calibri"/>
                <w:color w:val="000000"/>
              </w:rPr>
            </w:pPr>
            <w:r>
              <w:rPr>
                <w:rFonts w:cs="Calibri"/>
                <w:color w:val="000000"/>
              </w:rPr>
              <w:t>175.980 €</w:t>
            </w:r>
          </w:p>
        </w:tc>
        <w:tc>
          <w:tcPr>
            <w:tcW w:w="1370" w:type="dxa"/>
            <w:noWrap/>
            <w:vAlign w:val="center"/>
            <w:hideMark/>
          </w:tcPr>
          <w:p w14:paraId="71E81331" w14:textId="77777777" w:rsidR="00FD2CBB" w:rsidRPr="00DE5EAF" w:rsidRDefault="00FD2CBB">
            <w:pPr>
              <w:spacing w:after="0" w:line="240" w:lineRule="auto"/>
              <w:jc w:val="right"/>
              <w:rPr>
                <w:rFonts w:eastAsia="Times New Roman" w:cs="Calibri"/>
                <w:color w:val="000000"/>
              </w:rPr>
            </w:pPr>
            <w:r>
              <w:rPr>
                <w:rFonts w:cs="Calibri"/>
                <w:color w:val="000000"/>
              </w:rPr>
              <w:t>176.818 €</w:t>
            </w:r>
          </w:p>
        </w:tc>
        <w:tc>
          <w:tcPr>
            <w:tcW w:w="1370" w:type="dxa"/>
            <w:noWrap/>
            <w:vAlign w:val="center"/>
            <w:hideMark/>
          </w:tcPr>
          <w:p w14:paraId="6F3542BF" w14:textId="77777777" w:rsidR="00FD2CBB" w:rsidRPr="00DE5EAF" w:rsidRDefault="00FD2CBB">
            <w:pPr>
              <w:spacing w:after="0" w:line="240" w:lineRule="auto"/>
              <w:jc w:val="right"/>
              <w:rPr>
                <w:rFonts w:eastAsia="Times New Roman" w:cs="Calibri"/>
                <w:color w:val="000000"/>
              </w:rPr>
            </w:pPr>
            <w:r>
              <w:rPr>
                <w:rFonts w:cs="Calibri"/>
                <w:color w:val="000000"/>
              </w:rPr>
              <w:t>196.864 €</w:t>
            </w:r>
          </w:p>
        </w:tc>
      </w:tr>
      <w:tr w:rsidR="00FD2CBB" w:rsidRPr="00DE5EAF" w14:paraId="2BD0A158" w14:textId="77777777" w:rsidTr="00C64A2F">
        <w:trPr>
          <w:trHeight w:val="300"/>
          <w:jc w:val="center"/>
        </w:trPr>
        <w:tc>
          <w:tcPr>
            <w:tcW w:w="3805" w:type="dxa"/>
            <w:noWrap/>
            <w:vAlign w:val="center"/>
            <w:hideMark/>
          </w:tcPr>
          <w:p w14:paraId="06A95024" w14:textId="77777777" w:rsidR="00FD2CBB" w:rsidRPr="00DE5EAF" w:rsidRDefault="00FD2CBB">
            <w:pPr>
              <w:spacing w:after="0" w:line="240" w:lineRule="auto"/>
              <w:rPr>
                <w:rFonts w:eastAsia="Times New Roman" w:cs="Calibri"/>
                <w:color w:val="000000"/>
              </w:rPr>
            </w:pPr>
            <w:r w:rsidRPr="00DE5EAF">
              <w:rPr>
                <w:rFonts w:eastAsia="Times New Roman" w:cs="Calibri"/>
                <w:color w:val="000000"/>
              </w:rPr>
              <w:t>Costo Infrastruttura</w:t>
            </w:r>
          </w:p>
        </w:tc>
        <w:tc>
          <w:tcPr>
            <w:tcW w:w="1370" w:type="dxa"/>
            <w:noWrap/>
            <w:vAlign w:val="center"/>
            <w:hideMark/>
          </w:tcPr>
          <w:p w14:paraId="28743285" w14:textId="77777777" w:rsidR="00FD2CBB" w:rsidRPr="00DE5EAF" w:rsidRDefault="00FD2CBB">
            <w:pPr>
              <w:spacing w:after="0" w:line="240" w:lineRule="auto"/>
              <w:jc w:val="right"/>
              <w:rPr>
                <w:rFonts w:eastAsia="Times New Roman" w:cs="Calibri"/>
                <w:color w:val="000000"/>
              </w:rPr>
            </w:pPr>
            <w:r>
              <w:rPr>
                <w:rFonts w:cs="Calibri"/>
                <w:color w:val="000000"/>
              </w:rPr>
              <w:t>0</w:t>
            </w:r>
          </w:p>
        </w:tc>
        <w:tc>
          <w:tcPr>
            <w:tcW w:w="1370" w:type="dxa"/>
            <w:noWrap/>
            <w:vAlign w:val="center"/>
            <w:hideMark/>
          </w:tcPr>
          <w:p w14:paraId="0CC2F010" w14:textId="77777777" w:rsidR="00FD2CBB" w:rsidRPr="00DE5EAF" w:rsidRDefault="00FD2CBB">
            <w:pPr>
              <w:spacing w:after="0" w:line="240" w:lineRule="auto"/>
              <w:jc w:val="right"/>
              <w:rPr>
                <w:rFonts w:eastAsia="Times New Roman" w:cs="Calibri"/>
                <w:color w:val="000000"/>
              </w:rPr>
            </w:pPr>
            <w:r>
              <w:rPr>
                <w:rFonts w:cs="Calibri"/>
                <w:color w:val="000000"/>
              </w:rPr>
              <w:t>0</w:t>
            </w:r>
          </w:p>
        </w:tc>
        <w:tc>
          <w:tcPr>
            <w:tcW w:w="1370" w:type="dxa"/>
            <w:noWrap/>
            <w:vAlign w:val="center"/>
            <w:hideMark/>
          </w:tcPr>
          <w:p w14:paraId="2D803DD3" w14:textId="77777777" w:rsidR="00FD2CBB" w:rsidRPr="00DE5EAF" w:rsidRDefault="00FD2CBB">
            <w:pPr>
              <w:spacing w:after="0" w:line="240" w:lineRule="auto"/>
              <w:jc w:val="right"/>
              <w:rPr>
                <w:rFonts w:eastAsia="Times New Roman" w:cs="Calibri"/>
                <w:color w:val="000000"/>
              </w:rPr>
            </w:pPr>
            <w:r>
              <w:rPr>
                <w:rFonts w:cs="Calibri"/>
                <w:color w:val="000000"/>
              </w:rPr>
              <w:t>0</w:t>
            </w:r>
          </w:p>
        </w:tc>
      </w:tr>
      <w:tr w:rsidR="00FD2CBB" w:rsidRPr="00DE5EAF" w14:paraId="4337E2BB" w14:textId="77777777" w:rsidTr="00C64A2F">
        <w:trPr>
          <w:trHeight w:val="300"/>
          <w:jc w:val="center"/>
        </w:trPr>
        <w:tc>
          <w:tcPr>
            <w:tcW w:w="3805" w:type="dxa"/>
            <w:noWrap/>
            <w:vAlign w:val="center"/>
            <w:hideMark/>
          </w:tcPr>
          <w:p w14:paraId="7DCA70B3" w14:textId="77777777" w:rsidR="00FD2CBB" w:rsidRPr="00DE5EAF" w:rsidRDefault="00FD2CBB">
            <w:pPr>
              <w:spacing w:after="0" w:line="240" w:lineRule="auto"/>
              <w:rPr>
                <w:rFonts w:eastAsia="Times New Roman" w:cs="Calibri"/>
                <w:color w:val="000000"/>
              </w:rPr>
            </w:pPr>
            <w:r w:rsidRPr="00DE5EAF">
              <w:rPr>
                <w:rFonts w:eastAsia="Times New Roman" w:cs="Calibri"/>
                <w:color w:val="000000"/>
              </w:rPr>
              <w:t>Passeggeri trasportati</w:t>
            </w:r>
          </w:p>
        </w:tc>
        <w:tc>
          <w:tcPr>
            <w:tcW w:w="1370" w:type="dxa"/>
            <w:noWrap/>
            <w:vAlign w:val="center"/>
            <w:hideMark/>
          </w:tcPr>
          <w:p w14:paraId="5A528B05" w14:textId="77777777" w:rsidR="00FD2CBB" w:rsidRPr="00DE5EAF" w:rsidRDefault="00FD2CBB">
            <w:pPr>
              <w:spacing w:after="0" w:line="240" w:lineRule="auto"/>
              <w:jc w:val="right"/>
              <w:rPr>
                <w:rFonts w:eastAsia="Times New Roman" w:cs="Calibri"/>
                <w:color w:val="000000"/>
              </w:rPr>
            </w:pPr>
            <w:r>
              <w:rPr>
                <w:rFonts w:cs="Calibri"/>
                <w:color w:val="000000"/>
              </w:rPr>
              <w:t>21.411</w:t>
            </w:r>
          </w:p>
        </w:tc>
        <w:tc>
          <w:tcPr>
            <w:tcW w:w="1370" w:type="dxa"/>
            <w:noWrap/>
            <w:vAlign w:val="center"/>
            <w:hideMark/>
          </w:tcPr>
          <w:p w14:paraId="2BAC32BB" w14:textId="77777777" w:rsidR="00FD2CBB" w:rsidRPr="00DE5EAF" w:rsidRDefault="00FD2CBB">
            <w:pPr>
              <w:spacing w:after="0" w:line="240" w:lineRule="auto"/>
              <w:jc w:val="right"/>
              <w:rPr>
                <w:rFonts w:eastAsia="Times New Roman" w:cs="Calibri"/>
                <w:color w:val="000000"/>
              </w:rPr>
            </w:pPr>
            <w:r>
              <w:rPr>
                <w:rFonts w:cs="Calibri"/>
                <w:color w:val="000000"/>
              </w:rPr>
              <w:t>24.570</w:t>
            </w:r>
          </w:p>
        </w:tc>
        <w:tc>
          <w:tcPr>
            <w:tcW w:w="1370" w:type="dxa"/>
            <w:noWrap/>
            <w:vAlign w:val="center"/>
            <w:hideMark/>
          </w:tcPr>
          <w:p w14:paraId="082309B4" w14:textId="77777777" w:rsidR="00FD2CBB" w:rsidRPr="00DE5EAF" w:rsidRDefault="00FD2CBB">
            <w:pPr>
              <w:spacing w:after="0" w:line="240" w:lineRule="auto"/>
              <w:jc w:val="right"/>
              <w:rPr>
                <w:rFonts w:eastAsia="Times New Roman" w:cs="Calibri"/>
                <w:color w:val="000000"/>
              </w:rPr>
            </w:pPr>
            <w:r>
              <w:rPr>
                <w:rFonts w:cs="Calibri"/>
                <w:color w:val="000000"/>
              </w:rPr>
              <w:t>30.786</w:t>
            </w:r>
          </w:p>
        </w:tc>
      </w:tr>
      <w:tr w:rsidR="00FD2CBB" w:rsidRPr="00DE5EAF" w14:paraId="4FF91C6E" w14:textId="77777777" w:rsidTr="00C64A2F">
        <w:trPr>
          <w:trHeight w:val="300"/>
          <w:jc w:val="center"/>
        </w:trPr>
        <w:tc>
          <w:tcPr>
            <w:tcW w:w="3805" w:type="dxa"/>
            <w:noWrap/>
            <w:vAlign w:val="center"/>
            <w:hideMark/>
          </w:tcPr>
          <w:p w14:paraId="5201FD71" w14:textId="77777777" w:rsidR="00FD2CBB" w:rsidRPr="00DE5EAF" w:rsidRDefault="00FD2CBB">
            <w:pPr>
              <w:spacing w:after="0" w:line="240" w:lineRule="auto"/>
              <w:rPr>
                <w:rFonts w:eastAsia="Times New Roman" w:cs="Calibri"/>
                <w:color w:val="000000"/>
              </w:rPr>
            </w:pPr>
            <w:r w:rsidRPr="00DE5EAF">
              <w:rPr>
                <w:rFonts w:eastAsia="Times New Roman" w:cs="Calibri"/>
                <w:color w:val="000000"/>
              </w:rPr>
              <w:t>Addetti</w:t>
            </w:r>
          </w:p>
        </w:tc>
        <w:tc>
          <w:tcPr>
            <w:tcW w:w="1370" w:type="dxa"/>
            <w:noWrap/>
            <w:vAlign w:val="center"/>
            <w:hideMark/>
          </w:tcPr>
          <w:p w14:paraId="3164CC44" w14:textId="77777777" w:rsidR="00FD2CBB" w:rsidRPr="00DE5EAF" w:rsidRDefault="00FD2CBB">
            <w:pPr>
              <w:spacing w:after="0" w:line="240" w:lineRule="auto"/>
              <w:jc w:val="right"/>
              <w:rPr>
                <w:rFonts w:eastAsia="Times New Roman" w:cs="Calibri"/>
                <w:color w:val="000000"/>
              </w:rPr>
            </w:pPr>
            <w:r>
              <w:rPr>
                <w:rFonts w:cs="Calibri"/>
                <w:color w:val="000000"/>
              </w:rPr>
              <w:t>2</w:t>
            </w:r>
          </w:p>
        </w:tc>
        <w:tc>
          <w:tcPr>
            <w:tcW w:w="1370" w:type="dxa"/>
            <w:noWrap/>
            <w:vAlign w:val="center"/>
            <w:hideMark/>
          </w:tcPr>
          <w:p w14:paraId="02FD1BFB" w14:textId="77777777" w:rsidR="00FD2CBB" w:rsidRPr="00DE5EAF" w:rsidRDefault="00FD2CBB">
            <w:pPr>
              <w:spacing w:after="0" w:line="240" w:lineRule="auto"/>
              <w:jc w:val="right"/>
              <w:rPr>
                <w:rFonts w:eastAsia="Times New Roman" w:cs="Calibri"/>
                <w:color w:val="000000"/>
              </w:rPr>
            </w:pPr>
            <w:r>
              <w:rPr>
                <w:rFonts w:cs="Calibri"/>
                <w:color w:val="000000"/>
              </w:rPr>
              <w:t>2</w:t>
            </w:r>
          </w:p>
        </w:tc>
        <w:tc>
          <w:tcPr>
            <w:tcW w:w="1370" w:type="dxa"/>
            <w:noWrap/>
            <w:vAlign w:val="center"/>
            <w:hideMark/>
          </w:tcPr>
          <w:p w14:paraId="43272667" w14:textId="77777777" w:rsidR="00FD2CBB" w:rsidRPr="00DE5EAF" w:rsidRDefault="00FD2CBB">
            <w:pPr>
              <w:spacing w:after="0" w:line="240" w:lineRule="auto"/>
              <w:jc w:val="right"/>
              <w:rPr>
                <w:rFonts w:eastAsia="Times New Roman" w:cs="Calibri"/>
                <w:color w:val="000000"/>
              </w:rPr>
            </w:pPr>
            <w:r>
              <w:rPr>
                <w:rFonts w:cs="Calibri"/>
                <w:color w:val="000000"/>
              </w:rPr>
              <w:t>3</w:t>
            </w:r>
          </w:p>
        </w:tc>
      </w:tr>
      <w:tr w:rsidR="00FD2CBB" w:rsidRPr="00DE5EAF" w14:paraId="5B5943EE" w14:textId="77777777" w:rsidTr="00C64A2F">
        <w:trPr>
          <w:trHeight w:val="300"/>
          <w:jc w:val="center"/>
        </w:trPr>
        <w:tc>
          <w:tcPr>
            <w:tcW w:w="3805" w:type="dxa"/>
            <w:noWrap/>
            <w:vAlign w:val="center"/>
            <w:hideMark/>
          </w:tcPr>
          <w:p w14:paraId="22C47EBB" w14:textId="77777777" w:rsidR="00FD2CBB" w:rsidRPr="00DE5EAF" w:rsidRDefault="00FD2CBB">
            <w:pPr>
              <w:spacing w:after="0" w:line="240" w:lineRule="auto"/>
              <w:rPr>
                <w:rFonts w:eastAsia="Times New Roman" w:cs="Calibri"/>
                <w:color w:val="000000"/>
              </w:rPr>
            </w:pPr>
            <w:r w:rsidRPr="00DE5EAF">
              <w:rPr>
                <w:rFonts w:eastAsia="Times New Roman" w:cs="Calibri"/>
                <w:color w:val="000000"/>
              </w:rPr>
              <w:t>Contributi CCNL</w:t>
            </w:r>
          </w:p>
        </w:tc>
        <w:tc>
          <w:tcPr>
            <w:tcW w:w="1370" w:type="dxa"/>
            <w:noWrap/>
            <w:vAlign w:val="center"/>
            <w:hideMark/>
          </w:tcPr>
          <w:p w14:paraId="673E8C72" w14:textId="77777777" w:rsidR="00FD2CBB" w:rsidRPr="00DE5EAF" w:rsidRDefault="00FD2CBB">
            <w:pPr>
              <w:spacing w:after="0" w:line="240" w:lineRule="auto"/>
              <w:jc w:val="right"/>
              <w:rPr>
                <w:rFonts w:eastAsia="Times New Roman" w:cs="Calibri"/>
                <w:color w:val="000000"/>
              </w:rPr>
            </w:pPr>
            <w:r>
              <w:rPr>
                <w:rFonts w:cs="Calibri"/>
                <w:color w:val="000000"/>
              </w:rPr>
              <w:t>0</w:t>
            </w:r>
          </w:p>
        </w:tc>
        <w:tc>
          <w:tcPr>
            <w:tcW w:w="1370" w:type="dxa"/>
            <w:noWrap/>
            <w:vAlign w:val="center"/>
            <w:hideMark/>
          </w:tcPr>
          <w:p w14:paraId="659EDA50" w14:textId="77777777" w:rsidR="00FD2CBB" w:rsidRPr="00DE5EAF" w:rsidRDefault="00FD2CBB">
            <w:pPr>
              <w:spacing w:after="0" w:line="240" w:lineRule="auto"/>
              <w:jc w:val="right"/>
              <w:rPr>
                <w:rFonts w:eastAsia="Times New Roman" w:cs="Calibri"/>
                <w:color w:val="000000"/>
              </w:rPr>
            </w:pPr>
            <w:r>
              <w:rPr>
                <w:rFonts w:cs="Calibri"/>
                <w:color w:val="000000"/>
              </w:rPr>
              <w:t>0</w:t>
            </w:r>
          </w:p>
        </w:tc>
        <w:tc>
          <w:tcPr>
            <w:tcW w:w="1370" w:type="dxa"/>
            <w:noWrap/>
            <w:vAlign w:val="center"/>
            <w:hideMark/>
          </w:tcPr>
          <w:p w14:paraId="1A2A144B" w14:textId="77777777" w:rsidR="00FD2CBB" w:rsidRPr="00DE5EAF" w:rsidRDefault="00FD2CBB">
            <w:pPr>
              <w:spacing w:after="0" w:line="240" w:lineRule="auto"/>
              <w:jc w:val="right"/>
              <w:rPr>
                <w:rFonts w:eastAsia="Times New Roman" w:cs="Calibri"/>
                <w:color w:val="000000"/>
              </w:rPr>
            </w:pPr>
            <w:r>
              <w:rPr>
                <w:rFonts w:cs="Calibri"/>
                <w:color w:val="000000"/>
              </w:rPr>
              <w:t>0</w:t>
            </w:r>
          </w:p>
        </w:tc>
      </w:tr>
      <w:tr w:rsidR="00FD2CBB" w:rsidRPr="00DE5EAF" w14:paraId="4FA87EEF" w14:textId="77777777" w:rsidTr="00C64A2F">
        <w:trPr>
          <w:trHeight w:val="300"/>
          <w:jc w:val="center"/>
        </w:trPr>
        <w:tc>
          <w:tcPr>
            <w:tcW w:w="7915" w:type="dxa"/>
            <w:gridSpan w:val="4"/>
            <w:shd w:val="clear" w:color="000000" w:fill="FF7C80"/>
            <w:vAlign w:val="center"/>
            <w:hideMark/>
          </w:tcPr>
          <w:p w14:paraId="0A8FF4A1" w14:textId="77777777" w:rsidR="00FD2CBB" w:rsidRPr="00DE5EAF" w:rsidRDefault="00FD2CBB">
            <w:pPr>
              <w:spacing w:after="0" w:line="240" w:lineRule="auto"/>
              <w:jc w:val="left"/>
              <w:rPr>
                <w:rFonts w:eastAsia="Times New Roman" w:cs="Calibri"/>
                <w:b/>
                <w:color w:val="000000"/>
              </w:rPr>
            </w:pPr>
            <w:r w:rsidRPr="00DE5EAF">
              <w:rPr>
                <w:rFonts w:eastAsia="Times New Roman" w:cs="Calibri"/>
                <w:b/>
                <w:color w:val="000000"/>
              </w:rPr>
              <w:t>COMUNE DI SESTRIERE</w:t>
            </w:r>
            <w:r>
              <w:rPr>
                <w:rFonts w:eastAsia="Times New Roman" w:cs="Calibri"/>
                <w:b/>
                <w:color w:val="000000"/>
              </w:rPr>
              <w:t>*</w:t>
            </w:r>
          </w:p>
        </w:tc>
      </w:tr>
      <w:tr w:rsidR="00FD2CBB" w:rsidRPr="00DE5EAF" w14:paraId="6274B6F8" w14:textId="77777777" w:rsidTr="00C64A2F">
        <w:trPr>
          <w:trHeight w:val="300"/>
          <w:jc w:val="center"/>
        </w:trPr>
        <w:tc>
          <w:tcPr>
            <w:tcW w:w="3805" w:type="dxa"/>
            <w:noWrap/>
            <w:vAlign w:val="center"/>
            <w:hideMark/>
          </w:tcPr>
          <w:p w14:paraId="0E1A6461" w14:textId="77777777" w:rsidR="00FD2CBB" w:rsidRPr="00DE5EAF" w:rsidRDefault="00FD2CBB">
            <w:pPr>
              <w:spacing w:after="0" w:line="240" w:lineRule="auto"/>
              <w:rPr>
                <w:rFonts w:eastAsia="Times New Roman" w:cs="Calibri"/>
                <w:color w:val="000000"/>
              </w:rPr>
            </w:pPr>
            <w:r w:rsidRPr="00DE5EAF">
              <w:rPr>
                <w:rFonts w:eastAsia="Times New Roman" w:cs="Calibri"/>
                <w:color w:val="000000"/>
              </w:rPr>
              <w:t>Produzione chilometrica</w:t>
            </w:r>
          </w:p>
        </w:tc>
        <w:tc>
          <w:tcPr>
            <w:tcW w:w="1370" w:type="dxa"/>
            <w:noWrap/>
            <w:vAlign w:val="center"/>
          </w:tcPr>
          <w:p w14:paraId="258990A4" w14:textId="77777777" w:rsidR="00FD2CBB" w:rsidRPr="00DE5EAF" w:rsidRDefault="00FD2CBB">
            <w:pPr>
              <w:spacing w:after="0" w:line="240" w:lineRule="auto"/>
              <w:jc w:val="right"/>
              <w:rPr>
                <w:rFonts w:eastAsia="Times New Roman" w:cs="Calibri"/>
                <w:color w:val="000000"/>
              </w:rPr>
            </w:pPr>
            <w:r>
              <w:rPr>
                <w:rFonts w:eastAsia="Times New Roman" w:cs="Calibri"/>
                <w:color w:val="000000"/>
              </w:rPr>
              <w:t>36.000</w:t>
            </w:r>
          </w:p>
        </w:tc>
        <w:tc>
          <w:tcPr>
            <w:tcW w:w="1370" w:type="dxa"/>
            <w:noWrap/>
            <w:vAlign w:val="center"/>
          </w:tcPr>
          <w:p w14:paraId="297EAE49" w14:textId="77777777" w:rsidR="00FD2CBB" w:rsidRPr="00DE5EAF" w:rsidRDefault="00FD2CBB">
            <w:pPr>
              <w:spacing w:after="0" w:line="240" w:lineRule="auto"/>
              <w:jc w:val="right"/>
              <w:rPr>
                <w:rFonts w:eastAsia="Times New Roman" w:cs="Calibri"/>
                <w:color w:val="000000"/>
              </w:rPr>
            </w:pPr>
            <w:r>
              <w:rPr>
                <w:rFonts w:eastAsia="Times New Roman" w:cs="Calibri"/>
                <w:color w:val="000000"/>
              </w:rPr>
              <w:t>36.000</w:t>
            </w:r>
          </w:p>
        </w:tc>
        <w:tc>
          <w:tcPr>
            <w:tcW w:w="1370" w:type="dxa"/>
            <w:noWrap/>
            <w:vAlign w:val="center"/>
            <w:hideMark/>
          </w:tcPr>
          <w:p w14:paraId="7BF0DDAA" w14:textId="77777777" w:rsidR="00FD2CBB" w:rsidRPr="00DE5EAF" w:rsidRDefault="00FD2CBB">
            <w:pPr>
              <w:spacing w:after="0" w:line="240" w:lineRule="auto"/>
              <w:jc w:val="right"/>
              <w:rPr>
                <w:rFonts w:eastAsia="Times New Roman" w:cs="Calibri"/>
                <w:color w:val="000000"/>
              </w:rPr>
            </w:pPr>
            <w:r>
              <w:rPr>
                <w:rFonts w:eastAsia="Times New Roman" w:cs="Calibri"/>
                <w:color w:val="000000"/>
              </w:rPr>
              <w:t>36.000</w:t>
            </w:r>
            <w:r w:rsidRPr="00DE5EAF">
              <w:rPr>
                <w:rFonts w:eastAsia="Times New Roman" w:cs="Calibri"/>
                <w:color w:val="000000"/>
              </w:rPr>
              <w:t> </w:t>
            </w:r>
          </w:p>
        </w:tc>
      </w:tr>
      <w:tr w:rsidR="00FD2CBB" w:rsidRPr="00DE5EAF" w14:paraId="028C2117" w14:textId="77777777" w:rsidTr="00C64A2F">
        <w:trPr>
          <w:trHeight w:val="300"/>
          <w:jc w:val="center"/>
        </w:trPr>
        <w:tc>
          <w:tcPr>
            <w:tcW w:w="3805" w:type="dxa"/>
            <w:noWrap/>
            <w:vAlign w:val="center"/>
            <w:hideMark/>
          </w:tcPr>
          <w:p w14:paraId="329C3DCF" w14:textId="77777777" w:rsidR="00FD2CBB" w:rsidRPr="00DE5EAF" w:rsidRDefault="00FD2CBB">
            <w:pPr>
              <w:spacing w:after="0" w:line="240" w:lineRule="auto"/>
              <w:rPr>
                <w:rFonts w:eastAsia="Times New Roman" w:cs="Calibri"/>
                <w:color w:val="000000"/>
              </w:rPr>
            </w:pPr>
            <w:r w:rsidRPr="00DE5EAF">
              <w:rPr>
                <w:rFonts w:eastAsia="Times New Roman" w:cs="Calibri"/>
                <w:color w:val="000000"/>
              </w:rPr>
              <w:t>Ricavi totali</w:t>
            </w:r>
          </w:p>
        </w:tc>
        <w:tc>
          <w:tcPr>
            <w:tcW w:w="1370" w:type="dxa"/>
            <w:noWrap/>
            <w:vAlign w:val="center"/>
            <w:hideMark/>
          </w:tcPr>
          <w:p w14:paraId="2EFBEF63" w14:textId="77777777" w:rsidR="00FD2CBB" w:rsidRPr="00DE5EAF" w:rsidRDefault="00FD2CBB">
            <w:pPr>
              <w:spacing w:after="0" w:line="240" w:lineRule="auto"/>
              <w:jc w:val="right"/>
              <w:rPr>
                <w:rFonts w:eastAsia="Times New Roman" w:cs="Calibri"/>
                <w:color w:val="000000"/>
              </w:rPr>
            </w:pPr>
            <w:r>
              <w:rPr>
                <w:rFonts w:eastAsia="Times New Roman" w:cs="Calibri"/>
                <w:color w:val="000000"/>
              </w:rPr>
              <w:t>n.d.</w:t>
            </w:r>
            <w:r w:rsidRPr="00DE5EAF">
              <w:rPr>
                <w:rFonts w:eastAsia="Times New Roman" w:cs="Calibri"/>
                <w:color w:val="000000"/>
              </w:rPr>
              <w:t> </w:t>
            </w:r>
          </w:p>
        </w:tc>
        <w:tc>
          <w:tcPr>
            <w:tcW w:w="1370" w:type="dxa"/>
            <w:noWrap/>
            <w:hideMark/>
          </w:tcPr>
          <w:p w14:paraId="121B83DB" w14:textId="77777777" w:rsidR="00FD2CBB" w:rsidRPr="00DE5EAF" w:rsidRDefault="00FD2CBB">
            <w:pPr>
              <w:spacing w:after="0" w:line="240" w:lineRule="auto"/>
              <w:jc w:val="right"/>
              <w:rPr>
                <w:rFonts w:eastAsia="Times New Roman" w:cs="Calibri"/>
                <w:color w:val="000000"/>
              </w:rPr>
            </w:pPr>
            <w:r w:rsidRPr="00AF2CCF">
              <w:rPr>
                <w:rFonts w:eastAsia="Times New Roman" w:cs="Calibri"/>
                <w:color w:val="000000"/>
              </w:rPr>
              <w:t>n.d. </w:t>
            </w:r>
          </w:p>
        </w:tc>
        <w:tc>
          <w:tcPr>
            <w:tcW w:w="1370" w:type="dxa"/>
            <w:noWrap/>
            <w:hideMark/>
          </w:tcPr>
          <w:p w14:paraId="449E28B2" w14:textId="77777777" w:rsidR="00FD2CBB" w:rsidRPr="00DE5EAF" w:rsidRDefault="00FD2CBB">
            <w:pPr>
              <w:spacing w:after="0" w:line="240" w:lineRule="auto"/>
              <w:jc w:val="right"/>
              <w:rPr>
                <w:rFonts w:eastAsia="Times New Roman" w:cs="Calibri"/>
                <w:color w:val="000000"/>
              </w:rPr>
            </w:pPr>
            <w:r w:rsidRPr="00AF2CCF">
              <w:rPr>
                <w:rFonts w:eastAsia="Times New Roman" w:cs="Calibri"/>
                <w:color w:val="000000"/>
              </w:rPr>
              <w:t>n.d. </w:t>
            </w:r>
          </w:p>
        </w:tc>
      </w:tr>
      <w:tr w:rsidR="00FD2CBB" w:rsidRPr="00DE5EAF" w14:paraId="11DBEBAA" w14:textId="77777777" w:rsidTr="00C64A2F">
        <w:trPr>
          <w:trHeight w:val="300"/>
          <w:jc w:val="center"/>
        </w:trPr>
        <w:tc>
          <w:tcPr>
            <w:tcW w:w="3805" w:type="dxa"/>
            <w:noWrap/>
            <w:vAlign w:val="center"/>
            <w:hideMark/>
          </w:tcPr>
          <w:p w14:paraId="54DE1C76" w14:textId="77777777" w:rsidR="00FD2CBB" w:rsidRPr="00DE5EAF" w:rsidRDefault="00FD2CBB">
            <w:pPr>
              <w:spacing w:after="0" w:line="240" w:lineRule="auto"/>
              <w:rPr>
                <w:rFonts w:eastAsia="Times New Roman" w:cs="Calibri"/>
                <w:i/>
                <w:color w:val="000000"/>
              </w:rPr>
            </w:pPr>
            <w:r w:rsidRPr="00DE5EAF">
              <w:rPr>
                <w:rFonts w:eastAsia="Times New Roman" w:cs="Calibri"/>
                <w:i/>
                <w:color w:val="000000"/>
              </w:rPr>
              <w:t xml:space="preserve"> di cui Ricavi da traffico</w:t>
            </w:r>
          </w:p>
        </w:tc>
        <w:tc>
          <w:tcPr>
            <w:tcW w:w="1370" w:type="dxa"/>
            <w:noWrap/>
            <w:vAlign w:val="center"/>
            <w:hideMark/>
          </w:tcPr>
          <w:p w14:paraId="67F6C20B" w14:textId="77777777" w:rsidR="00FD2CBB" w:rsidRPr="00DE5EAF" w:rsidRDefault="00FD2CBB">
            <w:pPr>
              <w:spacing w:after="0" w:line="240" w:lineRule="auto"/>
              <w:jc w:val="right"/>
              <w:rPr>
                <w:rFonts w:eastAsia="Times New Roman" w:cs="Calibri"/>
                <w:color w:val="000000"/>
              </w:rPr>
            </w:pPr>
            <w:r>
              <w:rPr>
                <w:rFonts w:eastAsia="Times New Roman" w:cs="Calibri"/>
                <w:color w:val="000000"/>
              </w:rPr>
              <w:t>n.d.</w:t>
            </w:r>
            <w:r w:rsidRPr="00DE5EAF">
              <w:rPr>
                <w:rFonts w:eastAsia="Times New Roman" w:cs="Calibri"/>
                <w:color w:val="000000"/>
              </w:rPr>
              <w:t>  </w:t>
            </w:r>
          </w:p>
        </w:tc>
        <w:tc>
          <w:tcPr>
            <w:tcW w:w="1370" w:type="dxa"/>
            <w:noWrap/>
            <w:hideMark/>
          </w:tcPr>
          <w:p w14:paraId="007F156A" w14:textId="77777777" w:rsidR="00FD2CBB" w:rsidRPr="00DE5EAF" w:rsidRDefault="00FD2CBB">
            <w:pPr>
              <w:spacing w:after="0" w:line="240" w:lineRule="auto"/>
              <w:jc w:val="right"/>
              <w:rPr>
                <w:rFonts w:eastAsia="Times New Roman" w:cs="Calibri"/>
                <w:color w:val="000000"/>
              </w:rPr>
            </w:pPr>
            <w:r w:rsidRPr="00AF2CCF">
              <w:rPr>
                <w:rFonts w:eastAsia="Times New Roman" w:cs="Calibri"/>
                <w:color w:val="000000"/>
              </w:rPr>
              <w:t>n.d. </w:t>
            </w:r>
          </w:p>
        </w:tc>
        <w:tc>
          <w:tcPr>
            <w:tcW w:w="1370" w:type="dxa"/>
            <w:noWrap/>
            <w:hideMark/>
          </w:tcPr>
          <w:p w14:paraId="266528D3" w14:textId="77777777" w:rsidR="00FD2CBB" w:rsidRPr="00DE5EAF" w:rsidRDefault="00FD2CBB">
            <w:pPr>
              <w:spacing w:after="0" w:line="240" w:lineRule="auto"/>
              <w:jc w:val="right"/>
              <w:rPr>
                <w:rFonts w:eastAsia="Times New Roman" w:cs="Calibri"/>
                <w:color w:val="000000"/>
              </w:rPr>
            </w:pPr>
            <w:r w:rsidRPr="00AF2CCF">
              <w:rPr>
                <w:rFonts w:eastAsia="Times New Roman" w:cs="Calibri"/>
                <w:color w:val="000000"/>
              </w:rPr>
              <w:t>n.d. </w:t>
            </w:r>
          </w:p>
        </w:tc>
      </w:tr>
      <w:tr w:rsidR="00FD2CBB" w:rsidRPr="00DE5EAF" w14:paraId="5B90A1BF" w14:textId="77777777" w:rsidTr="00C64A2F">
        <w:trPr>
          <w:trHeight w:val="300"/>
          <w:jc w:val="center"/>
        </w:trPr>
        <w:tc>
          <w:tcPr>
            <w:tcW w:w="3805" w:type="dxa"/>
            <w:noWrap/>
            <w:vAlign w:val="center"/>
            <w:hideMark/>
          </w:tcPr>
          <w:p w14:paraId="3CECA2E6" w14:textId="77777777" w:rsidR="00FD2CBB" w:rsidRPr="00DE5EAF" w:rsidRDefault="00FD2CBB">
            <w:pPr>
              <w:spacing w:after="0" w:line="240" w:lineRule="auto"/>
              <w:rPr>
                <w:rFonts w:eastAsia="Times New Roman" w:cs="Calibri"/>
                <w:color w:val="000000"/>
              </w:rPr>
            </w:pPr>
            <w:r w:rsidRPr="00DE5EAF">
              <w:rPr>
                <w:rFonts w:eastAsia="Times New Roman" w:cs="Calibri"/>
                <w:color w:val="000000"/>
              </w:rPr>
              <w:t>Corrispettivi</w:t>
            </w:r>
          </w:p>
        </w:tc>
        <w:tc>
          <w:tcPr>
            <w:tcW w:w="1370" w:type="dxa"/>
            <w:noWrap/>
            <w:vAlign w:val="center"/>
            <w:hideMark/>
          </w:tcPr>
          <w:p w14:paraId="5D323459" w14:textId="77777777" w:rsidR="00FD2CBB" w:rsidRPr="00DE5EAF" w:rsidRDefault="00FD2CBB">
            <w:pPr>
              <w:spacing w:after="0" w:line="240" w:lineRule="auto"/>
              <w:jc w:val="right"/>
              <w:rPr>
                <w:rFonts w:eastAsia="Times New Roman" w:cs="Calibri"/>
                <w:color w:val="000000"/>
              </w:rPr>
            </w:pPr>
            <w:r w:rsidRPr="00DE5EAF">
              <w:rPr>
                <w:rFonts w:eastAsia="Times New Roman" w:cs="Calibri"/>
                <w:color w:val="000000"/>
              </w:rPr>
              <w:t> </w:t>
            </w:r>
            <w:r>
              <w:rPr>
                <w:rFonts w:eastAsia="Times New Roman" w:cs="Calibri"/>
                <w:color w:val="000000"/>
              </w:rPr>
              <w:t>4.613,24 €</w:t>
            </w:r>
          </w:p>
        </w:tc>
        <w:tc>
          <w:tcPr>
            <w:tcW w:w="1370" w:type="dxa"/>
            <w:noWrap/>
            <w:vAlign w:val="center"/>
            <w:hideMark/>
          </w:tcPr>
          <w:p w14:paraId="6A0F13F2" w14:textId="77777777" w:rsidR="00FD2CBB" w:rsidRPr="00DE5EAF" w:rsidRDefault="00FD2CBB">
            <w:pPr>
              <w:spacing w:after="0" w:line="240" w:lineRule="auto"/>
              <w:jc w:val="right"/>
              <w:rPr>
                <w:rFonts w:eastAsia="Times New Roman" w:cs="Calibri"/>
                <w:color w:val="000000"/>
              </w:rPr>
            </w:pPr>
            <w:r>
              <w:rPr>
                <w:rFonts w:eastAsia="Times New Roman" w:cs="Calibri"/>
                <w:color w:val="000000"/>
              </w:rPr>
              <w:t>4.613,24 €</w:t>
            </w:r>
            <w:r w:rsidRPr="00DE5EAF">
              <w:rPr>
                <w:rFonts w:eastAsia="Times New Roman" w:cs="Calibri"/>
                <w:color w:val="000000"/>
              </w:rPr>
              <w:t> </w:t>
            </w:r>
          </w:p>
        </w:tc>
        <w:tc>
          <w:tcPr>
            <w:tcW w:w="1370" w:type="dxa"/>
            <w:noWrap/>
            <w:vAlign w:val="center"/>
            <w:hideMark/>
          </w:tcPr>
          <w:p w14:paraId="5F7D0E0B" w14:textId="77777777" w:rsidR="00FD2CBB" w:rsidRPr="00DE5EAF" w:rsidRDefault="00FD2CBB">
            <w:pPr>
              <w:spacing w:after="0" w:line="240" w:lineRule="auto"/>
              <w:jc w:val="right"/>
              <w:rPr>
                <w:rFonts w:eastAsia="Times New Roman" w:cs="Calibri"/>
                <w:color w:val="000000"/>
              </w:rPr>
            </w:pPr>
            <w:r>
              <w:rPr>
                <w:rFonts w:eastAsia="Times New Roman" w:cs="Calibri"/>
                <w:color w:val="000000"/>
              </w:rPr>
              <w:t>4.613,24 €</w:t>
            </w:r>
            <w:r w:rsidRPr="00DE5EAF">
              <w:rPr>
                <w:rFonts w:eastAsia="Times New Roman" w:cs="Calibri"/>
                <w:color w:val="000000"/>
              </w:rPr>
              <w:t> </w:t>
            </w:r>
          </w:p>
        </w:tc>
      </w:tr>
      <w:tr w:rsidR="00FD2CBB" w:rsidRPr="00DE5EAF" w14:paraId="753A421D" w14:textId="77777777" w:rsidTr="00C64A2F">
        <w:trPr>
          <w:trHeight w:val="300"/>
          <w:jc w:val="center"/>
        </w:trPr>
        <w:tc>
          <w:tcPr>
            <w:tcW w:w="3805" w:type="dxa"/>
            <w:noWrap/>
            <w:vAlign w:val="center"/>
            <w:hideMark/>
          </w:tcPr>
          <w:p w14:paraId="569A0FDA" w14:textId="77777777" w:rsidR="00FD2CBB" w:rsidRPr="00DE5EAF" w:rsidRDefault="00FD2CBB">
            <w:pPr>
              <w:spacing w:after="0" w:line="240" w:lineRule="auto"/>
              <w:rPr>
                <w:rFonts w:eastAsia="Times New Roman" w:cs="Calibri"/>
                <w:color w:val="000000"/>
              </w:rPr>
            </w:pPr>
            <w:r w:rsidRPr="00DE5EAF">
              <w:rPr>
                <w:rFonts w:eastAsia="Times New Roman" w:cs="Calibri"/>
                <w:color w:val="000000"/>
              </w:rPr>
              <w:t>Costo Infrastruttura</w:t>
            </w:r>
          </w:p>
        </w:tc>
        <w:tc>
          <w:tcPr>
            <w:tcW w:w="1370" w:type="dxa"/>
            <w:noWrap/>
            <w:hideMark/>
          </w:tcPr>
          <w:p w14:paraId="6F5EF483" w14:textId="77777777" w:rsidR="00FD2CBB" w:rsidRPr="00DE5EAF" w:rsidRDefault="00FD2CBB">
            <w:pPr>
              <w:spacing w:after="0" w:line="240" w:lineRule="auto"/>
              <w:jc w:val="right"/>
              <w:rPr>
                <w:rFonts w:eastAsia="Times New Roman" w:cs="Calibri"/>
                <w:color w:val="000000"/>
              </w:rPr>
            </w:pPr>
            <w:r w:rsidRPr="009F70BD">
              <w:rPr>
                <w:rFonts w:eastAsia="Times New Roman" w:cs="Calibri"/>
                <w:color w:val="000000"/>
              </w:rPr>
              <w:t>n.d. </w:t>
            </w:r>
          </w:p>
        </w:tc>
        <w:tc>
          <w:tcPr>
            <w:tcW w:w="1370" w:type="dxa"/>
            <w:noWrap/>
            <w:hideMark/>
          </w:tcPr>
          <w:p w14:paraId="28D72905" w14:textId="77777777" w:rsidR="00FD2CBB" w:rsidRPr="00DE5EAF" w:rsidRDefault="00FD2CBB">
            <w:pPr>
              <w:spacing w:after="0" w:line="240" w:lineRule="auto"/>
              <w:jc w:val="right"/>
              <w:rPr>
                <w:rFonts w:eastAsia="Times New Roman" w:cs="Calibri"/>
                <w:color w:val="000000"/>
              </w:rPr>
            </w:pPr>
            <w:r w:rsidRPr="009F70BD">
              <w:rPr>
                <w:rFonts w:eastAsia="Times New Roman" w:cs="Calibri"/>
                <w:color w:val="000000"/>
              </w:rPr>
              <w:t>n.d. </w:t>
            </w:r>
          </w:p>
        </w:tc>
        <w:tc>
          <w:tcPr>
            <w:tcW w:w="1370" w:type="dxa"/>
            <w:noWrap/>
            <w:hideMark/>
          </w:tcPr>
          <w:p w14:paraId="614D8027" w14:textId="77777777" w:rsidR="00FD2CBB" w:rsidRPr="00DE5EAF" w:rsidRDefault="00FD2CBB">
            <w:pPr>
              <w:spacing w:after="0" w:line="240" w:lineRule="auto"/>
              <w:jc w:val="right"/>
              <w:rPr>
                <w:rFonts w:eastAsia="Times New Roman" w:cs="Calibri"/>
                <w:color w:val="000000"/>
              </w:rPr>
            </w:pPr>
            <w:r w:rsidRPr="009F70BD">
              <w:rPr>
                <w:rFonts w:eastAsia="Times New Roman" w:cs="Calibri"/>
                <w:color w:val="000000"/>
              </w:rPr>
              <w:t>n.d. </w:t>
            </w:r>
          </w:p>
        </w:tc>
      </w:tr>
      <w:tr w:rsidR="00FD2CBB" w:rsidRPr="00DE5EAF" w14:paraId="718039F1" w14:textId="77777777" w:rsidTr="00C64A2F">
        <w:trPr>
          <w:trHeight w:val="300"/>
          <w:jc w:val="center"/>
        </w:trPr>
        <w:tc>
          <w:tcPr>
            <w:tcW w:w="3805" w:type="dxa"/>
            <w:noWrap/>
            <w:vAlign w:val="center"/>
            <w:hideMark/>
          </w:tcPr>
          <w:p w14:paraId="57074C98" w14:textId="77777777" w:rsidR="00FD2CBB" w:rsidRPr="00DE5EAF" w:rsidRDefault="00FD2CBB">
            <w:pPr>
              <w:spacing w:after="0" w:line="240" w:lineRule="auto"/>
              <w:rPr>
                <w:rFonts w:eastAsia="Times New Roman" w:cs="Calibri"/>
                <w:color w:val="000000"/>
              </w:rPr>
            </w:pPr>
            <w:r w:rsidRPr="00DE5EAF">
              <w:rPr>
                <w:rFonts w:eastAsia="Times New Roman" w:cs="Calibri"/>
                <w:color w:val="000000"/>
              </w:rPr>
              <w:t>Passeggeri trasportati</w:t>
            </w:r>
          </w:p>
        </w:tc>
        <w:tc>
          <w:tcPr>
            <w:tcW w:w="1370" w:type="dxa"/>
            <w:noWrap/>
            <w:hideMark/>
          </w:tcPr>
          <w:p w14:paraId="4E123903" w14:textId="77777777" w:rsidR="00FD2CBB" w:rsidRPr="00DE5EAF" w:rsidRDefault="00FD2CBB">
            <w:pPr>
              <w:spacing w:after="0" w:line="240" w:lineRule="auto"/>
              <w:jc w:val="right"/>
              <w:rPr>
                <w:rFonts w:eastAsia="Times New Roman" w:cs="Calibri"/>
                <w:color w:val="000000"/>
              </w:rPr>
            </w:pPr>
            <w:r w:rsidRPr="009F70BD">
              <w:rPr>
                <w:rFonts w:eastAsia="Times New Roman" w:cs="Calibri"/>
                <w:color w:val="000000"/>
              </w:rPr>
              <w:t>n.d. </w:t>
            </w:r>
          </w:p>
        </w:tc>
        <w:tc>
          <w:tcPr>
            <w:tcW w:w="1370" w:type="dxa"/>
            <w:noWrap/>
            <w:hideMark/>
          </w:tcPr>
          <w:p w14:paraId="2C22011B" w14:textId="77777777" w:rsidR="00FD2CBB" w:rsidRPr="00DE5EAF" w:rsidRDefault="00FD2CBB">
            <w:pPr>
              <w:spacing w:after="0" w:line="240" w:lineRule="auto"/>
              <w:jc w:val="right"/>
              <w:rPr>
                <w:rFonts w:eastAsia="Times New Roman" w:cs="Calibri"/>
                <w:color w:val="000000"/>
              </w:rPr>
            </w:pPr>
            <w:r w:rsidRPr="009F70BD">
              <w:rPr>
                <w:rFonts w:eastAsia="Times New Roman" w:cs="Calibri"/>
                <w:color w:val="000000"/>
              </w:rPr>
              <w:t>n.d. </w:t>
            </w:r>
          </w:p>
        </w:tc>
        <w:tc>
          <w:tcPr>
            <w:tcW w:w="1370" w:type="dxa"/>
            <w:noWrap/>
            <w:hideMark/>
          </w:tcPr>
          <w:p w14:paraId="2F913A8F" w14:textId="77777777" w:rsidR="00FD2CBB" w:rsidRPr="00DE5EAF" w:rsidRDefault="00FD2CBB">
            <w:pPr>
              <w:spacing w:after="0" w:line="240" w:lineRule="auto"/>
              <w:jc w:val="right"/>
              <w:rPr>
                <w:rFonts w:eastAsia="Times New Roman" w:cs="Calibri"/>
                <w:color w:val="000000"/>
              </w:rPr>
            </w:pPr>
            <w:r w:rsidRPr="009F70BD">
              <w:rPr>
                <w:rFonts w:eastAsia="Times New Roman" w:cs="Calibri"/>
                <w:color w:val="000000"/>
              </w:rPr>
              <w:t>n.d. </w:t>
            </w:r>
          </w:p>
        </w:tc>
      </w:tr>
      <w:tr w:rsidR="00FD2CBB" w:rsidRPr="00DE5EAF" w14:paraId="55F2A9FA" w14:textId="77777777" w:rsidTr="00C64A2F">
        <w:trPr>
          <w:trHeight w:val="300"/>
          <w:jc w:val="center"/>
        </w:trPr>
        <w:tc>
          <w:tcPr>
            <w:tcW w:w="3805" w:type="dxa"/>
            <w:noWrap/>
            <w:vAlign w:val="center"/>
            <w:hideMark/>
          </w:tcPr>
          <w:p w14:paraId="5F3BC304" w14:textId="77777777" w:rsidR="00FD2CBB" w:rsidRPr="00DE5EAF" w:rsidRDefault="00FD2CBB">
            <w:pPr>
              <w:spacing w:after="0" w:line="240" w:lineRule="auto"/>
              <w:rPr>
                <w:rFonts w:eastAsia="Times New Roman" w:cs="Calibri"/>
                <w:color w:val="000000"/>
              </w:rPr>
            </w:pPr>
            <w:r w:rsidRPr="00DE5EAF">
              <w:rPr>
                <w:rFonts w:eastAsia="Times New Roman" w:cs="Calibri"/>
                <w:color w:val="000000"/>
              </w:rPr>
              <w:t>Addetti</w:t>
            </w:r>
          </w:p>
        </w:tc>
        <w:tc>
          <w:tcPr>
            <w:tcW w:w="1370" w:type="dxa"/>
            <w:noWrap/>
            <w:hideMark/>
          </w:tcPr>
          <w:p w14:paraId="12B56306" w14:textId="77777777" w:rsidR="00FD2CBB" w:rsidRPr="00DE5EAF" w:rsidRDefault="00FD2CBB">
            <w:pPr>
              <w:spacing w:after="0" w:line="240" w:lineRule="auto"/>
              <w:jc w:val="right"/>
              <w:rPr>
                <w:rFonts w:eastAsia="Times New Roman" w:cs="Calibri"/>
                <w:color w:val="000000"/>
              </w:rPr>
            </w:pPr>
            <w:r w:rsidRPr="009F70BD">
              <w:rPr>
                <w:rFonts w:eastAsia="Times New Roman" w:cs="Calibri"/>
                <w:color w:val="000000"/>
              </w:rPr>
              <w:t>n.d. </w:t>
            </w:r>
          </w:p>
        </w:tc>
        <w:tc>
          <w:tcPr>
            <w:tcW w:w="1370" w:type="dxa"/>
            <w:noWrap/>
            <w:hideMark/>
          </w:tcPr>
          <w:p w14:paraId="53A4863D" w14:textId="77777777" w:rsidR="00FD2CBB" w:rsidRPr="00DE5EAF" w:rsidRDefault="00FD2CBB">
            <w:pPr>
              <w:spacing w:after="0" w:line="240" w:lineRule="auto"/>
              <w:jc w:val="right"/>
              <w:rPr>
                <w:rFonts w:eastAsia="Times New Roman" w:cs="Calibri"/>
                <w:color w:val="000000"/>
              </w:rPr>
            </w:pPr>
            <w:r w:rsidRPr="009F70BD">
              <w:rPr>
                <w:rFonts w:eastAsia="Times New Roman" w:cs="Calibri"/>
                <w:color w:val="000000"/>
              </w:rPr>
              <w:t>n.d. </w:t>
            </w:r>
          </w:p>
        </w:tc>
        <w:tc>
          <w:tcPr>
            <w:tcW w:w="1370" w:type="dxa"/>
            <w:noWrap/>
            <w:hideMark/>
          </w:tcPr>
          <w:p w14:paraId="69BEC0AD" w14:textId="77777777" w:rsidR="00FD2CBB" w:rsidRPr="00DE5EAF" w:rsidRDefault="00FD2CBB">
            <w:pPr>
              <w:spacing w:after="0" w:line="240" w:lineRule="auto"/>
              <w:jc w:val="right"/>
              <w:rPr>
                <w:rFonts w:eastAsia="Times New Roman" w:cs="Calibri"/>
                <w:color w:val="000000"/>
              </w:rPr>
            </w:pPr>
            <w:r w:rsidRPr="009F70BD">
              <w:rPr>
                <w:rFonts w:eastAsia="Times New Roman" w:cs="Calibri"/>
                <w:color w:val="000000"/>
              </w:rPr>
              <w:t>n.d. </w:t>
            </w:r>
          </w:p>
        </w:tc>
      </w:tr>
      <w:tr w:rsidR="00FD2CBB" w:rsidRPr="00DE5EAF" w14:paraId="7990FEDF" w14:textId="77777777" w:rsidTr="00C64A2F">
        <w:trPr>
          <w:trHeight w:val="300"/>
          <w:jc w:val="center"/>
        </w:trPr>
        <w:tc>
          <w:tcPr>
            <w:tcW w:w="3805" w:type="dxa"/>
            <w:noWrap/>
            <w:vAlign w:val="center"/>
            <w:hideMark/>
          </w:tcPr>
          <w:p w14:paraId="596FC2B2" w14:textId="77777777" w:rsidR="00FD2CBB" w:rsidRPr="00DE5EAF" w:rsidRDefault="00FD2CBB">
            <w:pPr>
              <w:spacing w:after="0" w:line="240" w:lineRule="auto"/>
              <w:rPr>
                <w:rFonts w:eastAsia="Times New Roman" w:cs="Calibri"/>
                <w:color w:val="000000"/>
              </w:rPr>
            </w:pPr>
            <w:r w:rsidRPr="00DE5EAF">
              <w:rPr>
                <w:rFonts w:eastAsia="Times New Roman" w:cs="Calibri"/>
                <w:color w:val="000000"/>
              </w:rPr>
              <w:t>Contributi CCNL</w:t>
            </w:r>
          </w:p>
        </w:tc>
        <w:tc>
          <w:tcPr>
            <w:tcW w:w="1370" w:type="dxa"/>
            <w:noWrap/>
            <w:hideMark/>
          </w:tcPr>
          <w:p w14:paraId="2F8D0F91" w14:textId="77777777" w:rsidR="00FD2CBB" w:rsidRPr="00DE5EAF" w:rsidRDefault="00FD2CBB">
            <w:pPr>
              <w:spacing w:after="0" w:line="240" w:lineRule="auto"/>
              <w:jc w:val="right"/>
              <w:rPr>
                <w:rFonts w:eastAsia="Times New Roman" w:cs="Calibri"/>
                <w:color w:val="000000"/>
              </w:rPr>
            </w:pPr>
            <w:r w:rsidRPr="009F70BD">
              <w:rPr>
                <w:rFonts w:eastAsia="Times New Roman" w:cs="Calibri"/>
                <w:color w:val="000000"/>
              </w:rPr>
              <w:t>n.d. </w:t>
            </w:r>
          </w:p>
        </w:tc>
        <w:tc>
          <w:tcPr>
            <w:tcW w:w="1370" w:type="dxa"/>
            <w:noWrap/>
            <w:hideMark/>
          </w:tcPr>
          <w:p w14:paraId="519AEC8A" w14:textId="77777777" w:rsidR="00FD2CBB" w:rsidRPr="00DE5EAF" w:rsidRDefault="00FD2CBB">
            <w:pPr>
              <w:spacing w:after="0" w:line="240" w:lineRule="auto"/>
              <w:jc w:val="right"/>
              <w:rPr>
                <w:rFonts w:eastAsia="Times New Roman" w:cs="Calibri"/>
                <w:color w:val="000000"/>
              </w:rPr>
            </w:pPr>
            <w:r w:rsidRPr="009F70BD">
              <w:rPr>
                <w:rFonts w:eastAsia="Times New Roman" w:cs="Calibri"/>
                <w:color w:val="000000"/>
              </w:rPr>
              <w:t>n.d. </w:t>
            </w:r>
          </w:p>
        </w:tc>
        <w:tc>
          <w:tcPr>
            <w:tcW w:w="1370" w:type="dxa"/>
            <w:noWrap/>
            <w:hideMark/>
          </w:tcPr>
          <w:p w14:paraId="3F71532F" w14:textId="77777777" w:rsidR="00FD2CBB" w:rsidRPr="00DE5EAF" w:rsidRDefault="00FD2CBB">
            <w:pPr>
              <w:spacing w:after="0" w:line="240" w:lineRule="auto"/>
              <w:jc w:val="right"/>
              <w:rPr>
                <w:rFonts w:eastAsia="Times New Roman" w:cs="Calibri"/>
                <w:color w:val="000000"/>
              </w:rPr>
            </w:pPr>
            <w:r w:rsidRPr="009F70BD">
              <w:rPr>
                <w:rFonts w:eastAsia="Times New Roman" w:cs="Calibri"/>
                <w:color w:val="000000"/>
              </w:rPr>
              <w:t>n.d. </w:t>
            </w:r>
          </w:p>
        </w:tc>
      </w:tr>
      <w:tr w:rsidR="00FD2CBB" w:rsidRPr="00DE5EAF" w14:paraId="603CB0A0" w14:textId="77777777" w:rsidTr="00C64A2F">
        <w:trPr>
          <w:trHeight w:val="385"/>
          <w:jc w:val="center"/>
        </w:trPr>
        <w:tc>
          <w:tcPr>
            <w:tcW w:w="7915" w:type="dxa"/>
            <w:gridSpan w:val="4"/>
            <w:shd w:val="clear" w:color="000000" w:fill="FF7C80"/>
            <w:vAlign w:val="center"/>
            <w:hideMark/>
          </w:tcPr>
          <w:p w14:paraId="4A8EB82F" w14:textId="77777777" w:rsidR="00FD2CBB" w:rsidRPr="00DE5EAF" w:rsidRDefault="00FD2CBB">
            <w:pPr>
              <w:spacing w:after="0" w:line="240" w:lineRule="auto"/>
              <w:jc w:val="left"/>
              <w:rPr>
                <w:rFonts w:eastAsia="Times New Roman" w:cs="Calibri"/>
                <w:b/>
                <w:color w:val="000000"/>
              </w:rPr>
            </w:pPr>
            <w:r w:rsidRPr="00DE5EAF">
              <w:rPr>
                <w:rFonts w:eastAsia="Times New Roman" w:cs="Calibri"/>
                <w:b/>
                <w:color w:val="000000"/>
              </w:rPr>
              <w:t>UNIONE MONTANA DI COMUNI DELLE VALLI DI LANZO, CERONDA E CASTERNONE</w:t>
            </w:r>
          </w:p>
        </w:tc>
      </w:tr>
      <w:tr w:rsidR="00FD2CBB" w:rsidRPr="00DE5EAF" w14:paraId="7FDBD4FA" w14:textId="77777777" w:rsidTr="00C64A2F">
        <w:trPr>
          <w:trHeight w:val="300"/>
          <w:jc w:val="center"/>
        </w:trPr>
        <w:tc>
          <w:tcPr>
            <w:tcW w:w="3805" w:type="dxa"/>
            <w:noWrap/>
            <w:vAlign w:val="center"/>
            <w:hideMark/>
          </w:tcPr>
          <w:p w14:paraId="1350C3E4" w14:textId="77777777" w:rsidR="00FD2CBB" w:rsidRPr="00DE5EAF" w:rsidRDefault="00FD2CBB">
            <w:pPr>
              <w:spacing w:after="0" w:line="240" w:lineRule="auto"/>
              <w:rPr>
                <w:rFonts w:eastAsia="Times New Roman" w:cs="Calibri"/>
                <w:color w:val="000000"/>
              </w:rPr>
            </w:pPr>
            <w:r w:rsidRPr="00DE5EAF">
              <w:rPr>
                <w:rFonts w:eastAsia="Times New Roman" w:cs="Calibri"/>
                <w:color w:val="000000"/>
              </w:rPr>
              <w:t>Produzione chilometrica</w:t>
            </w:r>
          </w:p>
        </w:tc>
        <w:tc>
          <w:tcPr>
            <w:tcW w:w="1370" w:type="dxa"/>
            <w:noWrap/>
            <w:vAlign w:val="center"/>
            <w:hideMark/>
          </w:tcPr>
          <w:p w14:paraId="1C77CC89" w14:textId="77777777" w:rsidR="00FD2CBB" w:rsidRPr="00DE5EAF" w:rsidRDefault="00FD2CBB">
            <w:pPr>
              <w:spacing w:after="0" w:line="240" w:lineRule="auto"/>
              <w:jc w:val="right"/>
              <w:rPr>
                <w:rFonts w:eastAsia="Times New Roman" w:cs="Calibri"/>
                <w:color w:val="000000"/>
              </w:rPr>
            </w:pPr>
            <w:r>
              <w:rPr>
                <w:rFonts w:cs="Calibri"/>
                <w:color w:val="000000"/>
              </w:rPr>
              <w:t>44.604</w:t>
            </w:r>
          </w:p>
        </w:tc>
        <w:tc>
          <w:tcPr>
            <w:tcW w:w="1370" w:type="dxa"/>
            <w:noWrap/>
            <w:vAlign w:val="center"/>
            <w:hideMark/>
          </w:tcPr>
          <w:p w14:paraId="3AEE5AEB" w14:textId="77777777" w:rsidR="00FD2CBB" w:rsidRPr="00DE5EAF" w:rsidRDefault="00FD2CBB">
            <w:pPr>
              <w:spacing w:after="0" w:line="240" w:lineRule="auto"/>
              <w:jc w:val="right"/>
              <w:rPr>
                <w:rFonts w:eastAsia="Times New Roman" w:cs="Calibri"/>
                <w:color w:val="000000"/>
              </w:rPr>
            </w:pPr>
            <w:r>
              <w:rPr>
                <w:rFonts w:cs="Calibri"/>
                <w:color w:val="000000"/>
              </w:rPr>
              <w:t>44.603</w:t>
            </w:r>
          </w:p>
        </w:tc>
        <w:tc>
          <w:tcPr>
            <w:tcW w:w="1370" w:type="dxa"/>
            <w:noWrap/>
            <w:vAlign w:val="center"/>
            <w:hideMark/>
          </w:tcPr>
          <w:p w14:paraId="6522B738" w14:textId="77777777" w:rsidR="00FD2CBB" w:rsidRPr="00DE5EAF" w:rsidRDefault="00FD2CBB">
            <w:pPr>
              <w:spacing w:after="0" w:line="240" w:lineRule="auto"/>
              <w:jc w:val="right"/>
              <w:rPr>
                <w:rFonts w:eastAsia="Times New Roman" w:cs="Calibri"/>
                <w:color w:val="000000"/>
              </w:rPr>
            </w:pPr>
            <w:r>
              <w:rPr>
                <w:rFonts w:cs="Calibri"/>
                <w:color w:val="000000"/>
              </w:rPr>
              <w:t>44.603</w:t>
            </w:r>
          </w:p>
        </w:tc>
      </w:tr>
      <w:tr w:rsidR="00FD2CBB" w:rsidRPr="00DE5EAF" w14:paraId="54363002" w14:textId="77777777" w:rsidTr="00C64A2F">
        <w:trPr>
          <w:trHeight w:val="300"/>
          <w:jc w:val="center"/>
        </w:trPr>
        <w:tc>
          <w:tcPr>
            <w:tcW w:w="3805" w:type="dxa"/>
            <w:noWrap/>
            <w:vAlign w:val="center"/>
            <w:hideMark/>
          </w:tcPr>
          <w:p w14:paraId="2F8681C4" w14:textId="77777777" w:rsidR="00FD2CBB" w:rsidRPr="00DE5EAF" w:rsidRDefault="00FD2CBB">
            <w:pPr>
              <w:spacing w:after="0" w:line="240" w:lineRule="auto"/>
              <w:rPr>
                <w:rFonts w:eastAsia="Times New Roman" w:cs="Calibri"/>
                <w:color w:val="000000"/>
              </w:rPr>
            </w:pPr>
            <w:r w:rsidRPr="00DE5EAF">
              <w:rPr>
                <w:rFonts w:eastAsia="Times New Roman" w:cs="Calibri"/>
                <w:color w:val="000000"/>
              </w:rPr>
              <w:t>Ricavi totali</w:t>
            </w:r>
          </w:p>
        </w:tc>
        <w:tc>
          <w:tcPr>
            <w:tcW w:w="1370" w:type="dxa"/>
            <w:noWrap/>
            <w:vAlign w:val="center"/>
            <w:hideMark/>
          </w:tcPr>
          <w:p w14:paraId="562D1B49" w14:textId="77777777" w:rsidR="00FD2CBB" w:rsidRPr="00DE5EAF" w:rsidRDefault="00FD2CBB">
            <w:pPr>
              <w:spacing w:after="0" w:line="240" w:lineRule="auto"/>
              <w:jc w:val="right"/>
              <w:rPr>
                <w:rFonts w:eastAsia="Times New Roman" w:cs="Calibri"/>
                <w:color w:val="000000"/>
              </w:rPr>
            </w:pPr>
            <w:r>
              <w:rPr>
                <w:rFonts w:cs="Calibri"/>
                <w:color w:val="000000"/>
              </w:rPr>
              <w:t>0</w:t>
            </w:r>
          </w:p>
        </w:tc>
        <w:tc>
          <w:tcPr>
            <w:tcW w:w="1370" w:type="dxa"/>
            <w:noWrap/>
            <w:vAlign w:val="center"/>
            <w:hideMark/>
          </w:tcPr>
          <w:p w14:paraId="1B7CAC9E" w14:textId="77777777" w:rsidR="00FD2CBB" w:rsidRPr="00DE5EAF" w:rsidRDefault="00FD2CBB">
            <w:pPr>
              <w:spacing w:after="0" w:line="240" w:lineRule="auto"/>
              <w:jc w:val="right"/>
              <w:rPr>
                <w:rFonts w:eastAsia="Times New Roman" w:cs="Calibri"/>
                <w:color w:val="000000"/>
              </w:rPr>
            </w:pPr>
            <w:r>
              <w:rPr>
                <w:rFonts w:cs="Calibri"/>
                <w:color w:val="000000"/>
              </w:rPr>
              <w:t>0</w:t>
            </w:r>
          </w:p>
        </w:tc>
        <w:tc>
          <w:tcPr>
            <w:tcW w:w="1370" w:type="dxa"/>
            <w:noWrap/>
            <w:vAlign w:val="center"/>
            <w:hideMark/>
          </w:tcPr>
          <w:p w14:paraId="18F6EEDC" w14:textId="77777777" w:rsidR="00FD2CBB" w:rsidRPr="00DE5EAF" w:rsidRDefault="00FD2CBB">
            <w:pPr>
              <w:spacing w:after="0" w:line="240" w:lineRule="auto"/>
              <w:jc w:val="right"/>
              <w:rPr>
                <w:rFonts w:eastAsia="Times New Roman" w:cs="Calibri"/>
                <w:color w:val="000000"/>
              </w:rPr>
            </w:pPr>
            <w:r>
              <w:rPr>
                <w:rFonts w:cs="Calibri"/>
                <w:color w:val="000000"/>
              </w:rPr>
              <w:t>0</w:t>
            </w:r>
          </w:p>
        </w:tc>
      </w:tr>
      <w:tr w:rsidR="00FD2CBB" w:rsidRPr="00DE5EAF" w14:paraId="5338BF30" w14:textId="77777777" w:rsidTr="00C64A2F">
        <w:trPr>
          <w:trHeight w:val="300"/>
          <w:jc w:val="center"/>
        </w:trPr>
        <w:tc>
          <w:tcPr>
            <w:tcW w:w="3805" w:type="dxa"/>
            <w:noWrap/>
            <w:vAlign w:val="center"/>
            <w:hideMark/>
          </w:tcPr>
          <w:p w14:paraId="3DDC9E82" w14:textId="77777777" w:rsidR="00FD2CBB" w:rsidRPr="00DE5EAF" w:rsidRDefault="00FD2CBB">
            <w:pPr>
              <w:spacing w:after="0" w:line="240" w:lineRule="auto"/>
              <w:rPr>
                <w:rFonts w:eastAsia="Times New Roman" w:cs="Calibri"/>
                <w:i/>
                <w:color w:val="000000"/>
              </w:rPr>
            </w:pPr>
            <w:r w:rsidRPr="00DE5EAF">
              <w:rPr>
                <w:rFonts w:eastAsia="Times New Roman" w:cs="Calibri"/>
                <w:i/>
                <w:color w:val="000000"/>
              </w:rPr>
              <w:lastRenderedPageBreak/>
              <w:t xml:space="preserve"> di cui Ricavi da traffico</w:t>
            </w:r>
          </w:p>
        </w:tc>
        <w:tc>
          <w:tcPr>
            <w:tcW w:w="1370" w:type="dxa"/>
            <w:noWrap/>
            <w:vAlign w:val="center"/>
            <w:hideMark/>
          </w:tcPr>
          <w:p w14:paraId="53B9BCA3" w14:textId="77777777" w:rsidR="00FD2CBB" w:rsidRPr="00DE5EAF" w:rsidRDefault="00FD2CBB">
            <w:pPr>
              <w:spacing w:after="0" w:line="240" w:lineRule="auto"/>
              <w:jc w:val="right"/>
              <w:rPr>
                <w:rFonts w:eastAsia="Times New Roman" w:cs="Calibri"/>
                <w:color w:val="000000"/>
              </w:rPr>
            </w:pPr>
            <w:r>
              <w:rPr>
                <w:rFonts w:cs="Calibri"/>
                <w:color w:val="000000"/>
              </w:rPr>
              <w:t>0</w:t>
            </w:r>
          </w:p>
        </w:tc>
        <w:tc>
          <w:tcPr>
            <w:tcW w:w="1370" w:type="dxa"/>
            <w:noWrap/>
            <w:vAlign w:val="center"/>
            <w:hideMark/>
          </w:tcPr>
          <w:p w14:paraId="1786AA22" w14:textId="77777777" w:rsidR="00FD2CBB" w:rsidRPr="00DE5EAF" w:rsidRDefault="00FD2CBB">
            <w:pPr>
              <w:spacing w:after="0" w:line="240" w:lineRule="auto"/>
              <w:jc w:val="right"/>
              <w:rPr>
                <w:rFonts w:eastAsia="Times New Roman" w:cs="Calibri"/>
                <w:color w:val="000000"/>
              </w:rPr>
            </w:pPr>
            <w:r>
              <w:rPr>
                <w:rFonts w:cs="Calibri"/>
                <w:color w:val="000000"/>
              </w:rPr>
              <w:t>0</w:t>
            </w:r>
          </w:p>
        </w:tc>
        <w:tc>
          <w:tcPr>
            <w:tcW w:w="1370" w:type="dxa"/>
            <w:noWrap/>
            <w:vAlign w:val="center"/>
            <w:hideMark/>
          </w:tcPr>
          <w:p w14:paraId="2439A9ED" w14:textId="77777777" w:rsidR="00FD2CBB" w:rsidRPr="00DE5EAF" w:rsidRDefault="00FD2CBB">
            <w:pPr>
              <w:spacing w:after="0" w:line="240" w:lineRule="auto"/>
              <w:jc w:val="right"/>
              <w:rPr>
                <w:rFonts w:eastAsia="Times New Roman" w:cs="Calibri"/>
                <w:color w:val="000000"/>
              </w:rPr>
            </w:pPr>
            <w:r>
              <w:rPr>
                <w:rFonts w:cs="Calibri"/>
                <w:color w:val="000000"/>
              </w:rPr>
              <w:t>0</w:t>
            </w:r>
          </w:p>
        </w:tc>
      </w:tr>
      <w:tr w:rsidR="00FD2CBB" w:rsidRPr="00DE5EAF" w14:paraId="63379BDE" w14:textId="77777777" w:rsidTr="00C64A2F">
        <w:trPr>
          <w:trHeight w:val="300"/>
          <w:jc w:val="center"/>
        </w:trPr>
        <w:tc>
          <w:tcPr>
            <w:tcW w:w="3805" w:type="dxa"/>
            <w:noWrap/>
            <w:vAlign w:val="center"/>
            <w:hideMark/>
          </w:tcPr>
          <w:p w14:paraId="430B8953" w14:textId="77777777" w:rsidR="00FD2CBB" w:rsidRPr="00DE5EAF" w:rsidRDefault="00FD2CBB">
            <w:pPr>
              <w:spacing w:after="0" w:line="240" w:lineRule="auto"/>
              <w:rPr>
                <w:rFonts w:eastAsia="Times New Roman" w:cs="Calibri"/>
                <w:color w:val="000000"/>
              </w:rPr>
            </w:pPr>
            <w:r w:rsidRPr="00DE5EAF">
              <w:rPr>
                <w:rFonts w:eastAsia="Times New Roman" w:cs="Calibri"/>
                <w:color w:val="000000"/>
              </w:rPr>
              <w:t>Corrispettivi</w:t>
            </w:r>
          </w:p>
        </w:tc>
        <w:tc>
          <w:tcPr>
            <w:tcW w:w="1370" w:type="dxa"/>
            <w:noWrap/>
            <w:vAlign w:val="center"/>
            <w:hideMark/>
          </w:tcPr>
          <w:p w14:paraId="2CA01CC8" w14:textId="77777777" w:rsidR="00FD2CBB" w:rsidRPr="00DE5EAF" w:rsidRDefault="00FD2CBB">
            <w:pPr>
              <w:spacing w:after="0" w:line="240" w:lineRule="auto"/>
              <w:jc w:val="right"/>
              <w:rPr>
                <w:rFonts w:eastAsia="Times New Roman" w:cs="Calibri"/>
                <w:color w:val="000000"/>
              </w:rPr>
            </w:pPr>
            <w:r>
              <w:rPr>
                <w:rFonts w:cs="Calibri"/>
                <w:color w:val="000000"/>
              </w:rPr>
              <w:t>4.165 €</w:t>
            </w:r>
          </w:p>
        </w:tc>
        <w:tc>
          <w:tcPr>
            <w:tcW w:w="1370" w:type="dxa"/>
            <w:noWrap/>
            <w:vAlign w:val="center"/>
            <w:hideMark/>
          </w:tcPr>
          <w:p w14:paraId="157CE027" w14:textId="77777777" w:rsidR="00FD2CBB" w:rsidRPr="00DE5EAF" w:rsidRDefault="00FD2CBB">
            <w:pPr>
              <w:spacing w:after="0" w:line="240" w:lineRule="auto"/>
              <w:jc w:val="right"/>
              <w:rPr>
                <w:rFonts w:eastAsia="Times New Roman" w:cs="Calibri"/>
                <w:color w:val="000000"/>
              </w:rPr>
            </w:pPr>
            <w:r>
              <w:rPr>
                <w:rFonts w:cs="Calibri"/>
                <w:color w:val="000000"/>
              </w:rPr>
              <w:t>5.382 €</w:t>
            </w:r>
          </w:p>
        </w:tc>
        <w:tc>
          <w:tcPr>
            <w:tcW w:w="1370" w:type="dxa"/>
            <w:noWrap/>
            <w:vAlign w:val="center"/>
            <w:hideMark/>
          </w:tcPr>
          <w:p w14:paraId="72AFF42F" w14:textId="77777777" w:rsidR="00FD2CBB" w:rsidRPr="00DE5EAF" w:rsidRDefault="00FD2CBB">
            <w:pPr>
              <w:spacing w:after="0" w:line="240" w:lineRule="auto"/>
              <w:jc w:val="right"/>
              <w:rPr>
                <w:rFonts w:eastAsia="Times New Roman" w:cs="Calibri"/>
                <w:color w:val="000000"/>
              </w:rPr>
            </w:pPr>
            <w:r>
              <w:rPr>
                <w:rFonts w:cs="Calibri"/>
                <w:color w:val="000000"/>
              </w:rPr>
              <w:t>5.382 €</w:t>
            </w:r>
          </w:p>
        </w:tc>
      </w:tr>
      <w:tr w:rsidR="00FD2CBB" w:rsidRPr="00DE5EAF" w14:paraId="06708CD7" w14:textId="77777777" w:rsidTr="00C64A2F">
        <w:trPr>
          <w:trHeight w:val="300"/>
          <w:jc w:val="center"/>
        </w:trPr>
        <w:tc>
          <w:tcPr>
            <w:tcW w:w="3805" w:type="dxa"/>
            <w:noWrap/>
            <w:vAlign w:val="center"/>
            <w:hideMark/>
          </w:tcPr>
          <w:p w14:paraId="676389F5" w14:textId="77777777" w:rsidR="00FD2CBB" w:rsidRPr="00DE5EAF" w:rsidRDefault="00FD2CBB">
            <w:pPr>
              <w:spacing w:after="0" w:line="240" w:lineRule="auto"/>
              <w:rPr>
                <w:rFonts w:eastAsia="Times New Roman" w:cs="Calibri"/>
                <w:color w:val="000000"/>
              </w:rPr>
            </w:pPr>
            <w:r w:rsidRPr="00DE5EAF">
              <w:rPr>
                <w:rFonts w:eastAsia="Times New Roman" w:cs="Calibri"/>
                <w:color w:val="000000"/>
              </w:rPr>
              <w:t>Costo Infrastruttura</w:t>
            </w:r>
          </w:p>
        </w:tc>
        <w:tc>
          <w:tcPr>
            <w:tcW w:w="1370" w:type="dxa"/>
            <w:noWrap/>
            <w:vAlign w:val="center"/>
            <w:hideMark/>
          </w:tcPr>
          <w:p w14:paraId="70B074EF" w14:textId="77777777" w:rsidR="00FD2CBB" w:rsidRPr="00DE5EAF" w:rsidRDefault="00FD2CBB">
            <w:pPr>
              <w:spacing w:after="0" w:line="240" w:lineRule="auto"/>
              <w:jc w:val="right"/>
              <w:rPr>
                <w:rFonts w:eastAsia="Times New Roman" w:cs="Calibri"/>
                <w:color w:val="000000"/>
              </w:rPr>
            </w:pPr>
            <w:r>
              <w:rPr>
                <w:rFonts w:cs="Calibri"/>
                <w:color w:val="000000"/>
              </w:rPr>
              <w:t>0</w:t>
            </w:r>
          </w:p>
        </w:tc>
        <w:tc>
          <w:tcPr>
            <w:tcW w:w="1370" w:type="dxa"/>
            <w:noWrap/>
            <w:vAlign w:val="center"/>
            <w:hideMark/>
          </w:tcPr>
          <w:p w14:paraId="3C82FB79" w14:textId="77777777" w:rsidR="00FD2CBB" w:rsidRPr="00DE5EAF" w:rsidRDefault="00FD2CBB">
            <w:pPr>
              <w:spacing w:after="0" w:line="240" w:lineRule="auto"/>
              <w:jc w:val="right"/>
              <w:rPr>
                <w:rFonts w:eastAsia="Times New Roman" w:cs="Calibri"/>
                <w:color w:val="000000"/>
              </w:rPr>
            </w:pPr>
            <w:r>
              <w:rPr>
                <w:rFonts w:cs="Calibri"/>
                <w:color w:val="000000"/>
              </w:rPr>
              <w:t>0</w:t>
            </w:r>
          </w:p>
        </w:tc>
        <w:tc>
          <w:tcPr>
            <w:tcW w:w="1370" w:type="dxa"/>
            <w:noWrap/>
            <w:vAlign w:val="center"/>
            <w:hideMark/>
          </w:tcPr>
          <w:p w14:paraId="07F6142C" w14:textId="77777777" w:rsidR="00FD2CBB" w:rsidRPr="00DE5EAF" w:rsidRDefault="00FD2CBB">
            <w:pPr>
              <w:spacing w:after="0" w:line="240" w:lineRule="auto"/>
              <w:jc w:val="right"/>
              <w:rPr>
                <w:rFonts w:eastAsia="Times New Roman" w:cs="Calibri"/>
                <w:color w:val="000000"/>
              </w:rPr>
            </w:pPr>
            <w:r>
              <w:rPr>
                <w:rFonts w:cs="Calibri"/>
                <w:color w:val="000000"/>
              </w:rPr>
              <w:t>0</w:t>
            </w:r>
          </w:p>
        </w:tc>
      </w:tr>
      <w:tr w:rsidR="00FD2CBB" w:rsidRPr="00DE5EAF" w14:paraId="0F244786" w14:textId="77777777" w:rsidTr="00C64A2F">
        <w:trPr>
          <w:trHeight w:val="300"/>
          <w:jc w:val="center"/>
        </w:trPr>
        <w:tc>
          <w:tcPr>
            <w:tcW w:w="3805" w:type="dxa"/>
            <w:noWrap/>
            <w:vAlign w:val="center"/>
            <w:hideMark/>
          </w:tcPr>
          <w:p w14:paraId="26D7D811" w14:textId="77777777" w:rsidR="00FD2CBB" w:rsidRPr="00DE5EAF" w:rsidRDefault="00FD2CBB">
            <w:pPr>
              <w:spacing w:after="0" w:line="240" w:lineRule="auto"/>
              <w:rPr>
                <w:rFonts w:eastAsia="Times New Roman" w:cs="Calibri"/>
                <w:color w:val="000000"/>
              </w:rPr>
            </w:pPr>
            <w:r w:rsidRPr="00DE5EAF">
              <w:rPr>
                <w:rFonts w:eastAsia="Times New Roman" w:cs="Calibri"/>
                <w:color w:val="000000"/>
              </w:rPr>
              <w:t>Passeggeri trasportati</w:t>
            </w:r>
          </w:p>
        </w:tc>
        <w:tc>
          <w:tcPr>
            <w:tcW w:w="1370" w:type="dxa"/>
            <w:noWrap/>
            <w:vAlign w:val="center"/>
            <w:hideMark/>
          </w:tcPr>
          <w:p w14:paraId="4188D459" w14:textId="77777777" w:rsidR="00FD2CBB" w:rsidRPr="00DE5EAF" w:rsidRDefault="00FD2CBB">
            <w:pPr>
              <w:spacing w:after="0" w:line="240" w:lineRule="auto"/>
              <w:jc w:val="right"/>
              <w:rPr>
                <w:rFonts w:eastAsia="Times New Roman" w:cs="Calibri"/>
                <w:color w:val="000000"/>
              </w:rPr>
            </w:pPr>
            <w:r>
              <w:rPr>
                <w:rFonts w:cs="Calibri"/>
                <w:color w:val="000000"/>
              </w:rPr>
              <w:t>9800</w:t>
            </w:r>
          </w:p>
        </w:tc>
        <w:tc>
          <w:tcPr>
            <w:tcW w:w="1370" w:type="dxa"/>
            <w:noWrap/>
            <w:vAlign w:val="center"/>
            <w:hideMark/>
          </w:tcPr>
          <w:p w14:paraId="394741CF" w14:textId="77777777" w:rsidR="00FD2CBB" w:rsidRPr="00DE5EAF" w:rsidRDefault="00FD2CBB">
            <w:pPr>
              <w:spacing w:after="0" w:line="240" w:lineRule="auto"/>
              <w:jc w:val="right"/>
              <w:rPr>
                <w:rFonts w:eastAsia="Times New Roman" w:cs="Calibri"/>
                <w:color w:val="000000"/>
              </w:rPr>
            </w:pPr>
            <w:r>
              <w:rPr>
                <w:rFonts w:cs="Calibri"/>
                <w:color w:val="000000"/>
              </w:rPr>
              <w:t>5700</w:t>
            </w:r>
          </w:p>
        </w:tc>
        <w:tc>
          <w:tcPr>
            <w:tcW w:w="1370" w:type="dxa"/>
            <w:noWrap/>
            <w:vAlign w:val="center"/>
            <w:hideMark/>
          </w:tcPr>
          <w:p w14:paraId="7DB4761E" w14:textId="77777777" w:rsidR="00FD2CBB" w:rsidRPr="00DE5EAF" w:rsidRDefault="00FD2CBB">
            <w:pPr>
              <w:spacing w:after="0" w:line="240" w:lineRule="auto"/>
              <w:jc w:val="right"/>
              <w:rPr>
                <w:rFonts w:eastAsia="Times New Roman" w:cs="Calibri"/>
                <w:color w:val="000000"/>
              </w:rPr>
            </w:pPr>
            <w:r>
              <w:rPr>
                <w:rFonts w:cs="Calibri"/>
                <w:color w:val="000000"/>
              </w:rPr>
              <w:t>5700</w:t>
            </w:r>
          </w:p>
        </w:tc>
      </w:tr>
      <w:tr w:rsidR="00FD2CBB" w:rsidRPr="00DE5EAF" w14:paraId="6836840A" w14:textId="77777777" w:rsidTr="00C64A2F">
        <w:trPr>
          <w:trHeight w:val="300"/>
          <w:jc w:val="center"/>
        </w:trPr>
        <w:tc>
          <w:tcPr>
            <w:tcW w:w="3805" w:type="dxa"/>
            <w:noWrap/>
            <w:vAlign w:val="center"/>
            <w:hideMark/>
          </w:tcPr>
          <w:p w14:paraId="7DD8A56F" w14:textId="77777777" w:rsidR="00FD2CBB" w:rsidRPr="00DE5EAF" w:rsidRDefault="00FD2CBB">
            <w:pPr>
              <w:spacing w:after="0" w:line="240" w:lineRule="auto"/>
              <w:rPr>
                <w:rFonts w:eastAsia="Times New Roman" w:cs="Calibri"/>
                <w:color w:val="000000"/>
              </w:rPr>
            </w:pPr>
            <w:r w:rsidRPr="00DE5EAF">
              <w:rPr>
                <w:rFonts w:eastAsia="Times New Roman" w:cs="Calibri"/>
                <w:color w:val="000000"/>
              </w:rPr>
              <w:t>Addetti</w:t>
            </w:r>
          </w:p>
        </w:tc>
        <w:tc>
          <w:tcPr>
            <w:tcW w:w="1370" w:type="dxa"/>
            <w:noWrap/>
            <w:vAlign w:val="center"/>
            <w:hideMark/>
          </w:tcPr>
          <w:p w14:paraId="7B4F97A5" w14:textId="77777777" w:rsidR="00FD2CBB" w:rsidRPr="00DE5EAF" w:rsidRDefault="00FD2CBB">
            <w:pPr>
              <w:spacing w:after="0" w:line="240" w:lineRule="auto"/>
              <w:jc w:val="right"/>
              <w:rPr>
                <w:rFonts w:eastAsia="Times New Roman" w:cs="Calibri"/>
                <w:color w:val="000000"/>
              </w:rPr>
            </w:pPr>
            <w:r>
              <w:rPr>
                <w:rFonts w:cs="Calibri"/>
                <w:color w:val="000000"/>
              </w:rPr>
              <w:t>5</w:t>
            </w:r>
          </w:p>
        </w:tc>
        <w:tc>
          <w:tcPr>
            <w:tcW w:w="1370" w:type="dxa"/>
            <w:noWrap/>
            <w:vAlign w:val="center"/>
            <w:hideMark/>
          </w:tcPr>
          <w:p w14:paraId="37798CC1" w14:textId="77777777" w:rsidR="00FD2CBB" w:rsidRPr="00DE5EAF" w:rsidRDefault="00FD2CBB">
            <w:pPr>
              <w:spacing w:after="0" w:line="240" w:lineRule="auto"/>
              <w:jc w:val="right"/>
              <w:rPr>
                <w:rFonts w:eastAsia="Times New Roman" w:cs="Calibri"/>
                <w:color w:val="000000"/>
              </w:rPr>
            </w:pPr>
            <w:r>
              <w:rPr>
                <w:rFonts w:cs="Calibri"/>
                <w:color w:val="000000"/>
              </w:rPr>
              <w:t>5</w:t>
            </w:r>
          </w:p>
        </w:tc>
        <w:tc>
          <w:tcPr>
            <w:tcW w:w="1370" w:type="dxa"/>
            <w:noWrap/>
            <w:vAlign w:val="center"/>
            <w:hideMark/>
          </w:tcPr>
          <w:p w14:paraId="4D198CAC" w14:textId="77777777" w:rsidR="00FD2CBB" w:rsidRPr="00DE5EAF" w:rsidRDefault="00FD2CBB">
            <w:pPr>
              <w:spacing w:after="0" w:line="240" w:lineRule="auto"/>
              <w:jc w:val="right"/>
              <w:rPr>
                <w:rFonts w:eastAsia="Times New Roman" w:cs="Calibri"/>
                <w:color w:val="000000"/>
              </w:rPr>
            </w:pPr>
            <w:r>
              <w:rPr>
                <w:rFonts w:cs="Calibri"/>
                <w:color w:val="000000"/>
              </w:rPr>
              <w:t>5</w:t>
            </w:r>
          </w:p>
        </w:tc>
      </w:tr>
      <w:tr w:rsidR="00FD2CBB" w:rsidRPr="00DE5EAF" w14:paraId="0FA8ED36" w14:textId="77777777" w:rsidTr="00C64A2F">
        <w:trPr>
          <w:trHeight w:val="300"/>
          <w:jc w:val="center"/>
        </w:trPr>
        <w:tc>
          <w:tcPr>
            <w:tcW w:w="3805" w:type="dxa"/>
            <w:noWrap/>
            <w:vAlign w:val="center"/>
            <w:hideMark/>
          </w:tcPr>
          <w:p w14:paraId="0E746082" w14:textId="77777777" w:rsidR="00FD2CBB" w:rsidRPr="00DE5EAF" w:rsidRDefault="00FD2CBB">
            <w:pPr>
              <w:spacing w:after="0" w:line="240" w:lineRule="auto"/>
              <w:rPr>
                <w:rFonts w:eastAsia="Times New Roman" w:cs="Calibri"/>
                <w:color w:val="000000"/>
              </w:rPr>
            </w:pPr>
            <w:r w:rsidRPr="00DE5EAF">
              <w:rPr>
                <w:rFonts w:eastAsia="Times New Roman" w:cs="Calibri"/>
                <w:color w:val="000000"/>
              </w:rPr>
              <w:t>Contributi CCNL</w:t>
            </w:r>
          </w:p>
        </w:tc>
        <w:tc>
          <w:tcPr>
            <w:tcW w:w="1370" w:type="dxa"/>
            <w:noWrap/>
            <w:vAlign w:val="center"/>
            <w:hideMark/>
          </w:tcPr>
          <w:p w14:paraId="21A70BC8" w14:textId="77777777" w:rsidR="00FD2CBB" w:rsidRPr="00DE5EAF" w:rsidRDefault="00FD2CBB">
            <w:pPr>
              <w:spacing w:after="0" w:line="240" w:lineRule="auto"/>
              <w:jc w:val="right"/>
              <w:rPr>
                <w:rFonts w:eastAsia="Times New Roman" w:cs="Calibri"/>
                <w:color w:val="000000"/>
              </w:rPr>
            </w:pPr>
            <w:r>
              <w:rPr>
                <w:rFonts w:cs="Calibri"/>
                <w:color w:val="000000"/>
              </w:rPr>
              <w:t>0</w:t>
            </w:r>
          </w:p>
        </w:tc>
        <w:tc>
          <w:tcPr>
            <w:tcW w:w="1370" w:type="dxa"/>
            <w:noWrap/>
            <w:vAlign w:val="center"/>
            <w:hideMark/>
          </w:tcPr>
          <w:p w14:paraId="207BC61C" w14:textId="77777777" w:rsidR="00FD2CBB" w:rsidRPr="00DE5EAF" w:rsidRDefault="00FD2CBB">
            <w:pPr>
              <w:spacing w:after="0" w:line="240" w:lineRule="auto"/>
              <w:jc w:val="right"/>
              <w:rPr>
                <w:rFonts w:eastAsia="Times New Roman" w:cs="Calibri"/>
                <w:color w:val="000000"/>
              </w:rPr>
            </w:pPr>
            <w:r>
              <w:rPr>
                <w:rFonts w:cs="Calibri"/>
                <w:color w:val="000000"/>
              </w:rPr>
              <w:t>0</w:t>
            </w:r>
          </w:p>
        </w:tc>
        <w:tc>
          <w:tcPr>
            <w:tcW w:w="1370" w:type="dxa"/>
            <w:noWrap/>
            <w:vAlign w:val="center"/>
            <w:hideMark/>
          </w:tcPr>
          <w:p w14:paraId="476BDA77" w14:textId="77777777" w:rsidR="00FD2CBB" w:rsidRPr="00DE5EAF" w:rsidRDefault="00FD2CBB">
            <w:pPr>
              <w:spacing w:after="0" w:line="240" w:lineRule="auto"/>
              <w:jc w:val="right"/>
              <w:rPr>
                <w:rFonts w:eastAsia="Times New Roman" w:cs="Calibri"/>
                <w:color w:val="000000"/>
              </w:rPr>
            </w:pPr>
            <w:r>
              <w:rPr>
                <w:rFonts w:cs="Calibri"/>
                <w:color w:val="000000"/>
              </w:rPr>
              <w:t>0</w:t>
            </w:r>
          </w:p>
        </w:tc>
      </w:tr>
      <w:tr w:rsidR="00FD2CBB" w:rsidRPr="00DE5EAF" w14:paraId="5E94904B" w14:textId="77777777" w:rsidTr="00C64A2F">
        <w:trPr>
          <w:trHeight w:val="300"/>
          <w:jc w:val="center"/>
        </w:trPr>
        <w:tc>
          <w:tcPr>
            <w:tcW w:w="7915" w:type="dxa"/>
            <w:gridSpan w:val="4"/>
            <w:shd w:val="clear" w:color="000000" w:fill="FF7C80"/>
            <w:vAlign w:val="center"/>
            <w:hideMark/>
          </w:tcPr>
          <w:p w14:paraId="5EA0EC42" w14:textId="77777777" w:rsidR="00FD2CBB" w:rsidRPr="00DE5EAF" w:rsidRDefault="00FD2CBB">
            <w:pPr>
              <w:spacing w:after="0" w:line="240" w:lineRule="auto"/>
              <w:jc w:val="left"/>
              <w:rPr>
                <w:rFonts w:eastAsia="Times New Roman" w:cs="Calibri"/>
                <w:b/>
                <w:color w:val="000000"/>
              </w:rPr>
            </w:pPr>
            <w:r w:rsidRPr="00DE5EAF">
              <w:rPr>
                <w:rFonts w:eastAsia="Times New Roman" w:cs="Calibri"/>
                <w:b/>
                <w:color w:val="000000"/>
              </w:rPr>
              <w:t>UNIONE MONTANA VAL DI SUSA</w:t>
            </w:r>
          </w:p>
        </w:tc>
      </w:tr>
      <w:tr w:rsidR="00FD2CBB" w:rsidRPr="00DE5EAF" w14:paraId="2B2A9F6D" w14:textId="77777777" w:rsidTr="00C64A2F">
        <w:trPr>
          <w:trHeight w:val="300"/>
          <w:jc w:val="center"/>
        </w:trPr>
        <w:tc>
          <w:tcPr>
            <w:tcW w:w="3805" w:type="dxa"/>
            <w:noWrap/>
            <w:vAlign w:val="center"/>
            <w:hideMark/>
          </w:tcPr>
          <w:p w14:paraId="047071CE" w14:textId="77777777" w:rsidR="00FD2CBB" w:rsidRPr="00DE5EAF" w:rsidRDefault="00FD2CBB">
            <w:pPr>
              <w:spacing w:after="0" w:line="240" w:lineRule="auto"/>
              <w:rPr>
                <w:rFonts w:eastAsia="Times New Roman" w:cs="Calibri"/>
                <w:color w:val="000000"/>
              </w:rPr>
            </w:pPr>
            <w:r w:rsidRPr="00DE5EAF">
              <w:rPr>
                <w:rFonts w:eastAsia="Times New Roman" w:cs="Calibri"/>
                <w:color w:val="000000"/>
              </w:rPr>
              <w:t>Produzione chilometrica</w:t>
            </w:r>
          </w:p>
        </w:tc>
        <w:tc>
          <w:tcPr>
            <w:tcW w:w="1370" w:type="dxa"/>
            <w:noWrap/>
            <w:vAlign w:val="center"/>
            <w:hideMark/>
          </w:tcPr>
          <w:p w14:paraId="68CA962B" w14:textId="77777777" w:rsidR="00FD2CBB" w:rsidRPr="00DE5EAF" w:rsidRDefault="00FD2CBB">
            <w:pPr>
              <w:spacing w:after="0" w:line="240" w:lineRule="auto"/>
              <w:jc w:val="right"/>
              <w:rPr>
                <w:rFonts w:eastAsia="Times New Roman" w:cs="Calibri"/>
                <w:color w:val="000000"/>
              </w:rPr>
            </w:pPr>
            <w:r>
              <w:rPr>
                <w:rFonts w:cs="Calibri"/>
                <w:color w:val="000000"/>
              </w:rPr>
              <w:t>19.772</w:t>
            </w:r>
          </w:p>
        </w:tc>
        <w:tc>
          <w:tcPr>
            <w:tcW w:w="1370" w:type="dxa"/>
            <w:noWrap/>
            <w:vAlign w:val="center"/>
            <w:hideMark/>
          </w:tcPr>
          <w:p w14:paraId="3EEFE183" w14:textId="77777777" w:rsidR="00FD2CBB" w:rsidRPr="00DE5EAF" w:rsidRDefault="00FD2CBB">
            <w:pPr>
              <w:spacing w:after="0" w:line="240" w:lineRule="auto"/>
              <w:jc w:val="right"/>
              <w:rPr>
                <w:rFonts w:eastAsia="Times New Roman" w:cs="Calibri"/>
                <w:color w:val="000000"/>
              </w:rPr>
            </w:pPr>
            <w:r>
              <w:rPr>
                <w:rFonts w:cs="Calibri"/>
                <w:color w:val="000000"/>
              </w:rPr>
              <w:t>19.772</w:t>
            </w:r>
          </w:p>
        </w:tc>
        <w:tc>
          <w:tcPr>
            <w:tcW w:w="1370" w:type="dxa"/>
            <w:noWrap/>
            <w:vAlign w:val="center"/>
            <w:hideMark/>
          </w:tcPr>
          <w:p w14:paraId="13AB3C07" w14:textId="77777777" w:rsidR="00FD2CBB" w:rsidRPr="00DE5EAF" w:rsidRDefault="00FD2CBB">
            <w:pPr>
              <w:spacing w:after="0" w:line="240" w:lineRule="auto"/>
              <w:jc w:val="right"/>
              <w:rPr>
                <w:rFonts w:eastAsia="Times New Roman" w:cs="Calibri"/>
                <w:color w:val="000000"/>
              </w:rPr>
            </w:pPr>
            <w:r>
              <w:rPr>
                <w:rFonts w:cs="Calibri"/>
                <w:color w:val="000000"/>
              </w:rPr>
              <w:t>19.772</w:t>
            </w:r>
          </w:p>
        </w:tc>
      </w:tr>
      <w:tr w:rsidR="00FD2CBB" w:rsidRPr="00DE5EAF" w14:paraId="426EF267" w14:textId="77777777" w:rsidTr="00C64A2F">
        <w:trPr>
          <w:trHeight w:val="300"/>
          <w:jc w:val="center"/>
        </w:trPr>
        <w:tc>
          <w:tcPr>
            <w:tcW w:w="3805" w:type="dxa"/>
            <w:noWrap/>
            <w:vAlign w:val="center"/>
            <w:hideMark/>
          </w:tcPr>
          <w:p w14:paraId="1D32EBFF" w14:textId="77777777" w:rsidR="00FD2CBB" w:rsidRPr="00DE5EAF" w:rsidRDefault="00FD2CBB">
            <w:pPr>
              <w:spacing w:after="0" w:line="240" w:lineRule="auto"/>
              <w:rPr>
                <w:rFonts w:eastAsia="Times New Roman" w:cs="Calibri"/>
                <w:color w:val="000000"/>
              </w:rPr>
            </w:pPr>
            <w:r w:rsidRPr="00DE5EAF">
              <w:rPr>
                <w:rFonts w:eastAsia="Times New Roman" w:cs="Calibri"/>
                <w:color w:val="000000"/>
              </w:rPr>
              <w:t>Ricavi totali</w:t>
            </w:r>
          </w:p>
        </w:tc>
        <w:tc>
          <w:tcPr>
            <w:tcW w:w="1370" w:type="dxa"/>
            <w:noWrap/>
            <w:vAlign w:val="center"/>
            <w:hideMark/>
          </w:tcPr>
          <w:p w14:paraId="45944F7B" w14:textId="77777777" w:rsidR="00FD2CBB" w:rsidRPr="00DE5EAF" w:rsidRDefault="00FD2CBB">
            <w:pPr>
              <w:spacing w:after="0" w:line="240" w:lineRule="auto"/>
              <w:jc w:val="right"/>
              <w:rPr>
                <w:rFonts w:eastAsia="Times New Roman" w:cs="Calibri"/>
                <w:color w:val="000000"/>
              </w:rPr>
            </w:pPr>
            <w:r>
              <w:rPr>
                <w:rFonts w:cs="Calibri"/>
                <w:color w:val="000000"/>
              </w:rPr>
              <w:t>10180</w:t>
            </w:r>
          </w:p>
        </w:tc>
        <w:tc>
          <w:tcPr>
            <w:tcW w:w="1370" w:type="dxa"/>
            <w:noWrap/>
            <w:vAlign w:val="center"/>
            <w:hideMark/>
          </w:tcPr>
          <w:p w14:paraId="65BA0436" w14:textId="77777777" w:rsidR="00FD2CBB" w:rsidRPr="00DE5EAF" w:rsidRDefault="00FD2CBB">
            <w:pPr>
              <w:spacing w:after="0" w:line="240" w:lineRule="auto"/>
              <w:jc w:val="right"/>
              <w:rPr>
                <w:rFonts w:eastAsia="Times New Roman" w:cs="Calibri"/>
                <w:color w:val="000000"/>
              </w:rPr>
            </w:pPr>
            <w:r>
              <w:rPr>
                <w:rFonts w:cs="Calibri"/>
                <w:color w:val="000000"/>
              </w:rPr>
              <w:t>9700</w:t>
            </w:r>
          </w:p>
        </w:tc>
        <w:tc>
          <w:tcPr>
            <w:tcW w:w="1370" w:type="dxa"/>
            <w:noWrap/>
            <w:vAlign w:val="center"/>
            <w:hideMark/>
          </w:tcPr>
          <w:p w14:paraId="2C40865A" w14:textId="77777777" w:rsidR="00FD2CBB" w:rsidRPr="00DE5EAF" w:rsidRDefault="00FD2CBB">
            <w:pPr>
              <w:spacing w:after="0" w:line="240" w:lineRule="auto"/>
              <w:jc w:val="right"/>
              <w:rPr>
                <w:rFonts w:eastAsia="Times New Roman" w:cs="Calibri"/>
                <w:color w:val="000000"/>
              </w:rPr>
            </w:pPr>
            <w:r>
              <w:rPr>
                <w:rFonts w:cs="Calibri"/>
                <w:color w:val="000000"/>
              </w:rPr>
              <w:t>19455</w:t>
            </w:r>
          </w:p>
        </w:tc>
      </w:tr>
      <w:tr w:rsidR="00FD2CBB" w:rsidRPr="00DE5EAF" w14:paraId="52EA847A" w14:textId="77777777" w:rsidTr="00C64A2F">
        <w:trPr>
          <w:trHeight w:val="300"/>
          <w:jc w:val="center"/>
        </w:trPr>
        <w:tc>
          <w:tcPr>
            <w:tcW w:w="3805" w:type="dxa"/>
            <w:noWrap/>
            <w:vAlign w:val="center"/>
            <w:hideMark/>
          </w:tcPr>
          <w:p w14:paraId="35562CBD" w14:textId="77777777" w:rsidR="00FD2CBB" w:rsidRPr="00DE5EAF" w:rsidRDefault="00FD2CBB">
            <w:pPr>
              <w:spacing w:after="0" w:line="240" w:lineRule="auto"/>
              <w:rPr>
                <w:rFonts w:eastAsia="Times New Roman" w:cs="Calibri"/>
                <w:i/>
                <w:color w:val="000000"/>
              </w:rPr>
            </w:pPr>
            <w:r w:rsidRPr="00DE5EAF">
              <w:rPr>
                <w:rFonts w:eastAsia="Times New Roman" w:cs="Calibri"/>
                <w:i/>
                <w:color w:val="000000"/>
              </w:rPr>
              <w:t xml:space="preserve"> di cui Ricavi da traffico</w:t>
            </w:r>
          </w:p>
        </w:tc>
        <w:tc>
          <w:tcPr>
            <w:tcW w:w="1370" w:type="dxa"/>
            <w:noWrap/>
            <w:vAlign w:val="center"/>
            <w:hideMark/>
          </w:tcPr>
          <w:p w14:paraId="45FF27E6" w14:textId="77777777" w:rsidR="00FD2CBB" w:rsidRPr="00DE5EAF" w:rsidRDefault="00FD2CBB">
            <w:pPr>
              <w:spacing w:after="0" w:line="240" w:lineRule="auto"/>
              <w:jc w:val="right"/>
              <w:rPr>
                <w:rFonts w:eastAsia="Times New Roman" w:cs="Calibri"/>
                <w:color w:val="000000"/>
              </w:rPr>
            </w:pPr>
            <w:r>
              <w:rPr>
                <w:rFonts w:cs="Calibri"/>
                <w:color w:val="000000"/>
              </w:rPr>
              <w:t>10180</w:t>
            </w:r>
          </w:p>
        </w:tc>
        <w:tc>
          <w:tcPr>
            <w:tcW w:w="1370" w:type="dxa"/>
            <w:noWrap/>
            <w:vAlign w:val="center"/>
            <w:hideMark/>
          </w:tcPr>
          <w:p w14:paraId="68AA8934" w14:textId="77777777" w:rsidR="00FD2CBB" w:rsidRPr="00DE5EAF" w:rsidRDefault="00FD2CBB">
            <w:pPr>
              <w:spacing w:after="0" w:line="240" w:lineRule="auto"/>
              <w:jc w:val="right"/>
              <w:rPr>
                <w:rFonts w:eastAsia="Times New Roman" w:cs="Calibri"/>
                <w:color w:val="000000"/>
              </w:rPr>
            </w:pPr>
            <w:r>
              <w:rPr>
                <w:rFonts w:cs="Calibri"/>
                <w:color w:val="000000"/>
              </w:rPr>
              <w:t>9700</w:t>
            </w:r>
          </w:p>
        </w:tc>
        <w:tc>
          <w:tcPr>
            <w:tcW w:w="1370" w:type="dxa"/>
            <w:noWrap/>
            <w:vAlign w:val="center"/>
            <w:hideMark/>
          </w:tcPr>
          <w:p w14:paraId="715E8A3F" w14:textId="77777777" w:rsidR="00FD2CBB" w:rsidRPr="00DE5EAF" w:rsidRDefault="00FD2CBB">
            <w:pPr>
              <w:spacing w:after="0" w:line="240" w:lineRule="auto"/>
              <w:jc w:val="right"/>
              <w:rPr>
                <w:rFonts w:eastAsia="Times New Roman" w:cs="Calibri"/>
                <w:color w:val="000000"/>
              </w:rPr>
            </w:pPr>
            <w:r>
              <w:rPr>
                <w:rFonts w:cs="Calibri"/>
                <w:color w:val="000000"/>
              </w:rPr>
              <w:t>19455</w:t>
            </w:r>
          </w:p>
        </w:tc>
      </w:tr>
      <w:tr w:rsidR="00FD2CBB" w:rsidRPr="00DE5EAF" w14:paraId="0F480E8C" w14:textId="77777777" w:rsidTr="00C64A2F">
        <w:trPr>
          <w:trHeight w:val="300"/>
          <w:jc w:val="center"/>
        </w:trPr>
        <w:tc>
          <w:tcPr>
            <w:tcW w:w="3805" w:type="dxa"/>
            <w:noWrap/>
            <w:vAlign w:val="center"/>
            <w:hideMark/>
          </w:tcPr>
          <w:p w14:paraId="09E92440" w14:textId="77777777" w:rsidR="00FD2CBB" w:rsidRPr="00DE5EAF" w:rsidRDefault="00FD2CBB">
            <w:pPr>
              <w:spacing w:after="0" w:line="240" w:lineRule="auto"/>
              <w:rPr>
                <w:rFonts w:eastAsia="Times New Roman" w:cs="Calibri"/>
                <w:color w:val="000000"/>
              </w:rPr>
            </w:pPr>
            <w:r w:rsidRPr="00DE5EAF">
              <w:rPr>
                <w:rFonts w:eastAsia="Times New Roman" w:cs="Calibri"/>
                <w:color w:val="000000"/>
              </w:rPr>
              <w:t>Corrispettivi</w:t>
            </w:r>
          </w:p>
        </w:tc>
        <w:tc>
          <w:tcPr>
            <w:tcW w:w="1370" w:type="dxa"/>
            <w:noWrap/>
            <w:vAlign w:val="center"/>
            <w:hideMark/>
          </w:tcPr>
          <w:p w14:paraId="50205C41" w14:textId="77777777" w:rsidR="00FD2CBB" w:rsidRPr="00DE5EAF" w:rsidRDefault="00FD2CBB">
            <w:pPr>
              <w:spacing w:after="0" w:line="240" w:lineRule="auto"/>
              <w:jc w:val="right"/>
              <w:rPr>
                <w:rFonts w:eastAsia="Times New Roman" w:cs="Calibri"/>
                <w:color w:val="000000"/>
              </w:rPr>
            </w:pPr>
            <w:r>
              <w:rPr>
                <w:rFonts w:cs="Calibri"/>
                <w:color w:val="000000"/>
              </w:rPr>
              <w:t>10.180 €</w:t>
            </w:r>
          </w:p>
        </w:tc>
        <w:tc>
          <w:tcPr>
            <w:tcW w:w="1370" w:type="dxa"/>
            <w:noWrap/>
            <w:vAlign w:val="center"/>
            <w:hideMark/>
          </w:tcPr>
          <w:p w14:paraId="047FFB84" w14:textId="77777777" w:rsidR="00FD2CBB" w:rsidRPr="00DE5EAF" w:rsidRDefault="00FD2CBB">
            <w:pPr>
              <w:spacing w:after="0" w:line="240" w:lineRule="auto"/>
              <w:jc w:val="right"/>
              <w:rPr>
                <w:rFonts w:eastAsia="Times New Roman" w:cs="Calibri"/>
                <w:color w:val="000000"/>
              </w:rPr>
            </w:pPr>
            <w:r>
              <w:rPr>
                <w:rFonts w:cs="Calibri"/>
                <w:color w:val="000000"/>
              </w:rPr>
              <w:t>9.700 €</w:t>
            </w:r>
          </w:p>
        </w:tc>
        <w:tc>
          <w:tcPr>
            <w:tcW w:w="1370" w:type="dxa"/>
            <w:noWrap/>
            <w:vAlign w:val="center"/>
            <w:hideMark/>
          </w:tcPr>
          <w:p w14:paraId="3CE09886" w14:textId="77777777" w:rsidR="00FD2CBB" w:rsidRPr="00DE5EAF" w:rsidRDefault="00FD2CBB">
            <w:pPr>
              <w:spacing w:after="0" w:line="240" w:lineRule="auto"/>
              <w:jc w:val="right"/>
              <w:rPr>
                <w:rFonts w:eastAsia="Times New Roman" w:cs="Calibri"/>
                <w:color w:val="000000"/>
              </w:rPr>
            </w:pPr>
            <w:r>
              <w:rPr>
                <w:rFonts w:cs="Calibri"/>
                <w:color w:val="000000"/>
              </w:rPr>
              <w:t>19.455 €</w:t>
            </w:r>
          </w:p>
        </w:tc>
      </w:tr>
      <w:tr w:rsidR="00FD2CBB" w:rsidRPr="00DE5EAF" w14:paraId="7303A812" w14:textId="77777777" w:rsidTr="00C64A2F">
        <w:trPr>
          <w:trHeight w:val="300"/>
          <w:jc w:val="center"/>
        </w:trPr>
        <w:tc>
          <w:tcPr>
            <w:tcW w:w="3805" w:type="dxa"/>
            <w:noWrap/>
            <w:vAlign w:val="center"/>
            <w:hideMark/>
          </w:tcPr>
          <w:p w14:paraId="5A62B75F" w14:textId="77777777" w:rsidR="00FD2CBB" w:rsidRPr="00DE5EAF" w:rsidRDefault="00FD2CBB">
            <w:pPr>
              <w:spacing w:after="0" w:line="240" w:lineRule="auto"/>
              <w:rPr>
                <w:rFonts w:eastAsia="Times New Roman" w:cs="Calibri"/>
                <w:color w:val="000000"/>
              </w:rPr>
            </w:pPr>
            <w:r w:rsidRPr="00DE5EAF">
              <w:rPr>
                <w:rFonts w:eastAsia="Times New Roman" w:cs="Calibri"/>
                <w:color w:val="000000"/>
              </w:rPr>
              <w:t>Costo Infrastruttura</w:t>
            </w:r>
          </w:p>
        </w:tc>
        <w:tc>
          <w:tcPr>
            <w:tcW w:w="1370" w:type="dxa"/>
            <w:noWrap/>
            <w:vAlign w:val="center"/>
            <w:hideMark/>
          </w:tcPr>
          <w:p w14:paraId="18219F4A" w14:textId="77777777" w:rsidR="00FD2CBB" w:rsidRPr="00DE5EAF" w:rsidRDefault="00FD2CBB">
            <w:pPr>
              <w:spacing w:after="0" w:line="240" w:lineRule="auto"/>
              <w:jc w:val="right"/>
              <w:rPr>
                <w:rFonts w:eastAsia="Times New Roman" w:cs="Calibri"/>
                <w:color w:val="000000"/>
              </w:rPr>
            </w:pPr>
            <w:r>
              <w:rPr>
                <w:rFonts w:cs="Calibri"/>
                <w:color w:val="000000"/>
              </w:rPr>
              <w:t>0</w:t>
            </w:r>
          </w:p>
        </w:tc>
        <w:tc>
          <w:tcPr>
            <w:tcW w:w="1370" w:type="dxa"/>
            <w:noWrap/>
            <w:vAlign w:val="center"/>
            <w:hideMark/>
          </w:tcPr>
          <w:p w14:paraId="5CE8A350" w14:textId="77777777" w:rsidR="00FD2CBB" w:rsidRPr="00DE5EAF" w:rsidRDefault="00FD2CBB">
            <w:pPr>
              <w:spacing w:after="0" w:line="240" w:lineRule="auto"/>
              <w:jc w:val="right"/>
              <w:rPr>
                <w:rFonts w:eastAsia="Times New Roman" w:cs="Calibri"/>
                <w:color w:val="000000"/>
              </w:rPr>
            </w:pPr>
            <w:r>
              <w:rPr>
                <w:rFonts w:cs="Calibri"/>
                <w:color w:val="000000"/>
              </w:rPr>
              <w:t>0</w:t>
            </w:r>
          </w:p>
        </w:tc>
        <w:tc>
          <w:tcPr>
            <w:tcW w:w="1370" w:type="dxa"/>
            <w:noWrap/>
            <w:vAlign w:val="center"/>
            <w:hideMark/>
          </w:tcPr>
          <w:p w14:paraId="63CE0E33" w14:textId="77777777" w:rsidR="00FD2CBB" w:rsidRPr="00DE5EAF" w:rsidRDefault="00FD2CBB">
            <w:pPr>
              <w:spacing w:after="0" w:line="240" w:lineRule="auto"/>
              <w:jc w:val="right"/>
              <w:rPr>
                <w:rFonts w:eastAsia="Times New Roman" w:cs="Calibri"/>
                <w:color w:val="000000"/>
              </w:rPr>
            </w:pPr>
            <w:r>
              <w:rPr>
                <w:rFonts w:cs="Calibri"/>
                <w:color w:val="000000"/>
              </w:rPr>
              <w:t>0</w:t>
            </w:r>
          </w:p>
        </w:tc>
      </w:tr>
      <w:tr w:rsidR="00FD2CBB" w:rsidRPr="00DE5EAF" w14:paraId="0126CE85" w14:textId="77777777" w:rsidTr="00C64A2F">
        <w:trPr>
          <w:trHeight w:val="300"/>
          <w:jc w:val="center"/>
        </w:trPr>
        <w:tc>
          <w:tcPr>
            <w:tcW w:w="3805" w:type="dxa"/>
            <w:noWrap/>
            <w:vAlign w:val="center"/>
            <w:hideMark/>
          </w:tcPr>
          <w:p w14:paraId="6E53A9CE" w14:textId="77777777" w:rsidR="00FD2CBB" w:rsidRPr="00DE5EAF" w:rsidRDefault="00FD2CBB">
            <w:pPr>
              <w:spacing w:after="0" w:line="240" w:lineRule="auto"/>
              <w:rPr>
                <w:rFonts w:eastAsia="Times New Roman" w:cs="Calibri"/>
                <w:color w:val="000000"/>
              </w:rPr>
            </w:pPr>
            <w:r w:rsidRPr="00DE5EAF">
              <w:rPr>
                <w:rFonts w:eastAsia="Times New Roman" w:cs="Calibri"/>
                <w:color w:val="000000"/>
              </w:rPr>
              <w:t>Passeggeri trasportati</w:t>
            </w:r>
          </w:p>
        </w:tc>
        <w:tc>
          <w:tcPr>
            <w:tcW w:w="1370" w:type="dxa"/>
            <w:noWrap/>
            <w:vAlign w:val="center"/>
            <w:hideMark/>
          </w:tcPr>
          <w:p w14:paraId="1AA63A00" w14:textId="77777777" w:rsidR="00FD2CBB" w:rsidRPr="00DE5EAF" w:rsidRDefault="00FD2CBB">
            <w:pPr>
              <w:spacing w:after="0" w:line="240" w:lineRule="auto"/>
              <w:jc w:val="right"/>
              <w:rPr>
                <w:rFonts w:eastAsia="Times New Roman" w:cs="Calibri"/>
                <w:color w:val="000000"/>
              </w:rPr>
            </w:pPr>
            <w:r>
              <w:rPr>
                <w:rFonts w:cs="Calibri"/>
                <w:color w:val="000000"/>
              </w:rPr>
              <w:t>3340</w:t>
            </w:r>
          </w:p>
        </w:tc>
        <w:tc>
          <w:tcPr>
            <w:tcW w:w="1370" w:type="dxa"/>
            <w:noWrap/>
            <w:vAlign w:val="center"/>
            <w:hideMark/>
          </w:tcPr>
          <w:p w14:paraId="760BD6B5" w14:textId="77777777" w:rsidR="00FD2CBB" w:rsidRPr="00DE5EAF" w:rsidRDefault="00FD2CBB">
            <w:pPr>
              <w:spacing w:after="0" w:line="240" w:lineRule="auto"/>
              <w:jc w:val="right"/>
              <w:rPr>
                <w:rFonts w:eastAsia="Times New Roman" w:cs="Calibri"/>
                <w:color w:val="000000"/>
              </w:rPr>
            </w:pPr>
            <w:r>
              <w:rPr>
                <w:rFonts w:cs="Calibri"/>
                <w:color w:val="000000"/>
              </w:rPr>
              <w:t>2872</w:t>
            </w:r>
          </w:p>
        </w:tc>
        <w:tc>
          <w:tcPr>
            <w:tcW w:w="1370" w:type="dxa"/>
            <w:noWrap/>
            <w:vAlign w:val="center"/>
            <w:hideMark/>
          </w:tcPr>
          <w:p w14:paraId="3F38CD3F" w14:textId="77777777" w:rsidR="00FD2CBB" w:rsidRPr="00DE5EAF" w:rsidRDefault="00FD2CBB">
            <w:pPr>
              <w:spacing w:after="0" w:line="240" w:lineRule="auto"/>
              <w:jc w:val="right"/>
              <w:rPr>
                <w:rFonts w:eastAsia="Times New Roman" w:cs="Calibri"/>
                <w:color w:val="000000"/>
              </w:rPr>
            </w:pPr>
            <w:r>
              <w:rPr>
                <w:rFonts w:cs="Calibri"/>
                <w:color w:val="000000"/>
              </w:rPr>
              <w:t>4324</w:t>
            </w:r>
          </w:p>
        </w:tc>
      </w:tr>
      <w:tr w:rsidR="00FD2CBB" w:rsidRPr="00DE5EAF" w14:paraId="4A02AC00" w14:textId="77777777" w:rsidTr="00C64A2F">
        <w:trPr>
          <w:trHeight w:val="300"/>
          <w:jc w:val="center"/>
        </w:trPr>
        <w:tc>
          <w:tcPr>
            <w:tcW w:w="3805" w:type="dxa"/>
            <w:noWrap/>
            <w:vAlign w:val="center"/>
            <w:hideMark/>
          </w:tcPr>
          <w:p w14:paraId="48CD759E" w14:textId="77777777" w:rsidR="00FD2CBB" w:rsidRPr="00DE5EAF" w:rsidRDefault="00FD2CBB">
            <w:pPr>
              <w:spacing w:after="0" w:line="240" w:lineRule="auto"/>
              <w:rPr>
                <w:rFonts w:eastAsia="Times New Roman" w:cs="Calibri"/>
                <w:color w:val="000000"/>
              </w:rPr>
            </w:pPr>
            <w:r w:rsidRPr="00DE5EAF">
              <w:rPr>
                <w:rFonts w:eastAsia="Times New Roman" w:cs="Calibri"/>
                <w:color w:val="000000"/>
              </w:rPr>
              <w:t>Addetti</w:t>
            </w:r>
          </w:p>
        </w:tc>
        <w:tc>
          <w:tcPr>
            <w:tcW w:w="1370" w:type="dxa"/>
            <w:noWrap/>
            <w:vAlign w:val="center"/>
            <w:hideMark/>
          </w:tcPr>
          <w:p w14:paraId="0D261C2C" w14:textId="77777777" w:rsidR="00FD2CBB" w:rsidRPr="00DE5EAF" w:rsidRDefault="00FD2CBB">
            <w:pPr>
              <w:spacing w:after="0" w:line="240" w:lineRule="auto"/>
              <w:jc w:val="right"/>
              <w:rPr>
                <w:rFonts w:eastAsia="Times New Roman" w:cs="Calibri"/>
                <w:color w:val="000000"/>
              </w:rPr>
            </w:pPr>
            <w:r>
              <w:rPr>
                <w:rFonts w:cs="Calibri"/>
                <w:color w:val="000000"/>
              </w:rPr>
              <w:t>1</w:t>
            </w:r>
          </w:p>
        </w:tc>
        <w:tc>
          <w:tcPr>
            <w:tcW w:w="1370" w:type="dxa"/>
            <w:noWrap/>
            <w:vAlign w:val="center"/>
            <w:hideMark/>
          </w:tcPr>
          <w:p w14:paraId="0A1386E6" w14:textId="77777777" w:rsidR="00FD2CBB" w:rsidRPr="00DE5EAF" w:rsidRDefault="00FD2CBB">
            <w:pPr>
              <w:spacing w:after="0" w:line="240" w:lineRule="auto"/>
              <w:jc w:val="right"/>
              <w:rPr>
                <w:rFonts w:eastAsia="Times New Roman" w:cs="Calibri"/>
                <w:color w:val="000000"/>
              </w:rPr>
            </w:pPr>
            <w:r>
              <w:rPr>
                <w:rFonts w:cs="Calibri"/>
                <w:color w:val="000000"/>
              </w:rPr>
              <w:t>1</w:t>
            </w:r>
          </w:p>
        </w:tc>
        <w:tc>
          <w:tcPr>
            <w:tcW w:w="1370" w:type="dxa"/>
            <w:noWrap/>
            <w:vAlign w:val="center"/>
            <w:hideMark/>
          </w:tcPr>
          <w:p w14:paraId="2A2AE0E6" w14:textId="77777777" w:rsidR="00FD2CBB" w:rsidRPr="00DE5EAF" w:rsidRDefault="00FD2CBB">
            <w:pPr>
              <w:spacing w:after="0" w:line="240" w:lineRule="auto"/>
              <w:jc w:val="right"/>
              <w:rPr>
                <w:rFonts w:eastAsia="Times New Roman" w:cs="Calibri"/>
                <w:color w:val="000000"/>
              </w:rPr>
            </w:pPr>
            <w:r>
              <w:rPr>
                <w:rFonts w:cs="Calibri"/>
                <w:color w:val="000000"/>
              </w:rPr>
              <w:t>1</w:t>
            </w:r>
          </w:p>
        </w:tc>
      </w:tr>
      <w:tr w:rsidR="00FD2CBB" w:rsidRPr="00DE5EAF" w14:paraId="37038A3F" w14:textId="77777777" w:rsidTr="00C64A2F">
        <w:trPr>
          <w:trHeight w:val="300"/>
          <w:jc w:val="center"/>
        </w:trPr>
        <w:tc>
          <w:tcPr>
            <w:tcW w:w="3805" w:type="dxa"/>
            <w:noWrap/>
            <w:vAlign w:val="center"/>
            <w:hideMark/>
          </w:tcPr>
          <w:p w14:paraId="638D4AAC" w14:textId="77777777" w:rsidR="00FD2CBB" w:rsidRPr="00DE5EAF" w:rsidRDefault="00FD2CBB">
            <w:pPr>
              <w:spacing w:after="0" w:line="240" w:lineRule="auto"/>
              <w:rPr>
                <w:rFonts w:eastAsia="Times New Roman" w:cs="Calibri"/>
                <w:color w:val="000000"/>
              </w:rPr>
            </w:pPr>
            <w:r w:rsidRPr="00DE5EAF">
              <w:rPr>
                <w:rFonts w:eastAsia="Times New Roman" w:cs="Calibri"/>
                <w:color w:val="000000"/>
              </w:rPr>
              <w:t>Contributi CCNL</w:t>
            </w:r>
          </w:p>
        </w:tc>
        <w:tc>
          <w:tcPr>
            <w:tcW w:w="1370" w:type="dxa"/>
            <w:noWrap/>
            <w:vAlign w:val="center"/>
            <w:hideMark/>
          </w:tcPr>
          <w:p w14:paraId="3E769E0C" w14:textId="77777777" w:rsidR="00FD2CBB" w:rsidRPr="00DE5EAF" w:rsidRDefault="00FD2CBB">
            <w:pPr>
              <w:spacing w:after="0" w:line="240" w:lineRule="auto"/>
              <w:jc w:val="right"/>
              <w:rPr>
                <w:rFonts w:eastAsia="Times New Roman" w:cs="Calibri"/>
                <w:color w:val="000000"/>
              </w:rPr>
            </w:pPr>
            <w:r>
              <w:rPr>
                <w:rFonts w:cs="Calibri"/>
                <w:color w:val="000000"/>
              </w:rPr>
              <w:t>0</w:t>
            </w:r>
          </w:p>
        </w:tc>
        <w:tc>
          <w:tcPr>
            <w:tcW w:w="1370" w:type="dxa"/>
            <w:noWrap/>
            <w:vAlign w:val="center"/>
            <w:hideMark/>
          </w:tcPr>
          <w:p w14:paraId="679A0BF9" w14:textId="77777777" w:rsidR="00FD2CBB" w:rsidRPr="00DE5EAF" w:rsidRDefault="00FD2CBB">
            <w:pPr>
              <w:spacing w:after="0" w:line="240" w:lineRule="auto"/>
              <w:jc w:val="right"/>
              <w:rPr>
                <w:rFonts w:eastAsia="Times New Roman" w:cs="Calibri"/>
                <w:color w:val="000000"/>
              </w:rPr>
            </w:pPr>
            <w:r>
              <w:rPr>
                <w:rFonts w:cs="Calibri"/>
                <w:color w:val="000000"/>
              </w:rPr>
              <w:t>0</w:t>
            </w:r>
          </w:p>
        </w:tc>
        <w:tc>
          <w:tcPr>
            <w:tcW w:w="1370" w:type="dxa"/>
            <w:noWrap/>
            <w:vAlign w:val="center"/>
            <w:hideMark/>
          </w:tcPr>
          <w:p w14:paraId="1BCA3297" w14:textId="77777777" w:rsidR="00FD2CBB" w:rsidRPr="00DE5EAF" w:rsidRDefault="00FD2CBB">
            <w:pPr>
              <w:spacing w:after="0" w:line="240" w:lineRule="auto"/>
              <w:jc w:val="right"/>
              <w:rPr>
                <w:rFonts w:eastAsia="Times New Roman" w:cs="Calibri"/>
                <w:color w:val="000000"/>
              </w:rPr>
            </w:pPr>
            <w:r>
              <w:rPr>
                <w:rFonts w:cs="Calibri"/>
                <w:color w:val="000000"/>
              </w:rPr>
              <w:t>0</w:t>
            </w:r>
          </w:p>
        </w:tc>
      </w:tr>
      <w:tr w:rsidR="00FD2CBB" w:rsidRPr="00DE5EAF" w14:paraId="03FE433B" w14:textId="77777777" w:rsidTr="00C64A2F">
        <w:trPr>
          <w:trHeight w:val="442"/>
          <w:jc w:val="center"/>
        </w:trPr>
        <w:tc>
          <w:tcPr>
            <w:tcW w:w="7915" w:type="dxa"/>
            <w:gridSpan w:val="4"/>
            <w:shd w:val="clear" w:color="000000" w:fill="FF7C80"/>
            <w:vAlign w:val="center"/>
            <w:hideMark/>
          </w:tcPr>
          <w:p w14:paraId="1DDB5FFE" w14:textId="77777777" w:rsidR="00FD2CBB" w:rsidRPr="00DE5EAF" w:rsidRDefault="00FD2CBB">
            <w:pPr>
              <w:spacing w:after="0" w:line="240" w:lineRule="auto"/>
              <w:jc w:val="left"/>
              <w:rPr>
                <w:rFonts w:eastAsia="Times New Roman" w:cs="Calibri"/>
                <w:b/>
                <w:color w:val="000000"/>
              </w:rPr>
            </w:pPr>
            <w:r w:rsidRPr="00DE5EAF">
              <w:rPr>
                <w:rFonts w:eastAsia="Times New Roman" w:cs="Calibri"/>
                <w:b/>
                <w:color w:val="000000"/>
              </w:rPr>
              <w:t>UNIONE MONTANA DEI COMUNI DELLE VALLI CHISONE E GERMANASCA</w:t>
            </w:r>
          </w:p>
        </w:tc>
      </w:tr>
      <w:tr w:rsidR="00FD2CBB" w:rsidRPr="00DE5EAF" w14:paraId="57750C06" w14:textId="77777777" w:rsidTr="00C64A2F">
        <w:trPr>
          <w:trHeight w:val="300"/>
          <w:jc w:val="center"/>
        </w:trPr>
        <w:tc>
          <w:tcPr>
            <w:tcW w:w="3805" w:type="dxa"/>
            <w:noWrap/>
            <w:vAlign w:val="center"/>
            <w:hideMark/>
          </w:tcPr>
          <w:p w14:paraId="4C65EB80" w14:textId="77777777" w:rsidR="00FD2CBB" w:rsidRPr="00DE5EAF" w:rsidRDefault="00FD2CBB">
            <w:pPr>
              <w:spacing w:after="0" w:line="240" w:lineRule="auto"/>
              <w:rPr>
                <w:rFonts w:eastAsia="Times New Roman" w:cs="Calibri"/>
                <w:color w:val="000000"/>
              </w:rPr>
            </w:pPr>
            <w:r w:rsidRPr="00DE5EAF">
              <w:rPr>
                <w:rFonts w:eastAsia="Times New Roman" w:cs="Calibri"/>
                <w:color w:val="000000"/>
              </w:rPr>
              <w:t>Produzione chilometrica</w:t>
            </w:r>
          </w:p>
        </w:tc>
        <w:tc>
          <w:tcPr>
            <w:tcW w:w="1370" w:type="dxa"/>
            <w:noWrap/>
            <w:vAlign w:val="center"/>
            <w:hideMark/>
          </w:tcPr>
          <w:p w14:paraId="7D0868C2" w14:textId="5B1DD2A1" w:rsidR="00FD2CBB" w:rsidRPr="00DE5EAF" w:rsidRDefault="00C64A2F">
            <w:pPr>
              <w:spacing w:after="0" w:line="240" w:lineRule="auto"/>
              <w:jc w:val="right"/>
              <w:rPr>
                <w:rFonts w:eastAsia="Times New Roman" w:cs="Calibri"/>
                <w:color w:val="000000"/>
              </w:rPr>
            </w:pPr>
            <w:r w:rsidRPr="009F70BD">
              <w:rPr>
                <w:rFonts w:eastAsia="Times New Roman" w:cs="Calibri"/>
                <w:color w:val="000000"/>
              </w:rPr>
              <w:t>n.d. </w:t>
            </w:r>
            <w:r w:rsidR="00FD2CBB" w:rsidRPr="00DE5EAF">
              <w:rPr>
                <w:rFonts w:eastAsia="Times New Roman" w:cs="Calibri"/>
                <w:color w:val="000000"/>
              </w:rPr>
              <w:t> </w:t>
            </w:r>
          </w:p>
        </w:tc>
        <w:tc>
          <w:tcPr>
            <w:tcW w:w="1370" w:type="dxa"/>
            <w:noWrap/>
            <w:vAlign w:val="center"/>
            <w:hideMark/>
          </w:tcPr>
          <w:p w14:paraId="46A7E3D2" w14:textId="77777777" w:rsidR="00FD2CBB" w:rsidRPr="00DE5EAF" w:rsidRDefault="00FD2CBB">
            <w:pPr>
              <w:spacing w:after="0" w:line="240" w:lineRule="auto"/>
              <w:jc w:val="right"/>
              <w:rPr>
                <w:rFonts w:eastAsia="Times New Roman" w:cs="Calibri"/>
                <w:color w:val="000000"/>
              </w:rPr>
            </w:pPr>
            <w:r>
              <w:rPr>
                <w:rFonts w:cs="Calibri"/>
                <w:color w:val="000000"/>
              </w:rPr>
              <w:t>125.843</w:t>
            </w:r>
          </w:p>
        </w:tc>
        <w:tc>
          <w:tcPr>
            <w:tcW w:w="1370" w:type="dxa"/>
            <w:noWrap/>
            <w:vAlign w:val="center"/>
            <w:hideMark/>
          </w:tcPr>
          <w:p w14:paraId="31DBC72E" w14:textId="77777777" w:rsidR="00FD2CBB" w:rsidRPr="00DE5EAF" w:rsidRDefault="00FD2CBB">
            <w:pPr>
              <w:spacing w:after="0" w:line="240" w:lineRule="auto"/>
              <w:jc w:val="right"/>
              <w:rPr>
                <w:rFonts w:eastAsia="Times New Roman" w:cs="Calibri"/>
                <w:color w:val="000000"/>
              </w:rPr>
            </w:pPr>
            <w:r>
              <w:rPr>
                <w:rFonts w:cs="Calibri"/>
                <w:color w:val="000000"/>
              </w:rPr>
              <w:t>126.242</w:t>
            </w:r>
          </w:p>
        </w:tc>
      </w:tr>
      <w:tr w:rsidR="00FD2CBB" w:rsidRPr="00DE5EAF" w14:paraId="67BE03EA" w14:textId="77777777" w:rsidTr="00C64A2F">
        <w:trPr>
          <w:trHeight w:val="300"/>
          <w:jc w:val="center"/>
        </w:trPr>
        <w:tc>
          <w:tcPr>
            <w:tcW w:w="3805" w:type="dxa"/>
            <w:noWrap/>
            <w:vAlign w:val="center"/>
            <w:hideMark/>
          </w:tcPr>
          <w:p w14:paraId="405B13A1" w14:textId="77777777" w:rsidR="00FD2CBB" w:rsidRPr="00DE5EAF" w:rsidRDefault="00FD2CBB">
            <w:pPr>
              <w:spacing w:after="0" w:line="240" w:lineRule="auto"/>
              <w:rPr>
                <w:rFonts w:eastAsia="Times New Roman" w:cs="Calibri"/>
                <w:color w:val="000000"/>
              </w:rPr>
            </w:pPr>
            <w:r w:rsidRPr="00DE5EAF">
              <w:rPr>
                <w:rFonts w:eastAsia="Times New Roman" w:cs="Calibri"/>
                <w:color w:val="000000"/>
              </w:rPr>
              <w:t>Ricavi totali</w:t>
            </w:r>
          </w:p>
        </w:tc>
        <w:tc>
          <w:tcPr>
            <w:tcW w:w="1370" w:type="dxa"/>
            <w:noWrap/>
            <w:vAlign w:val="center"/>
            <w:hideMark/>
          </w:tcPr>
          <w:p w14:paraId="010CCBFA" w14:textId="222654AA" w:rsidR="00FD2CBB" w:rsidRPr="00DE5EAF" w:rsidRDefault="00C64A2F">
            <w:pPr>
              <w:spacing w:after="0" w:line="240" w:lineRule="auto"/>
              <w:jc w:val="right"/>
              <w:rPr>
                <w:rFonts w:eastAsia="Times New Roman" w:cs="Calibri"/>
                <w:color w:val="000000"/>
              </w:rPr>
            </w:pPr>
            <w:r w:rsidRPr="009F70BD">
              <w:rPr>
                <w:rFonts w:eastAsia="Times New Roman" w:cs="Calibri"/>
                <w:color w:val="000000"/>
              </w:rPr>
              <w:t>n.d. </w:t>
            </w:r>
            <w:r w:rsidR="00FD2CBB" w:rsidRPr="00DE5EAF">
              <w:rPr>
                <w:rFonts w:eastAsia="Times New Roman" w:cs="Calibri"/>
                <w:color w:val="000000"/>
              </w:rPr>
              <w:t> </w:t>
            </w:r>
          </w:p>
        </w:tc>
        <w:tc>
          <w:tcPr>
            <w:tcW w:w="1370" w:type="dxa"/>
            <w:noWrap/>
            <w:vAlign w:val="center"/>
            <w:hideMark/>
          </w:tcPr>
          <w:p w14:paraId="62F9EA0B" w14:textId="77777777" w:rsidR="00FD2CBB" w:rsidRPr="00DE5EAF" w:rsidRDefault="00FD2CBB">
            <w:pPr>
              <w:spacing w:after="0" w:line="240" w:lineRule="auto"/>
              <w:jc w:val="right"/>
              <w:rPr>
                <w:rFonts w:eastAsia="Times New Roman" w:cs="Calibri"/>
                <w:color w:val="000000"/>
              </w:rPr>
            </w:pPr>
            <w:r>
              <w:rPr>
                <w:rFonts w:cs="Calibri"/>
                <w:color w:val="000000"/>
              </w:rPr>
              <w:t>9300</w:t>
            </w:r>
          </w:p>
        </w:tc>
        <w:tc>
          <w:tcPr>
            <w:tcW w:w="1370" w:type="dxa"/>
            <w:noWrap/>
            <w:vAlign w:val="center"/>
            <w:hideMark/>
          </w:tcPr>
          <w:p w14:paraId="289498FE" w14:textId="77777777" w:rsidR="00FD2CBB" w:rsidRPr="00DE5EAF" w:rsidRDefault="00FD2CBB">
            <w:pPr>
              <w:spacing w:after="0" w:line="240" w:lineRule="auto"/>
              <w:jc w:val="right"/>
              <w:rPr>
                <w:rFonts w:eastAsia="Times New Roman" w:cs="Calibri"/>
                <w:color w:val="000000"/>
              </w:rPr>
            </w:pPr>
            <w:r>
              <w:rPr>
                <w:rFonts w:cs="Calibri"/>
                <w:color w:val="000000"/>
              </w:rPr>
              <w:t>9943</w:t>
            </w:r>
          </w:p>
        </w:tc>
      </w:tr>
      <w:tr w:rsidR="00FD2CBB" w:rsidRPr="00DE5EAF" w14:paraId="79B65656" w14:textId="77777777" w:rsidTr="00C64A2F">
        <w:trPr>
          <w:trHeight w:val="300"/>
          <w:jc w:val="center"/>
        </w:trPr>
        <w:tc>
          <w:tcPr>
            <w:tcW w:w="3805" w:type="dxa"/>
            <w:noWrap/>
            <w:vAlign w:val="center"/>
            <w:hideMark/>
          </w:tcPr>
          <w:p w14:paraId="7FA91852" w14:textId="77777777" w:rsidR="00FD2CBB" w:rsidRPr="00DE5EAF" w:rsidRDefault="00FD2CBB">
            <w:pPr>
              <w:spacing w:after="0" w:line="240" w:lineRule="auto"/>
              <w:rPr>
                <w:rFonts w:eastAsia="Times New Roman" w:cs="Calibri"/>
                <w:i/>
                <w:color w:val="000000"/>
              </w:rPr>
            </w:pPr>
            <w:r w:rsidRPr="00DE5EAF">
              <w:rPr>
                <w:rFonts w:eastAsia="Times New Roman" w:cs="Calibri"/>
                <w:i/>
                <w:color w:val="000000"/>
              </w:rPr>
              <w:t xml:space="preserve"> di cui Ricavi da traffico</w:t>
            </w:r>
          </w:p>
        </w:tc>
        <w:tc>
          <w:tcPr>
            <w:tcW w:w="1370" w:type="dxa"/>
            <w:noWrap/>
            <w:vAlign w:val="center"/>
            <w:hideMark/>
          </w:tcPr>
          <w:p w14:paraId="15170CB6" w14:textId="338ABFFF" w:rsidR="00FD2CBB" w:rsidRPr="00DE5EAF" w:rsidRDefault="00C64A2F">
            <w:pPr>
              <w:spacing w:after="0" w:line="240" w:lineRule="auto"/>
              <w:jc w:val="right"/>
              <w:rPr>
                <w:rFonts w:eastAsia="Times New Roman" w:cs="Calibri"/>
                <w:color w:val="000000"/>
              </w:rPr>
            </w:pPr>
            <w:r w:rsidRPr="009F70BD">
              <w:rPr>
                <w:rFonts w:eastAsia="Times New Roman" w:cs="Calibri"/>
                <w:color w:val="000000"/>
              </w:rPr>
              <w:t>n.d. </w:t>
            </w:r>
            <w:r w:rsidR="00FD2CBB" w:rsidRPr="00DE5EAF">
              <w:rPr>
                <w:rFonts w:eastAsia="Times New Roman" w:cs="Calibri"/>
                <w:color w:val="000000"/>
              </w:rPr>
              <w:t> </w:t>
            </w:r>
          </w:p>
        </w:tc>
        <w:tc>
          <w:tcPr>
            <w:tcW w:w="1370" w:type="dxa"/>
            <w:noWrap/>
            <w:vAlign w:val="center"/>
            <w:hideMark/>
          </w:tcPr>
          <w:p w14:paraId="304F4C9A" w14:textId="77777777" w:rsidR="00FD2CBB" w:rsidRPr="00DE5EAF" w:rsidRDefault="00FD2CBB">
            <w:pPr>
              <w:spacing w:after="0" w:line="240" w:lineRule="auto"/>
              <w:jc w:val="right"/>
              <w:rPr>
                <w:rFonts w:eastAsia="Times New Roman" w:cs="Calibri"/>
                <w:color w:val="000000"/>
              </w:rPr>
            </w:pPr>
            <w:r>
              <w:rPr>
                <w:rFonts w:cs="Calibri"/>
                <w:color w:val="000000"/>
              </w:rPr>
              <w:t>9300</w:t>
            </w:r>
          </w:p>
        </w:tc>
        <w:tc>
          <w:tcPr>
            <w:tcW w:w="1370" w:type="dxa"/>
            <w:noWrap/>
            <w:vAlign w:val="center"/>
            <w:hideMark/>
          </w:tcPr>
          <w:p w14:paraId="6D3A8968" w14:textId="77777777" w:rsidR="00FD2CBB" w:rsidRPr="00DE5EAF" w:rsidRDefault="00FD2CBB">
            <w:pPr>
              <w:spacing w:after="0" w:line="240" w:lineRule="auto"/>
              <w:jc w:val="right"/>
              <w:rPr>
                <w:rFonts w:eastAsia="Times New Roman" w:cs="Calibri"/>
                <w:color w:val="000000"/>
              </w:rPr>
            </w:pPr>
            <w:r>
              <w:rPr>
                <w:rFonts w:cs="Calibri"/>
                <w:color w:val="000000"/>
              </w:rPr>
              <w:t>9902</w:t>
            </w:r>
          </w:p>
        </w:tc>
      </w:tr>
      <w:tr w:rsidR="00FD2CBB" w:rsidRPr="00DE5EAF" w14:paraId="4A7033AC" w14:textId="77777777" w:rsidTr="00C64A2F">
        <w:trPr>
          <w:trHeight w:val="300"/>
          <w:jc w:val="center"/>
        </w:trPr>
        <w:tc>
          <w:tcPr>
            <w:tcW w:w="3805" w:type="dxa"/>
            <w:noWrap/>
            <w:vAlign w:val="center"/>
            <w:hideMark/>
          </w:tcPr>
          <w:p w14:paraId="631B0F4F" w14:textId="77777777" w:rsidR="00FD2CBB" w:rsidRPr="00DE5EAF" w:rsidRDefault="00FD2CBB">
            <w:pPr>
              <w:spacing w:after="0" w:line="240" w:lineRule="auto"/>
              <w:rPr>
                <w:rFonts w:eastAsia="Times New Roman" w:cs="Calibri"/>
                <w:color w:val="000000"/>
              </w:rPr>
            </w:pPr>
            <w:r w:rsidRPr="00DE5EAF">
              <w:rPr>
                <w:rFonts w:eastAsia="Times New Roman" w:cs="Calibri"/>
                <w:color w:val="000000"/>
              </w:rPr>
              <w:t>Corrispettivi</w:t>
            </w:r>
          </w:p>
        </w:tc>
        <w:tc>
          <w:tcPr>
            <w:tcW w:w="1370" w:type="dxa"/>
            <w:noWrap/>
            <w:vAlign w:val="center"/>
            <w:hideMark/>
          </w:tcPr>
          <w:p w14:paraId="20274376" w14:textId="6CF462FD" w:rsidR="00FD2CBB" w:rsidRPr="00DE5EAF" w:rsidRDefault="00C64A2F">
            <w:pPr>
              <w:spacing w:after="0" w:line="240" w:lineRule="auto"/>
              <w:jc w:val="right"/>
              <w:rPr>
                <w:rFonts w:eastAsia="Times New Roman" w:cs="Calibri"/>
                <w:color w:val="000000"/>
              </w:rPr>
            </w:pPr>
            <w:r w:rsidRPr="009F70BD">
              <w:rPr>
                <w:rFonts w:eastAsia="Times New Roman" w:cs="Calibri"/>
                <w:color w:val="000000"/>
              </w:rPr>
              <w:t>n.d. </w:t>
            </w:r>
            <w:r w:rsidR="00FD2CBB" w:rsidRPr="00DE5EAF">
              <w:rPr>
                <w:rFonts w:eastAsia="Times New Roman" w:cs="Calibri"/>
                <w:color w:val="000000"/>
              </w:rPr>
              <w:t> </w:t>
            </w:r>
          </w:p>
        </w:tc>
        <w:tc>
          <w:tcPr>
            <w:tcW w:w="1370" w:type="dxa"/>
            <w:noWrap/>
            <w:vAlign w:val="center"/>
            <w:hideMark/>
          </w:tcPr>
          <w:p w14:paraId="1D53BFB7" w14:textId="77777777" w:rsidR="00FD2CBB" w:rsidRPr="00DE5EAF" w:rsidRDefault="00FD2CBB">
            <w:pPr>
              <w:spacing w:after="0" w:line="240" w:lineRule="auto"/>
              <w:jc w:val="right"/>
              <w:rPr>
                <w:rFonts w:eastAsia="Times New Roman" w:cs="Calibri"/>
                <w:color w:val="000000"/>
              </w:rPr>
            </w:pPr>
            <w:r>
              <w:rPr>
                <w:rFonts w:cs="Calibri"/>
                <w:color w:val="000000"/>
              </w:rPr>
              <w:t>150.402 €</w:t>
            </w:r>
          </w:p>
        </w:tc>
        <w:tc>
          <w:tcPr>
            <w:tcW w:w="1370" w:type="dxa"/>
            <w:noWrap/>
            <w:vAlign w:val="center"/>
            <w:hideMark/>
          </w:tcPr>
          <w:p w14:paraId="30EE8BA6" w14:textId="77777777" w:rsidR="00FD2CBB" w:rsidRPr="00DE5EAF" w:rsidRDefault="00FD2CBB">
            <w:pPr>
              <w:spacing w:after="0" w:line="240" w:lineRule="auto"/>
              <w:jc w:val="right"/>
              <w:rPr>
                <w:rFonts w:eastAsia="Times New Roman" w:cs="Calibri"/>
                <w:color w:val="000000"/>
              </w:rPr>
            </w:pPr>
            <w:r>
              <w:rPr>
                <w:rFonts w:cs="Calibri"/>
                <w:color w:val="000000"/>
              </w:rPr>
              <w:t>152.110 €</w:t>
            </w:r>
          </w:p>
        </w:tc>
      </w:tr>
      <w:tr w:rsidR="00FD2CBB" w:rsidRPr="00DE5EAF" w14:paraId="4834F417" w14:textId="77777777" w:rsidTr="00C64A2F">
        <w:trPr>
          <w:trHeight w:val="300"/>
          <w:jc w:val="center"/>
        </w:trPr>
        <w:tc>
          <w:tcPr>
            <w:tcW w:w="3805" w:type="dxa"/>
            <w:noWrap/>
            <w:vAlign w:val="center"/>
            <w:hideMark/>
          </w:tcPr>
          <w:p w14:paraId="4D7B3B8E" w14:textId="77777777" w:rsidR="00FD2CBB" w:rsidRPr="00DE5EAF" w:rsidRDefault="00FD2CBB">
            <w:pPr>
              <w:spacing w:after="0" w:line="240" w:lineRule="auto"/>
              <w:rPr>
                <w:rFonts w:eastAsia="Times New Roman" w:cs="Calibri"/>
                <w:color w:val="000000"/>
              </w:rPr>
            </w:pPr>
            <w:r w:rsidRPr="00DE5EAF">
              <w:rPr>
                <w:rFonts w:eastAsia="Times New Roman" w:cs="Calibri"/>
                <w:color w:val="000000"/>
              </w:rPr>
              <w:t>Costo Infrastruttura</w:t>
            </w:r>
          </w:p>
        </w:tc>
        <w:tc>
          <w:tcPr>
            <w:tcW w:w="1370" w:type="dxa"/>
            <w:noWrap/>
            <w:vAlign w:val="center"/>
            <w:hideMark/>
          </w:tcPr>
          <w:p w14:paraId="0BA889E9" w14:textId="76867D71" w:rsidR="00FD2CBB" w:rsidRPr="00DE5EAF" w:rsidRDefault="00C64A2F">
            <w:pPr>
              <w:spacing w:after="0" w:line="240" w:lineRule="auto"/>
              <w:jc w:val="right"/>
              <w:rPr>
                <w:rFonts w:eastAsia="Times New Roman" w:cs="Calibri"/>
                <w:color w:val="000000"/>
              </w:rPr>
            </w:pPr>
            <w:r w:rsidRPr="009F70BD">
              <w:rPr>
                <w:rFonts w:eastAsia="Times New Roman" w:cs="Calibri"/>
                <w:color w:val="000000"/>
              </w:rPr>
              <w:t>n.d. </w:t>
            </w:r>
            <w:r w:rsidR="00FD2CBB" w:rsidRPr="00DE5EAF">
              <w:rPr>
                <w:rFonts w:eastAsia="Times New Roman" w:cs="Calibri"/>
                <w:color w:val="000000"/>
              </w:rPr>
              <w:t> </w:t>
            </w:r>
          </w:p>
        </w:tc>
        <w:tc>
          <w:tcPr>
            <w:tcW w:w="1370" w:type="dxa"/>
            <w:noWrap/>
            <w:vAlign w:val="center"/>
            <w:hideMark/>
          </w:tcPr>
          <w:p w14:paraId="5BBF6285" w14:textId="77777777" w:rsidR="00FD2CBB" w:rsidRPr="00DE5EAF" w:rsidRDefault="00FD2CBB">
            <w:pPr>
              <w:spacing w:after="0" w:line="240" w:lineRule="auto"/>
              <w:jc w:val="right"/>
              <w:rPr>
                <w:rFonts w:eastAsia="Times New Roman" w:cs="Calibri"/>
                <w:color w:val="000000"/>
              </w:rPr>
            </w:pPr>
            <w:r>
              <w:rPr>
                <w:rFonts w:cs="Calibri"/>
                <w:color w:val="000000"/>
              </w:rPr>
              <w:t>9000</w:t>
            </w:r>
          </w:p>
        </w:tc>
        <w:tc>
          <w:tcPr>
            <w:tcW w:w="1370" w:type="dxa"/>
            <w:noWrap/>
            <w:vAlign w:val="center"/>
            <w:hideMark/>
          </w:tcPr>
          <w:p w14:paraId="58336EF8" w14:textId="77777777" w:rsidR="00FD2CBB" w:rsidRPr="00DE5EAF" w:rsidRDefault="00FD2CBB">
            <w:pPr>
              <w:spacing w:after="0" w:line="240" w:lineRule="auto"/>
              <w:jc w:val="right"/>
              <w:rPr>
                <w:rFonts w:eastAsia="Times New Roman" w:cs="Calibri"/>
                <w:color w:val="000000"/>
              </w:rPr>
            </w:pPr>
            <w:r>
              <w:rPr>
                <w:rFonts w:cs="Calibri"/>
                <w:color w:val="000000"/>
              </w:rPr>
              <w:t>9153</w:t>
            </w:r>
          </w:p>
        </w:tc>
      </w:tr>
      <w:tr w:rsidR="00FD2CBB" w:rsidRPr="00DE5EAF" w14:paraId="1E3C7891" w14:textId="77777777" w:rsidTr="00C64A2F">
        <w:trPr>
          <w:trHeight w:val="300"/>
          <w:jc w:val="center"/>
        </w:trPr>
        <w:tc>
          <w:tcPr>
            <w:tcW w:w="3805" w:type="dxa"/>
            <w:noWrap/>
            <w:vAlign w:val="center"/>
            <w:hideMark/>
          </w:tcPr>
          <w:p w14:paraId="3284E196" w14:textId="77777777" w:rsidR="00FD2CBB" w:rsidRPr="00DE5EAF" w:rsidRDefault="00FD2CBB">
            <w:pPr>
              <w:spacing w:after="0" w:line="240" w:lineRule="auto"/>
              <w:rPr>
                <w:rFonts w:eastAsia="Times New Roman" w:cs="Calibri"/>
                <w:color w:val="000000"/>
              </w:rPr>
            </w:pPr>
            <w:r w:rsidRPr="00DE5EAF">
              <w:rPr>
                <w:rFonts w:eastAsia="Times New Roman" w:cs="Calibri"/>
                <w:color w:val="000000"/>
              </w:rPr>
              <w:t>Passeggeri trasportati</w:t>
            </w:r>
          </w:p>
        </w:tc>
        <w:tc>
          <w:tcPr>
            <w:tcW w:w="1370" w:type="dxa"/>
            <w:noWrap/>
            <w:vAlign w:val="center"/>
            <w:hideMark/>
          </w:tcPr>
          <w:p w14:paraId="2ECEF90E" w14:textId="208749DE" w:rsidR="00FD2CBB" w:rsidRPr="00DE5EAF" w:rsidRDefault="00C64A2F">
            <w:pPr>
              <w:spacing w:after="0" w:line="240" w:lineRule="auto"/>
              <w:jc w:val="right"/>
              <w:rPr>
                <w:rFonts w:eastAsia="Times New Roman" w:cs="Calibri"/>
                <w:color w:val="000000"/>
              </w:rPr>
            </w:pPr>
            <w:r w:rsidRPr="009F70BD">
              <w:rPr>
                <w:rFonts w:eastAsia="Times New Roman" w:cs="Calibri"/>
                <w:color w:val="000000"/>
              </w:rPr>
              <w:t>n.d. </w:t>
            </w:r>
            <w:r w:rsidR="00FD2CBB" w:rsidRPr="00DE5EAF">
              <w:rPr>
                <w:rFonts w:eastAsia="Times New Roman" w:cs="Calibri"/>
                <w:color w:val="000000"/>
              </w:rPr>
              <w:t> </w:t>
            </w:r>
          </w:p>
        </w:tc>
        <w:tc>
          <w:tcPr>
            <w:tcW w:w="1370" w:type="dxa"/>
            <w:noWrap/>
            <w:vAlign w:val="center"/>
            <w:hideMark/>
          </w:tcPr>
          <w:p w14:paraId="55356574" w14:textId="77777777" w:rsidR="00FD2CBB" w:rsidRPr="00DE5EAF" w:rsidRDefault="00FD2CBB">
            <w:pPr>
              <w:spacing w:after="0" w:line="240" w:lineRule="auto"/>
              <w:jc w:val="right"/>
              <w:rPr>
                <w:rFonts w:eastAsia="Times New Roman" w:cs="Calibri"/>
                <w:color w:val="000000"/>
              </w:rPr>
            </w:pPr>
            <w:r>
              <w:rPr>
                <w:rFonts w:cs="Calibri"/>
                <w:color w:val="000000"/>
              </w:rPr>
              <w:t>43788</w:t>
            </w:r>
          </w:p>
        </w:tc>
        <w:tc>
          <w:tcPr>
            <w:tcW w:w="1370" w:type="dxa"/>
            <w:noWrap/>
            <w:vAlign w:val="center"/>
            <w:hideMark/>
          </w:tcPr>
          <w:p w14:paraId="7C81E509" w14:textId="77777777" w:rsidR="00FD2CBB" w:rsidRPr="00DE5EAF" w:rsidRDefault="00FD2CBB">
            <w:pPr>
              <w:spacing w:after="0" w:line="240" w:lineRule="auto"/>
              <w:jc w:val="right"/>
              <w:rPr>
                <w:rFonts w:eastAsia="Times New Roman" w:cs="Calibri"/>
                <w:color w:val="000000"/>
              </w:rPr>
            </w:pPr>
            <w:r>
              <w:rPr>
                <w:rFonts w:cs="Calibri"/>
                <w:color w:val="000000"/>
              </w:rPr>
              <w:t>39035</w:t>
            </w:r>
          </w:p>
        </w:tc>
      </w:tr>
      <w:tr w:rsidR="00FD2CBB" w:rsidRPr="00DE5EAF" w14:paraId="10E16C55" w14:textId="77777777" w:rsidTr="00C64A2F">
        <w:trPr>
          <w:trHeight w:val="300"/>
          <w:jc w:val="center"/>
        </w:trPr>
        <w:tc>
          <w:tcPr>
            <w:tcW w:w="3805" w:type="dxa"/>
            <w:noWrap/>
            <w:vAlign w:val="center"/>
            <w:hideMark/>
          </w:tcPr>
          <w:p w14:paraId="10EA148A" w14:textId="77777777" w:rsidR="00FD2CBB" w:rsidRPr="00DE5EAF" w:rsidRDefault="00FD2CBB">
            <w:pPr>
              <w:spacing w:after="0" w:line="240" w:lineRule="auto"/>
              <w:rPr>
                <w:rFonts w:eastAsia="Times New Roman" w:cs="Calibri"/>
                <w:color w:val="000000"/>
              </w:rPr>
            </w:pPr>
            <w:r w:rsidRPr="00DE5EAF">
              <w:rPr>
                <w:rFonts w:eastAsia="Times New Roman" w:cs="Calibri"/>
                <w:color w:val="000000"/>
              </w:rPr>
              <w:t>Addetti</w:t>
            </w:r>
          </w:p>
        </w:tc>
        <w:tc>
          <w:tcPr>
            <w:tcW w:w="1370" w:type="dxa"/>
            <w:noWrap/>
            <w:vAlign w:val="center"/>
            <w:hideMark/>
          </w:tcPr>
          <w:p w14:paraId="7F22BF01" w14:textId="0129A032" w:rsidR="00FD2CBB" w:rsidRPr="00DE5EAF" w:rsidRDefault="00C64A2F">
            <w:pPr>
              <w:spacing w:after="0" w:line="240" w:lineRule="auto"/>
              <w:jc w:val="right"/>
              <w:rPr>
                <w:rFonts w:eastAsia="Times New Roman" w:cs="Calibri"/>
                <w:color w:val="000000"/>
              </w:rPr>
            </w:pPr>
            <w:r w:rsidRPr="009F70BD">
              <w:rPr>
                <w:rFonts w:eastAsia="Times New Roman" w:cs="Calibri"/>
                <w:color w:val="000000"/>
              </w:rPr>
              <w:t>n.d. </w:t>
            </w:r>
            <w:r w:rsidR="00FD2CBB" w:rsidRPr="00DE5EAF">
              <w:rPr>
                <w:rFonts w:eastAsia="Times New Roman" w:cs="Calibri"/>
                <w:color w:val="000000"/>
              </w:rPr>
              <w:t> </w:t>
            </w:r>
          </w:p>
        </w:tc>
        <w:tc>
          <w:tcPr>
            <w:tcW w:w="1370" w:type="dxa"/>
            <w:noWrap/>
            <w:vAlign w:val="center"/>
            <w:hideMark/>
          </w:tcPr>
          <w:p w14:paraId="73069780" w14:textId="77777777" w:rsidR="00FD2CBB" w:rsidRPr="00DE5EAF" w:rsidRDefault="00FD2CBB">
            <w:pPr>
              <w:spacing w:after="0" w:line="240" w:lineRule="auto"/>
              <w:jc w:val="right"/>
              <w:rPr>
                <w:rFonts w:eastAsia="Times New Roman" w:cs="Calibri"/>
                <w:color w:val="000000"/>
              </w:rPr>
            </w:pPr>
            <w:r>
              <w:rPr>
                <w:rFonts w:cs="Calibri"/>
                <w:color w:val="000000"/>
              </w:rPr>
              <w:t>19</w:t>
            </w:r>
          </w:p>
        </w:tc>
        <w:tc>
          <w:tcPr>
            <w:tcW w:w="1370" w:type="dxa"/>
            <w:noWrap/>
            <w:vAlign w:val="center"/>
            <w:hideMark/>
          </w:tcPr>
          <w:p w14:paraId="5EEEF95E" w14:textId="77777777" w:rsidR="00FD2CBB" w:rsidRPr="00DE5EAF" w:rsidRDefault="00FD2CBB">
            <w:pPr>
              <w:spacing w:after="0" w:line="240" w:lineRule="auto"/>
              <w:jc w:val="right"/>
              <w:rPr>
                <w:rFonts w:eastAsia="Times New Roman" w:cs="Calibri"/>
                <w:color w:val="000000"/>
              </w:rPr>
            </w:pPr>
            <w:r>
              <w:rPr>
                <w:rFonts w:cs="Calibri"/>
                <w:color w:val="000000"/>
              </w:rPr>
              <w:t>7</w:t>
            </w:r>
          </w:p>
        </w:tc>
      </w:tr>
      <w:tr w:rsidR="00FD2CBB" w:rsidRPr="00DE5EAF" w14:paraId="1C519BCD" w14:textId="77777777" w:rsidTr="00C64A2F">
        <w:trPr>
          <w:trHeight w:val="300"/>
          <w:jc w:val="center"/>
        </w:trPr>
        <w:tc>
          <w:tcPr>
            <w:tcW w:w="3805" w:type="dxa"/>
            <w:noWrap/>
            <w:vAlign w:val="center"/>
            <w:hideMark/>
          </w:tcPr>
          <w:p w14:paraId="3305C2E9" w14:textId="77777777" w:rsidR="00FD2CBB" w:rsidRPr="00DE5EAF" w:rsidRDefault="00FD2CBB">
            <w:pPr>
              <w:spacing w:after="0" w:line="240" w:lineRule="auto"/>
              <w:rPr>
                <w:rFonts w:eastAsia="Times New Roman" w:cs="Calibri"/>
                <w:color w:val="000000"/>
              </w:rPr>
            </w:pPr>
            <w:r w:rsidRPr="00DE5EAF">
              <w:rPr>
                <w:rFonts w:eastAsia="Times New Roman" w:cs="Calibri"/>
                <w:color w:val="000000"/>
              </w:rPr>
              <w:t>Contributi CCNL</w:t>
            </w:r>
          </w:p>
        </w:tc>
        <w:tc>
          <w:tcPr>
            <w:tcW w:w="1370" w:type="dxa"/>
            <w:noWrap/>
            <w:vAlign w:val="center"/>
            <w:hideMark/>
          </w:tcPr>
          <w:p w14:paraId="7F1329CD" w14:textId="34F349C6" w:rsidR="00FD2CBB" w:rsidRPr="00DE5EAF" w:rsidRDefault="00C64A2F">
            <w:pPr>
              <w:spacing w:after="0" w:line="240" w:lineRule="auto"/>
              <w:jc w:val="right"/>
              <w:rPr>
                <w:rFonts w:eastAsia="Times New Roman" w:cs="Calibri"/>
                <w:color w:val="000000"/>
              </w:rPr>
            </w:pPr>
            <w:r w:rsidRPr="009F70BD">
              <w:rPr>
                <w:rFonts w:eastAsia="Times New Roman" w:cs="Calibri"/>
                <w:color w:val="000000"/>
              </w:rPr>
              <w:t>n.d. </w:t>
            </w:r>
            <w:r w:rsidR="00FD2CBB" w:rsidRPr="00DE5EAF">
              <w:rPr>
                <w:rFonts w:eastAsia="Times New Roman" w:cs="Calibri"/>
                <w:color w:val="000000"/>
              </w:rPr>
              <w:t> </w:t>
            </w:r>
          </w:p>
        </w:tc>
        <w:tc>
          <w:tcPr>
            <w:tcW w:w="1370" w:type="dxa"/>
            <w:noWrap/>
            <w:vAlign w:val="center"/>
            <w:hideMark/>
          </w:tcPr>
          <w:p w14:paraId="1D37906A" w14:textId="77777777" w:rsidR="00FD2CBB" w:rsidRPr="00DE5EAF" w:rsidRDefault="00FD2CBB">
            <w:pPr>
              <w:spacing w:after="0" w:line="240" w:lineRule="auto"/>
              <w:jc w:val="right"/>
              <w:rPr>
                <w:rFonts w:eastAsia="Times New Roman" w:cs="Calibri"/>
                <w:color w:val="000000"/>
              </w:rPr>
            </w:pPr>
            <w:r>
              <w:rPr>
                <w:rFonts w:cs="Calibri"/>
                <w:color w:val="000000"/>
              </w:rPr>
              <w:t>0</w:t>
            </w:r>
          </w:p>
        </w:tc>
        <w:tc>
          <w:tcPr>
            <w:tcW w:w="1370" w:type="dxa"/>
            <w:noWrap/>
            <w:vAlign w:val="center"/>
            <w:hideMark/>
          </w:tcPr>
          <w:p w14:paraId="77ABFE8F" w14:textId="77777777" w:rsidR="00FD2CBB" w:rsidRPr="00DE5EAF" w:rsidRDefault="00FD2CBB">
            <w:pPr>
              <w:spacing w:after="0" w:line="240" w:lineRule="auto"/>
              <w:jc w:val="right"/>
              <w:rPr>
                <w:rFonts w:eastAsia="Times New Roman" w:cs="Calibri"/>
                <w:color w:val="000000"/>
              </w:rPr>
            </w:pPr>
            <w:r>
              <w:rPr>
                <w:rFonts w:cs="Calibri"/>
                <w:color w:val="000000"/>
              </w:rPr>
              <w:t>1925</w:t>
            </w:r>
          </w:p>
        </w:tc>
      </w:tr>
      <w:tr w:rsidR="00FD2CBB" w:rsidRPr="00DE5EAF" w14:paraId="10B61BC6" w14:textId="77777777" w:rsidTr="00C64A2F">
        <w:trPr>
          <w:trHeight w:val="442"/>
          <w:jc w:val="center"/>
        </w:trPr>
        <w:tc>
          <w:tcPr>
            <w:tcW w:w="7915" w:type="dxa"/>
            <w:gridSpan w:val="4"/>
            <w:shd w:val="clear" w:color="000000" w:fill="FF7C80"/>
            <w:vAlign w:val="center"/>
            <w:hideMark/>
          </w:tcPr>
          <w:p w14:paraId="01D2D806" w14:textId="77777777" w:rsidR="00FD2CBB" w:rsidRPr="00DE5EAF" w:rsidRDefault="00FD2CBB">
            <w:pPr>
              <w:spacing w:after="0" w:line="240" w:lineRule="auto"/>
              <w:jc w:val="left"/>
              <w:rPr>
                <w:rFonts w:eastAsia="Times New Roman" w:cs="Calibri"/>
                <w:b/>
                <w:color w:val="000000"/>
              </w:rPr>
            </w:pPr>
            <w:r w:rsidRPr="00DE5EAF">
              <w:rPr>
                <w:rFonts w:eastAsia="Times New Roman" w:cs="Calibri"/>
                <w:b/>
                <w:color w:val="000000"/>
              </w:rPr>
              <w:t>UNIONE MONTANA DE</w:t>
            </w:r>
            <w:r>
              <w:rPr>
                <w:rFonts w:eastAsia="Times New Roman" w:cs="Calibri"/>
                <w:b/>
                <w:color w:val="000000"/>
              </w:rPr>
              <w:t>L PINEROLESE</w:t>
            </w:r>
          </w:p>
        </w:tc>
      </w:tr>
      <w:tr w:rsidR="00FD2CBB" w:rsidRPr="00DE5EAF" w14:paraId="5588E3E5" w14:textId="77777777" w:rsidTr="00C64A2F">
        <w:trPr>
          <w:trHeight w:val="300"/>
          <w:jc w:val="center"/>
        </w:trPr>
        <w:tc>
          <w:tcPr>
            <w:tcW w:w="3805" w:type="dxa"/>
            <w:noWrap/>
            <w:vAlign w:val="center"/>
            <w:hideMark/>
          </w:tcPr>
          <w:p w14:paraId="35543A3F" w14:textId="77777777" w:rsidR="00FD2CBB" w:rsidRPr="00DE5EAF" w:rsidRDefault="00FD2CBB">
            <w:pPr>
              <w:spacing w:after="0" w:line="240" w:lineRule="auto"/>
              <w:rPr>
                <w:rFonts w:eastAsia="Times New Roman" w:cs="Calibri"/>
                <w:color w:val="000000"/>
              </w:rPr>
            </w:pPr>
            <w:r w:rsidRPr="00DE5EAF">
              <w:rPr>
                <w:rFonts w:eastAsia="Times New Roman" w:cs="Calibri"/>
                <w:color w:val="000000"/>
              </w:rPr>
              <w:t>Produzione chilometrica</w:t>
            </w:r>
          </w:p>
        </w:tc>
        <w:tc>
          <w:tcPr>
            <w:tcW w:w="1370" w:type="dxa"/>
            <w:noWrap/>
            <w:vAlign w:val="bottom"/>
            <w:hideMark/>
          </w:tcPr>
          <w:p w14:paraId="7B4B6005" w14:textId="77777777" w:rsidR="00FD2CBB" w:rsidRPr="00DE5EAF" w:rsidRDefault="00FD2CBB">
            <w:pPr>
              <w:spacing w:after="0" w:line="240" w:lineRule="auto"/>
              <w:jc w:val="right"/>
              <w:rPr>
                <w:rFonts w:eastAsia="Times New Roman" w:cs="Calibri"/>
                <w:color w:val="000000"/>
              </w:rPr>
            </w:pPr>
            <w:r>
              <w:rPr>
                <w:rFonts w:cs="Calibri"/>
                <w:color w:val="000000"/>
              </w:rPr>
              <w:t>2.969</w:t>
            </w:r>
          </w:p>
        </w:tc>
        <w:tc>
          <w:tcPr>
            <w:tcW w:w="1370" w:type="dxa"/>
            <w:noWrap/>
            <w:vAlign w:val="bottom"/>
          </w:tcPr>
          <w:p w14:paraId="15AF978E" w14:textId="77777777" w:rsidR="00FD2CBB" w:rsidRPr="00DE5EAF" w:rsidRDefault="00FD2CBB">
            <w:pPr>
              <w:spacing w:after="0" w:line="240" w:lineRule="auto"/>
              <w:jc w:val="right"/>
              <w:rPr>
                <w:rFonts w:eastAsia="Times New Roman" w:cs="Calibri"/>
                <w:color w:val="000000"/>
              </w:rPr>
            </w:pPr>
            <w:r>
              <w:rPr>
                <w:rFonts w:cs="Calibri"/>
                <w:color w:val="000000"/>
              </w:rPr>
              <w:t>2.969</w:t>
            </w:r>
          </w:p>
        </w:tc>
        <w:tc>
          <w:tcPr>
            <w:tcW w:w="1370" w:type="dxa"/>
            <w:noWrap/>
            <w:vAlign w:val="bottom"/>
          </w:tcPr>
          <w:p w14:paraId="0C55E041" w14:textId="77777777" w:rsidR="00FD2CBB" w:rsidRPr="00DE5EAF" w:rsidRDefault="00FD2CBB">
            <w:pPr>
              <w:spacing w:after="0" w:line="240" w:lineRule="auto"/>
              <w:jc w:val="right"/>
              <w:rPr>
                <w:rFonts w:eastAsia="Times New Roman" w:cs="Calibri"/>
                <w:color w:val="000000"/>
              </w:rPr>
            </w:pPr>
            <w:r>
              <w:rPr>
                <w:rFonts w:cs="Calibri"/>
                <w:color w:val="000000"/>
              </w:rPr>
              <w:t>24.570</w:t>
            </w:r>
          </w:p>
        </w:tc>
      </w:tr>
      <w:tr w:rsidR="00FD2CBB" w:rsidRPr="00DE5EAF" w14:paraId="777804D0" w14:textId="77777777" w:rsidTr="00C64A2F">
        <w:trPr>
          <w:trHeight w:val="300"/>
          <w:jc w:val="center"/>
        </w:trPr>
        <w:tc>
          <w:tcPr>
            <w:tcW w:w="3805" w:type="dxa"/>
            <w:noWrap/>
            <w:vAlign w:val="center"/>
            <w:hideMark/>
          </w:tcPr>
          <w:p w14:paraId="7F9BB090" w14:textId="77777777" w:rsidR="00FD2CBB" w:rsidRPr="00DE5EAF" w:rsidRDefault="00FD2CBB">
            <w:pPr>
              <w:spacing w:after="0" w:line="240" w:lineRule="auto"/>
              <w:rPr>
                <w:rFonts w:eastAsia="Times New Roman" w:cs="Calibri"/>
                <w:color w:val="000000"/>
              </w:rPr>
            </w:pPr>
            <w:r w:rsidRPr="00DE5EAF">
              <w:rPr>
                <w:rFonts w:eastAsia="Times New Roman" w:cs="Calibri"/>
                <w:color w:val="000000"/>
              </w:rPr>
              <w:t>Ricavi totali</w:t>
            </w:r>
          </w:p>
        </w:tc>
        <w:tc>
          <w:tcPr>
            <w:tcW w:w="1370" w:type="dxa"/>
            <w:noWrap/>
            <w:vAlign w:val="bottom"/>
            <w:hideMark/>
          </w:tcPr>
          <w:p w14:paraId="12D1857E" w14:textId="77777777" w:rsidR="00FD2CBB" w:rsidRPr="00DE5EAF" w:rsidRDefault="00FD2CBB">
            <w:pPr>
              <w:spacing w:after="0" w:line="240" w:lineRule="auto"/>
              <w:jc w:val="right"/>
              <w:rPr>
                <w:rFonts w:eastAsia="Times New Roman" w:cs="Calibri"/>
                <w:color w:val="000000"/>
              </w:rPr>
            </w:pPr>
            <w:r>
              <w:rPr>
                <w:rFonts w:cs="Calibri"/>
                <w:color w:val="000000"/>
              </w:rPr>
              <w:t>68</w:t>
            </w:r>
          </w:p>
        </w:tc>
        <w:tc>
          <w:tcPr>
            <w:tcW w:w="1370" w:type="dxa"/>
            <w:noWrap/>
            <w:vAlign w:val="bottom"/>
          </w:tcPr>
          <w:p w14:paraId="0AFAEBF3" w14:textId="77777777" w:rsidR="00FD2CBB" w:rsidRPr="00DE5EAF" w:rsidRDefault="00FD2CBB">
            <w:pPr>
              <w:spacing w:after="0" w:line="240" w:lineRule="auto"/>
              <w:jc w:val="right"/>
              <w:rPr>
                <w:rFonts w:eastAsia="Times New Roman" w:cs="Calibri"/>
                <w:color w:val="000000"/>
              </w:rPr>
            </w:pPr>
            <w:r>
              <w:rPr>
                <w:rFonts w:cs="Calibri"/>
                <w:color w:val="000000"/>
              </w:rPr>
              <w:t>68</w:t>
            </w:r>
          </w:p>
        </w:tc>
        <w:tc>
          <w:tcPr>
            <w:tcW w:w="1370" w:type="dxa"/>
            <w:noWrap/>
            <w:vAlign w:val="bottom"/>
          </w:tcPr>
          <w:p w14:paraId="573A6D18" w14:textId="77777777" w:rsidR="00FD2CBB" w:rsidRPr="00DE5EAF" w:rsidRDefault="00FD2CBB">
            <w:pPr>
              <w:spacing w:after="0" w:line="240" w:lineRule="auto"/>
              <w:jc w:val="right"/>
              <w:rPr>
                <w:rFonts w:eastAsia="Times New Roman" w:cs="Calibri"/>
                <w:color w:val="000000"/>
              </w:rPr>
            </w:pPr>
            <w:r>
              <w:rPr>
                <w:rFonts w:cs="Calibri"/>
                <w:color w:val="000000"/>
              </w:rPr>
              <w:t>7.758</w:t>
            </w:r>
          </w:p>
        </w:tc>
      </w:tr>
      <w:tr w:rsidR="00FD2CBB" w:rsidRPr="00DE5EAF" w14:paraId="563A26D0" w14:textId="77777777" w:rsidTr="00C64A2F">
        <w:trPr>
          <w:trHeight w:val="300"/>
          <w:jc w:val="center"/>
        </w:trPr>
        <w:tc>
          <w:tcPr>
            <w:tcW w:w="3805" w:type="dxa"/>
            <w:noWrap/>
            <w:vAlign w:val="center"/>
            <w:hideMark/>
          </w:tcPr>
          <w:p w14:paraId="525D8A42" w14:textId="77777777" w:rsidR="00FD2CBB" w:rsidRPr="00DE5EAF" w:rsidRDefault="00FD2CBB">
            <w:pPr>
              <w:spacing w:after="0" w:line="240" w:lineRule="auto"/>
              <w:rPr>
                <w:rFonts w:eastAsia="Times New Roman" w:cs="Calibri"/>
                <w:i/>
                <w:color w:val="000000"/>
              </w:rPr>
            </w:pPr>
            <w:r w:rsidRPr="00DE5EAF">
              <w:rPr>
                <w:rFonts w:eastAsia="Times New Roman" w:cs="Calibri"/>
                <w:i/>
                <w:color w:val="000000"/>
              </w:rPr>
              <w:t xml:space="preserve"> di cui Ricavi da traffico</w:t>
            </w:r>
          </w:p>
        </w:tc>
        <w:tc>
          <w:tcPr>
            <w:tcW w:w="1370" w:type="dxa"/>
            <w:noWrap/>
            <w:vAlign w:val="bottom"/>
            <w:hideMark/>
          </w:tcPr>
          <w:p w14:paraId="698DF8FD" w14:textId="77777777" w:rsidR="00FD2CBB" w:rsidRPr="00DE5EAF" w:rsidRDefault="00FD2CBB">
            <w:pPr>
              <w:spacing w:after="0" w:line="240" w:lineRule="auto"/>
              <w:jc w:val="right"/>
              <w:rPr>
                <w:rFonts w:eastAsia="Times New Roman" w:cs="Calibri"/>
                <w:color w:val="000000"/>
              </w:rPr>
            </w:pPr>
            <w:r>
              <w:rPr>
                <w:rFonts w:cs="Calibri"/>
                <w:color w:val="000000"/>
              </w:rPr>
              <w:t>68</w:t>
            </w:r>
          </w:p>
        </w:tc>
        <w:tc>
          <w:tcPr>
            <w:tcW w:w="1370" w:type="dxa"/>
            <w:noWrap/>
            <w:vAlign w:val="bottom"/>
          </w:tcPr>
          <w:p w14:paraId="0695FB26" w14:textId="77777777" w:rsidR="00FD2CBB" w:rsidRPr="00DE5EAF" w:rsidRDefault="00FD2CBB">
            <w:pPr>
              <w:spacing w:after="0" w:line="240" w:lineRule="auto"/>
              <w:jc w:val="right"/>
              <w:rPr>
                <w:rFonts w:eastAsia="Times New Roman" w:cs="Calibri"/>
                <w:color w:val="000000"/>
              </w:rPr>
            </w:pPr>
            <w:r>
              <w:rPr>
                <w:rFonts w:cs="Calibri"/>
                <w:color w:val="000000"/>
              </w:rPr>
              <w:t>68</w:t>
            </w:r>
          </w:p>
        </w:tc>
        <w:tc>
          <w:tcPr>
            <w:tcW w:w="1370" w:type="dxa"/>
            <w:noWrap/>
            <w:vAlign w:val="bottom"/>
          </w:tcPr>
          <w:p w14:paraId="42D0903C" w14:textId="77777777" w:rsidR="00FD2CBB" w:rsidRPr="00DE5EAF" w:rsidRDefault="00FD2CBB">
            <w:pPr>
              <w:spacing w:after="0" w:line="240" w:lineRule="auto"/>
              <w:jc w:val="right"/>
              <w:rPr>
                <w:rFonts w:eastAsia="Times New Roman" w:cs="Calibri"/>
                <w:color w:val="000000"/>
              </w:rPr>
            </w:pPr>
            <w:r>
              <w:rPr>
                <w:rFonts w:cs="Calibri"/>
                <w:color w:val="000000"/>
              </w:rPr>
              <w:t>7.758</w:t>
            </w:r>
          </w:p>
        </w:tc>
      </w:tr>
      <w:tr w:rsidR="00FD2CBB" w:rsidRPr="00DE5EAF" w14:paraId="1DB65ACF" w14:textId="77777777" w:rsidTr="00C64A2F">
        <w:trPr>
          <w:trHeight w:val="300"/>
          <w:jc w:val="center"/>
        </w:trPr>
        <w:tc>
          <w:tcPr>
            <w:tcW w:w="3805" w:type="dxa"/>
            <w:noWrap/>
            <w:vAlign w:val="center"/>
            <w:hideMark/>
          </w:tcPr>
          <w:p w14:paraId="0FEFCB50" w14:textId="77777777" w:rsidR="00FD2CBB" w:rsidRPr="00DE5EAF" w:rsidRDefault="00FD2CBB">
            <w:pPr>
              <w:spacing w:after="0" w:line="240" w:lineRule="auto"/>
              <w:rPr>
                <w:rFonts w:eastAsia="Times New Roman" w:cs="Calibri"/>
                <w:color w:val="000000"/>
              </w:rPr>
            </w:pPr>
            <w:r w:rsidRPr="00DE5EAF">
              <w:rPr>
                <w:rFonts w:eastAsia="Times New Roman" w:cs="Calibri"/>
                <w:color w:val="000000"/>
              </w:rPr>
              <w:t>Corrispettivi</w:t>
            </w:r>
          </w:p>
        </w:tc>
        <w:tc>
          <w:tcPr>
            <w:tcW w:w="1370" w:type="dxa"/>
            <w:noWrap/>
            <w:vAlign w:val="bottom"/>
            <w:hideMark/>
          </w:tcPr>
          <w:p w14:paraId="7D57760E" w14:textId="77777777" w:rsidR="00FD2CBB" w:rsidRPr="00DE5EAF" w:rsidRDefault="00FD2CBB">
            <w:pPr>
              <w:spacing w:after="0" w:line="240" w:lineRule="auto"/>
              <w:jc w:val="right"/>
              <w:rPr>
                <w:rFonts w:eastAsia="Times New Roman" w:cs="Calibri"/>
                <w:color w:val="000000"/>
              </w:rPr>
            </w:pPr>
            <w:r>
              <w:rPr>
                <w:rFonts w:cs="Calibri"/>
                <w:color w:val="000000"/>
              </w:rPr>
              <w:t>9.637</w:t>
            </w:r>
          </w:p>
        </w:tc>
        <w:tc>
          <w:tcPr>
            <w:tcW w:w="1370" w:type="dxa"/>
            <w:noWrap/>
            <w:vAlign w:val="bottom"/>
          </w:tcPr>
          <w:p w14:paraId="1F58E78E" w14:textId="77777777" w:rsidR="00FD2CBB" w:rsidRPr="00DE5EAF" w:rsidRDefault="00FD2CBB">
            <w:pPr>
              <w:spacing w:after="0" w:line="240" w:lineRule="auto"/>
              <w:jc w:val="right"/>
              <w:rPr>
                <w:rFonts w:eastAsia="Times New Roman" w:cs="Calibri"/>
                <w:color w:val="000000"/>
              </w:rPr>
            </w:pPr>
            <w:r>
              <w:rPr>
                <w:rFonts w:cs="Calibri"/>
                <w:color w:val="000000"/>
              </w:rPr>
              <w:t>9.637</w:t>
            </w:r>
          </w:p>
        </w:tc>
        <w:tc>
          <w:tcPr>
            <w:tcW w:w="1370" w:type="dxa"/>
            <w:noWrap/>
            <w:vAlign w:val="bottom"/>
          </w:tcPr>
          <w:p w14:paraId="30B7FECA" w14:textId="77777777" w:rsidR="00FD2CBB" w:rsidRPr="00DE5EAF" w:rsidRDefault="00FD2CBB">
            <w:pPr>
              <w:spacing w:after="0" w:line="240" w:lineRule="auto"/>
              <w:jc w:val="right"/>
              <w:rPr>
                <w:rFonts w:eastAsia="Times New Roman" w:cs="Calibri"/>
                <w:color w:val="000000"/>
              </w:rPr>
            </w:pPr>
            <w:r>
              <w:rPr>
                <w:rFonts w:cs="Calibri"/>
                <w:color w:val="000000"/>
              </w:rPr>
              <w:t>54.352</w:t>
            </w:r>
          </w:p>
        </w:tc>
      </w:tr>
      <w:tr w:rsidR="00FD2CBB" w:rsidRPr="00DE5EAF" w14:paraId="24520690" w14:textId="77777777" w:rsidTr="00C64A2F">
        <w:trPr>
          <w:trHeight w:val="300"/>
          <w:jc w:val="center"/>
        </w:trPr>
        <w:tc>
          <w:tcPr>
            <w:tcW w:w="3805" w:type="dxa"/>
            <w:noWrap/>
            <w:vAlign w:val="center"/>
            <w:hideMark/>
          </w:tcPr>
          <w:p w14:paraId="77C67F5A" w14:textId="77777777" w:rsidR="00FD2CBB" w:rsidRPr="00DE5EAF" w:rsidRDefault="00FD2CBB">
            <w:pPr>
              <w:spacing w:after="0" w:line="240" w:lineRule="auto"/>
              <w:rPr>
                <w:rFonts w:eastAsia="Times New Roman" w:cs="Calibri"/>
                <w:color w:val="000000"/>
              </w:rPr>
            </w:pPr>
            <w:r w:rsidRPr="00DE5EAF">
              <w:rPr>
                <w:rFonts w:eastAsia="Times New Roman" w:cs="Calibri"/>
                <w:color w:val="000000"/>
              </w:rPr>
              <w:t>Costo Infrastruttura</w:t>
            </w:r>
          </w:p>
        </w:tc>
        <w:tc>
          <w:tcPr>
            <w:tcW w:w="1370" w:type="dxa"/>
            <w:noWrap/>
            <w:vAlign w:val="bottom"/>
            <w:hideMark/>
          </w:tcPr>
          <w:p w14:paraId="15109CD4" w14:textId="77777777" w:rsidR="00FD2CBB" w:rsidRPr="00DE5EAF" w:rsidRDefault="00FD2CBB">
            <w:pPr>
              <w:spacing w:after="0" w:line="240" w:lineRule="auto"/>
              <w:jc w:val="right"/>
              <w:rPr>
                <w:rFonts w:eastAsia="Times New Roman" w:cs="Calibri"/>
                <w:color w:val="000000"/>
              </w:rPr>
            </w:pPr>
            <w:r>
              <w:rPr>
                <w:rFonts w:cs="Calibri"/>
                <w:color w:val="000000"/>
              </w:rPr>
              <w:t>0</w:t>
            </w:r>
          </w:p>
        </w:tc>
        <w:tc>
          <w:tcPr>
            <w:tcW w:w="1370" w:type="dxa"/>
            <w:noWrap/>
            <w:vAlign w:val="bottom"/>
          </w:tcPr>
          <w:p w14:paraId="395D31AE" w14:textId="77777777" w:rsidR="00FD2CBB" w:rsidRPr="00DE5EAF" w:rsidRDefault="00FD2CBB">
            <w:pPr>
              <w:spacing w:after="0" w:line="240" w:lineRule="auto"/>
              <w:jc w:val="right"/>
              <w:rPr>
                <w:rFonts w:eastAsia="Times New Roman" w:cs="Calibri"/>
                <w:color w:val="000000"/>
              </w:rPr>
            </w:pPr>
            <w:r>
              <w:rPr>
                <w:rFonts w:cs="Calibri"/>
                <w:color w:val="000000"/>
              </w:rPr>
              <w:t>0</w:t>
            </w:r>
          </w:p>
        </w:tc>
        <w:tc>
          <w:tcPr>
            <w:tcW w:w="1370" w:type="dxa"/>
            <w:noWrap/>
            <w:vAlign w:val="bottom"/>
          </w:tcPr>
          <w:p w14:paraId="4747B0AF" w14:textId="77777777" w:rsidR="00FD2CBB" w:rsidRPr="00DE5EAF" w:rsidRDefault="00FD2CBB">
            <w:pPr>
              <w:spacing w:after="0" w:line="240" w:lineRule="auto"/>
              <w:jc w:val="right"/>
              <w:rPr>
                <w:rFonts w:eastAsia="Times New Roman" w:cs="Calibri"/>
                <w:color w:val="000000"/>
              </w:rPr>
            </w:pPr>
            <w:r>
              <w:rPr>
                <w:rFonts w:cs="Calibri"/>
                <w:color w:val="000000"/>
              </w:rPr>
              <w:t>0</w:t>
            </w:r>
          </w:p>
        </w:tc>
      </w:tr>
      <w:tr w:rsidR="00FD2CBB" w:rsidRPr="00DE5EAF" w14:paraId="42E45A40" w14:textId="77777777" w:rsidTr="00C64A2F">
        <w:trPr>
          <w:trHeight w:val="300"/>
          <w:jc w:val="center"/>
        </w:trPr>
        <w:tc>
          <w:tcPr>
            <w:tcW w:w="3805" w:type="dxa"/>
            <w:noWrap/>
            <w:vAlign w:val="center"/>
            <w:hideMark/>
          </w:tcPr>
          <w:p w14:paraId="79D285BF" w14:textId="77777777" w:rsidR="00FD2CBB" w:rsidRPr="00DE5EAF" w:rsidRDefault="00FD2CBB">
            <w:pPr>
              <w:spacing w:after="0" w:line="240" w:lineRule="auto"/>
              <w:rPr>
                <w:rFonts w:eastAsia="Times New Roman" w:cs="Calibri"/>
                <w:color w:val="000000"/>
              </w:rPr>
            </w:pPr>
            <w:r w:rsidRPr="00DE5EAF">
              <w:rPr>
                <w:rFonts w:eastAsia="Times New Roman" w:cs="Calibri"/>
                <w:color w:val="000000"/>
              </w:rPr>
              <w:t>Passeggeri trasportati</w:t>
            </w:r>
          </w:p>
        </w:tc>
        <w:tc>
          <w:tcPr>
            <w:tcW w:w="1370" w:type="dxa"/>
            <w:noWrap/>
            <w:vAlign w:val="bottom"/>
            <w:hideMark/>
          </w:tcPr>
          <w:p w14:paraId="1C61DC83" w14:textId="77777777" w:rsidR="00FD2CBB" w:rsidRPr="00DE5EAF" w:rsidRDefault="00FD2CBB">
            <w:pPr>
              <w:spacing w:after="0" w:line="240" w:lineRule="auto"/>
              <w:jc w:val="right"/>
              <w:rPr>
                <w:rFonts w:eastAsia="Times New Roman" w:cs="Calibri"/>
                <w:color w:val="000000"/>
              </w:rPr>
            </w:pPr>
            <w:r>
              <w:rPr>
                <w:rFonts w:cs="Calibri"/>
                <w:color w:val="000000"/>
              </w:rPr>
              <w:t>875</w:t>
            </w:r>
          </w:p>
        </w:tc>
        <w:tc>
          <w:tcPr>
            <w:tcW w:w="1370" w:type="dxa"/>
            <w:noWrap/>
            <w:vAlign w:val="bottom"/>
          </w:tcPr>
          <w:p w14:paraId="71554542" w14:textId="77777777" w:rsidR="00FD2CBB" w:rsidRPr="00DE5EAF" w:rsidRDefault="00FD2CBB">
            <w:pPr>
              <w:spacing w:after="0" w:line="240" w:lineRule="auto"/>
              <w:jc w:val="right"/>
              <w:rPr>
                <w:rFonts w:eastAsia="Times New Roman" w:cs="Calibri"/>
                <w:color w:val="000000"/>
              </w:rPr>
            </w:pPr>
            <w:r>
              <w:rPr>
                <w:rFonts w:cs="Calibri"/>
                <w:color w:val="000000"/>
              </w:rPr>
              <w:t>821</w:t>
            </w:r>
          </w:p>
        </w:tc>
        <w:tc>
          <w:tcPr>
            <w:tcW w:w="1370" w:type="dxa"/>
            <w:noWrap/>
            <w:vAlign w:val="bottom"/>
          </w:tcPr>
          <w:p w14:paraId="6F4EF39A" w14:textId="77777777" w:rsidR="00FD2CBB" w:rsidRPr="00DE5EAF" w:rsidRDefault="00FD2CBB">
            <w:pPr>
              <w:spacing w:after="0" w:line="240" w:lineRule="auto"/>
              <w:jc w:val="right"/>
              <w:rPr>
                <w:rFonts w:eastAsia="Times New Roman" w:cs="Calibri"/>
                <w:color w:val="000000"/>
              </w:rPr>
            </w:pPr>
            <w:r>
              <w:rPr>
                <w:rFonts w:cs="Calibri"/>
                <w:color w:val="000000"/>
              </w:rPr>
              <w:t>4.339</w:t>
            </w:r>
          </w:p>
        </w:tc>
      </w:tr>
      <w:tr w:rsidR="00FD2CBB" w:rsidRPr="00DE5EAF" w14:paraId="395DF3AD" w14:textId="77777777" w:rsidTr="00C64A2F">
        <w:trPr>
          <w:trHeight w:val="300"/>
          <w:jc w:val="center"/>
        </w:trPr>
        <w:tc>
          <w:tcPr>
            <w:tcW w:w="3805" w:type="dxa"/>
            <w:noWrap/>
            <w:vAlign w:val="center"/>
            <w:hideMark/>
          </w:tcPr>
          <w:p w14:paraId="4D67141A" w14:textId="77777777" w:rsidR="00FD2CBB" w:rsidRPr="00DE5EAF" w:rsidRDefault="00FD2CBB">
            <w:pPr>
              <w:spacing w:after="0" w:line="240" w:lineRule="auto"/>
              <w:rPr>
                <w:rFonts w:eastAsia="Times New Roman" w:cs="Calibri"/>
                <w:color w:val="000000"/>
              </w:rPr>
            </w:pPr>
            <w:r w:rsidRPr="00DE5EAF">
              <w:rPr>
                <w:rFonts w:eastAsia="Times New Roman" w:cs="Calibri"/>
                <w:color w:val="000000"/>
              </w:rPr>
              <w:t>Addetti</w:t>
            </w:r>
          </w:p>
        </w:tc>
        <w:tc>
          <w:tcPr>
            <w:tcW w:w="1370" w:type="dxa"/>
            <w:noWrap/>
            <w:vAlign w:val="bottom"/>
            <w:hideMark/>
          </w:tcPr>
          <w:p w14:paraId="067B14E5" w14:textId="77777777" w:rsidR="00FD2CBB" w:rsidRPr="00DE5EAF" w:rsidRDefault="00FD2CBB">
            <w:pPr>
              <w:spacing w:after="0" w:line="240" w:lineRule="auto"/>
              <w:jc w:val="right"/>
              <w:rPr>
                <w:rFonts w:eastAsia="Times New Roman" w:cs="Calibri"/>
                <w:color w:val="000000"/>
              </w:rPr>
            </w:pPr>
            <w:r>
              <w:rPr>
                <w:rFonts w:cs="Calibri"/>
                <w:color w:val="000000"/>
              </w:rPr>
              <w:t>1</w:t>
            </w:r>
          </w:p>
        </w:tc>
        <w:tc>
          <w:tcPr>
            <w:tcW w:w="1370" w:type="dxa"/>
            <w:noWrap/>
            <w:vAlign w:val="bottom"/>
          </w:tcPr>
          <w:p w14:paraId="3ADD5ACD" w14:textId="77777777" w:rsidR="00FD2CBB" w:rsidRPr="00DE5EAF" w:rsidRDefault="00FD2CBB">
            <w:pPr>
              <w:spacing w:after="0" w:line="240" w:lineRule="auto"/>
              <w:jc w:val="right"/>
              <w:rPr>
                <w:rFonts w:eastAsia="Times New Roman" w:cs="Calibri"/>
                <w:color w:val="000000"/>
              </w:rPr>
            </w:pPr>
            <w:r>
              <w:rPr>
                <w:rFonts w:cs="Calibri"/>
                <w:color w:val="000000"/>
              </w:rPr>
              <w:t>1</w:t>
            </w:r>
          </w:p>
        </w:tc>
        <w:tc>
          <w:tcPr>
            <w:tcW w:w="1370" w:type="dxa"/>
            <w:noWrap/>
            <w:vAlign w:val="bottom"/>
          </w:tcPr>
          <w:p w14:paraId="58F13A7F" w14:textId="77777777" w:rsidR="00FD2CBB" w:rsidRPr="00DE5EAF" w:rsidRDefault="00FD2CBB">
            <w:pPr>
              <w:spacing w:after="0" w:line="240" w:lineRule="auto"/>
              <w:jc w:val="right"/>
              <w:rPr>
                <w:rFonts w:eastAsia="Times New Roman" w:cs="Calibri"/>
                <w:color w:val="000000"/>
              </w:rPr>
            </w:pPr>
            <w:r>
              <w:rPr>
                <w:rFonts w:cs="Calibri"/>
                <w:color w:val="000000"/>
              </w:rPr>
              <w:t>3</w:t>
            </w:r>
          </w:p>
        </w:tc>
      </w:tr>
      <w:tr w:rsidR="00FD2CBB" w:rsidRPr="00DE5EAF" w14:paraId="24D55FD3" w14:textId="77777777" w:rsidTr="00C64A2F">
        <w:trPr>
          <w:trHeight w:val="300"/>
          <w:jc w:val="center"/>
        </w:trPr>
        <w:tc>
          <w:tcPr>
            <w:tcW w:w="3805" w:type="dxa"/>
            <w:noWrap/>
            <w:vAlign w:val="center"/>
            <w:hideMark/>
          </w:tcPr>
          <w:p w14:paraId="645A1002" w14:textId="77777777" w:rsidR="00FD2CBB" w:rsidRPr="00DE5EAF" w:rsidRDefault="00FD2CBB">
            <w:pPr>
              <w:spacing w:after="0" w:line="240" w:lineRule="auto"/>
              <w:rPr>
                <w:rFonts w:eastAsia="Times New Roman" w:cs="Calibri"/>
                <w:color w:val="000000"/>
              </w:rPr>
            </w:pPr>
            <w:r w:rsidRPr="00DE5EAF">
              <w:rPr>
                <w:rFonts w:eastAsia="Times New Roman" w:cs="Calibri"/>
                <w:color w:val="000000"/>
              </w:rPr>
              <w:t>Contributi CCNL</w:t>
            </w:r>
          </w:p>
        </w:tc>
        <w:tc>
          <w:tcPr>
            <w:tcW w:w="1370" w:type="dxa"/>
            <w:noWrap/>
            <w:vAlign w:val="bottom"/>
            <w:hideMark/>
          </w:tcPr>
          <w:p w14:paraId="6E250699" w14:textId="77777777" w:rsidR="00FD2CBB" w:rsidRPr="00DE5EAF" w:rsidRDefault="00FD2CBB">
            <w:pPr>
              <w:spacing w:after="0" w:line="240" w:lineRule="auto"/>
              <w:jc w:val="right"/>
              <w:rPr>
                <w:rFonts w:eastAsia="Times New Roman" w:cs="Calibri"/>
                <w:color w:val="000000"/>
              </w:rPr>
            </w:pPr>
            <w:r>
              <w:rPr>
                <w:rFonts w:cs="Calibri"/>
                <w:color w:val="000000"/>
              </w:rPr>
              <w:t>0</w:t>
            </w:r>
          </w:p>
        </w:tc>
        <w:tc>
          <w:tcPr>
            <w:tcW w:w="1370" w:type="dxa"/>
            <w:noWrap/>
            <w:vAlign w:val="bottom"/>
          </w:tcPr>
          <w:p w14:paraId="1D7B0EAD" w14:textId="77777777" w:rsidR="00FD2CBB" w:rsidRPr="00DE5EAF" w:rsidRDefault="00FD2CBB">
            <w:pPr>
              <w:spacing w:after="0" w:line="240" w:lineRule="auto"/>
              <w:jc w:val="right"/>
              <w:rPr>
                <w:rFonts w:eastAsia="Times New Roman" w:cs="Calibri"/>
                <w:color w:val="000000"/>
              </w:rPr>
            </w:pPr>
            <w:r>
              <w:rPr>
                <w:rFonts w:cs="Calibri"/>
                <w:color w:val="000000"/>
              </w:rPr>
              <w:t>0</w:t>
            </w:r>
          </w:p>
        </w:tc>
        <w:tc>
          <w:tcPr>
            <w:tcW w:w="1370" w:type="dxa"/>
            <w:noWrap/>
            <w:vAlign w:val="bottom"/>
          </w:tcPr>
          <w:p w14:paraId="14EEB654" w14:textId="77777777" w:rsidR="00FD2CBB" w:rsidRPr="00DE5EAF" w:rsidRDefault="00FD2CBB">
            <w:pPr>
              <w:spacing w:after="0" w:line="240" w:lineRule="auto"/>
              <w:jc w:val="right"/>
              <w:rPr>
                <w:rFonts w:eastAsia="Times New Roman" w:cs="Calibri"/>
                <w:color w:val="000000"/>
              </w:rPr>
            </w:pPr>
            <w:r>
              <w:rPr>
                <w:rFonts w:cs="Calibri"/>
                <w:color w:val="000000"/>
              </w:rPr>
              <w:t>0</w:t>
            </w:r>
          </w:p>
        </w:tc>
      </w:tr>
      <w:tr w:rsidR="00FD2CBB" w:rsidRPr="00DE5EAF" w14:paraId="67B0A338" w14:textId="77777777" w:rsidTr="00C64A2F">
        <w:trPr>
          <w:trHeight w:val="555"/>
          <w:jc w:val="center"/>
        </w:trPr>
        <w:tc>
          <w:tcPr>
            <w:tcW w:w="7915" w:type="dxa"/>
            <w:gridSpan w:val="4"/>
            <w:noWrap/>
            <w:vAlign w:val="center"/>
            <w:hideMark/>
          </w:tcPr>
          <w:p w14:paraId="28C9FB0B" w14:textId="77777777" w:rsidR="00FD2CBB" w:rsidRPr="00DE5EAF" w:rsidRDefault="00FD2CBB">
            <w:pPr>
              <w:spacing w:after="0" w:line="240" w:lineRule="auto"/>
              <w:rPr>
                <w:rFonts w:eastAsia="Times New Roman" w:cs="Calibri"/>
                <w:color w:val="000000"/>
              </w:rPr>
            </w:pPr>
            <w:r w:rsidRPr="00DE5EAF">
              <w:rPr>
                <w:rFonts w:eastAsia="Times New Roman" w:cs="Calibri"/>
                <w:color w:val="000000"/>
              </w:rPr>
              <w:t>* Accordi di Programma per i quali sono stati inseriti dati ricavati da monitoraggi diretti di AMP</w:t>
            </w:r>
          </w:p>
        </w:tc>
      </w:tr>
    </w:tbl>
    <w:p w14:paraId="7E728D75" w14:textId="658AE71B" w:rsidR="00FD2CBB" w:rsidRPr="002568A7" w:rsidRDefault="00FD2CBB" w:rsidP="00FD2CBB">
      <w:pPr>
        <w:pStyle w:val="Didascalia"/>
        <w:jc w:val="center"/>
      </w:pPr>
      <w:r w:rsidRPr="005775E9">
        <w:t xml:space="preserve">Tabella </w:t>
      </w:r>
      <w:r w:rsidR="00FD7EE5">
        <w:fldChar w:fldCharType="begin"/>
      </w:r>
      <w:r w:rsidR="00FD7EE5">
        <w:instrText xml:space="preserve"> SEQ Tabella \* ARABIC </w:instrText>
      </w:r>
      <w:r w:rsidR="00FD7EE5">
        <w:fldChar w:fldCharType="separate"/>
      </w:r>
      <w:r w:rsidR="00073B6D">
        <w:rPr>
          <w:noProof/>
        </w:rPr>
        <w:t>34</w:t>
      </w:r>
      <w:r w:rsidR="00FD7EE5">
        <w:rPr>
          <w:noProof/>
        </w:rPr>
        <w:fldChar w:fldCharType="end"/>
      </w:r>
      <w:r w:rsidRPr="005775E9">
        <w:t xml:space="preserve"> – Dati di sintesi AdP (rielaborazione dati Osservatorio Nazionale TPL)</w:t>
      </w:r>
    </w:p>
    <w:p w14:paraId="0BA9B3D9" w14:textId="77777777" w:rsidR="00FD2CBB" w:rsidRDefault="00FD2CBB" w:rsidP="00FD2CBB">
      <w:pPr>
        <w:pStyle w:val="Titolo2"/>
        <w:ind w:left="567"/>
      </w:pPr>
      <w:bookmarkStart w:id="211" w:name="_Toc193195709"/>
      <w:bookmarkStart w:id="212" w:name="_Toc1034240282"/>
      <w:bookmarkStart w:id="213" w:name="_Toc197695687"/>
      <w:bookmarkStart w:id="214" w:name="_Toc204328728"/>
      <w:bookmarkStart w:id="215" w:name="_Toc213078368"/>
      <w:r>
        <w:t>Infrastrutture a servizio del trasporto pubblico locale</w:t>
      </w:r>
      <w:bookmarkEnd w:id="211"/>
      <w:bookmarkEnd w:id="212"/>
      <w:bookmarkEnd w:id="213"/>
      <w:bookmarkEnd w:id="214"/>
      <w:bookmarkEnd w:id="215"/>
    </w:p>
    <w:p w14:paraId="08654681" w14:textId="77777777" w:rsidR="00FD2CBB" w:rsidRPr="00615682" w:rsidRDefault="00FD2CBB" w:rsidP="00FD2CBB">
      <w:pPr>
        <w:pStyle w:val="Titolo3"/>
        <w:ind w:left="720"/>
      </w:pPr>
      <w:bookmarkStart w:id="216" w:name="_Toc193195710"/>
      <w:bookmarkStart w:id="217" w:name="_Toc1315509451"/>
      <w:bookmarkStart w:id="218" w:name="_Toc197695688"/>
      <w:bookmarkStart w:id="219" w:name="_Toc204328729"/>
      <w:bookmarkStart w:id="220" w:name="_Toc213078369"/>
      <w:r w:rsidRPr="00615682">
        <w:t>Nodi d’interscambio</w:t>
      </w:r>
      <w:bookmarkEnd w:id="216"/>
      <w:bookmarkEnd w:id="217"/>
      <w:bookmarkEnd w:id="218"/>
      <w:bookmarkEnd w:id="219"/>
      <w:bookmarkEnd w:id="220"/>
    </w:p>
    <w:p w14:paraId="304E7EF5" w14:textId="77777777" w:rsidR="00FD2CBB" w:rsidRDefault="00FD2CBB" w:rsidP="00FD2CBB">
      <w:pPr>
        <w:tabs>
          <w:tab w:val="left" w:pos="6804"/>
        </w:tabs>
        <w:spacing w:before="120" w:after="0" w:line="240" w:lineRule="auto"/>
        <w:rPr>
          <w:rFonts w:cs="Times New Roman"/>
          <w:color w:val="000000" w:themeColor="text1"/>
        </w:rPr>
      </w:pPr>
      <w:r w:rsidRPr="00A2769C">
        <w:rPr>
          <w:rFonts w:cs="Times New Roman"/>
          <w:color w:val="000000" w:themeColor="text1"/>
        </w:rPr>
        <w:t>A servizio del sistema di mobilità sono stati da tempo individuati in Regione Piemonte dei nodi strategici denominati “</w:t>
      </w:r>
      <w:r w:rsidRPr="00A2769C">
        <w:rPr>
          <w:rFonts w:cs="Times New Roman"/>
          <w:b/>
          <w:bCs/>
          <w:color w:val="000000" w:themeColor="text1"/>
        </w:rPr>
        <w:t>Movicentro</w:t>
      </w:r>
      <w:r w:rsidRPr="00A2769C">
        <w:rPr>
          <w:rFonts w:cs="Times New Roman"/>
          <w:color w:val="000000" w:themeColor="text1"/>
        </w:rPr>
        <w:t xml:space="preserve">”, infrastrutturati per garantire l’interscambio fra più modi di trasporto, con particolare attenzione allo scambio tra i servizi di trasporto pubblico ferroviario e </w:t>
      </w:r>
      <w:r w:rsidRPr="00A2769C">
        <w:rPr>
          <w:rFonts w:cs="Times New Roman"/>
          <w:color w:val="000000" w:themeColor="text1"/>
        </w:rPr>
        <w:lastRenderedPageBreak/>
        <w:t>automobilistico, ma anche tra diversi sistemi modali (auto, bici, sharing). Per tale ragione trovano collocazione presso le stazioni ferroviarie e sono variamente infrastrutturati a seconda del contesto territoriale e di servizio.</w:t>
      </w:r>
    </w:p>
    <w:p w14:paraId="4E694A67" w14:textId="77777777" w:rsidR="00FD2CBB" w:rsidRPr="00A2769C" w:rsidRDefault="00FD2CBB" w:rsidP="00FD2CBB">
      <w:pPr>
        <w:tabs>
          <w:tab w:val="left" w:pos="6804"/>
        </w:tabs>
        <w:spacing w:before="120" w:after="0" w:line="240" w:lineRule="auto"/>
        <w:rPr>
          <w:rFonts w:cs="Times New Roman"/>
          <w:color w:val="000000" w:themeColor="text1"/>
        </w:rPr>
      </w:pPr>
      <w:r>
        <w:rPr>
          <w:rFonts w:cs="Times New Roman"/>
          <w:color w:val="000000" w:themeColor="text1"/>
        </w:rPr>
        <w:t xml:space="preserve">Nel Bacino Metropolitano sono presenti dodici punti di interscambio classificati come Movicentro, localizzati nelle città di Alpignano, Avigliana, Chieri, Chivasso, Collegno, Ivrea, Lanzo, Moncalieri, Pinerolo, Torino Stura, Trofarello e Venaria, come </w:t>
      </w:r>
      <w:r w:rsidRPr="00A2769C">
        <w:rPr>
          <w:rFonts w:cs="Times New Roman"/>
          <w:color w:val="000000" w:themeColor="text1"/>
        </w:rPr>
        <w:t>rappresentat</w:t>
      </w:r>
      <w:r>
        <w:rPr>
          <w:rFonts w:cs="Times New Roman"/>
          <w:color w:val="000000" w:themeColor="text1"/>
        </w:rPr>
        <w:t>o</w:t>
      </w:r>
      <w:r w:rsidRPr="00A2769C">
        <w:rPr>
          <w:rFonts w:cs="Times New Roman"/>
          <w:color w:val="000000" w:themeColor="text1"/>
        </w:rPr>
        <w:t xml:space="preserve"> nella mappa </w:t>
      </w:r>
      <w:r>
        <w:rPr>
          <w:rFonts w:cs="Times New Roman"/>
          <w:color w:val="000000" w:themeColor="text1"/>
        </w:rPr>
        <w:t>sottostante</w:t>
      </w:r>
      <w:r w:rsidRPr="00A2769C">
        <w:rPr>
          <w:rFonts w:cs="Times New Roman"/>
          <w:color w:val="000000" w:themeColor="text1"/>
        </w:rPr>
        <w:t>. Tali punti sono definibili “Nodi rilevanti di primo livello” ai sensi della Delibera ART n. 53</w:t>
      </w:r>
      <w:r w:rsidRPr="00A2769C">
        <w:rPr>
          <w:color w:val="242424"/>
        </w:rPr>
        <w:t>/2024</w:t>
      </w:r>
      <w:r w:rsidRPr="00A2769C">
        <w:rPr>
          <w:rStyle w:val="Rimandonotaapidipagina"/>
          <w:color w:val="242424"/>
        </w:rPr>
        <w:footnoteReference w:id="26"/>
      </w:r>
      <w:r w:rsidRPr="0A3010E0">
        <w:rPr>
          <w:color w:val="242424"/>
          <w:shd w:val="clear" w:color="auto" w:fill="FAFAFA"/>
        </w:rPr>
        <w:t xml:space="preserve"> </w:t>
      </w:r>
      <w:r w:rsidRPr="00A2769C">
        <w:rPr>
          <w:rFonts w:cs="Times New Roman"/>
          <w:color w:val="000000" w:themeColor="text1"/>
        </w:rPr>
        <w:t>e sono quindi da ritenersi essenziali nella programmazione dei servizi di trasporto automobilistico.</w:t>
      </w:r>
    </w:p>
    <w:p w14:paraId="3858439C" w14:textId="77777777" w:rsidR="00FD2CBB" w:rsidRPr="00A2769C" w:rsidRDefault="00FD2CBB" w:rsidP="00FD2CBB">
      <w:pPr>
        <w:tabs>
          <w:tab w:val="left" w:pos="6804"/>
        </w:tabs>
        <w:spacing w:before="120" w:after="0" w:line="240" w:lineRule="auto"/>
        <w:rPr>
          <w:rFonts w:cs="Times New Roman"/>
          <w:color w:val="000000" w:themeColor="text1"/>
        </w:rPr>
      </w:pPr>
    </w:p>
    <w:p w14:paraId="2D268A9E" w14:textId="77777777" w:rsidR="00FD2CBB" w:rsidRPr="00790DDF" w:rsidRDefault="00FD2CBB" w:rsidP="00FD2CBB">
      <w:pPr>
        <w:shd w:val="clear" w:color="auto" w:fill="FAFAFA"/>
        <w:spacing w:before="120" w:after="0" w:line="240" w:lineRule="auto"/>
        <w:jc w:val="left"/>
        <w:rPr>
          <w:rFonts w:eastAsia="Times New Roman" w:cstheme="minorHAnsi"/>
        </w:rPr>
      </w:pPr>
      <w:r w:rsidRPr="00790DDF">
        <w:rPr>
          <w:rFonts w:eastAsia="Times New Roman" w:cstheme="minorHAnsi"/>
          <w:noProof/>
        </w:rPr>
        <w:drawing>
          <wp:inline distT="0" distB="0" distL="0" distR="0" wp14:anchorId="2EE74923" wp14:editId="79EDA053">
            <wp:extent cx="5758628" cy="4072255"/>
            <wp:effectExtent l="19050" t="19050" r="13970" b="23495"/>
            <wp:docPr id="1564335636" name="Immagine 1564335636" descr="Immagine che contiene mappa, atlante, testo, diagramm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335636" name="Immagine 1564335636" descr="Immagine che contiene mappa, atlante, testo, diagramma&#10;&#10;Descrizione generata automaticamente"/>
                    <pic:cNvPicPr>
                      <a:picLocks noChangeAspect="1" noChangeArrowheads="1"/>
                    </pic:cNvPicPr>
                  </pic:nvPicPr>
                  <pic:blipFill>
                    <a:blip r:embed="rId68" cstate="print">
                      <a:extLst>
                        <a:ext uri="{28A0092B-C50C-407E-A947-70E740481C1C}">
                          <a14:useLocalDpi xmlns:a14="http://schemas.microsoft.com/office/drawing/2010/main" val="0"/>
                        </a:ext>
                      </a:extLst>
                    </a:blip>
                    <a:stretch>
                      <a:fillRect/>
                    </a:stretch>
                  </pic:blipFill>
                  <pic:spPr bwMode="auto">
                    <a:xfrm>
                      <a:off x="0" y="0"/>
                      <a:ext cx="5758628" cy="4072255"/>
                    </a:xfrm>
                    <a:prstGeom prst="rect">
                      <a:avLst/>
                    </a:prstGeom>
                    <a:noFill/>
                    <a:ln>
                      <a:solidFill>
                        <a:schemeClr val="accent6">
                          <a:lumMod val="50000"/>
                        </a:schemeClr>
                      </a:solidFill>
                    </a:ln>
                  </pic:spPr>
                </pic:pic>
              </a:graphicData>
            </a:graphic>
          </wp:inline>
        </w:drawing>
      </w:r>
    </w:p>
    <w:p w14:paraId="3AA0AC29" w14:textId="51EE0F10" w:rsidR="00FD2CBB" w:rsidRPr="001D5603" w:rsidRDefault="00FD2CBB" w:rsidP="00FD2CBB">
      <w:pPr>
        <w:pStyle w:val="Didascalia"/>
        <w:spacing w:before="120"/>
        <w:jc w:val="center"/>
        <w:rPr>
          <w:rFonts w:cstheme="minorHAnsi"/>
        </w:rPr>
      </w:pPr>
      <w:r w:rsidRPr="001D5603">
        <w:rPr>
          <w:rFonts w:cstheme="minorHAnsi"/>
        </w:rPr>
        <w:t xml:space="preserve">Figura </w:t>
      </w:r>
      <w:r w:rsidR="00FD7EE5">
        <w:fldChar w:fldCharType="begin"/>
      </w:r>
      <w:r w:rsidR="00FD7EE5">
        <w:instrText xml:space="preserve"> SEQ Figura \* ARABIC </w:instrText>
      </w:r>
      <w:r w:rsidR="00FD7EE5">
        <w:fldChar w:fldCharType="separate"/>
      </w:r>
      <w:r w:rsidR="00073B6D">
        <w:rPr>
          <w:noProof/>
        </w:rPr>
        <w:t>32</w:t>
      </w:r>
      <w:r w:rsidR="00FD7EE5">
        <w:rPr>
          <w:noProof/>
        </w:rPr>
        <w:fldChar w:fldCharType="end"/>
      </w:r>
      <w:r w:rsidRPr="001D5603">
        <w:rPr>
          <w:rFonts w:cstheme="minorHAnsi"/>
        </w:rPr>
        <w:t xml:space="preserve"> –Nodi di interscambio di I livello del Bacino </w:t>
      </w:r>
      <w:r>
        <w:rPr>
          <w:rFonts w:cstheme="minorHAnsi"/>
        </w:rPr>
        <w:t>Metropolitano</w:t>
      </w:r>
    </w:p>
    <w:p w14:paraId="40F975CA" w14:textId="77777777" w:rsidR="00FD2CBB" w:rsidRDefault="00FD2CBB" w:rsidP="00FD2CBB">
      <w:r>
        <w:br w:type="page"/>
      </w:r>
    </w:p>
    <w:tbl>
      <w:tblPr>
        <w:tblpPr w:leftFromText="141" w:rightFromText="141" w:vertAnchor="text" w:tblpY="1"/>
        <w:tblOverlap w:val="never"/>
        <w:tblW w:w="9395" w:type="dxa"/>
        <w:tblCellMar>
          <w:left w:w="70" w:type="dxa"/>
          <w:right w:w="70" w:type="dxa"/>
        </w:tblCellMar>
        <w:tblLook w:val="04A0" w:firstRow="1" w:lastRow="0" w:firstColumn="1" w:lastColumn="0" w:noHBand="0" w:noVBand="1"/>
      </w:tblPr>
      <w:tblGrid>
        <w:gridCol w:w="1244"/>
        <w:gridCol w:w="1439"/>
        <w:gridCol w:w="1279"/>
        <w:gridCol w:w="1258"/>
        <w:gridCol w:w="854"/>
        <w:gridCol w:w="3321"/>
      </w:tblGrid>
      <w:tr w:rsidR="00FD2CBB" w:rsidRPr="00A2769C" w14:paraId="4B3CADE7" w14:textId="77777777">
        <w:trPr>
          <w:trHeight w:val="1104"/>
        </w:trPr>
        <w:tc>
          <w:tcPr>
            <w:tcW w:w="1245" w:type="dxa"/>
            <w:tcBorders>
              <w:top w:val="single" w:sz="8" w:space="0" w:color="A6A6A6"/>
              <w:left w:val="single" w:sz="8" w:space="0" w:color="A6A6A6"/>
              <w:bottom w:val="single" w:sz="8" w:space="0" w:color="A6A6A6"/>
              <w:right w:val="single" w:sz="8" w:space="0" w:color="A6A6A6"/>
            </w:tcBorders>
            <w:shd w:val="clear" w:color="000000" w:fill="EE3438"/>
            <w:vAlign w:val="center"/>
            <w:hideMark/>
          </w:tcPr>
          <w:p w14:paraId="3D289881" w14:textId="77777777" w:rsidR="00FD2CBB" w:rsidRPr="00372774" w:rsidRDefault="00FD2CBB">
            <w:pPr>
              <w:spacing w:after="0" w:line="240" w:lineRule="auto"/>
              <w:jc w:val="left"/>
              <w:rPr>
                <w:rFonts w:eastAsia="Times New Roman" w:cs="Calibri"/>
                <w:b/>
                <w:color w:val="FFFFFF" w:themeColor="background1"/>
              </w:rPr>
            </w:pPr>
            <w:r w:rsidRPr="00372774">
              <w:rPr>
                <w:rFonts w:eastAsia="Times New Roman" w:cs="Calibri"/>
                <w:b/>
                <w:color w:val="FFFFFF" w:themeColor="background1"/>
              </w:rPr>
              <w:lastRenderedPageBreak/>
              <w:t>Movicentro</w:t>
            </w:r>
          </w:p>
        </w:tc>
        <w:tc>
          <w:tcPr>
            <w:tcW w:w="1439" w:type="dxa"/>
            <w:tcBorders>
              <w:top w:val="single" w:sz="8" w:space="0" w:color="A6A6A6"/>
              <w:left w:val="nil"/>
              <w:bottom w:val="single" w:sz="8" w:space="0" w:color="A6A6A6"/>
              <w:right w:val="single" w:sz="8" w:space="0" w:color="A6A6A6"/>
            </w:tcBorders>
            <w:shd w:val="clear" w:color="000000" w:fill="EE3438"/>
            <w:vAlign w:val="center"/>
            <w:hideMark/>
          </w:tcPr>
          <w:p w14:paraId="596F69B3" w14:textId="77777777" w:rsidR="00FD2CBB" w:rsidRPr="00372774" w:rsidRDefault="00FD2CBB">
            <w:pPr>
              <w:spacing w:after="0" w:line="240" w:lineRule="auto"/>
              <w:jc w:val="left"/>
              <w:rPr>
                <w:rFonts w:eastAsia="Times New Roman" w:cs="Calibri"/>
                <w:b/>
                <w:color w:val="FFFFFF" w:themeColor="background1"/>
              </w:rPr>
            </w:pPr>
            <w:r w:rsidRPr="00372774">
              <w:rPr>
                <w:rFonts w:eastAsia="Times New Roman" w:cs="Calibri"/>
                <w:b/>
                <w:color w:val="FFFFFF" w:themeColor="background1"/>
              </w:rPr>
              <w:t>Modi di trasporto</w:t>
            </w:r>
          </w:p>
        </w:tc>
        <w:tc>
          <w:tcPr>
            <w:tcW w:w="1280" w:type="dxa"/>
            <w:tcBorders>
              <w:top w:val="single" w:sz="8" w:space="0" w:color="A6A6A6"/>
              <w:left w:val="nil"/>
              <w:bottom w:val="single" w:sz="8" w:space="0" w:color="A6A6A6"/>
              <w:right w:val="single" w:sz="8" w:space="0" w:color="A6A6A6"/>
            </w:tcBorders>
            <w:shd w:val="clear" w:color="000000" w:fill="EE3438"/>
            <w:vAlign w:val="center"/>
            <w:hideMark/>
          </w:tcPr>
          <w:p w14:paraId="2236D3E4" w14:textId="77777777" w:rsidR="00FD2CBB" w:rsidRPr="00372774" w:rsidRDefault="00FD2CBB">
            <w:pPr>
              <w:spacing w:after="0" w:line="240" w:lineRule="auto"/>
              <w:jc w:val="left"/>
              <w:rPr>
                <w:rFonts w:eastAsia="Times New Roman" w:cs="Calibri"/>
                <w:b/>
                <w:color w:val="FFFFFF" w:themeColor="background1"/>
              </w:rPr>
            </w:pPr>
            <w:r w:rsidRPr="00372774">
              <w:rPr>
                <w:rFonts w:eastAsia="Times New Roman" w:cs="Calibri"/>
                <w:b/>
                <w:color w:val="FFFFFF" w:themeColor="background1"/>
              </w:rPr>
              <w:t>Tipologia nodo di I livello</w:t>
            </w:r>
          </w:p>
        </w:tc>
        <w:tc>
          <w:tcPr>
            <w:tcW w:w="1222" w:type="dxa"/>
            <w:tcBorders>
              <w:top w:val="single" w:sz="8" w:space="0" w:color="A6A6A6"/>
              <w:left w:val="nil"/>
              <w:bottom w:val="single" w:sz="8" w:space="0" w:color="A6A6A6"/>
              <w:right w:val="single" w:sz="8" w:space="0" w:color="A6A6A6"/>
            </w:tcBorders>
            <w:shd w:val="clear" w:color="000000" w:fill="EE3438"/>
            <w:vAlign w:val="center"/>
            <w:hideMark/>
          </w:tcPr>
          <w:p w14:paraId="2C6B9FD4" w14:textId="77777777" w:rsidR="00FD2CBB" w:rsidRPr="00372774" w:rsidRDefault="00FD2CBB">
            <w:pPr>
              <w:spacing w:after="0" w:line="240" w:lineRule="auto"/>
              <w:jc w:val="left"/>
              <w:rPr>
                <w:rFonts w:eastAsia="Times New Roman" w:cs="Calibri"/>
                <w:b/>
                <w:color w:val="FFFFFF" w:themeColor="background1"/>
              </w:rPr>
            </w:pPr>
            <w:r w:rsidRPr="00372774">
              <w:rPr>
                <w:rFonts w:eastAsia="Times New Roman" w:cs="Calibri"/>
                <w:b/>
                <w:color w:val="FFFFFF" w:themeColor="background1"/>
              </w:rPr>
              <w:t>Convenzioni e Accordi</w:t>
            </w:r>
          </w:p>
        </w:tc>
        <w:tc>
          <w:tcPr>
            <w:tcW w:w="854" w:type="dxa"/>
            <w:tcBorders>
              <w:top w:val="single" w:sz="8" w:space="0" w:color="A6A6A6"/>
              <w:left w:val="nil"/>
              <w:bottom w:val="single" w:sz="8" w:space="0" w:color="A6A6A6"/>
              <w:right w:val="single" w:sz="8" w:space="0" w:color="A6A6A6"/>
            </w:tcBorders>
            <w:shd w:val="clear" w:color="000000" w:fill="EE3438"/>
            <w:vAlign w:val="center"/>
            <w:hideMark/>
          </w:tcPr>
          <w:p w14:paraId="37DF653A" w14:textId="77777777" w:rsidR="00FD2CBB" w:rsidRPr="00372774" w:rsidRDefault="00FD2CBB">
            <w:pPr>
              <w:spacing w:after="0" w:line="240" w:lineRule="auto"/>
              <w:jc w:val="left"/>
              <w:rPr>
                <w:rFonts w:eastAsia="Times New Roman" w:cs="Calibri"/>
                <w:b/>
                <w:color w:val="FFFFFF" w:themeColor="background1"/>
              </w:rPr>
            </w:pPr>
            <w:r w:rsidRPr="00372774">
              <w:rPr>
                <w:rFonts w:eastAsia="Times New Roman" w:cs="Calibri"/>
                <w:b/>
                <w:color w:val="FFFFFF" w:themeColor="background1"/>
              </w:rPr>
              <w:t>Costi</w:t>
            </w:r>
          </w:p>
        </w:tc>
        <w:tc>
          <w:tcPr>
            <w:tcW w:w="3355" w:type="dxa"/>
            <w:tcBorders>
              <w:top w:val="single" w:sz="8" w:space="0" w:color="A6A6A6"/>
              <w:left w:val="nil"/>
              <w:bottom w:val="single" w:sz="8" w:space="0" w:color="A6A6A6"/>
              <w:right w:val="single" w:sz="8" w:space="0" w:color="A6A6A6"/>
            </w:tcBorders>
            <w:shd w:val="clear" w:color="000000" w:fill="EE3438"/>
            <w:vAlign w:val="center"/>
            <w:hideMark/>
          </w:tcPr>
          <w:p w14:paraId="103B3A6A" w14:textId="77777777" w:rsidR="00FD2CBB" w:rsidRPr="00372774" w:rsidRDefault="00FD2CBB">
            <w:pPr>
              <w:spacing w:after="0" w:line="240" w:lineRule="auto"/>
              <w:jc w:val="left"/>
              <w:rPr>
                <w:rFonts w:eastAsia="Times New Roman" w:cs="Calibri"/>
                <w:b/>
                <w:color w:val="FFFFFF" w:themeColor="background1"/>
              </w:rPr>
            </w:pPr>
            <w:r w:rsidRPr="00372774">
              <w:rPr>
                <w:rFonts w:eastAsia="Times New Roman" w:cs="Calibri"/>
                <w:b/>
                <w:color w:val="FFFFFF" w:themeColor="background1"/>
              </w:rPr>
              <w:t>Note</w:t>
            </w:r>
          </w:p>
        </w:tc>
      </w:tr>
      <w:tr w:rsidR="00FD2CBB" w:rsidRPr="00A2769C" w14:paraId="3329D019" w14:textId="77777777">
        <w:trPr>
          <w:trHeight w:val="668"/>
        </w:trPr>
        <w:tc>
          <w:tcPr>
            <w:tcW w:w="1245" w:type="dxa"/>
            <w:vMerge w:val="restart"/>
            <w:tcBorders>
              <w:top w:val="nil"/>
              <w:left w:val="single" w:sz="8" w:space="0" w:color="A6A6A6"/>
              <w:bottom w:val="single" w:sz="8" w:space="0" w:color="A6A6A6"/>
              <w:right w:val="single" w:sz="8" w:space="0" w:color="A6A6A6"/>
            </w:tcBorders>
            <w:shd w:val="clear" w:color="000000" w:fill="FFFFFF"/>
            <w:vAlign w:val="center"/>
            <w:hideMark/>
          </w:tcPr>
          <w:p w14:paraId="71E85600" w14:textId="77777777" w:rsidR="00FD2CBB" w:rsidRPr="00A2769C" w:rsidRDefault="00FD2CBB">
            <w:pPr>
              <w:spacing w:after="0" w:line="240" w:lineRule="auto"/>
              <w:jc w:val="left"/>
              <w:rPr>
                <w:rFonts w:eastAsia="Times New Roman" w:cs="Calibri"/>
                <w:b/>
                <w:color w:val="000000"/>
                <w:sz w:val="20"/>
                <w:szCs w:val="20"/>
              </w:rPr>
            </w:pPr>
            <w:r w:rsidRPr="00A2769C">
              <w:rPr>
                <w:rFonts w:eastAsia="Times New Roman" w:cs="Calibri"/>
                <w:b/>
                <w:color w:val="000000"/>
                <w:sz w:val="20"/>
                <w:szCs w:val="20"/>
              </w:rPr>
              <w:t>ALPIGNANO</w:t>
            </w:r>
          </w:p>
        </w:tc>
        <w:tc>
          <w:tcPr>
            <w:tcW w:w="1439" w:type="dxa"/>
            <w:tcBorders>
              <w:top w:val="nil"/>
              <w:left w:val="nil"/>
              <w:bottom w:val="nil"/>
              <w:right w:val="single" w:sz="8" w:space="0" w:color="A6A6A6"/>
            </w:tcBorders>
            <w:vAlign w:val="center"/>
            <w:hideMark/>
          </w:tcPr>
          <w:p w14:paraId="79382B18" w14:textId="77777777" w:rsidR="00FD2CBB" w:rsidRPr="00A2769C" w:rsidRDefault="00FD2CBB">
            <w:pPr>
              <w:spacing w:after="0" w:line="240" w:lineRule="auto"/>
              <w:jc w:val="left"/>
              <w:rPr>
                <w:rFonts w:eastAsia="Times New Roman" w:cs="Calibri"/>
                <w:color w:val="242424"/>
                <w:sz w:val="20"/>
                <w:szCs w:val="20"/>
              </w:rPr>
            </w:pPr>
            <w:r w:rsidRPr="00A2769C">
              <w:rPr>
                <w:rFonts w:eastAsia="Times New Roman" w:cs="Calibri"/>
                <w:color w:val="242424"/>
                <w:sz w:val="20"/>
                <w:szCs w:val="20"/>
              </w:rPr>
              <w:t>Autolinee extraurbane e urbane;</w:t>
            </w:r>
          </w:p>
        </w:tc>
        <w:tc>
          <w:tcPr>
            <w:tcW w:w="1280" w:type="dxa"/>
            <w:vMerge w:val="restart"/>
            <w:tcBorders>
              <w:top w:val="nil"/>
              <w:left w:val="single" w:sz="8" w:space="0" w:color="A6A6A6"/>
              <w:bottom w:val="single" w:sz="8" w:space="0" w:color="A6A6A6"/>
              <w:right w:val="single" w:sz="8" w:space="0" w:color="A6A6A6"/>
            </w:tcBorders>
            <w:vAlign w:val="center"/>
            <w:hideMark/>
          </w:tcPr>
          <w:p w14:paraId="7ADA238A" w14:textId="77777777" w:rsidR="00FD2CBB" w:rsidRPr="00A2769C" w:rsidRDefault="00FD2CBB">
            <w:pPr>
              <w:spacing w:after="0" w:line="240" w:lineRule="auto"/>
              <w:jc w:val="left"/>
              <w:rPr>
                <w:rFonts w:eastAsia="Times New Roman" w:cs="Calibri"/>
                <w:color w:val="000000"/>
                <w:sz w:val="20"/>
                <w:szCs w:val="20"/>
              </w:rPr>
            </w:pPr>
            <w:r w:rsidRPr="00A2769C">
              <w:rPr>
                <w:rFonts w:eastAsia="Times New Roman" w:cs="Calibri"/>
                <w:color w:val="000000"/>
                <w:sz w:val="20"/>
                <w:szCs w:val="20"/>
              </w:rPr>
              <w:t>Nodo di interscambio multimodale diretto</w:t>
            </w:r>
          </w:p>
        </w:tc>
        <w:tc>
          <w:tcPr>
            <w:tcW w:w="1222" w:type="dxa"/>
            <w:vMerge w:val="restart"/>
            <w:tcBorders>
              <w:top w:val="nil"/>
              <w:left w:val="single" w:sz="8" w:space="0" w:color="A6A6A6"/>
              <w:bottom w:val="single" w:sz="8" w:space="0" w:color="A6A6A6"/>
              <w:right w:val="single" w:sz="8" w:space="0" w:color="A6A6A6"/>
            </w:tcBorders>
            <w:vAlign w:val="center"/>
            <w:hideMark/>
          </w:tcPr>
          <w:p w14:paraId="1D924DA9" w14:textId="77777777" w:rsidR="00FD2CBB" w:rsidRPr="00A2769C" w:rsidRDefault="00FD2CBB">
            <w:pPr>
              <w:spacing w:after="0" w:line="240" w:lineRule="auto"/>
              <w:jc w:val="left"/>
              <w:rPr>
                <w:rFonts w:eastAsia="Times New Roman" w:cs="Calibri"/>
                <w:color w:val="242424"/>
                <w:sz w:val="20"/>
                <w:szCs w:val="20"/>
              </w:rPr>
            </w:pPr>
            <w:r w:rsidRPr="00A2769C">
              <w:rPr>
                <w:rFonts w:eastAsia="Times New Roman" w:cs="Calibri"/>
                <w:color w:val="242424"/>
                <w:sz w:val="20"/>
                <w:szCs w:val="20"/>
              </w:rPr>
              <w:t> </w:t>
            </w:r>
          </w:p>
        </w:tc>
        <w:tc>
          <w:tcPr>
            <w:tcW w:w="854" w:type="dxa"/>
            <w:vMerge w:val="restart"/>
            <w:tcBorders>
              <w:top w:val="nil"/>
              <w:left w:val="single" w:sz="8" w:space="0" w:color="A6A6A6"/>
              <w:bottom w:val="single" w:sz="8" w:space="0" w:color="A6A6A6"/>
              <w:right w:val="single" w:sz="8" w:space="0" w:color="A6A6A6"/>
            </w:tcBorders>
            <w:vAlign w:val="center"/>
            <w:hideMark/>
          </w:tcPr>
          <w:p w14:paraId="10BA0EDC" w14:textId="77777777" w:rsidR="00FD2CBB" w:rsidRPr="00A2769C" w:rsidRDefault="00FD2CBB">
            <w:pPr>
              <w:spacing w:after="0" w:line="240" w:lineRule="auto"/>
              <w:jc w:val="left"/>
              <w:rPr>
                <w:rFonts w:eastAsia="Times New Roman" w:cs="Calibri"/>
                <w:color w:val="FF0000"/>
                <w:sz w:val="20"/>
                <w:szCs w:val="20"/>
              </w:rPr>
            </w:pPr>
            <w:r w:rsidRPr="00345955">
              <w:rPr>
                <w:rFonts w:eastAsia="Times New Roman" w:cs="Calibri"/>
                <w:sz w:val="20"/>
                <w:szCs w:val="20"/>
              </w:rPr>
              <w:t>NO per aspetti TPL</w:t>
            </w:r>
          </w:p>
        </w:tc>
        <w:tc>
          <w:tcPr>
            <w:tcW w:w="3355" w:type="dxa"/>
            <w:vMerge w:val="restart"/>
            <w:tcBorders>
              <w:top w:val="nil"/>
              <w:left w:val="single" w:sz="8" w:space="0" w:color="A6A6A6"/>
              <w:bottom w:val="single" w:sz="8" w:space="0" w:color="A6A6A6"/>
              <w:right w:val="single" w:sz="8" w:space="0" w:color="A6A6A6"/>
            </w:tcBorders>
            <w:vAlign w:val="center"/>
            <w:hideMark/>
          </w:tcPr>
          <w:p w14:paraId="4CD8C5D1" w14:textId="77777777" w:rsidR="00FD2CBB" w:rsidRPr="00A2769C" w:rsidRDefault="00FD2CBB">
            <w:pPr>
              <w:spacing w:after="0" w:line="240" w:lineRule="auto"/>
              <w:jc w:val="left"/>
              <w:rPr>
                <w:rFonts w:eastAsia="Times New Roman" w:cs="Calibri"/>
                <w:color w:val="242424"/>
                <w:sz w:val="20"/>
                <w:szCs w:val="20"/>
              </w:rPr>
            </w:pPr>
            <w:r w:rsidRPr="00A2769C">
              <w:rPr>
                <w:rFonts w:eastAsia="Times New Roman" w:cs="Calibri"/>
                <w:color w:val="242424"/>
                <w:sz w:val="20"/>
                <w:szCs w:val="20"/>
              </w:rPr>
              <w:t>Il "Movicentro" si compone di un edificio dedicato ai servizi per i cittadini e da un'area di fermata con diversi stalli scoperti. Sul retro, rispetto alla stazione, è presente anche un parcheggio per le auto.</w:t>
            </w:r>
          </w:p>
        </w:tc>
      </w:tr>
      <w:tr w:rsidR="00FD2CBB" w:rsidRPr="00A2769C" w14:paraId="59696BA5" w14:textId="77777777">
        <w:trPr>
          <w:trHeight w:val="297"/>
        </w:trPr>
        <w:tc>
          <w:tcPr>
            <w:tcW w:w="1245" w:type="dxa"/>
            <w:vMerge/>
            <w:tcBorders>
              <w:top w:val="nil"/>
              <w:left w:val="single" w:sz="8" w:space="0" w:color="A6A6A6"/>
              <w:bottom w:val="single" w:sz="8" w:space="0" w:color="A6A6A6"/>
              <w:right w:val="single" w:sz="8" w:space="0" w:color="A6A6A6"/>
            </w:tcBorders>
            <w:vAlign w:val="center"/>
            <w:hideMark/>
          </w:tcPr>
          <w:p w14:paraId="66211B82" w14:textId="77777777" w:rsidR="00FD2CBB" w:rsidRPr="00A2769C" w:rsidRDefault="00FD2CBB">
            <w:pPr>
              <w:spacing w:after="0" w:line="240" w:lineRule="auto"/>
              <w:jc w:val="left"/>
              <w:rPr>
                <w:rFonts w:eastAsia="Times New Roman" w:cs="Calibri"/>
                <w:b/>
                <w:color w:val="000000"/>
                <w:sz w:val="20"/>
                <w:szCs w:val="20"/>
              </w:rPr>
            </w:pPr>
          </w:p>
        </w:tc>
        <w:tc>
          <w:tcPr>
            <w:tcW w:w="1439" w:type="dxa"/>
            <w:tcBorders>
              <w:top w:val="nil"/>
              <w:left w:val="nil"/>
              <w:bottom w:val="nil"/>
              <w:right w:val="single" w:sz="8" w:space="0" w:color="A6A6A6"/>
            </w:tcBorders>
            <w:noWrap/>
            <w:vAlign w:val="center"/>
            <w:hideMark/>
          </w:tcPr>
          <w:p w14:paraId="1F292E8F" w14:textId="77777777" w:rsidR="00FD2CBB" w:rsidRPr="00A2769C" w:rsidRDefault="00FD2CBB">
            <w:pPr>
              <w:spacing w:after="0" w:line="240" w:lineRule="auto"/>
              <w:jc w:val="left"/>
              <w:rPr>
                <w:rFonts w:eastAsia="Times New Roman" w:cs="Calibri"/>
                <w:color w:val="242424"/>
                <w:sz w:val="20"/>
                <w:szCs w:val="20"/>
              </w:rPr>
            </w:pPr>
            <w:r w:rsidRPr="00A2769C">
              <w:rPr>
                <w:rFonts w:eastAsia="Times New Roman" w:cs="Calibri"/>
                <w:color w:val="242424"/>
                <w:sz w:val="20"/>
                <w:szCs w:val="20"/>
              </w:rPr>
              <w:t>Servizi ferroviari;</w:t>
            </w:r>
          </w:p>
        </w:tc>
        <w:tc>
          <w:tcPr>
            <w:tcW w:w="1280" w:type="dxa"/>
            <w:vMerge/>
            <w:tcBorders>
              <w:top w:val="nil"/>
              <w:left w:val="single" w:sz="8" w:space="0" w:color="A6A6A6"/>
              <w:bottom w:val="single" w:sz="8" w:space="0" w:color="A6A6A6"/>
              <w:right w:val="single" w:sz="8" w:space="0" w:color="A6A6A6"/>
            </w:tcBorders>
            <w:vAlign w:val="center"/>
            <w:hideMark/>
          </w:tcPr>
          <w:p w14:paraId="09EBDFBF" w14:textId="77777777" w:rsidR="00FD2CBB" w:rsidRPr="00A2769C" w:rsidRDefault="00FD2CBB">
            <w:pPr>
              <w:spacing w:after="0" w:line="240" w:lineRule="auto"/>
              <w:jc w:val="left"/>
              <w:rPr>
                <w:rFonts w:eastAsia="Times New Roman" w:cs="Calibri"/>
                <w:color w:val="000000"/>
                <w:sz w:val="20"/>
                <w:szCs w:val="20"/>
              </w:rPr>
            </w:pPr>
          </w:p>
        </w:tc>
        <w:tc>
          <w:tcPr>
            <w:tcW w:w="1222" w:type="dxa"/>
            <w:vMerge/>
            <w:tcBorders>
              <w:top w:val="nil"/>
              <w:left w:val="single" w:sz="8" w:space="0" w:color="A6A6A6"/>
              <w:bottom w:val="single" w:sz="8" w:space="0" w:color="A6A6A6"/>
              <w:right w:val="single" w:sz="8" w:space="0" w:color="A6A6A6"/>
            </w:tcBorders>
            <w:vAlign w:val="center"/>
            <w:hideMark/>
          </w:tcPr>
          <w:p w14:paraId="38F353EA" w14:textId="77777777" w:rsidR="00FD2CBB" w:rsidRPr="00A2769C" w:rsidRDefault="00FD2CBB">
            <w:pPr>
              <w:spacing w:after="0" w:line="240" w:lineRule="auto"/>
              <w:jc w:val="left"/>
              <w:rPr>
                <w:rFonts w:eastAsia="Times New Roman" w:cs="Calibri"/>
                <w:color w:val="242424"/>
                <w:sz w:val="20"/>
                <w:szCs w:val="20"/>
              </w:rPr>
            </w:pPr>
          </w:p>
        </w:tc>
        <w:tc>
          <w:tcPr>
            <w:tcW w:w="854" w:type="dxa"/>
            <w:vMerge/>
            <w:tcBorders>
              <w:top w:val="nil"/>
              <w:left w:val="single" w:sz="8" w:space="0" w:color="A6A6A6"/>
              <w:bottom w:val="single" w:sz="8" w:space="0" w:color="A6A6A6"/>
              <w:right w:val="single" w:sz="8" w:space="0" w:color="A6A6A6"/>
            </w:tcBorders>
            <w:vAlign w:val="center"/>
            <w:hideMark/>
          </w:tcPr>
          <w:p w14:paraId="69E71451" w14:textId="77777777" w:rsidR="00FD2CBB" w:rsidRPr="00A2769C" w:rsidRDefault="00FD2CBB">
            <w:pPr>
              <w:spacing w:after="0" w:line="240" w:lineRule="auto"/>
              <w:jc w:val="left"/>
              <w:rPr>
                <w:rFonts w:eastAsia="Times New Roman" w:cs="Calibri"/>
                <w:color w:val="FF0000"/>
                <w:sz w:val="20"/>
                <w:szCs w:val="20"/>
              </w:rPr>
            </w:pPr>
          </w:p>
        </w:tc>
        <w:tc>
          <w:tcPr>
            <w:tcW w:w="3355" w:type="dxa"/>
            <w:vMerge/>
            <w:tcBorders>
              <w:top w:val="nil"/>
              <w:left w:val="single" w:sz="8" w:space="0" w:color="A6A6A6"/>
              <w:bottom w:val="single" w:sz="8" w:space="0" w:color="A6A6A6"/>
              <w:right w:val="single" w:sz="8" w:space="0" w:color="A6A6A6"/>
            </w:tcBorders>
            <w:vAlign w:val="center"/>
            <w:hideMark/>
          </w:tcPr>
          <w:p w14:paraId="61035F3C" w14:textId="77777777" w:rsidR="00FD2CBB" w:rsidRPr="00A2769C" w:rsidRDefault="00FD2CBB">
            <w:pPr>
              <w:spacing w:after="0" w:line="240" w:lineRule="auto"/>
              <w:jc w:val="left"/>
              <w:rPr>
                <w:rFonts w:eastAsia="Times New Roman" w:cs="Calibri"/>
                <w:color w:val="242424"/>
                <w:sz w:val="20"/>
                <w:szCs w:val="20"/>
              </w:rPr>
            </w:pPr>
          </w:p>
        </w:tc>
      </w:tr>
      <w:tr w:rsidR="00FD2CBB" w:rsidRPr="00A2769C" w14:paraId="2DF33F53" w14:textId="77777777">
        <w:trPr>
          <w:trHeight w:val="297"/>
        </w:trPr>
        <w:tc>
          <w:tcPr>
            <w:tcW w:w="1245" w:type="dxa"/>
            <w:vMerge/>
            <w:tcBorders>
              <w:top w:val="nil"/>
              <w:left w:val="single" w:sz="8" w:space="0" w:color="A6A6A6"/>
              <w:bottom w:val="single" w:sz="8" w:space="0" w:color="A6A6A6"/>
              <w:right w:val="single" w:sz="8" w:space="0" w:color="A6A6A6"/>
            </w:tcBorders>
            <w:vAlign w:val="center"/>
            <w:hideMark/>
          </w:tcPr>
          <w:p w14:paraId="3C537388" w14:textId="77777777" w:rsidR="00FD2CBB" w:rsidRPr="00A2769C" w:rsidRDefault="00FD2CBB">
            <w:pPr>
              <w:spacing w:after="0" w:line="240" w:lineRule="auto"/>
              <w:jc w:val="left"/>
              <w:rPr>
                <w:rFonts w:eastAsia="Times New Roman" w:cs="Calibri"/>
                <w:b/>
                <w:color w:val="000000"/>
                <w:sz w:val="20"/>
                <w:szCs w:val="20"/>
              </w:rPr>
            </w:pPr>
          </w:p>
        </w:tc>
        <w:tc>
          <w:tcPr>
            <w:tcW w:w="1439" w:type="dxa"/>
            <w:tcBorders>
              <w:top w:val="nil"/>
              <w:left w:val="nil"/>
              <w:bottom w:val="nil"/>
              <w:right w:val="single" w:sz="8" w:space="0" w:color="A6A6A6"/>
            </w:tcBorders>
            <w:noWrap/>
            <w:vAlign w:val="center"/>
            <w:hideMark/>
          </w:tcPr>
          <w:p w14:paraId="6883F308" w14:textId="77777777" w:rsidR="00FD2CBB" w:rsidRPr="00A2769C" w:rsidRDefault="00FD2CBB">
            <w:pPr>
              <w:spacing w:after="0" w:line="240" w:lineRule="auto"/>
              <w:jc w:val="left"/>
              <w:rPr>
                <w:rFonts w:eastAsia="Times New Roman" w:cs="Calibri"/>
                <w:color w:val="242424"/>
                <w:sz w:val="20"/>
                <w:szCs w:val="20"/>
              </w:rPr>
            </w:pPr>
            <w:r w:rsidRPr="00A2769C">
              <w:rPr>
                <w:rFonts w:eastAsia="Times New Roman" w:cs="Calibri"/>
                <w:color w:val="242424"/>
                <w:sz w:val="20"/>
                <w:szCs w:val="20"/>
              </w:rPr>
              <w:t>Bicicletta;</w:t>
            </w:r>
          </w:p>
        </w:tc>
        <w:tc>
          <w:tcPr>
            <w:tcW w:w="1280" w:type="dxa"/>
            <w:vMerge/>
            <w:tcBorders>
              <w:top w:val="nil"/>
              <w:left w:val="single" w:sz="8" w:space="0" w:color="A6A6A6"/>
              <w:bottom w:val="single" w:sz="8" w:space="0" w:color="A6A6A6"/>
              <w:right w:val="single" w:sz="8" w:space="0" w:color="A6A6A6"/>
            </w:tcBorders>
            <w:vAlign w:val="center"/>
            <w:hideMark/>
          </w:tcPr>
          <w:p w14:paraId="290F76D0" w14:textId="77777777" w:rsidR="00FD2CBB" w:rsidRPr="00A2769C" w:rsidRDefault="00FD2CBB">
            <w:pPr>
              <w:spacing w:after="0" w:line="240" w:lineRule="auto"/>
              <w:jc w:val="left"/>
              <w:rPr>
                <w:rFonts w:eastAsia="Times New Roman" w:cs="Calibri"/>
                <w:color w:val="000000"/>
                <w:sz w:val="20"/>
                <w:szCs w:val="20"/>
              </w:rPr>
            </w:pPr>
          </w:p>
        </w:tc>
        <w:tc>
          <w:tcPr>
            <w:tcW w:w="1222" w:type="dxa"/>
            <w:vMerge/>
            <w:tcBorders>
              <w:top w:val="nil"/>
              <w:left w:val="single" w:sz="8" w:space="0" w:color="A6A6A6"/>
              <w:bottom w:val="single" w:sz="8" w:space="0" w:color="A6A6A6"/>
              <w:right w:val="single" w:sz="8" w:space="0" w:color="A6A6A6"/>
            </w:tcBorders>
            <w:vAlign w:val="center"/>
            <w:hideMark/>
          </w:tcPr>
          <w:p w14:paraId="514DDB89" w14:textId="77777777" w:rsidR="00FD2CBB" w:rsidRPr="00A2769C" w:rsidRDefault="00FD2CBB">
            <w:pPr>
              <w:spacing w:after="0" w:line="240" w:lineRule="auto"/>
              <w:jc w:val="left"/>
              <w:rPr>
                <w:rFonts w:eastAsia="Times New Roman" w:cs="Calibri"/>
                <w:color w:val="242424"/>
                <w:sz w:val="20"/>
                <w:szCs w:val="20"/>
              </w:rPr>
            </w:pPr>
          </w:p>
        </w:tc>
        <w:tc>
          <w:tcPr>
            <w:tcW w:w="854" w:type="dxa"/>
            <w:vMerge/>
            <w:tcBorders>
              <w:top w:val="nil"/>
              <w:left w:val="single" w:sz="8" w:space="0" w:color="A6A6A6"/>
              <w:bottom w:val="single" w:sz="8" w:space="0" w:color="A6A6A6"/>
              <w:right w:val="single" w:sz="8" w:space="0" w:color="A6A6A6"/>
            </w:tcBorders>
            <w:vAlign w:val="center"/>
            <w:hideMark/>
          </w:tcPr>
          <w:p w14:paraId="32EBE5AC" w14:textId="77777777" w:rsidR="00FD2CBB" w:rsidRPr="00A2769C" w:rsidRDefault="00FD2CBB">
            <w:pPr>
              <w:spacing w:after="0" w:line="240" w:lineRule="auto"/>
              <w:jc w:val="left"/>
              <w:rPr>
                <w:rFonts w:eastAsia="Times New Roman" w:cs="Calibri"/>
                <w:color w:val="FF0000"/>
                <w:sz w:val="20"/>
                <w:szCs w:val="20"/>
              </w:rPr>
            </w:pPr>
          </w:p>
        </w:tc>
        <w:tc>
          <w:tcPr>
            <w:tcW w:w="3355" w:type="dxa"/>
            <w:vMerge/>
            <w:tcBorders>
              <w:top w:val="nil"/>
              <w:left w:val="single" w:sz="8" w:space="0" w:color="A6A6A6"/>
              <w:bottom w:val="single" w:sz="8" w:space="0" w:color="A6A6A6"/>
              <w:right w:val="single" w:sz="8" w:space="0" w:color="A6A6A6"/>
            </w:tcBorders>
            <w:vAlign w:val="center"/>
            <w:hideMark/>
          </w:tcPr>
          <w:p w14:paraId="1ED6B53A" w14:textId="77777777" w:rsidR="00FD2CBB" w:rsidRPr="00A2769C" w:rsidRDefault="00FD2CBB">
            <w:pPr>
              <w:spacing w:after="0" w:line="240" w:lineRule="auto"/>
              <w:jc w:val="left"/>
              <w:rPr>
                <w:rFonts w:eastAsia="Times New Roman" w:cs="Calibri"/>
                <w:color w:val="242424"/>
                <w:sz w:val="20"/>
                <w:szCs w:val="20"/>
              </w:rPr>
            </w:pPr>
          </w:p>
        </w:tc>
      </w:tr>
      <w:tr w:rsidR="00FD2CBB" w:rsidRPr="00A2769C" w14:paraId="368E932E" w14:textId="77777777">
        <w:trPr>
          <w:trHeight w:val="43"/>
        </w:trPr>
        <w:tc>
          <w:tcPr>
            <w:tcW w:w="1245" w:type="dxa"/>
            <w:vMerge/>
            <w:tcBorders>
              <w:top w:val="nil"/>
              <w:left w:val="single" w:sz="8" w:space="0" w:color="A6A6A6"/>
              <w:bottom w:val="single" w:sz="8" w:space="0" w:color="A6A6A6"/>
              <w:right w:val="single" w:sz="8" w:space="0" w:color="A6A6A6"/>
            </w:tcBorders>
            <w:vAlign w:val="center"/>
            <w:hideMark/>
          </w:tcPr>
          <w:p w14:paraId="67D1110A" w14:textId="77777777" w:rsidR="00FD2CBB" w:rsidRPr="00A2769C" w:rsidRDefault="00FD2CBB">
            <w:pPr>
              <w:spacing w:after="0" w:line="240" w:lineRule="auto"/>
              <w:jc w:val="left"/>
              <w:rPr>
                <w:rFonts w:eastAsia="Times New Roman" w:cs="Calibri"/>
                <w:b/>
                <w:color w:val="000000"/>
                <w:sz w:val="20"/>
                <w:szCs w:val="20"/>
              </w:rPr>
            </w:pPr>
          </w:p>
        </w:tc>
        <w:tc>
          <w:tcPr>
            <w:tcW w:w="1439" w:type="dxa"/>
            <w:tcBorders>
              <w:top w:val="nil"/>
              <w:left w:val="nil"/>
              <w:bottom w:val="single" w:sz="8" w:space="0" w:color="A6A6A6"/>
              <w:right w:val="single" w:sz="8" w:space="0" w:color="A6A6A6"/>
            </w:tcBorders>
            <w:noWrap/>
            <w:vAlign w:val="center"/>
            <w:hideMark/>
          </w:tcPr>
          <w:p w14:paraId="5A87AE2F" w14:textId="77777777" w:rsidR="00FD2CBB" w:rsidRPr="00A2769C" w:rsidRDefault="00FD2CBB">
            <w:pPr>
              <w:spacing w:after="0" w:line="240" w:lineRule="auto"/>
              <w:jc w:val="left"/>
              <w:rPr>
                <w:rFonts w:eastAsia="Times New Roman" w:cs="Calibri"/>
                <w:color w:val="242424"/>
                <w:sz w:val="20"/>
                <w:szCs w:val="20"/>
              </w:rPr>
            </w:pPr>
            <w:r w:rsidRPr="00A2769C">
              <w:rPr>
                <w:rFonts w:eastAsia="Times New Roman" w:cs="Calibri"/>
                <w:color w:val="242424"/>
                <w:sz w:val="20"/>
                <w:szCs w:val="20"/>
              </w:rPr>
              <w:t>Taxi.</w:t>
            </w:r>
          </w:p>
        </w:tc>
        <w:tc>
          <w:tcPr>
            <w:tcW w:w="1280" w:type="dxa"/>
            <w:vMerge/>
            <w:tcBorders>
              <w:top w:val="nil"/>
              <w:left w:val="single" w:sz="8" w:space="0" w:color="A6A6A6"/>
              <w:bottom w:val="single" w:sz="8" w:space="0" w:color="A6A6A6"/>
              <w:right w:val="single" w:sz="8" w:space="0" w:color="A6A6A6"/>
            </w:tcBorders>
            <w:vAlign w:val="center"/>
            <w:hideMark/>
          </w:tcPr>
          <w:p w14:paraId="22321D17" w14:textId="77777777" w:rsidR="00FD2CBB" w:rsidRPr="00A2769C" w:rsidRDefault="00FD2CBB">
            <w:pPr>
              <w:spacing w:after="0" w:line="240" w:lineRule="auto"/>
              <w:jc w:val="left"/>
              <w:rPr>
                <w:rFonts w:eastAsia="Times New Roman" w:cs="Calibri"/>
                <w:color w:val="000000"/>
                <w:sz w:val="20"/>
                <w:szCs w:val="20"/>
              </w:rPr>
            </w:pPr>
          </w:p>
        </w:tc>
        <w:tc>
          <w:tcPr>
            <w:tcW w:w="1222" w:type="dxa"/>
            <w:vMerge/>
            <w:tcBorders>
              <w:top w:val="nil"/>
              <w:left w:val="single" w:sz="8" w:space="0" w:color="A6A6A6"/>
              <w:bottom w:val="single" w:sz="8" w:space="0" w:color="A6A6A6"/>
              <w:right w:val="single" w:sz="8" w:space="0" w:color="A6A6A6"/>
            </w:tcBorders>
            <w:vAlign w:val="center"/>
            <w:hideMark/>
          </w:tcPr>
          <w:p w14:paraId="7792B0ED" w14:textId="77777777" w:rsidR="00FD2CBB" w:rsidRPr="00A2769C" w:rsidRDefault="00FD2CBB">
            <w:pPr>
              <w:spacing w:after="0" w:line="240" w:lineRule="auto"/>
              <w:jc w:val="left"/>
              <w:rPr>
                <w:rFonts w:eastAsia="Times New Roman" w:cs="Calibri"/>
                <w:color w:val="242424"/>
                <w:sz w:val="20"/>
                <w:szCs w:val="20"/>
              </w:rPr>
            </w:pPr>
          </w:p>
        </w:tc>
        <w:tc>
          <w:tcPr>
            <w:tcW w:w="854" w:type="dxa"/>
            <w:vMerge/>
            <w:tcBorders>
              <w:top w:val="nil"/>
              <w:left w:val="single" w:sz="8" w:space="0" w:color="A6A6A6"/>
              <w:bottom w:val="single" w:sz="8" w:space="0" w:color="A6A6A6"/>
              <w:right w:val="single" w:sz="8" w:space="0" w:color="A6A6A6"/>
            </w:tcBorders>
            <w:vAlign w:val="center"/>
            <w:hideMark/>
          </w:tcPr>
          <w:p w14:paraId="519A6F6E" w14:textId="77777777" w:rsidR="00FD2CBB" w:rsidRPr="00A2769C" w:rsidRDefault="00FD2CBB">
            <w:pPr>
              <w:spacing w:after="0" w:line="240" w:lineRule="auto"/>
              <w:jc w:val="left"/>
              <w:rPr>
                <w:rFonts w:eastAsia="Times New Roman" w:cs="Calibri"/>
                <w:color w:val="FF0000"/>
                <w:sz w:val="20"/>
                <w:szCs w:val="20"/>
              </w:rPr>
            </w:pPr>
          </w:p>
        </w:tc>
        <w:tc>
          <w:tcPr>
            <w:tcW w:w="3355" w:type="dxa"/>
            <w:vMerge/>
            <w:tcBorders>
              <w:top w:val="nil"/>
              <w:left w:val="single" w:sz="8" w:space="0" w:color="A6A6A6"/>
              <w:bottom w:val="single" w:sz="8" w:space="0" w:color="A6A6A6"/>
              <w:right w:val="single" w:sz="8" w:space="0" w:color="A6A6A6"/>
            </w:tcBorders>
            <w:vAlign w:val="center"/>
            <w:hideMark/>
          </w:tcPr>
          <w:p w14:paraId="2CB1A834" w14:textId="77777777" w:rsidR="00FD2CBB" w:rsidRPr="00A2769C" w:rsidRDefault="00FD2CBB">
            <w:pPr>
              <w:spacing w:after="0" w:line="240" w:lineRule="auto"/>
              <w:jc w:val="left"/>
              <w:rPr>
                <w:rFonts w:eastAsia="Times New Roman" w:cs="Calibri"/>
                <w:color w:val="242424"/>
                <w:sz w:val="20"/>
                <w:szCs w:val="20"/>
              </w:rPr>
            </w:pPr>
          </w:p>
        </w:tc>
      </w:tr>
      <w:tr w:rsidR="00FD2CBB" w:rsidRPr="00A2769C" w14:paraId="2F90B6F8" w14:textId="77777777">
        <w:trPr>
          <w:trHeight w:val="742"/>
        </w:trPr>
        <w:tc>
          <w:tcPr>
            <w:tcW w:w="1245" w:type="dxa"/>
            <w:vMerge w:val="restart"/>
            <w:tcBorders>
              <w:top w:val="nil"/>
              <w:left w:val="single" w:sz="8" w:space="0" w:color="A6A6A6"/>
              <w:bottom w:val="nil"/>
              <w:right w:val="single" w:sz="8" w:space="0" w:color="A6A6A6"/>
            </w:tcBorders>
            <w:shd w:val="clear" w:color="000000" w:fill="FFFFFF"/>
            <w:vAlign w:val="center"/>
            <w:hideMark/>
          </w:tcPr>
          <w:p w14:paraId="16B11FB5" w14:textId="77777777" w:rsidR="00FD2CBB" w:rsidRPr="00A2769C" w:rsidRDefault="00FD2CBB">
            <w:pPr>
              <w:spacing w:after="0" w:line="240" w:lineRule="auto"/>
              <w:jc w:val="left"/>
              <w:rPr>
                <w:rFonts w:eastAsia="Times New Roman" w:cs="Calibri"/>
                <w:b/>
                <w:color w:val="000000"/>
                <w:sz w:val="20"/>
                <w:szCs w:val="20"/>
              </w:rPr>
            </w:pPr>
            <w:r w:rsidRPr="00A2769C">
              <w:rPr>
                <w:rFonts w:eastAsia="Times New Roman" w:cs="Calibri"/>
                <w:b/>
                <w:color w:val="000000"/>
                <w:sz w:val="20"/>
                <w:szCs w:val="20"/>
              </w:rPr>
              <w:t>AVIGLIANA</w:t>
            </w:r>
          </w:p>
        </w:tc>
        <w:tc>
          <w:tcPr>
            <w:tcW w:w="1439" w:type="dxa"/>
            <w:tcBorders>
              <w:top w:val="nil"/>
              <w:left w:val="nil"/>
              <w:bottom w:val="nil"/>
              <w:right w:val="single" w:sz="8" w:space="0" w:color="A6A6A6"/>
            </w:tcBorders>
            <w:vAlign w:val="center"/>
            <w:hideMark/>
          </w:tcPr>
          <w:p w14:paraId="241A2DFC" w14:textId="77777777" w:rsidR="00FD2CBB" w:rsidRPr="00A2769C" w:rsidRDefault="00FD2CBB">
            <w:pPr>
              <w:spacing w:after="0" w:line="240" w:lineRule="auto"/>
              <w:jc w:val="left"/>
              <w:rPr>
                <w:rFonts w:eastAsia="Times New Roman" w:cs="Calibri"/>
                <w:color w:val="242424"/>
                <w:sz w:val="20"/>
                <w:szCs w:val="20"/>
              </w:rPr>
            </w:pPr>
            <w:r w:rsidRPr="00A2769C">
              <w:rPr>
                <w:rFonts w:eastAsia="Times New Roman" w:cs="Calibri"/>
                <w:color w:val="242424"/>
                <w:sz w:val="20"/>
                <w:szCs w:val="20"/>
              </w:rPr>
              <w:t>Autolinee extraurbane;</w:t>
            </w:r>
          </w:p>
        </w:tc>
        <w:tc>
          <w:tcPr>
            <w:tcW w:w="1280" w:type="dxa"/>
            <w:vMerge w:val="restart"/>
            <w:tcBorders>
              <w:top w:val="nil"/>
              <w:left w:val="single" w:sz="8" w:space="0" w:color="A6A6A6"/>
              <w:bottom w:val="nil"/>
              <w:right w:val="single" w:sz="8" w:space="0" w:color="A6A6A6"/>
            </w:tcBorders>
            <w:vAlign w:val="center"/>
            <w:hideMark/>
          </w:tcPr>
          <w:p w14:paraId="1B62DE1D" w14:textId="77777777" w:rsidR="00FD2CBB" w:rsidRPr="00A2769C" w:rsidRDefault="00FD2CBB">
            <w:pPr>
              <w:spacing w:after="0" w:line="240" w:lineRule="auto"/>
              <w:jc w:val="left"/>
              <w:rPr>
                <w:rFonts w:eastAsia="Times New Roman" w:cs="Calibri"/>
                <w:color w:val="000000"/>
                <w:sz w:val="20"/>
                <w:szCs w:val="20"/>
              </w:rPr>
            </w:pPr>
            <w:r w:rsidRPr="00A2769C">
              <w:rPr>
                <w:rFonts w:eastAsia="Times New Roman" w:cs="Calibri"/>
                <w:color w:val="000000"/>
                <w:sz w:val="20"/>
                <w:szCs w:val="20"/>
              </w:rPr>
              <w:t xml:space="preserve">Nodo di interscambio multimodale </w:t>
            </w:r>
            <w:r w:rsidRPr="00345955">
              <w:rPr>
                <w:rFonts w:eastAsia="Times New Roman" w:cs="Calibri"/>
                <w:sz w:val="20"/>
                <w:szCs w:val="20"/>
              </w:rPr>
              <w:t>diretto</w:t>
            </w:r>
          </w:p>
        </w:tc>
        <w:tc>
          <w:tcPr>
            <w:tcW w:w="1222" w:type="dxa"/>
            <w:vMerge w:val="restart"/>
            <w:tcBorders>
              <w:top w:val="nil"/>
              <w:left w:val="single" w:sz="8" w:space="0" w:color="A6A6A6"/>
              <w:bottom w:val="nil"/>
              <w:right w:val="single" w:sz="8" w:space="0" w:color="A6A6A6"/>
            </w:tcBorders>
            <w:vAlign w:val="center"/>
            <w:hideMark/>
          </w:tcPr>
          <w:p w14:paraId="3AEFAF8A" w14:textId="77777777" w:rsidR="00FD2CBB" w:rsidRPr="00A2769C" w:rsidRDefault="00FD2CBB">
            <w:pPr>
              <w:spacing w:after="0" w:line="240" w:lineRule="auto"/>
              <w:jc w:val="left"/>
              <w:rPr>
                <w:rFonts w:eastAsia="Times New Roman" w:cs="Calibri"/>
                <w:color w:val="242424"/>
                <w:sz w:val="20"/>
                <w:szCs w:val="20"/>
              </w:rPr>
            </w:pPr>
            <w:r w:rsidRPr="00A2769C">
              <w:rPr>
                <w:rFonts w:eastAsia="Times New Roman" w:cs="Calibri"/>
                <w:color w:val="242424"/>
                <w:sz w:val="20"/>
                <w:szCs w:val="20"/>
              </w:rPr>
              <w:t> </w:t>
            </w:r>
          </w:p>
        </w:tc>
        <w:tc>
          <w:tcPr>
            <w:tcW w:w="854" w:type="dxa"/>
            <w:vMerge w:val="restart"/>
            <w:tcBorders>
              <w:top w:val="nil"/>
              <w:left w:val="single" w:sz="8" w:space="0" w:color="A6A6A6"/>
              <w:bottom w:val="nil"/>
              <w:right w:val="single" w:sz="8" w:space="0" w:color="A6A6A6"/>
            </w:tcBorders>
            <w:vAlign w:val="center"/>
            <w:hideMark/>
          </w:tcPr>
          <w:p w14:paraId="182E1308" w14:textId="77777777" w:rsidR="00FD2CBB" w:rsidRPr="00A2769C" w:rsidRDefault="00FD2CBB">
            <w:pPr>
              <w:spacing w:after="0" w:line="240" w:lineRule="auto"/>
              <w:jc w:val="left"/>
              <w:rPr>
                <w:rFonts w:eastAsia="Times New Roman" w:cs="Calibri"/>
                <w:color w:val="FF0000"/>
                <w:sz w:val="20"/>
                <w:szCs w:val="20"/>
              </w:rPr>
            </w:pPr>
            <w:r w:rsidRPr="00345955">
              <w:rPr>
                <w:rFonts w:eastAsia="Times New Roman" w:cs="Calibri"/>
                <w:sz w:val="20"/>
                <w:szCs w:val="20"/>
              </w:rPr>
              <w:t>NO per aspetti TPL</w:t>
            </w:r>
          </w:p>
        </w:tc>
        <w:tc>
          <w:tcPr>
            <w:tcW w:w="3355" w:type="dxa"/>
            <w:vMerge w:val="restart"/>
            <w:tcBorders>
              <w:top w:val="nil"/>
              <w:left w:val="single" w:sz="8" w:space="0" w:color="A6A6A6"/>
              <w:bottom w:val="nil"/>
              <w:right w:val="single" w:sz="8" w:space="0" w:color="A6A6A6"/>
            </w:tcBorders>
            <w:vAlign w:val="center"/>
            <w:hideMark/>
          </w:tcPr>
          <w:p w14:paraId="3A9CE1D7" w14:textId="77777777" w:rsidR="00FD2CBB" w:rsidRPr="00A2769C" w:rsidRDefault="00FD2CBB">
            <w:pPr>
              <w:spacing w:after="0" w:line="240" w:lineRule="auto"/>
              <w:jc w:val="left"/>
              <w:rPr>
                <w:rFonts w:eastAsia="Times New Roman" w:cs="Calibri"/>
                <w:color w:val="242424"/>
                <w:sz w:val="20"/>
                <w:szCs w:val="20"/>
              </w:rPr>
            </w:pPr>
            <w:r w:rsidRPr="00A2769C">
              <w:rPr>
                <w:rFonts w:eastAsia="Times New Roman" w:cs="Calibri"/>
                <w:color w:val="242424"/>
                <w:sz w:val="20"/>
                <w:szCs w:val="20"/>
              </w:rPr>
              <w:t>Il "Movicentro" è caratterizzato dalla presenza di parcheggi distribuiti nelle aree circostanti la stazione ferroviaria. Le fermate di TPL non presentano una particolare infrastruttura.</w:t>
            </w:r>
          </w:p>
        </w:tc>
      </w:tr>
      <w:tr w:rsidR="00FD2CBB" w:rsidRPr="00A2769C" w14:paraId="581B6D9B" w14:textId="77777777">
        <w:trPr>
          <w:trHeight w:val="243"/>
        </w:trPr>
        <w:tc>
          <w:tcPr>
            <w:tcW w:w="1245" w:type="dxa"/>
            <w:vMerge/>
            <w:tcBorders>
              <w:top w:val="nil"/>
              <w:left w:val="single" w:sz="8" w:space="0" w:color="A6A6A6"/>
              <w:bottom w:val="nil"/>
              <w:right w:val="single" w:sz="8" w:space="0" w:color="A6A6A6"/>
            </w:tcBorders>
            <w:vAlign w:val="center"/>
            <w:hideMark/>
          </w:tcPr>
          <w:p w14:paraId="5DC814F8" w14:textId="77777777" w:rsidR="00FD2CBB" w:rsidRPr="00A2769C" w:rsidRDefault="00FD2CBB">
            <w:pPr>
              <w:spacing w:after="0" w:line="240" w:lineRule="auto"/>
              <w:jc w:val="left"/>
              <w:rPr>
                <w:rFonts w:eastAsia="Times New Roman" w:cs="Calibri"/>
                <w:b/>
                <w:color w:val="000000"/>
                <w:sz w:val="20"/>
                <w:szCs w:val="20"/>
              </w:rPr>
            </w:pPr>
          </w:p>
        </w:tc>
        <w:tc>
          <w:tcPr>
            <w:tcW w:w="1439" w:type="dxa"/>
            <w:tcBorders>
              <w:top w:val="nil"/>
              <w:left w:val="nil"/>
              <w:bottom w:val="nil"/>
              <w:right w:val="single" w:sz="8" w:space="0" w:color="A6A6A6"/>
            </w:tcBorders>
            <w:noWrap/>
            <w:vAlign w:val="center"/>
            <w:hideMark/>
          </w:tcPr>
          <w:p w14:paraId="5FD955DE" w14:textId="77777777" w:rsidR="00FD2CBB" w:rsidRPr="00A2769C" w:rsidRDefault="00FD2CBB">
            <w:pPr>
              <w:spacing w:after="0" w:line="240" w:lineRule="auto"/>
              <w:jc w:val="left"/>
              <w:rPr>
                <w:rFonts w:eastAsia="Times New Roman" w:cs="Calibri"/>
                <w:color w:val="242424"/>
                <w:sz w:val="20"/>
                <w:szCs w:val="20"/>
              </w:rPr>
            </w:pPr>
            <w:r w:rsidRPr="00A2769C">
              <w:rPr>
                <w:rFonts w:eastAsia="Times New Roman" w:cs="Calibri"/>
                <w:color w:val="242424"/>
                <w:sz w:val="20"/>
                <w:szCs w:val="20"/>
              </w:rPr>
              <w:t>Servizi ferroviari;</w:t>
            </w:r>
          </w:p>
        </w:tc>
        <w:tc>
          <w:tcPr>
            <w:tcW w:w="1280" w:type="dxa"/>
            <w:vMerge/>
            <w:tcBorders>
              <w:top w:val="nil"/>
              <w:left w:val="single" w:sz="8" w:space="0" w:color="A6A6A6"/>
              <w:bottom w:val="nil"/>
              <w:right w:val="single" w:sz="8" w:space="0" w:color="A6A6A6"/>
            </w:tcBorders>
            <w:vAlign w:val="center"/>
            <w:hideMark/>
          </w:tcPr>
          <w:p w14:paraId="2FC01571" w14:textId="77777777" w:rsidR="00FD2CBB" w:rsidRPr="00A2769C" w:rsidRDefault="00FD2CBB">
            <w:pPr>
              <w:spacing w:after="0" w:line="240" w:lineRule="auto"/>
              <w:jc w:val="left"/>
              <w:rPr>
                <w:rFonts w:eastAsia="Times New Roman" w:cs="Calibri"/>
                <w:color w:val="000000"/>
                <w:sz w:val="20"/>
                <w:szCs w:val="20"/>
              </w:rPr>
            </w:pPr>
          </w:p>
        </w:tc>
        <w:tc>
          <w:tcPr>
            <w:tcW w:w="1222" w:type="dxa"/>
            <w:vMerge/>
            <w:tcBorders>
              <w:top w:val="nil"/>
              <w:left w:val="single" w:sz="8" w:space="0" w:color="A6A6A6"/>
              <w:bottom w:val="nil"/>
              <w:right w:val="single" w:sz="8" w:space="0" w:color="A6A6A6"/>
            </w:tcBorders>
            <w:vAlign w:val="center"/>
            <w:hideMark/>
          </w:tcPr>
          <w:p w14:paraId="77036A30" w14:textId="77777777" w:rsidR="00FD2CBB" w:rsidRPr="00A2769C" w:rsidRDefault="00FD2CBB">
            <w:pPr>
              <w:spacing w:after="0" w:line="240" w:lineRule="auto"/>
              <w:jc w:val="left"/>
              <w:rPr>
                <w:rFonts w:eastAsia="Times New Roman" w:cs="Calibri"/>
                <w:color w:val="242424"/>
                <w:sz w:val="20"/>
                <w:szCs w:val="20"/>
              </w:rPr>
            </w:pPr>
          </w:p>
        </w:tc>
        <w:tc>
          <w:tcPr>
            <w:tcW w:w="854" w:type="dxa"/>
            <w:vMerge/>
            <w:tcBorders>
              <w:top w:val="nil"/>
              <w:left w:val="single" w:sz="8" w:space="0" w:color="A6A6A6"/>
              <w:bottom w:val="nil"/>
              <w:right w:val="single" w:sz="8" w:space="0" w:color="A6A6A6"/>
            </w:tcBorders>
            <w:vAlign w:val="center"/>
            <w:hideMark/>
          </w:tcPr>
          <w:p w14:paraId="590DA0FB" w14:textId="77777777" w:rsidR="00FD2CBB" w:rsidRPr="00A2769C" w:rsidRDefault="00FD2CBB">
            <w:pPr>
              <w:spacing w:after="0" w:line="240" w:lineRule="auto"/>
              <w:jc w:val="left"/>
              <w:rPr>
                <w:rFonts w:eastAsia="Times New Roman" w:cs="Calibri"/>
                <w:color w:val="FF0000"/>
                <w:sz w:val="20"/>
                <w:szCs w:val="20"/>
              </w:rPr>
            </w:pPr>
          </w:p>
        </w:tc>
        <w:tc>
          <w:tcPr>
            <w:tcW w:w="3355" w:type="dxa"/>
            <w:vMerge/>
            <w:tcBorders>
              <w:top w:val="nil"/>
              <w:left w:val="single" w:sz="8" w:space="0" w:color="A6A6A6"/>
              <w:bottom w:val="nil"/>
              <w:right w:val="single" w:sz="8" w:space="0" w:color="A6A6A6"/>
            </w:tcBorders>
            <w:vAlign w:val="center"/>
            <w:hideMark/>
          </w:tcPr>
          <w:p w14:paraId="7AE5AC99" w14:textId="77777777" w:rsidR="00FD2CBB" w:rsidRPr="00A2769C" w:rsidRDefault="00FD2CBB">
            <w:pPr>
              <w:spacing w:after="0" w:line="240" w:lineRule="auto"/>
              <w:jc w:val="left"/>
              <w:rPr>
                <w:rFonts w:eastAsia="Times New Roman" w:cs="Calibri"/>
                <w:color w:val="242424"/>
                <w:sz w:val="20"/>
                <w:szCs w:val="20"/>
              </w:rPr>
            </w:pPr>
          </w:p>
        </w:tc>
      </w:tr>
      <w:tr w:rsidR="00FD2CBB" w:rsidRPr="00A2769C" w14:paraId="099DD56F" w14:textId="77777777">
        <w:trPr>
          <w:trHeight w:val="63"/>
        </w:trPr>
        <w:tc>
          <w:tcPr>
            <w:tcW w:w="1245" w:type="dxa"/>
            <w:vMerge/>
            <w:tcBorders>
              <w:top w:val="nil"/>
              <w:left w:val="single" w:sz="8" w:space="0" w:color="A6A6A6"/>
              <w:bottom w:val="nil"/>
              <w:right w:val="single" w:sz="8" w:space="0" w:color="A6A6A6"/>
            </w:tcBorders>
            <w:vAlign w:val="center"/>
            <w:hideMark/>
          </w:tcPr>
          <w:p w14:paraId="2F48AF3F" w14:textId="77777777" w:rsidR="00FD2CBB" w:rsidRPr="00A2769C" w:rsidRDefault="00FD2CBB">
            <w:pPr>
              <w:spacing w:after="0" w:line="240" w:lineRule="auto"/>
              <w:jc w:val="left"/>
              <w:rPr>
                <w:rFonts w:eastAsia="Times New Roman" w:cs="Calibri"/>
                <w:b/>
                <w:color w:val="000000"/>
                <w:sz w:val="20"/>
                <w:szCs w:val="20"/>
              </w:rPr>
            </w:pPr>
          </w:p>
        </w:tc>
        <w:tc>
          <w:tcPr>
            <w:tcW w:w="1439" w:type="dxa"/>
            <w:tcBorders>
              <w:top w:val="nil"/>
              <w:left w:val="nil"/>
              <w:bottom w:val="single" w:sz="8" w:space="0" w:color="A6A6A6"/>
              <w:right w:val="single" w:sz="8" w:space="0" w:color="A6A6A6"/>
            </w:tcBorders>
            <w:noWrap/>
            <w:vAlign w:val="center"/>
            <w:hideMark/>
          </w:tcPr>
          <w:p w14:paraId="1277D8DC" w14:textId="77777777" w:rsidR="00FD2CBB" w:rsidRPr="00A2769C" w:rsidRDefault="00FD2CBB">
            <w:pPr>
              <w:spacing w:after="0" w:line="240" w:lineRule="auto"/>
              <w:jc w:val="left"/>
              <w:rPr>
                <w:rFonts w:eastAsia="Times New Roman" w:cs="Calibri"/>
                <w:color w:val="242424"/>
                <w:sz w:val="20"/>
                <w:szCs w:val="20"/>
              </w:rPr>
            </w:pPr>
            <w:r w:rsidRPr="00A2769C">
              <w:rPr>
                <w:rFonts w:eastAsia="Times New Roman" w:cs="Calibri"/>
                <w:color w:val="242424"/>
                <w:sz w:val="20"/>
                <w:szCs w:val="20"/>
              </w:rPr>
              <w:t>Bicicletta;</w:t>
            </w:r>
          </w:p>
        </w:tc>
        <w:tc>
          <w:tcPr>
            <w:tcW w:w="1280" w:type="dxa"/>
            <w:vMerge/>
            <w:tcBorders>
              <w:top w:val="nil"/>
              <w:left w:val="single" w:sz="8" w:space="0" w:color="A6A6A6"/>
              <w:bottom w:val="nil"/>
              <w:right w:val="single" w:sz="8" w:space="0" w:color="A6A6A6"/>
            </w:tcBorders>
            <w:vAlign w:val="center"/>
            <w:hideMark/>
          </w:tcPr>
          <w:p w14:paraId="1AC722A7" w14:textId="77777777" w:rsidR="00FD2CBB" w:rsidRPr="00A2769C" w:rsidRDefault="00FD2CBB">
            <w:pPr>
              <w:spacing w:after="0" w:line="240" w:lineRule="auto"/>
              <w:jc w:val="left"/>
              <w:rPr>
                <w:rFonts w:eastAsia="Times New Roman" w:cs="Calibri"/>
                <w:color w:val="000000"/>
                <w:sz w:val="20"/>
                <w:szCs w:val="20"/>
              </w:rPr>
            </w:pPr>
          </w:p>
        </w:tc>
        <w:tc>
          <w:tcPr>
            <w:tcW w:w="1222" w:type="dxa"/>
            <w:vMerge/>
            <w:tcBorders>
              <w:top w:val="nil"/>
              <w:left w:val="single" w:sz="8" w:space="0" w:color="A6A6A6"/>
              <w:bottom w:val="nil"/>
              <w:right w:val="single" w:sz="8" w:space="0" w:color="A6A6A6"/>
            </w:tcBorders>
            <w:vAlign w:val="center"/>
            <w:hideMark/>
          </w:tcPr>
          <w:p w14:paraId="64891305" w14:textId="77777777" w:rsidR="00FD2CBB" w:rsidRPr="00A2769C" w:rsidRDefault="00FD2CBB">
            <w:pPr>
              <w:spacing w:after="0" w:line="240" w:lineRule="auto"/>
              <w:jc w:val="left"/>
              <w:rPr>
                <w:rFonts w:eastAsia="Times New Roman" w:cs="Calibri"/>
                <w:color w:val="242424"/>
                <w:sz w:val="20"/>
                <w:szCs w:val="20"/>
              </w:rPr>
            </w:pPr>
          </w:p>
        </w:tc>
        <w:tc>
          <w:tcPr>
            <w:tcW w:w="854" w:type="dxa"/>
            <w:vMerge/>
            <w:tcBorders>
              <w:top w:val="nil"/>
              <w:left w:val="single" w:sz="8" w:space="0" w:color="A6A6A6"/>
              <w:bottom w:val="nil"/>
              <w:right w:val="single" w:sz="8" w:space="0" w:color="A6A6A6"/>
            </w:tcBorders>
            <w:vAlign w:val="center"/>
            <w:hideMark/>
          </w:tcPr>
          <w:p w14:paraId="79AB830D" w14:textId="77777777" w:rsidR="00FD2CBB" w:rsidRPr="00A2769C" w:rsidRDefault="00FD2CBB">
            <w:pPr>
              <w:spacing w:after="0" w:line="240" w:lineRule="auto"/>
              <w:jc w:val="left"/>
              <w:rPr>
                <w:rFonts w:eastAsia="Times New Roman" w:cs="Calibri"/>
                <w:color w:val="FF0000"/>
                <w:sz w:val="20"/>
                <w:szCs w:val="20"/>
              </w:rPr>
            </w:pPr>
          </w:p>
        </w:tc>
        <w:tc>
          <w:tcPr>
            <w:tcW w:w="3355" w:type="dxa"/>
            <w:vMerge/>
            <w:tcBorders>
              <w:top w:val="nil"/>
              <w:left w:val="single" w:sz="8" w:space="0" w:color="A6A6A6"/>
              <w:bottom w:val="nil"/>
              <w:right w:val="single" w:sz="8" w:space="0" w:color="A6A6A6"/>
            </w:tcBorders>
            <w:vAlign w:val="center"/>
            <w:hideMark/>
          </w:tcPr>
          <w:p w14:paraId="43CF7A91" w14:textId="77777777" w:rsidR="00FD2CBB" w:rsidRPr="00A2769C" w:rsidRDefault="00FD2CBB">
            <w:pPr>
              <w:spacing w:after="0" w:line="240" w:lineRule="auto"/>
              <w:jc w:val="left"/>
              <w:rPr>
                <w:rFonts w:eastAsia="Times New Roman" w:cs="Calibri"/>
                <w:color w:val="242424"/>
                <w:sz w:val="20"/>
                <w:szCs w:val="20"/>
              </w:rPr>
            </w:pPr>
          </w:p>
        </w:tc>
      </w:tr>
      <w:tr w:rsidR="00FD2CBB" w:rsidRPr="00A2769C" w14:paraId="22025368" w14:textId="77777777">
        <w:trPr>
          <w:trHeight w:val="831"/>
        </w:trPr>
        <w:tc>
          <w:tcPr>
            <w:tcW w:w="1245" w:type="dxa"/>
            <w:vMerge w:val="restart"/>
            <w:tcBorders>
              <w:top w:val="single" w:sz="8" w:space="0" w:color="A6A6A6"/>
              <w:left w:val="single" w:sz="8" w:space="0" w:color="A6A6A6"/>
              <w:bottom w:val="single" w:sz="8" w:space="0" w:color="A6A6A6"/>
              <w:right w:val="single" w:sz="8" w:space="0" w:color="A6A6A6"/>
            </w:tcBorders>
            <w:shd w:val="clear" w:color="000000" w:fill="FFFFFF"/>
            <w:vAlign w:val="center"/>
            <w:hideMark/>
          </w:tcPr>
          <w:p w14:paraId="0711C51D" w14:textId="77777777" w:rsidR="00FD2CBB" w:rsidRPr="00A2769C" w:rsidRDefault="00FD2CBB">
            <w:pPr>
              <w:spacing w:after="0" w:line="240" w:lineRule="auto"/>
              <w:jc w:val="left"/>
              <w:rPr>
                <w:rFonts w:eastAsia="Times New Roman" w:cs="Calibri"/>
                <w:b/>
                <w:color w:val="000000"/>
                <w:sz w:val="20"/>
                <w:szCs w:val="20"/>
              </w:rPr>
            </w:pPr>
            <w:r w:rsidRPr="00A2769C">
              <w:rPr>
                <w:rFonts w:eastAsia="Times New Roman" w:cs="Calibri"/>
                <w:b/>
                <w:color w:val="000000"/>
                <w:sz w:val="20"/>
                <w:szCs w:val="20"/>
              </w:rPr>
              <w:t>CHIERI</w:t>
            </w:r>
          </w:p>
        </w:tc>
        <w:tc>
          <w:tcPr>
            <w:tcW w:w="1439" w:type="dxa"/>
            <w:tcBorders>
              <w:top w:val="nil"/>
              <w:left w:val="nil"/>
              <w:bottom w:val="nil"/>
              <w:right w:val="single" w:sz="8" w:space="0" w:color="A6A6A6"/>
            </w:tcBorders>
            <w:vAlign w:val="center"/>
            <w:hideMark/>
          </w:tcPr>
          <w:p w14:paraId="4FC3AF71" w14:textId="77777777" w:rsidR="00FD2CBB" w:rsidRPr="00A2769C" w:rsidRDefault="00FD2CBB">
            <w:pPr>
              <w:spacing w:after="0" w:line="240" w:lineRule="auto"/>
              <w:jc w:val="left"/>
              <w:rPr>
                <w:rFonts w:eastAsia="Times New Roman" w:cs="Calibri"/>
                <w:color w:val="242424"/>
                <w:sz w:val="20"/>
                <w:szCs w:val="20"/>
              </w:rPr>
            </w:pPr>
            <w:r w:rsidRPr="00A2769C">
              <w:rPr>
                <w:rFonts w:eastAsia="Times New Roman" w:cs="Calibri"/>
                <w:color w:val="242424"/>
                <w:sz w:val="20"/>
                <w:szCs w:val="20"/>
              </w:rPr>
              <w:t>Autolinee extraurbane e urbane;</w:t>
            </w:r>
          </w:p>
        </w:tc>
        <w:tc>
          <w:tcPr>
            <w:tcW w:w="1280" w:type="dxa"/>
            <w:vMerge w:val="restart"/>
            <w:tcBorders>
              <w:top w:val="single" w:sz="8" w:space="0" w:color="A6A6A6"/>
              <w:left w:val="single" w:sz="8" w:space="0" w:color="A6A6A6"/>
              <w:bottom w:val="single" w:sz="8" w:space="0" w:color="A6A6A6"/>
              <w:right w:val="single" w:sz="8" w:space="0" w:color="A6A6A6"/>
            </w:tcBorders>
            <w:vAlign w:val="center"/>
            <w:hideMark/>
          </w:tcPr>
          <w:p w14:paraId="212E6DF3" w14:textId="77777777" w:rsidR="00FD2CBB" w:rsidRPr="00A2769C" w:rsidRDefault="00FD2CBB">
            <w:pPr>
              <w:spacing w:after="0" w:line="240" w:lineRule="auto"/>
              <w:jc w:val="left"/>
              <w:rPr>
                <w:rFonts w:eastAsia="Times New Roman" w:cs="Calibri"/>
                <w:color w:val="000000"/>
                <w:sz w:val="20"/>
                <w:szCs w:val="20"/>
              </w:rPr>
            </w:pPr>
            <w:r w:rsidRPr="00A2769C">
              <w:rPr>
                <w:rFonts w:eastAsia="Times New Roman" w:cs="Calibri"/>
                <w:color w:val="000000"/>
                <w:sz w:val="20"/>
                <w:szCs w:val="20"/>
              </w:rPr>
              <w:t>Nodo di interscambio multimodale diretto</w:t>
            </w:r>
          </w:p>
        </w:tc>
        <w:tc>
          <w:tcPr>
            <w:tcW w:w="1222" w:type="dxa"/>
            <w:vMerge w:val="restart"/>
            <w:tcBorders>
              <w:top w:val="single" w:sz="8" w:space="0" w:color="A6A6A6"/>
              <w:left w:val="single" w:sz="8" w:space="0" w:color="A6A6A6"/>
              <w:bottom w:val="single" w:sz="8" w:space="0" w:color="A6A6A6"/>
              <w:right w:val="single" w:sz="8" w:space="0" w:color="A6A6A6"/>
            </w:tcBorders>
            <w:vAlign w:val="center"/>
            <w:hideMark/>
          </w:tcPr>
          <w:p w14:paraId="0D3CCC56" w14:textId="77777777" w:rsidR="00FD2CBB" w:rsidRPr="00A2769C" w:rsidRDefault="00FD2CBB">
            <w:pPr>
              <w:spacing w:after="0" w:line="240" w:lineRule="auto"/>
              <w:jc w:val="left"/>
              <w:rPr>
                <w:rFonts w:eastAsia="Times New Roman" w:cs="Calibri"/>
                <w:color w:val="242424"/>
                <w:sz w:val="20"/>
                <w:szCs w:val="20"/>
              </w:rPr>
            </w:pPr>
            <w:r w:rsidRPr="00A2769C">
              <w:rPr>
                <w:rFonts w:eastAsia="Times New Roman" w:cs="Calibri"/>
                <w:color w:val="242424"/>
                <w:sz w:val="20"/>
                <w:szCs w:val="20"/>
              </w:rPr>
              <w:t>Necessità di definizione di accordi gestione</w:t>
            </w:r>
          </w:p>
        </w:tc>
        <w:tc>
          <w:tcPr>
            <w:tcW w:w="854" w:type="dxa"/>
            <w:vMerge w:val="restart"/>
            <w:tcBorders>
              <w:top w:val="single" w:sz="8" w:space="0" w:color="A6A6A6"/>
              <w:left w:val="single" w:sz="8" w:space="0" w:color="A6A6A6"/>
              <w:bottom w:val="single" w:sz="8" w:space="0" w:color="A6A6A6"/>
              <w:right w:val="single" w:sz="8" w:space="0" w:color="A6A6A6"/>
            </w:tcBorders>
            <w:noWrap/>
            <w:vAlign w:val="center"/>
            <w:hideMark/>
          </w:tcPr>
          <w:p w14:paraId="7077B689" w14:textId="77777777" w:rsidR="00FD2CBB" w:rsidRPr="00A2769C" w:rsidRDefault="00FD2CBB">
            <w:pPr>
              <w:spacing w:after="0" w:line="240" w:lineRule="auto"/>
              <w:jc w:val="left"/>
              <w:rPr>
                <w:rFonts w:eastAsia="Times New Roman" w:cs="Calibri"/>
                <w:color w:val="242424"/>
                <w:sz w:val="20"/>
                <w:szCs w:val="20"/>
              </w:rPr>
            </w:pPr>
            <w:r w:rsidRPr="00A2769C">
              <w:rPr>
                <w:rFonts w:eastAsia="Times New Roman" w:cs="Calibri"/>
                <w:color w:val="242424"/>
                <w:sz w:val="20"/>
                <w:szCs w:val="20"/>
              </w:rPr>
              <w:t>Da definire</w:t>
            </w:r>
          </w:p>
        </w:tc>
        <w:tc>
          <w:tcPr>
            <w:tcW w:w="3355" w:type="dxa"/>
            <w:vMerge w:val="restart"/>
            <w:tcBorders>
              <w:top w:val="single" w:sz="8" w:space="0" w:color="A6A6A6"/>
              <w:left w:val="single" w:sz="8" w:space="0" w:color="A6A6A6"/>
              <w:bottom w:val="single" w:sz="8" w:space="0" w:color="A6A6A6"/>
              <w:right w:val="single" w:sz="8" w:space="0" w:color="A6A6A6"/>
            </w:tcBorders>
            <w:vAlign w:val="center"/>
            <w:hideMark/>
          </w:tcPr>
          <w:p w14:paraId="3BA2A7EC" w14:textId="77777777" w:rsidR="00FD2CBB" w:rsidRDefault="00FD2CBB">
            <w:pPr>
              <w:spacing w:after="0" w:line="240" w:lineRule="auto"/>
              <w:jc w:val="left"/>
              <w:rPr>
                <w:rFonts w:eastAsia="Times New Roman" w:cs="Calibri"/>
                <w:color w:val="242424"/>
                <w:sz w:val="20"/>
                <w:szCs w:val="20"/>
              </w:rPr>
            </w:pPr>
            <w:r w:rsidRPr="00A2769C">
              <w:rPr>
                <w:rFonts w:eastAsia="Times New Roman" w:cs="Calibri"/>
                <w:color w:val="242424"/>
                <w:sz w:val="20"/>
                <w:szCs w:val="20"/>
              </w:rPr>
              <w:t xml:space="preserve">Il "Movicentro" non è caratterizzato da edifici, ma dispone di un'area di fermata coperta con più stalli. </w:t>
            </w:r>
            <w:r>
              <w:rPr>
                <w:rFonts w:eastAsia="Times New Roman" w:cs="Calibri"/>
                <w:color w:val="242424"/>
                <w:sz w:val="20"/>
                <w:szCs w:val="20"/>
              </w:rPr>
              <w:t>È</w:t>
            </w:r>
          </w:p>
          <w:p w14:paraId="6A10CFD7" w14:textId="77777777" w:rsidR="00FD2CBB" w:rsidRPr="00A2769C" w:rsidRDefault="00FD2CBB">
            <w:pPr>
              <w:spacing w:after="0" w:line="240" w:lineRule="auto"/>
              <w:jc w:val="left"/>
              <w:rPr>
                <w:rFonts w:eastAsia="Times New Roman" w:cs="Calibri"/>
                <w:color w:val="242424"/>
                <w:sz w:val="20"/>
                <w:szCs w:val="20"/>
              </w:rPr>
            </w:pPr>
            <w:r w:rsidRPr="00A2769C">
              <w:rPr>
                <w:rFonts w:eastAsia="Times New Roman" w:cs="Calibri"/>
                <w:color w:val="242424"/>
                <w:sz w:val="20"/>
                <w:szCs w:val="20"/>
              </w:rPr>
              <w:t xml:space="preserve"> identificabile come punto fisico situato lateralmente rispetto alla stazione ferroviaria dove convergono i diversi servizi di mobilità. </w:t>
            </w:r>
          </w:p>
        </w:tc>
      </w:tr>
      <w:tr w:rsidR="00FD2CBB" w:rsidRPr="00A2769C" w14:paraId="2937E16B" w14:textId="77777777">
        <w:trPr>
          <w:trHeight w:val="297"/>
        </w:trPr>
        <w:tc>
          <w:tcPr>
            <w:tcW w:w="1245" w:type="dxa"/>
            <w:vMerge/>
            <w:tcBorders>
              <w:top w:val="single" w:sz="8" w:space="0" w:color="A6A6A6"/>
              <w:left w:val="single" w:sz="8" w:space="0" w:color="A6A6A6"/>
              <w:bottom w:val="single" w:sz="8" w:space="0" w:color="A6A6A6"/>
              <w:right w:val="single" w:sz="8" w:space="0" w:color="A6A6A6"/>
            </w:tcBorders>
            <w:vAlign w:val="center"/>
            <w:hideMark/>
          </w:tcPr>
          <w:p w14:paraId="4E4690A0" w14:textId="77777777" w:rsidR="00FD2CBB" w:rsidRPr="00A2769C" w:rsidRDefault="00FD2CBB">
            <w:pPr>
              <w:spacing w:after="0" w:line="240" w:lineRule="auto"/>
              <w:jc w:val="left"/>
              <w:rPr>
                <w:rFonts w:eastAsia="Times New Roman" w:cs="Calibri"/>
                <w:b/>
                <w:color w:val="000000"/>
                <w:sz w:val="20"/>
                <w:szCs w:val="20"/>
              </w:rPr>
            </w:pPr>
          </w:p>
        </w:tc>
        <w:tc>
          <w:tcPr>
            <w:tcW w:w="1439" w:type="dxa"/>
            <w:tcBorders>
              <w:top w:val="nil"/>
              <w:left w:val="nil"/>
              <w:bottom w:val="nil"/>
              <w:right w:val="single" w:sz="8" w:space="0" w:color="A6A6A6"/>
            </w:tcBorders>
            <w:noWrap/>
            <w:vAlign w:val="center"/>
            <w:hideMark/>
          </w:tcPr>
          <w:p w14:paraId="04272DC9" w14:textId="77777777" w:rsidR="00FD2CBB" w:rsidRPr="00A2769C" w:rsidRDefault="00FD2CBB">
            <w:pPr>
              <w:spacing w:after="0" w:line="240" w:lineRule="auto"/>
              <w:jc w:val="left"/>
              <w:rPr>
                <w:rFonts w:eastAsia="Times New Roman" w:cs="Calibri"/>
                <w:color w:val="242424"/>
                <w:sz w:val="20"/>
                <w:szCs w:val="20"/>
              </w:rPr>
            </w:pPr>
            <w:r w:rsidRPr="00A2769C">
              <w:rPr>
                <w:rFonts w:eastAsia="Times New Roman" w:cs="Calibri"/>
                <w:color w:val="242424"/>
                <w:sz w:val="20"/>
                <w:szCs w:val="20"/>
              </w:rPr>
              <w:t>Servizi ferroviari;</w:t>
            </w:r>
          </w:p>
        </w:tc>
        <w:tc>
          <w:tcPr>
            <w:tcW w:w="1280" w:type="dxa"/>
            <w:vMerge/>
            <w:tcBorders>
              <w:top w:val="single" w:sz="8" w:space="0" w:color="A6A6A6"/>
              <w:left w:val="single" w:sz="8" w:space="0" w:color="A6A6A6"/>
              <w:bottom w:val="single" w:sz="8" w:space="0" w:color="A6A6A6"/>
              <w:right w:val="single" w:sz="8" w:space="0" w:color="A6A6A6"/>
            </w:tcBorders>
            <w:vAlign w:val="center"/>
            <w:hideMark/>
          </w:tcPr>
          <w:p w14:paraId="6E141B75" w14:textId="77777777" w:rsidR="00FD2CBB" w:rsidRPr="00A2769C" w:rsidRDefault="00FD2CBB">
            <w:pPr>
              <w:spacing w:after="0" w:line="240" w:lineRule="auto"/>
              <w:jc w:val="left"/>
              <w:rPr>
                <w:rFonts w:eastAsia="Times New Roman" w:cs="Calibri"/>
                <w:color w:val="000000"/>
                <w:sz w:val="20"/>
                <w:szCs w:val="20"/>
              </w:rPr>
            </w:pPr>
          </w:p>
        </w:tc>
        <w:tc>
          <w:tcPr>
            <w:tcW w:w="1222" w:type="dxa"/>
            <w:vMerge/>
            <w:tcBorders>
              <w:top w:val="single" w:sz="8" w:space="0" w:color="A6A6A6"/>
              <w:left w:val="single" w:sz="8" w:space="0" w:color="A6A6A6"/>
              <w:bottom w:val="single" w:sz="8" w:space="0" w:color="A6A6A6"/>
              <w:right w:val="single" w:sz="8" w:space="0" w:color="A6A6A6"/>
            </w:tcBorders>
            <w:vAlign w:val="center"/>
            <w:hideMark/>
          </w:tcPr>
          <w:p w14:paraId="146E547D" w14:textId="77777777" w:rsidR="00FD2CBB" w:rsidRPr="00A2769C" w:rsidRDefault="00FD2CBB">
            <w:pPr>
              <w:spacing w:after="0" w:line="240" w:lineRule="auto"/>
              <w:jc w:val="left"/>
              <w:rPr>
                <w:rFonts w:eastAsia="Times New Roman" w:cs="Calibri"/>
                <w:color w:val="242424"/>
                <w:sz w:val="20"/>
                <w:szCs w:val="20"/>
              </w:rPr>
            </w:pPr>
          </w:p>
        </w:tc>
        <w:tc>
          <w:tcPr>
            <w:tcW w:w="854" w:type="dxa"/>
            <w:vMerge/>
            <w:tcBorders>
              <w:top w:val="single" w:sz="8" w:space="0" w:color="A6A6A6"/>
              <w:left w:val="single" w:sz="8" w:space="0" w:color="A6A6A6"/>
              <w:bottom w:val="single" w:sz="8" w:space="0" w:color="A6A6A6"/>
              <w:right w:val="single" w:sz="8" w:space="0" w:color="A6A6A6"/>
            </w:tcBorders>
            <w:vAlign w:val="center"/>
            <w:hideMark/>
          </w:tcPr>
          <w:p w14:paraId="67ABF1FC" w14:textId="77777777" w:rsidR="00FD2CBB" w:rsidRPr="00A2769C" w:rsidRDefault="00FD2CBB">
            <w:pPr>
              <w:spacing w:after="0" w:line="240" w:lineRule="auto"/>
              <w:jc w:val="left"/>
              <w:rPr>
                <w:rFonts w:eastAsia="Times New Roman" w:cs="Calibri"/>
                <w:color w:val="242424"/>
                <w:sz w:val="20"/>
                <w:szCs w:val="20"/>
              </w:rPr>
            </w:pPr>
          </w:p>
        </w:tc>
        <w:tc>
          <w:tcPr>
            <w:tcW w:w="3355" w:type="dxa"/>
            <w:vMerge/>
            <w:tcBorders>
              <w:top w:val="single" w:sz="8" w:space="0" w:color="A6A6A6"/>
              <w:left w:val="single" w:sz="8" w:space="0" w:color="A6A6A6"/>
              <w:bottom w:val="single" w:sz="8" w:space="0" w:color="A6A6A6"/>
              <w:right w:val="single" w:sz="8" w:space="0" w:color="A6A6A6"/>
            </w:tcBorders>
            <w:vAlign w:val="center"/>
            <w:hideMark/>
          </w:tcPr>
          <w:p w14:paraId="4A6F41B0" w14:textId="77777777" w:rsidR="00FD2CBB" w:rsidRPr="00A2769C" w:rsidRDefault="00FD2CBB">
            <w:pPr>
              <w:spacing w:after="0" w:line="240" w:lineRule="auto"/>
              <w:jc w:val="left"/>
              <w:rPr>
                <w:rFonts w:eastAsia="Times New Roman" w:cs="Calibri"/>
                <w:color w:val="242424"/>
                <w:sz w:val="20"/>
                <w:szCs w:val="20"/>
              </w:rPr>
            </w:pPr>
          </w:p>
        </w:tc>
      </w:tr>
      <w:tr w:rsidR="00FD2CBB" w:rsidRPr="00A2769C" w14:paraId="4A4489B3" w14:textId="77777777">
        <w:trPr>
          <w:trHeight w:val="297"/>
        </w:trPr>
        <w:tc>
          <w:tcPr>
            <w:tcW w:w="1245" w:type="dxa"/>
            <w:vMerge/>
            <w:tcBorders>
              <w:top w:val="single" w:sz="8" w:space="0" w:color="A6A6A6"/>
              <w:left w:val="single" w:sz="8" w:space="0" w:color="A6A6A6"/>
              <w:bottom w:val="single" w:sz="8" w:space="0" w:color="A6A6A6"/>
              <w:right w:val="single" w:sz="8" w:space="0" w:color="A6A6A6"/>
            </w:tcBorders>
            <w:vAlign w:val="center"/>
            <w:hideMark/>
          </w:tcPr>
          <w:p w14:paraId="5FCF8F99" w14:textId="77777777" w:rsidR="00FD2CBB" w:rsidRPr="00A2769C" w:rsidRDefault="00FD2CBB">
            <w:pPr>
              <w:spacing w:after="0" w:line="240" w:lineRule="auto"/>
              <w:jc w:val="left"/>
              <w:rPr>
                <w:rFonts w:eastAsia="Times New Roman" w:cs="Calibri"/>
                <w:b/>
                <w:color w:val="000000"/>
                <w:sz w:val="20"/>
                <w:szCs w:val="20"/>
              </w:rPr>
            </w:pPr>
          </w:p>
        </w:tc>
        <w:tc>
          <w:tcPr>
            <w:tcW w:w="1439" w:type="dxa"/>
            <w:tcBorders>
              <w:top w:val="nil"/>
              <w:left w:val="nil"/>
              <w:bottom w:val="nil"/>
              <w:right w:val="single" w:sz="8" w:space="0" w:color="A6A6A6"/>
            </w:tcBorders>
            <w:noWrap/>
            <w:vAlign w:val="center"/>
            <w:hideMark/>
          </w:tcPr>
          <w:p w14:paraId="38C4D698" w14:textId="77777777" w:rsidR="00FD2CBB" w:rsidRPr="00A2769C" w:rsidRDefault="00FD2CBB">
            <w:pPr>
              <w:spacing w:after="0" w:line="240" w:lineRule="auto"/>
              <w:jc w:val="left"/>
              <w:rPr>
                <w:rFonts w:eastAsia="Times New Roman" w:cs="Calibri"/>
                <w:color w:val="242424"/>
                <w:sz w:val="20"/>
                <w:szCs w:val="20"/>
              </w:rPr>
            </w:pPr>
            <w:r w:rsidRPr="00A2769C">
              <w:rPr>
                <w:rFonts w:eastAsia="Times New Roman" w:cs="Calibri"/>
                <w:color w:val="242424"/>
                <w:sz w:val="20"/>
                <w:szCs w:val="20"/>
              </w:rPr>
              <w:t>Bicicletta;</w:t>
            </w:r>
          </w:p>
        </w:tc>
        <w:tc>
          <w:tcPr>
            <w:tcW w:w="1280" w:type="dxa"/>
            <w:vMerge/>
            <w:tcBorders>
              <w:top w:val="single" w:sz="8" w:space="0" w:color="A6A6A6"/>
              <w:left w:val="single" w:sz="8" w:space="0" w:color="A6A6A6"/>
              <w:bottom w:val="single" w:sz="8" w:space="0" w:color="A6A6A6"/>
              <w:right w:val="single" w:sz="8" w:space="0" w:color="A6A6A6"/>
            </w:tcBorders>
            <w:vAlign w:val="center"/>
            <w:hideMark/>
          </w:tcPr>
          <w:p w14:paraId="72696247" w14:textId="77777777" w:rsidR="00FD2CBB" w:rsidRPr="00A2769C" w:rsidRDefault="00FD2CBB">
            <w:pPr>
              <w:spacing w:after="0" w:line="240" w:lineRule="auto"/>
              <w:jc w:val="left"/>
              <w:rPr>
                <w:rFonts w:eastAsia="Times New Roman" w:cs="Calibri"/>
                <w:color w:val="000000"/>
                <w:sz w:val="20"/>
                <w:szCs w:val="20"/>
              </w:rPr>
            </w:pPr>
          </w:p>
        </w:tc>
        <w:tc>
          <w:tcPr>
            <w:tcW w:w="1222" w:type="dxa"/>
            <w:vMerge/>
            <w:tcBorders>
              <w:top w:val="single" w:sz="8" w:space="0" w:color="A6A6A6"/>
              <w:left w:val="single" w:sz="8" w:space="0" w:color="A6A6A6"/>
              <w:bottom w:val="single" w:sz="8" w:space="0" w:color="A6A6A6"/>
              <w:right w:val="single" w:sz="8" w:space="0" w:color="A6A6A6"/>
            </w:tcBorders>
            <w:vAlign w:val="center"/>
            <w:hideMark/>
          </w:tcPr>
          <w:p w14:paraId="4FEC2E8F" w14:textId="77777777" w:rsidR="00FD2CBB" w:rsidRPr="00A2769C" w:rsidRDefault="00FD2CBB">
            <w:pPr>
              <w:spacing w:after="0" w:line="240" w:lineRule="auto"/>
              <w:jc w:val="left"/>
              <w:rPr>
                <w:rFonts w:eastAsia="Times New Roman" w:cs="Calibri"/>
                <w:color w:val="242424"/>
                <w:sz w:val="20"/>
                <w:szCs w:val="20"/>
              </w:rPr>
            </w:pPr>
          </w:p>
        </w:tc>
        <w:tc>
          <w:tcPr>
            <w:tcW w:w="854" w:type="dxa"/>
            <w:vMerge/>
            <w:tcBorders>
              <w:top w:val="single" w:sz="8" w:space="0" w:color="A6A6A6"/>
              <w:left w:val="single" w:sz="8" w:space="0" w:color="A6A6A6"/>
              <w:bottom w:val="single" w:sz="8" w:space="0" w:color="A6A6A6"/>
              <w:right w:val="single" w:sz="8" w:space="0" w:color="A6A6A6"/>
            </w:tcBorders>
            <w:vAlign w:val="center"/>
            <w:hideMark/>
          </w:tcPr>
          <w:p w14:paraId="32C30C07" w14:textId="77777777" w:rsidR="00FD2CBB" w:rsidRPr="00A2769C" w:rsidRDefault="00FD2CBB">
            <w:pPr>
              <w:spacing w:after="0" w:line="240" w:lineRule="auto"/>
              <w:jc w:val="left"/>
              <w:rPr>
                <w:rFonts w:eastAsia="Times New Roman" w:cs="Calibri"/>
                <w:color w:val="242424"/>
                <w:sz w:val="20"/>
                <w:szCs w:val="20"/>
              </w:rPr>
            </w:pPr>
          </w:p>
        </w:tc>
        <w:tc>
          <w:tcPr>
            <w:tcW w:w="3355" w:type="dxa"/>
            <w:vMerge/>
            <w:tcBorders>
              <w:top w:val="single" w:sz="8" w:space="0" w:color="A6A6A6"/>
              <w:left w:val="single" w:sz="8" w:space="0" w:color="A6A6A6"/>
              <w:bottom w:val="single" w:sz="8" w:space="0" w:color="A6A6A6"/>
              <w:right w:val="single" w:sz="8" w:space="0" w:color="A6A6A6"/>
            </w:tcBorders>
            <w:vAlign w:val="center"/>
            <w:hideMark/>
          </w:tcPr>
          <w:p w14:paraId="7FB1277B" w14:textId="77777777" w:rsidR="00FD2CBB" w:rsidRPr="00A2769C" w:rsidRDefault="00FD2CBB">
            <w:pPr>
              <w:spacing w:after="0" w:line="240" w:lineRule="auto"/>
              <w:jc w:val="left"/>
              <w:rPr>
                <w:rFonts w:eastAsia="Times New Roman" w:cs="Calibri"/>
                <w:color w:val="242424"/>
                <w:sz w:val="20"/>
                <w:szCs w:val="20"/>
              </w:rPr>
            </w:pPr>
          </w:p>
        </w:tc>
      </w:tr>
      <w:tr w:rsidR="00FD2CBB" w:rsidRPr="00A2769C" w14:paraId="16277B4B" w14:textId="77777777">
        <w:trPr>
          <w:trHeight w:val="87"/>
        </w:trPr>
        <w:tc>
          <w:tcPr>
            <w:tcW w:w="1245" w:type="dxa"/>
            <w:vMerge/>
            <w:tcBorders>
              <w:top w:val="single" w:sz="8" w:space="0" w:color="A6A6A6"/>
              <w:left w:val="single" w:sz="8" w:space="0" w:color="A6A6A6"/>
              <w:bottom w:val="single" w:sz="8" w:space="0" w:color="A6A6A6"/>
              <w:right w:val="single" w:sz="8" w:space="0" w:color="A6A6A6"/>
            </w:tcBorders>
            <w:vAlign w:val="center"/>
            <w:hideMark/>
          </w:tcPr>
          <w:p w14:paraId="42638725" w14:textId="77777777" w:rsidR="00FD2CBB" w:rsidRPr="00A2769C" w:rsidRDefault="00FD2CBB">
            <w:pPr>
              <w:spacing w:after="0" w:line="240" w:lineRule="auto"/>
              <w:jc w:val="left"/>
              <w:rPr>
                <w:rFonts w:eastAsia="Times New Roman" w:cs="Calibri"/>
                <w:b/>
                <w:color w:val="000000"/>
                <w:sz w:val="20"/>
                <w:szCs w:val="20"/>
              </w:rPr>
            </w:pPr>
          </w:p>
        </w:tc>
        <w:tc>
          <w:tcPr>
            <w:tcW w:w="1439" w:type="dxa"/>
            <w:tcBorders>
              <w:top w:val="nil"/>
              <w:left w:val="nil"/>
              <w:bottom w:val="single" w:sz="8" w:space="0" w:color="A6A6A6"/>
              <w:right w:val="single" w:sz="8" w:space="0" w:color="A6A6A6"/>
            </w:tcBorders>
            <w:noWrap/>
            <w:vAlign w:val="center"/>
            <w:hideMark/>
          </w:tcPr>
          <w:p w14:paraId="7F447E97" w14:textId="77777777" w:rsidR="00FD2CBB" w:rsidRPr="00A2769C" w:rsidRDefault="00FD2CBB">
            <w:pPr>
              <w:spacing w:after="0" w:line="240" w:lineRule="auto"/>
              <w:jc w:val="left"/>
              <w:rPr>
                <w:rFonts w:eastAsia="Times New Roman" w:cs="Calibri"/>
                <w:color w:val="242424"/>
                <w:sz w:val="20"/>
                <w:szCs w:val="20"/>
              </w:rPr>
            </w:pPr>
            <w:r w:rsidRPr="00A2769C">
              <w:rPr>
                <w:rFonts w:eastAsia="Times New Roman" w:cs="Calibri"/>
                <w:color w:val="242424"/>
                <w:sz w:val="20"/>
                <w:szCs w:val="20"/>
              </w:rPr>
              <w:t>Taxi.</w:t>
            </w:r>
          </w:p>
        </w:tc>
        <w:tc>
          <w:tcPr>
            <w:tcW w:w="1280" w:type="dxa"/>
            <w:vMerge/>
            <w:tcBorders>
              <w:top w:val="single" w:sz="8" w:space="0" w:color="A6A6A6"/>
              <w:left w:val="single" w:sz="8" w:space="0" w:color="A6A6A6"/>
              <w:bottom w:val="single" w:sz="8" w:space="0" w:color="A6A6A6"/>
              <w:right w:val="single" w:sz="8" w:space="0" w:color="A6A6A6"/>
            </w:tcBorders>
            <w:vAlign w:val="center"/>
            <w:hideMark/>
          </w:tcPr>
          <w:p w14:paraId="01B95322" w14:textId="77777777" w:rsidR="00FD2CBB" w:rsidRPr="00A2769C" w:rsidRDefault="00FD2CBB">
            <w:pPr>
              <w:spacing w:after="0" w:line="240" w:lineRule="auto"/>
              <w:jc w:val="left"/>
              <w:rPr>
                <w:rFonts w:eastAsia="Times New Roman" w:cs="Calibri"/>
                <w:color w:val="000000"/>
                <w:sz w:val="20"/>
                <w:szCs w:val="20"/>
              </w:rPr>
            </w:pPr>
          </w:p>
        </w:tc>
        <w:tc>
          <w:tcPr>
            <w:tcW w:w="1222" w:type="dxa"/>
            <w:vMerge/>
            <w:tcBorders>
              <w:top w:val="single" w:sz="8" w:space="0" w:color="A6A6A6"/>
              <w:left w:val="single" w:sz="8" w:space="0" w:color="A6A6A6"/>
              <w:bottom w:val="single" w:sz="8" w:space="0" w:color="A6A6A6"/>
              <w:right w:val="single" w:sz="8" w:space="0" w:color="A6A6A6"/>
            </w:tcBorders>
            <w:vAlign w:val="center"/>
            <w:hideMark/>
          </w:tcPr>
          <w:p w14:paraId="3DB6DE99" w14:textId="77777777" w:rsidR="00FD2CBB" w:rsidRPr="00A2769C" w:rsidRDefault="00FD2CBB">
            <w:pPr>
              <w:spacing w:after="0" w:line="240" w:lineRule="auto"/>
              <w:jc w:val="left"/>
              <w:rPr>
                <w:rFonts w:eastAsia="Times New Roman" w:cs="Calibri"/>
                <w:color w:val="242424"/>
                <w:sz w:val="20"/>
                <w:szCs w:val="20"/>
              </w:rPr>
            </w:pPr>
          </w:p>
        </w:tc>
        <w:tc>
          <w:tcPr>
            <w:tcW w:w="854" w:type="dxa"/>
            <w:vMerge/>
            <w:tcBorders>
              <w:top w:val="single" w:sz="8" w:space="0" w:color="A6A6A6"/>
              <w:left w:val="single" w:sz="8" w:space="0" w:color="A6A6A6"/>
              <w:bottom w:val="single" w:sz="8" w:space="0" w:color="A6A6A6"/>
              <w:right w:val="single" w:sz="8" w:space="0" w:color="A6A6A6"/>
            </w:tcBorders>
            <w:vAlign w:val="center"/>
            <w:hideMark/>
          </w:tcPr>
          <w:p w14:paraId="2B86639C" w14:textId="77777777" w:rsidR="00FD2CBB" w:rsidRPr="00A2769C" w:rsidRDefault="00FD2CBB">
            <w:pPr>
              <w:spacing w:after="0" w:line="240" w:lineRule="auto"/>
              <w:jc w:val="left"/>
              <w:rPr>
                <w:rFonts w:eastAsia="Times New Roman" w:cs="Calibri"/>
                <w:color w:val="242424"/>
                <w:sz w:val="20"/>
                <w:szCs w:val="20"/>
              </w:rPr>
            </w:pPr>
          </w:p>
        </w:tc>
        <w:tc>
          <w:tcPr>
            <w:tcW w:w="3355" w:type="dxa"/>
            <w:vMerge/>
            <w:tcBorders>
              <w:top w:val="single" w:sz="8" w:space="0" w:color="A6A6A6"/>
              <w:left w:val="single" w:sz="8" w:space="0" w:color="A6A6A6"/>
              <w:bottom w:val="single" w:sz="8" w:space="0" w:color="A6A6A6"/>
              <w:right w:val="single" w:sz="8" w:space="0" w:color="A6A6A6"/>
            </w:tcBorders>
            <w:vAlign w:val="center"/>
            <w:hideMark/>
          </w:tcPr>
          <w:p w14:paraId="5DA821D9" w14:textId="77777777" w:rsidR="00FD2CBB" w:rsidRPr="00A2769C" w:rsidRDefault="00FD2CBB">
            <w:pPr>
              <w:spacing w:after="0" w:line="240" w:lineRule="auto"/>
              <w:jc w:val="left"/>
              <w:rPr>
                <w:rFonts w:eastAsia="Times New Roman" w:cs="Calibri"/>
                <w:color w:val="242424"/>
                <w:sz w:val="20"/>
                <w:szCs w:val="20"/>
              </w:rPr>
            </w:pPr>
          </w:p>
        </w:tc>
      </w:tr>
      <w:tr w:rsidR="00FD2CBB" w:rsidRPr="00A2769C" w14:paraId="6E4BD410" w14:textId="77777777">
        <w:trPr>
          <w:trHeight w:val="831"/>
        </w:trPr>
        <w:tc>
          <w:tcPr>
            <w:tcW w:w="1245" w:type="dxa"/>
            <w:vMerge w:val="restart"/>
            <w:tcBorders>
              <w:top w:val="nil"/>
              <w:left w:val="single" w:sz="8" w:space="0" w:color="A6A6A6"/>
              <w:bottom w:val="single" w:sz="8" w:space="0" w:color="A6A6A6"/>
              <w:right w:val="single" w:sz="8" w:space="0" w:color="A6A6A6"/>
            </w:tcBorders>
            <w:shd w:val="clear" w:color="000000" w:fill="FFFFFF"/>
            <w:vAlign w:val="center"/>
            <w:hideMark/>
          </w:tcPr>
          <w:p w14:paraId="03B1B096" w14:textId="77777777" w:rsidR="00FD2CBB" w:rsidRPr="00A2769C" w:rsidRDefault="00FD2CBB">
            <w:pPr>
              <w:spacing w:after="0" w:line="240" w:lineRule="auto"/>
              <w:jc w:val="left"/>
              <w:rPr>
                <w:rFonts w:eastAsia="Times New Roman" w:cs="Calibri"/>
                <w:b/>
                <w:color w:val="000000"/>
                <w:sz w:val="20"/>
                <w:szCs w:val="20"/>
              </w:rPr>
            </w:pPr>
            <w:r w:rsidRPr="00A2769C">
              <w:rPr>
                <w:rFonts w:eastAsia="Times New Roman" w:cs="Calibri"/>
                <w:b/>
                <w:color w:val="000000"/>
                <w:sz w:val="20"/>
                <w:szCs w:val="20"/>
              </w:rPr>
              <w:t>CHIVASSO</w:t>
            </w:r>
          </w:p>
        </w:tc>
        <w:tc>
          <w:tcPr>
            <w:tcW w:w="1439" w:type="dxa"/>
            <w:tcBorders>
              <w:top w:val="nil"/>
              <w:left w:val="nil"/>
              <w:bottom w:val="nil"/>
              <w:right w:val="single" w:sz="8" w:space="0" w:color="A6A6A6"/>
            </w:tcBorders>
            <w:vAlign w:val="center"/>
            <w:hideMark/>
          </w:tcPr>
          <w:p w14:paraId="52D010C8" w14:textId="77777777" w:rsidR="00FD2CBB" w:rsidRPr="00A2769C" w:rsidRDefault="00FD2CBB">
            <w:pPr>
              <w:spacing w:after="0" w:line="240" w:lineRule="auto"/>
              <w:jc w:val="left"/>
              <w:rPr>
                <w:rFonts w:eastAsia="Times New Roman" w:cs="Calibri"/>
                <w:color w:val="242424"/>
                <w:sz w:val="20"/>
                <w:szCs w:val="20"/>
              </w:rPr>
            </w:pPr>
            <w:r w:rsidRPr="00A2769C">
              <w:rPr>
                <w:rFonts w:eastAsia="Times New Roman" w:cs="Calibri"/>
                <w:color w:val="242424"/>
                <w:sz w:val="20"/>
                <w:szCs w:val="20"/>
              </w:rPr>
              <w:t>Autolinee extraurbane e urbane;</w:t>
            </w:r>
          </w:p>
        </w:tc>
        <w:tc>
          <w:tcPr>
            <w:tcW w:w="1280" w:type="dxa"/>
            <w:vMerge w:val="restart"/>
            <w:tcBorders>
              <w:top w:val="nil"/>
              <w:left w:val="single" w:sz="8" w:space="0" w:color="A6A6A6"/>
              <w:bottom w:val="single" w:sz="8" w:space="0" w:color="A6A6A6"/>
              <w:right w:val="single" w:sz="8" w:space="0" w:color="A6A6A6"/>
            </w:tcBorders>
            <w:vAlign w:val="center"/>
            <w:hideMark/>
          </w:tcPr>
          <w:p w14:paraId="13209B88" w14:textId="77777777" w:rsidR="00FD2CBB" w:rsidRPr="00A2769C" w:rsidRDefault="00FD2CBB">
            <w:pPr>
              <w:spacing w:after="0" w:line="240" w:lineRule="auto"/>
              <w:jc w:val="left"/>
              <w:rPr>
                <w:rFonts w:eastAsia="Times New Roman" w:cs="Calibri"/>
                <w:color w:val="000000"/>
                <w:sz w:val="20"/>
                <w:szCs w:val="20"/>
              </w:rPr>
            </w:pPr>
            <w:r w:rsidRPr="00A2769C">
              <w:rPr>
                <w:rFonts w:eastAsia="Times New Roman" w:cs="Calibri"/>
                <w:color w:val="000000"/>
                <w:sz w:val="20"/>
                <w:szCs w:val="20"/>
              </w:rPr>
              <w:t>Nodo di interscambio multimodale diretto</w:t>
            </w:r>
          </w:p>
        </w:tc>
        <w:tc>
          <w:tcPr>
            <w:tcW w:w="1222" w:type="dxa"/>
            <w:vMerge w:val="restart"/>
            <w:tcBorders>
              <w:top w:val="nil"/>
              <w:left w:val="single" w:sz="8" w:space="0" w:color="A6A6A6"/>
              <w:bottom w:val="single" w:sz="8" w:space="0" w:color="A6A6A6"/>
              <w:right w:val="single" w:sz="8" w:space="0" w:color="A6A6A6"/>
            </w:tcBorders>
            <w:vAlign w:val="center"/>
            <w:hideMark/>
          </w:tcPr>
          <w:p w14:paraId="64FB5FD5" w14:textId="77777777" w:rsidR="00FD2CBB" w:rsidRPr="00A2769C" w:rsidRDefault="00FD2CBB">
            <w:pPr>
              <w:spacing w:after="0" w:line="240" w:lineRule="auto"/>
              <w:jc w:val="left"/>
              <w:rPr>
                <w:rFonts w:eastAsia="Times New Roman" w:cs="Calibri"/>
                <w:color w:val="242424"/>
                <w:sz w:val="20"/>
                <w:szCs w:val="20"/>
              </w:rPr>
            </w:pPr>
            <w:r w:rsidRPr="00A2769C">
              <w:rPr>
                <w:rFonts w:eastAsia="Times New Roman" w:cs="Calibri"/>
                <w:color w:val="242424"/>
                <w:sz w:val="20"/>
                <w:szCs w:val="20"/>
              </w:rPr>
              <w:t>Necessità di definizione di accordi gestione</w:t>
            </w:r>
          </w:p>
        </w:tc>
        <w:tc>
          <w:tcPr>
            <w:tcW w:w="854" w:type="dxa"/>
            <w:vMerge w:val="restart"/>
            <w:tcBorders>
              <w:top w:val="nil"/>
              <w:left w:val="single" w:sz="8" w:space="0" w:color="A6A6A6"/>
              <w:bottom w:val="single" w:sz="8" w:space="0" w:color="A6A6A6"/>
              <w:right w:val="single" w:sz="8" w:space="0" w:color="A6A6A6"/>
            </w:tcBorders>
            <w:noWrap/>
            <w:vAlign w:val="center"/>
            <w:hideMark/>
          </w:tcPr>
          <w:p w14:paraId="1A986DC2" w14:textId="77777777" w:rsidR="00FD2CBB" w:rsidRPr="00A2769C" w:rsidRDefault="00FD2CBB">
            <w:pPr>
              <w:spacing w:after="0" w:line="240" w:lineRule="auto"/>
              <w:jc w:val="left"/>
              <w:rPr>
                <w:rFonts w:eastAsia="Times New Roman" w:cs="Calibri"/>
                <w:color w:val="242424"/>
                <w:sz w:val="20"/>
                <w:szCs w:val="20"/>
              </w:rPr>
            </w:pPr>
            <w:r w:rsidRPr="00A2769C">
              <w:rPr>
                <w:rFonts w:eastAsia="Times New Roman" w:cs="Calibri"/>
                <w:color w:val="242424"/>
                <w:sz w:val="20"/>
                <w:szCs w:val="20"/>
              </w:rPr>
              <w:t>Da definire</w:t>
            </w:r>
          </w:p>
        </w:tc>
        <w:tc>
          <w:tcPr>
            <w:tcW w:w="3355" w:type="dxa"/>
            <w:vMerge w:val="restart"/>
            <w:tcBorders>
              <w:top w:val="nil"/>
              <w:left w:val="single" w:sz="8" w:space="0" w:color="A6A6A6"/>
              <w:bottom w:val="single" w:sz="8" w:space="0" w:color="A6A6A6"/>
              <w:right w:val="single" w:sz="8" w:space="0" w:color="A6A6A6"/>
            </w:tcBorders>
            <w:vAlign w:val="center"/>
            <w:hideMark/>
          </w:tcPr>
          <w:p w14:paraId="64B77D39" w14:textId="77777777" w:rsidR="00FD2CBB" w:rsidRPr="00A2769C" w:rsidRDefault="00FD2CBB">
            <w:pPr>
              <w:spacing w:after="0" w:line="240" w:lineRule="auto"/>
              <w:jc w:val="left"/>
              <w:rPr>
                <w:rFonts w:eastAsia="Times New Roman" w:cs="Calibri"/>
                <w:color w:val="242424"/>
                <w:sz w:val="20"/>
                <w:szCs w:val="20"/>
              </w:rPr>
            </w:pPr>
            <w:r w:rsidRPr="00A2769C">
              <w:rPr>
                <w:rFonts w:eastAsia="Times New Roman" w:cs="Calibri"/>
                <w:color w:val="242424"/>
                <w:sz w:val="20"/>
                <w:szCs w:val="20"/>
              </w:rPr>
              <w:t xml:space="preserve">Il "Movicentro" presenta edifici dedicati a servizi per i cittadini e un'area di fermata coperta con più stalli. </w:t>
            </w:r>
          </w:p>
        </w:tc>
      </w:tr>
      <w:tr w:rsidR="00FD2CBB" w:rsidRPr="00A2769C" w14:paraId="513D6CC1" w14:textId="77777777">
        <w:trPr>
          <w:trHeight w:val="297"/>
        </w:trPr>
        <w:tc>
          <w:tcPr>
            <w:tcW w:w="1245" w:type="dxa"/>
            <w:vMerge/>
            <w:tcBorders>
              <w:top w:val="nil"/>
              <w:left w:val="single" w:sz="8" w:space="0" w:color="A6A6A6"/>
              <w:bottom w:val="single" w:sz="8" w:space="0" w:color="A6A6A6"/>
              <w:right w:val="single" w:sz="8" w:space="0" w:color="A6A6A6"/>
            </w:tcBorders>
            <w:vAlign w:val="center"/>
            <w:hideMark/>
          </w:tcPr>
          <w:p w14:paraId="6E135A47" w14:textId="77777777" w:rsidR="00FD2CBB" w:rsidRPr="00A2769C" w:rsidRDefault="00FD2CBB">
            <w:pPr>
              <w:spacing w:after="0" w:line="240" w:lineRule="auto"/>
              <w:jc w:val="left"/>
              <w:rPr>
                <w:rFonts w:eastAsia="Times New Roman" w:cs="Calibri"/>
                <w:b/>
                <w:color w:val="000000"/>
                <w:sz w:val="20"/>
                <w:szCs w:val="20"/>
              </w:rPr>
            </w:pPr>
          </w:p>
        </w:tc>
        <w:tc>
          <w:tcPr>
            <w:tcW w:w="1439" w:type="dxa"/>
            <w:tcBorders>
              <w:top w:val="nil"/>
              <w:left w:val="nil"/>
              <w:bottom w:val="nil"/>
              <w:right w:val="single" w:sz="8" w:space="0" w:color="A6A6A6"/>
            </w:tcBorders>
            <w:noWrap/>
            <w:vAlign w:val="center"/>
            <w:hideMark/>
          </w:tcPr>
          <w:p w14:paraId="777B485B" w14:textId="77777777" w:rsidR="00FD2CBB" w:rsidRPr="00A2769C" w:rsidRDefault="00FD2CBB">
            <w:pPr>
              <w:spacing w:after="0" w:line="240" w:lineRule="auto"/>
              <w:jc w:val="left"/>
              <w:rPr>
                <w:rFonts w:eastAsia="Times New Roman" w:cs="Calibri"/>
                <w:color w:val="242424"/>
                <w:sz w:val="20"/>
                <w:szCs w:val="20"/>
              </w:rPr>
            </w:pPr>
            <w:r w:rsidRPr="00A2769C">
              <w:rPr>
                <w:rFonts w:eastAsia="Times New Roman" w:cs="Calibri"/>
                <w:color w:val="242424"/>
                <w:sz w:val="20"/>
                <w:szCs w:val="20"/>
              </w:rPr>
              <w:t>Servizi ferroviari;</w:t>
            </w:r>
          </w:p>
        </w:tc>
        <w:tc>
          <w:tcPr>
            <w:tcW w:w="1280" w:type="dxa"/>
            <w:vMerge/>
            <w:tcBorders>
              <w:top w:val="nil"/>
              <w:left w:val="single" w:sz="8" w:space="0" w:color="A6A6A6"/>
              <w:bottom w:val="single" w:sz="8" w:space="0" w:color="A6A6A6"/>
              <w:right w:val="single" w:sz="8" w:space="0" w:color="A6A6A6"/>
            </w:tcBorders>
            <w:vAlign w:val="center"/>
            <w:hideMark/>
          </w:tcPr>
          <w:p w14:paraId="4F93C0EC" w14:textId="77777777" w:rsidR="00FD2CBB" w:rsidRPr="00A2769C" w:rsidRDefault="00FD2CBB">
            <w:pPr>
              <w:spacing w:after="0" w:line="240" w:lineRule="auto"/>
              <w:jc w:val="left"/>
              <w:rPr>
                <w:rFonts w:eastAsia="Times New Roman" w:cs="Calibri"/>
                <w:color w:val="000000"/>
                <w:sz w:val="20"/>
                <w:szCs w:val="20"/>
              </w:rPr>
            </w:pPr>
          </w:p>
        </w:tc>
        <w:tc>
          <w:tcPr>
            <w:tcW w:w="1222" w:type="dxa"/>
            <w:vMerge/>
            <w:tcBorders>
              <w:top w:val="nil"/>
              <w:left w:val="single" w:sz="8" w:space="0" w:color="A6A6A6"/>
              <w:bottom w:val="single" w:sz="8" w:space="0" w:color="A6A6A6"/>
              <w:right w:val="single" w:sz="8" w:space="0" w:color="A6A6A6"/>
            </w:tcBorders>
            <w:vAlign w:val="center"/>
            <w:hideMark/>
          </w:tcPr>
          <w:p w14:paraId="725CECEE" w14:textId="77777777" w:rsidR="00FD2CBB" w:rsidRPr="00A2769C" w:rsidRDefault="00FD2CBB">
            <w:pPr>
              <w:spacing w:after="0" w:line="240" w:lineRule="auto"/>
              <w:jc w:val="left"/>
              <w:rPr>
                <w:rFonts w:eastAsia="Times New Roman" w:cs="Calibri"/>
                <w:color w:val="242424"/>
                <w:sz w:val="20"/>
                <w:szCs w:val="20"/>
              </w:rPr>
            </w:pPr>
          </w:p>
        </w:tc>
        <w:tc>
          <w:tcPr>
            <w:tcW w:w="854" w:type="dxa"/>
            <w:vMerge/>
            <w:tcBorders>
              <w:top w:val="nil"/>
              <w:left w:val="single" w:sz="8" w:space="0" w:color="A6A6A6"/>
              <w:bottom w:val="single" w:sz="8" w:space="0" w:color="A6A6A6"/>
              <w:right w:val="single" w:sz="8" w:space="0" w:color="A6A6A6"/>
            </w:tcBorders>
            <w:vAlign w:val="center"/>
            <w:hideMark/>
          </w:tcPr>
          <w:p w14:paraId="71FA6670" w14:textId="77777777" w:rsidR="00FD2CBB" w:rsidRPr="00A2769C" w:rsidRDefault="00FD2CBB">
            <w:pPr>
              <w:spacing w:after="0" w:line="240" w:lineRule="auto"/>
              <w:jc w:val="left"/>
              <w:rPr>
                <w:rFonts w:eastAsia="Times New Roman" w:cs="Calibri"/>
                <w:color w:val="242424"/>
                <w:sz w:val="20"/>
                <w:szCs w:val="20"/>
              </w:rPr>
            </w:pPr>
          </w:p>
        </w:tc>
        <w:tc>
          <w:tcPr>
            <w:tcW w:w="3355" w:type="dxa"/>
            <w:vMerge/>
            <w:tcBorders>
              <w:top w:val="nil"/>
              <w:left w:val="single" w:sz="8" w:space="0" w:color="A6A6A6"/>
              <w:bottom w:val="single" w:sz="8" w:space="0" w:color="A6A6A6"/>
              <w:right w:val="single" w:sz="8" w:space="0" w:color="A6A6A6"/>
            </w:tcBorders>
            <w:vAlign w:val="center"/>
            <w:hideMark/>
          </w:tcPr>
          <w:p w14:paraId="2E38B9D2" w14:textId="77777777" w:rsidR="00FD2CBB" w:rsidRPr="00A2769C" w:rsidRDefault="00FD2CBB">
            <w:pPr>
              <w:spacing w:after="0" w:line="240" w:lineRule="auto"/>
              <w:jc w:val="left"/>
              <w:rPr>
                <w:rFonts w:eastAsia="Times New Roman" w:cs="Calibri"/>
                <w:color w:val="242424"/>
                <w:sz w:val="20"/>
                <w:szCs w:val="20"/>
              </w:rPr>
            </w:pPr>
          </w:p>
        </w:tc>
      </w:tr>
      <w:tr w:rsidR="00FD2CBB" w:rsidRPr="00A2769C" w14:paraId="24A1AD42" w14:textId="77777777">
        <w:trPr>
          <w:trHeight w:val="297"/>
        </w:trPr>
        <w:tc>
          <w:tcPr>
            <w:tcW w:w="1245" w:type="dxa"/>
            <w:vMerge/>
            <w:tcBorders>
              <w:top w:val="nil"/>
              <w:left w:val="single" w:sz="8" w:space="0" w:color="A6A6A6"/>
              <w:bottom w:val="single" w:sz="8" w:space="0" w:color="A6A6A6"/>
              <w:right w:val="single" w:sz="8" w:space="0" w:color="A6A6A6"/>
            </w:tcBorders>
            <w:vAlign w:val="center"/>
            <w:hideMark/>
          </w:tcPr>
          <w:p w14:paraId="3C81FC2F" w14:textId="77777777" w:rsidR="00FD2CBB" w:rsidRPr="00A2769C" w:rsidRDefault="00FD2CBB">
            <w:pPr>
              <w:spacing w:after="0" w:line="240" w:lineRule="auto"/>
              <w:jc w:val="left"/>
              <w:rPr>
                <w:rFonts w:eastAsia="Times New Roman" w:cs="Calibri"/>
                <w:b/>
                <w:color w:val="000000"/>
                <w:sz w:val="20"/>
                <w:szCs w:val="20"/>
              </w:rPr>
            </w:pPr>
          </w:p>
        </w:tc>
        <w:tc>
          <w:tcPr>
            <w:tcW w:w="1439" w:type="dxa"/>
            <w:tcBorders>
              <w:top w:val="nil"/>
              <w:left w:val="nil"/>
              <w:bottom w:val="nil"/>
              <w:right w:val="single" w:sz="8" w:space="0" w:color="A6A6A6"/>
            </w:tcBorders>
            <w:noWrap/>
            <w:vAlign w:val="center"/>
            <w:hideMark/>
          </w:tcPr>
          <w:p w14:paraId="61B46945" w14:textId="77777777" w:rsidR="00FD2CBB" w:rsidRPr="00A2769C" w:rsidRDefault="00FD2CBB">
            <w:pPr>
              <w:spacing w:after="0" w:line="240" w:lineRule="auto"/>
              <w:jc w:val="left"/>
              <w:rPr>
                <w:rFonts w:eastAsia="Times New Roman" w:cs="Calibri"/>
                <w:color w:val="242424"/>
                <w:sz w:val="20"/>
                <w:szCs w:val="20"/>
              </w:rPr>
            </w:pPr>
            <w:r w:rsidRPr="00A2769C">
              <w:rPr>
                <w:rFonts w:eastAsia="Times New Roman" w:cs="Calibri"/>
                <w:color w:val="242424"/>
                <w:sz w:val="20"/>
                <w:szCs w:val="20"/>
              </w:rPr>
              <w:t>Bicicletta;</w:t>
            </w:r>
          </w:p>
        </w:tc>
        <w:tc>
          <w:tcPr>
            <w:tcW w:w="1280" w:type="dxa"/>
            <w:vMerge/>
            <w:tcBorders>
              <w:top w:val="nil"/>
              <w:left w:val="single" w:sz="8" w:space="0" w:color="A6A6A6"/>
              <w:bottom w:val="single" w:sz="8" w:space="0" w:color="A6A6A6"/>
              <w:right w:val="single" w:sz="8" w:space="0" w:color="A6A6A6"/>
            </w:tcBorders>
            <w:vAlign w:val="center"/>
            <w:hideMark/>
          </w:tcPr>
          <w:p w14:paraId="61375FDF" w14:textId="77777777" w:rsidR="00FD2CBB" w:rsidRPr="00A2769C" w:rsidRDefault="00FD2CBB">
            <w:pPr>
              <w:spacing w:after="0" w:line="240" w:lineRule="auto"/>
              <w:jc w:val="left"/>
              <w:rPr>
                <w:rFonts w:eastAsia="Times New Roman" w:cs="Calibri"/>
                <w:color w:val="000000"/>
                <w:sz w:val="20"/>
                <w:szCs w:val="20"/>
              </w:rPr>
            </w:pPr>
          </w:p>
        </w:tc>
        <w:tc>
          <w:tcPr>
            <w:tcW w:w="1222" w:type="dxa"/>
            <w:vMerge/>
            <w:tcBorders>
              <w:top w:val="nil"/>
              <w:left w:val="single" w:sz="8" w:space="0" w:color="A6A6A6"/>
              <w:bottom w:val="single" w:sz="8" w:space="0" w:color="A6A6A6"/>
              <w:right w:val="single" w:sz="8" w:space="0" w:color="A6A6A6"/>
            </w:tcBorders>
            <w:vAlign w:val="center"/>
            <w:hideMark/>
          </w:tcPr>
          <w:p w14:paraId="2465C5C1" w14:textId="77777777" w:rsidR="00FD2CBB" w:rsidRPr="00A2769C" w:rsidRDefault="00FD2CBB">
            <w:pPr>
              <w:spacing w:after="0" w:line="240" w:lineRule="auto"/>
              <w:jc w:val="left"/>
              <w:rPr>
                <w:rFonts w:eastAsia="Times New Roman" w:cs="Calibri"/>
                <w:color w:val="242424"/>
                <w:sz w:val="20"/>
                <w:szCs w:val="20"/>
              </w:rPr>
            </w:pPr>
          </w:p>
        </w:tc>
        <w:tc>
          <w:tcPr>
            <w:tcW w:w="854" w:type="dxa"/>
            <w:vMerge/>
            <w:tcBorders>
              <w:top w:val="nil"/>
              <w:left w:val="single" w:sz="8" w:space="0" w:color="A6A6A6"/>
              <w:bottom w:val="single" w:sz="8" w:space="0" w:color="A6A6A6"/>
              <w:right w:val="single" w:sz="8" w:space="0" w:color="A6A6A6"/>
            </w:tcBorders>
            <w:vAlign w:val="center"/>
            <w:hideMark/>
          </w:tcPr>
          <w:p w14:paraId="6F604B7C" w14:textId="77777777" w:rsidR="00FD2CBB" w:rsidRPr="00A2769C" w:rsidRDefault="00FD2CBB">
            <w:pPr>
              <w:spacing w:after="0" w:line="240" w:lineRule="auto"/>
              <w:jc w:val="left"/>
              <w:rPr>
                <w:rFonts w:eastAsia="Times New Roman" w:cs="Calibri"/>
                <w:color w:val="242424"/>
                <w:sz w:val="20"/>
                <w:szCs w:val="20"/>
              </w:rPr>
            </w:pPr>
          </w:p>
        </w:tc>
        <w:tc>
          <w:tcPr>
            <w:tcW w:w="3355" w:type="dxa"/>
            <w:vMerge/>
            <w:tcBorders>
              <w:top w:val="nil"/>
              <w:left w:val="single" w:sz="8" w:space="0" w:color="A6A6A6"/>
              <w:bottom w:val="single" w:sz="8" w:space="0" w:color="A6A6A6"/>
              <w:right w:val="single" w:sz="8" w:space="0" w:color="A6A6A6"/>
            </w:tcBorders>
            <w:vAlign w:val="center"/>
            <w:hideMark/>
          </w:tcPr>
          <w:p w14:paraId="5C3CD419" w14:textId="77777777" w:rsidR="00FD2CBB" w:rsidRPr="00A2769C" w:rsidRDefault="00FD2CBB">
            <w:pPr>
              <w:spacing w:after="0" w:line="240" w:lineRule="auto"/>
              <w:jc w:val="left"/>
              <w:rPr>
                <w:rFonts w:eastAsia="Times New Roman" w:cs="Calibri"/>
                <w:color w:val="242424"/>
                <w:sz w:val="20"/>
                <w:szCs w:val="20"/>
              </w:rPr>
            </w:pPr>
          </w:p>
        </w:tc>
      </w:tr>
      <w:tr w:rsidR="00FD2CBB" w:rsidRPr="00A2769C" w14:paraId="004D1F90" w14:textId="77777777">
        <w:trPr>
          <w:trHeight w:val="77"/>
        </w:trPr>
        <w:tc>
          <w:tcPr>
            <w:tcW w:w="1245" w:type="dxa"/>
            <w:vMerge/>
            <w:tcBorders>
              <w:top w:val="nil"/>
              <w:left w:val="single" w:sz="8" w:space="0" w:color="A6A6A6"/>
              <w:bottom w:val="single" w:sz="8" w:space="0" w:color="A6A6A6"/>
              <w:right w:val="single" w:sz="8" w:space="0" w:color="A6A6A6"/>
            </w:tcBorders>
            <w:vAlign w:val="center"/>
            <w:hideMark/>
          </w:tcPr>
          <w:p w14:paraId="69807F36" w14:textId="77777777" w:rsidR="00FD2CBB" w:rsidRPr="00A2769C" w:rsidRDefault="00FD2CBB">
            <w:pPr>
              <w:spacing w:after="0" w:line="240" w:lineRule="auto"/>
              <w:jc w:val="left"/>
              <w:rPr>
                <w:rFonts w:eastAsia="Times New Roman" w:cs="Calibri"/>
                <w:b/>
                <w:color w:val="000000"/>
                <w:sz w:val="20"/>
                <w:szCs w:val="20"/>
              </w:rPr>
            </w:pPr>
          </w:p>
        </w:tc>
        <w:tc>
          <w:tcPr>
            <w:tcW w:w="1439" w:type="dxa"/>
            <w:tcBorders>
              <w:top w:val="nil"/>
              <w:left w:val="nil"/>
              <w:bottom w:val="single" w:sz="8" w:space="0" w:color="A6A6A6"/>
              <w:right w:val="single" w:sz="8" w:space="0" w:color="A6A6A6"/>
            </w:tcBorders>
            <w:noWrap/>
            <w:vAlign w:val="center"/>
            <w:hideMark/>
          </w:tcPr>
          <w:p w14:paraId="019D2A57" w14:textId="77777777" w:rsidR="00FD2CBB" w:rsidRPr="00A2769C" w:rsidRDefault="00FD2CBB">
            <w:pPr>
              <w:spacing w:after="0" w:line="240" w:lineRule="auto"/>
              <w:jc w:val="left"/>
              <w:rPr>
                <w:rFonts w:eastAsia="Times New Roman" w:cs="Calibri"/>
                <w:color w:val="242424"/>
                <w:sz w:val="20"/>
                <w:szCs w:val="20"/>
              </w:rPr>
            </w:pPr>
            <w:r w:rsidRPr="00A2769C">
              <w:rPr>
                <w:rFonts w:eastAsia="Times New Roman" w:cs="Calibri"/>
                <w:color w:val="242424"/>
                <w:sz w:val="20"/>
                <w:szCs w:val="20"/>
              </w:rPr>
              <w:t>Taxi.</w:t>
            </w:r>
          </w:p>
        </w:tc>
        <w:tc>
          <w:tcPr>
            <w:tcW w:w="1280" w:type="dxa"/>
            <w:vMerge/>
            <w:tcBorders>
              <w:top w:val="nil"/>
              <w:left w:val="single" w:sz="8" w:space="0" w:color="A6A6A6"/>
              <w:bottom w:val="single" w:sz="8" w:space="0" w:color="A6A6A6"/>
              <w:right w:val="single" w:sz="8" w:space="0" w:color="A6A6A6"/>
            </w:tcBorders>
            <w:vAlign w:val="center"/>
            <w:hideMark/>
          </w:tcPr>
          <w:p w14:paraId="056DF86B" w14:textId="77777777" w:rsidR="00FD2CBB" w:rsidRPr="00A2769C" w:rsidRDefault="00FD2CBB">
            <w:pPr>
              <w:spacing w:after="0" w:line="240" w:lineRule="auto"/>
              <w:jc w:val="left"/>
              <w:rPr>
                <w:rFonts w:eastAsia="Times New Roman" w:cs="Calibri"/>
                <w:color w:val="000000"/>
                <w:sz w:val="20"/>
                <w:szCs w:val="20"/>
              </w:rPr>
            </w:pPr>
          </w:p>
        </w:tc>
        <w:tc>
          <w:tcPr>
            <w:tcW w:w="1222" w:type="dxa"/>
            <w:vMerge/>
            <w:tcBorders>
              <w:top w:val="nil"/>
              <w:left w:val="single" w:sz="8" w:space="0" w:color="A6A6A6"/>
              <w:bottom w:val="single" w:sz="8" w:space="0" w:color="A6A6A6"/>
              <w:right w:val="single" w:sz="8" w:space="0" w:color="A6A6A6"/>
            </w:tcBorders>
            <w:vAlign w:val="center"/>
            <w:hideMark/>
          </w:tcPr>
          <w:p w14:paraId="66DFC5CF" w14:textId="77777777" w:rsidR="00FD2CBB" w:rsidRPr="00A2769C" w:rsidRDefault="00FD2CBB">
            <w:pPr>
              <w:spacing w:after="0" w:line="240" w:lineRule="auto"/>
              <w:jc w:val="left"/>
              <w:rPr>
                <w:rFonts w:eastAsia="Times New Roman" w:cs="Calibri"/>
                <w:color w:val="242424"/>
                <w:sz w:val="20"/>
                <w:szCs w:val="20"/>
              </w:rPr>
            </w:pPr>
          </w:p>
        </w:tc>
        <w:tc>
          <w:tcPr>
            <w:tcW w:w="854" w:type="dxa"/>
            <w:vMerge/>
            <w:tcBorders>
              <w:top w:val="nil"/>
              <w:left w:val="single" w:sz="8" w:space="0" w:color="A6A6A6"/>
              <w:bottom w:val="single" w:sz="8" w:space="0" w:color="A6A6A6"/>
              <w:right w:val="single" w:sz="8" w:space="0" w:color="A6A6A6"/>
            </w:tcBorders>
            <w:vAlign w:val="center"/>
            <w:hideMark/>
          </w:tcPr>
          <w:p w14:paraId="31B49097" w14:textId="77777777" w:rsidR="00FD2CBB" w:rsidRPr="00A2769C" w:rsidRDefault="00FD2CBB">
            <w:pPr>
              <w:spacing w:after="0" w:line="240" w:lineRule="auto"/>
              <w:jc w:val="left"/>
              <w:rPr>
                <w:rFonts w:eastAsia="Times New Roman" w:cs="Calibri"/>
                <w:color w:val="242424"/>
                <w:sz w:val="20"/>
                <w:szCs w:val="20"/>
              </w:rPr>
            </w:pPr>
          </w:p>
        </w:tc>
        <w:tc>
          <w:tcPr>
            <w:tcW w:w="3355" w:type="dxa"/>
            <w:vMerge/>
            <w:tcBorders>
              <w:top w:val="nil"/>
              <w:left w:val="single" w:sz="8" w:space="0" w:color="A6A6A6"/>
              <w:bottom w:val="single" w:sz="8" w:space="0" w:color="A6A6A6"/>
              <w:right w:val="single" w:sz="8" w:space="0" w:color="A6A6A6"/>
            </w:tcBorders>
            <w:vAlign w:val="center"/>
            <w:hideMark/>
          </w:tcPr>
          <w:p w14:paraId="771BCB24" w14:textId="77777777" w:rsidR="00FD2CBB" w:rsidRPr="00A2769C" w:rsidRDefault="00FD2CBB">
            <w:pPr>
              <w:spacing w:after="0" w:line="240" w:lineRule="auto"/>
              <w:jc w:val="left"/>
              <w:rPr>
                <w:rFonts w:eastAsia="Times New Roman" w:cs="Calibri"/>
                <w:color w:val="242424"/>
                <w:sz w:val="20"/>
                <w:szCs w:val="20"/>
              </w:rPr>
            </w:pPr>
          </w:p>
        </w:tc>
      </w:tr>
      <w:tr w:rsidR="00FD2CBB" w:rsidRPr="00A2769C" w14:paraId="5A3C5801" w14:textId="77777777">
        <w:trPr>
          <w:trHeight w:val="876"/>
        </w:trPr>
        <w:tc>
          <w:tcPr>
            <w:tcW w:w="1245" w:type="dxa"/>
            <w:vMerge w:val="restart"/>
            <w:tcBorders>
              <w:top w:val="nil"/>
              <w:left w:val="single" w:sz="8" w:space="0" w:color="A6A6A6"/>
              <w:bottom w:val="single" w:sz="8" w:space="0" w:color="A6A6A6"/>
              <w:right w:val="single" w:sz="8" w:space="0" w:color="A6A6A6"/>
            </w:tcBorders>
            <w:shd w:val="clear" w:color="000000" w:fill="FFFFFF"/>
            <w:vAlign w:val="center"/>
            <w:hideMark/>
          </w:tcPr>
          <w:p w14:paraId="29C097FA" w14:textId="77777777" w:rsidR="00FD2CBB" w:rsidRPr="00A2769C" w:rsidRDefault="00FD2CBB">
            <w:pPr>
              <w:spacing w:after="0" w:line="240" w:lineRule="auto"/>
              <w:jc w:val="left"/>
              <w:rPr>
                <w:rFonts w:eastAsia="Times New Roman" w:cs="Calibri"/>
                <w:b/>
                <w:color w:val="000000"/>
                <w:sz w:val="20"/>
                <w:szCs w:val="20"/>
              </w:rPr>
            </w:pPr>
            <w:r w:rsidRPr="00A2769C">
              <w:rPr>
                <w:rFonts w:eastAsia="Times New Roman" w:cs="Calibri"/>
                <w:b/>
                <w:color w:val="000000"/>
                <w:sz w:val="20"/>
                <w:szCs w:val="20"/>
              </w:rPr>
              <w:t>COLLEGNO</w:t>
            </w:r>
          </w:p>
        </w:tc>
        <w:tc>
          <w:tcPr>
            <w:tcW w:w="1439" w:type="dxa"/>
            <w:tcBorders>
              <w:top w:val="nil"/>
              <w:left w:val="nil"/>
              <w:bottom w:val="nil"/>
              <w:right w:val="single" w:sz="8" w:space="0" w:color="A6A6A6"/>
            </w:tcBorders>
            <w:vAlign w:val="center"/>
            <w:hideMark/>
          </w:tcPr>
          <w:p w14:paraId="5C93224B" w14:textId="77777777" w:rsidR="00FD2CBB" w:rsidRPr="00A2769C" w:rsidRDefault="00FD2CBB">
            <w:pPr>
              <w:spacing w:after="0" w:line="240" w:lineRule="auto"/>
              <w:jc w:val="left"/>
              <w:rPr>
                <w:rFonts w:eastAsia="Times New Roman" w:cs="Calibri"/>
                <w:color w:val="242424"/>
                <w:sz w:val="20"/>
                <w:szCs w:val="20"/>
              </w:rPr>
            </w:pPr>
            <w:r w:rsidRPr="00A2769C">
              <w:rPr>
                <w:rFonts w:eastAsia="Times New Roman" w:cs="Calibri"/>
                <w:color w:val="242424"/>
                <w:sz w:val="20"/>
                <w:szCs w:val="20"/>
              </w:rPr>
              <w:t xml:space="preserve">Autolinee </w:t>
            </w:r>
            <w:r w:rsidRPr="00345955">
              <w:rPr>
                <w:rFonts w:eastAsia="Times New Roman" w:cs="Calibri"/>
                <w:sz w:val="20"/>
                <w:szCs w:val="20"/>
              </w:rPr>
              <w:t xml:space="preserve">suburbane e </w:t>
            </w:r>
            <w:r w:rsidRPr="00A2769C">
              <w:rPr>
                <w:rFonts w:eastAsia="Times New Roman" w:cs="Calibri"/>
                <w:color w:val="000000"/>
                <w:sz w:val="20"/>
                <w:szCs w:val="20"/>
              </w:rPr>
              <w:t>urbane;</w:t>
            </w:r>
          </w:p>
        </w:tc>
        <w:tc>
          <w:tcPr>
            <w:tcW w:w="1280" w:type="dxa"/>
            <w:vMerge w:val="restart"/>
            <w:tcBorders>
              <w:top w:val="nil"/>
              <w:left w:val="single" w:sz="8" w:space="0" w:color="A6A6A6"/>
              <w:bottom w:val="single" w:sz="8" w:space="0" w:color="A6A6A6"/>
              <w:right w:val="single" w:sz="8" w:space="0" w:color="A6A6A6"/>
            </w:tcBorders>
            <w:vAlign w:val="center"/>
            <w:hideMark/>
          </w:tcPr>
          <w:p w14:paraId="1397829F" w14:textId="77777777" w:rsidR="00FD2CBB" w:rsidRPr="00A2769C" w:rsidRDefault="00FD2CBB">
            <w:pPr>
              <w:spacing w:after="0" w:line="240" w:lineRule="auto"/>
              <w:jc w:val="left"/>
              <w:rPr>
                <w:rFonts w:eastAsia="Times New Roman" w:cs="Calibri"/>
                <w:color w:val="000000"/>
                <w:sz w:val="20"/>
                <w:szCs w:val="20"/>
              </w:rPr>
            </w:pPr>
            <w:r w:rsidRPr="00A2769C">
              <w:rPr>
                <w:rFonts w:eastAsia="Times New Roman" w:cs="Calibri"/>
                <w:color w:val="000000"/>
                <w:sz w:val="20"/>
                <w:szCs w:val="20"/>
              </w:rPr>
              <w:t>Nodo di interscambio multimodale diretto</w:t>
            </w:r>
          </w:p>
        </w:tc>
        <w:tc>
          <w:tcPr>
            <w:tcW w:w="1222" w:type="dxa"/>
            <w:vMerge w:val="restart"/>
            <w:tcBorders>
              <w:top w:val="nil"/>
              <w:left w:val="single" w:sz="8" w:space="0" w:color="A6A6A6"/>
              <w:bottom w:val="single" w:sz="8" w:space="0" w:color="A6A6A6"/>
              <w:right w:val="single" w:sz="8" w:space="0" w:color="A6A6A6"/>
            </w:tcBorders>
            <w:vAlign w:val="center"/>
            <w:hideMark/>
          </w:tcPr>
          <w:p w14:paraId="367ACC67" w14:textId="77777777" w:rsidR="00FD2CBB" w:rsidRPr="00A2769C" w:rsidRDefault="00FD2CBB">
            <w:pPr>
              <w:spacing w:after="0" w:line="240" w:lineRule="auto"/>
              <w:jc w:val="left"/>
              <w:rPr>
                <w:rFonts w:eastAsia="Times New Roman" w:cs="Calibri"/>
                <w:color w:val="242424"/>
                <w:sz w:val="20"/>
                <w:szCs w:val="20"/>
              </w:rPr>
            </w:pPr>
            <w:r w:rsidRPr="00A2769C">
              <w:rPr>
                <w:rFonts w:eastAsia="Times New Roman" w:cs="Calibri"/>
                <w:color w:val="242424"/>
                <w:sz w:val="20"/>
                <w:szCs w:val="20"/>
              </w:rPr>
              <w:t> </w:t>
            </w:r>
          </w:p>
        </w:tc>
        <w:tc>
          <w:tcPr>
            <w:tcW w:w="854" w:type="dxa"/>
            <w:vMerge w:val="restart"/>
            <w:tcBorders>
              <w:top w:val="nil"/>
              <w:left w:val="single" w:sz="8" w:space="0" w:color="A6A6A6"/>
              <w:bottom w:val="single" w:sz="8" w:space="0" w:color="A6A6A6"/>
              <w:right w:val="single" w:sz="8" w:space="0" w:color="A6A6A6"/>
            </w:tcBorders>
            <w:vAlign w:val="center"/>
            <w:hideMark/>
          </w:tcPr>
          <w:p w14:paraId="20005F91" w14:textId="77777777" w:rsidR="00FD2CBB" w:rsidRPr="00345955" w:rsidRDefault="00FD2CBB">
            <w:pPr>
              <w:spacing w:after="0" w:line="240" w:lineRule="auto"/>
              <w:jc w:val="left"/>
              <w:rPr>
                <w:rFonts w:eastAsia="Times New Roman" w:cs="Calibri"/>
                <w:color w:val="FF0000"/>
                <w:sz w:val="20"/>
                <w:szCs w:val="20"/>
              </w:rPr>
            </w:pPr>
            <w:r w:rsidRPr="00345955">
              <w:rPr>
                <w:rFonts w:eastAsia="Times New Roman" w:cs="Calibri"/>
                <w:sz w:val="20"/>
                <w:szCs w:val="20"/>
              </w:rPr>
              <w:t>NO per aspetti TPL</w:t>
            </w:r>
          </w:p>
        </w:tc>
        <w:tc>
          <w:tcPr>
            <w:tcW w:w="3355" w:type="dxa"/>
            <w:vMerge w:val="restart"/>
            <w:tcBorders>
              <w:top w:val="nil"/>
              <w:left w:val="single" w:sz="8" w:space="0" w:color="A6A6A6"/>
              <w:bottom w:val="single" w:sz="8" w:space="0" w:color="A6A6A6"/>
              <w:right w:val="single" w:sz="8" w:space="0" w:color="A6A6A6"/>
            </w:tcBorders>
            <w:vAlign w:val="center"/>
            <w:hideMark/>
          </w:tcPr>
          <w:p w14:paraId="495EF07A" w14:textId="77777777" w:rsidR="00FD2CBB" w:rsidRPr="00A2769C" w:rsidRDefault="00FD2CBB">
            <w:pPr>
              <w:spacing w:after="0" w:line="240" w:lineRule="auto"/>
              <w:jc w:val="left"/>
              <w:rPr>
                <w:rFonts w:eastAsia="Times New Roman" w:cs="Calibri"/>
                <w:color w:val="242424"/>
                <w:sz w:val="20"/>
                <w:szCs w:val="20"/>
              </w:rPr>
            </w:pPr>
            <w:r w:rsidRPr="00A2769C">
              <w:rPr>
                <w:rFonts w:eastAsia="Times New Roman" w:cs="Calibri"/>
                <w:color w:val="242424"/>
                <w:sz w:val="20"/>
                <w:szCs w:val="20"/>
              </w:rPr>
              <w:t>Il "Movicentro" è caratterizzato principalmente dalla presenza di un parcheggio</w:t>
            </w:r>
            <w:r>
              <w:rPr>
                <w:rFonts w:eastAsia="Times New Roman" w:cs="Calibri"/>
                <w:color w:val="242424"/>
                <w:sz w:val="20"/>
                <w:szCs w:val="20"/>
              </w:rPr>
              <w:t xml:space="preserve"> </w:t>
            </w:r>
            <w:r w:rsidRPr="00A2769C">
              <w:rPr>
                <w:rFonts w:eastAsia="Times New Roman" w:cs="Calibri"/>
                <w:color w:val="242424"/>
                <w:sz w:val="20"/>
                <w:szCs w:val="20"/>
              </w:rPr>
              <w:t>situato lateralmente rispetto alla stazione ferroviaria. Le fermate di TPL sono prive di infrastrutture rilevanti.</w:t>
            </w:r>
          </w:p>
        </w:tc>
      </w:tr>
      <w:tr w:rsidR="00FD2CBB" w:rsidRPr="00A2769C" w14:paraId="691CE22D" w14:textId="77777777">
        <w:trPr>
          <w:trHeight w:val="297"/>
        </w:trPr>
        <w:tc>
          <w:tcPr>
            <w:tcW w:w="1245" w:type="dxa"/>
            <w:vMerge/>
            <w:tcBorders>
              <w:top w:val="nil"/>
              <w:left w:val="single" w:sz="8" w:space="0" w:color="A6A6A6"/>
              <w:bottom w:val="single" w:sz="8" w:space="0" w:color="A6A6A6"/>
              <w:right w:val="single" w:sz="8" w:space="0" w:color="A6A6A6"/>
            </w:tcBorders>
            <w:vAlign w:val="center"/>
            <w:hideMark/>
          </w:tcPr>
          <w:p w14:paraId="5808F67A" w14:textId="77777777" w:rsidR="00FD2CBB" w:rsidRPr="00A2769C" w:rsidRDefault="00FD2CBB">
            <w:pPr>
              <w:spacing w:after="0" w:line="240" w:lineRule="auto"/>
              <w:jc w:val="left"/>
              <w:rPr>
                <w:rFonts w:eastAsia="Times New Roman" w:cs="Calibri"/>
                <w:b/>
                <w:color w:val="000000"/>
                <w:sz w:val="20"/>
                <w:szCs w:val="20"/>
              </w:rPr>
            </w:pPr>
          </w:p>
        </w:tc>
        <w:tc>
          <w:tcPr>
            <w:tcW w:w="1439" w:type="dxa"/>
            <w:tcBorders>
              <w:top w:val="nil"/>
              <w:left w:val="nil"/>
              <w:bottom w:val="nil"/>
              <w:right w:val="single" w:sz="8" w:space="0" w:color="A6A6A6"/>
            </w:tcBorders>
            <w:noWrap/>
            <w:vAlign w:val="center"/>
            <w:hideMark/>
          </w:tcPr>
          <w:p w14:paraId="6AE49789" w14:textId="77777777" w:rsidR="00FD2CBB" w:rsidRPr="00A2769C" w:rsidRDefault="00FD2CBB">
            <w:pPr>
              <w:spacing w:after="0" w:line="240" w:lineRule="auto"/>
              <w:jc w:val="left"/>
              <w:rPr>
                <w:rFonts w:eastAsia="Times New Roman" w:cs="Calibri"/>
                <w:color w:val="242424"/>
                <w:sz w:val="20"/>
                <w:szCs w:val="20"/>
              </w:rPr>
            </w:pPr>
            <w:r w:rsidRPr="00A2769C">
              <w:rPr>
                <w:rFonts w:eastAsia="Times New Roman" w:cs="Calibri"/>
                <w:color w:val="242424"/>
                <w:sz w:val="20"/>
                <w:szCs w:val="20"/>
              </w:rPr>
              <w:t>Servizi ferroviari;</w:t>
            </w:r>
          </w:p>
        </w:tc>
        <w:tc>
          <w:tcPr>
            <w:tcW w:w="1280" w:type="dxa"/>
            <w:vMerge/>
            <w:tcBorders>
              <w:top w:val="nil"/>
              <w:left w:val="single" w:sz="8" w:space="0" w:color="A6A6A6"/>
              <w:bottom w:val="single" w:sz="8" w:space="0" w:color="A6A6A6"/>
              <w:right w:val="single" w:sz="8" w:space="0" w:color="A6A6A6"/>
            </w:tcBorders>
            <w:vAlign w:val="center"/>
            <w:hideMark/>
          </w:tcPr>
          <w:p w14:paraId="5E964E37" w14:textId="77777777" w:rsidR="00FD2CBB" w:rsidRPr="00A2769C" w:rsidRDefault="00FD2CBB">
            <w:pPr>
              <w:spacing w:after="0" w:line="240" w:lineRule="auto"/>
              <w:jc w:val="left"/>
              <w:rPr>
                <w:rFonts w:eastAsia="Times New Roman" w:cs="Calibri"/>
                <w:color w:val="000000"/>
                <w:sz w:val="20"/>
                <w:szCs w:val="20"/>
              </w:rPr>
            </w:pPr>
          </w:p>
        </w:tc>
        <w:tc>
          <w:tcPr>
            <w:tcW w:w="1222" w:type="dxa"/>
            <w:vMerge/>
            <w:tcBorders>
              <w:top w:val="nil"/>
              <w:left w:val="single" w:sz="8" w:space="0" w:color="A6A6A6"/>
              <w:bottom w:val="single" w:sz="8" w:space="0" w:color="A6A6A6"/>
              <w:right w:val="single" w:sz="8" w:space="0" w:color="A6A6A6"/>
            </w:tcBorders>
            <w:vAlign w:val="center"/>
            <w:hideMark/>
          </w:tcPr>
          <w:p w14:paraId="4743801A" w14:textId="77777777" w:rsidR="00FD2CBB" w:rsidRPr="00A2769C" w:rsidRDefault="00FD2CBB">
            <w:pPr>
              <w:spacing w:after="0" w:line="240" w:lineRule="auto"/>
              <w:jc w:val="left"/>
              <w:rPr>
                <w:rFonts w:eastAsia="Times New Roman" w:cs="Calibri"/>
                <w:color w:val="242424"/>
                <w:sz w:val="20"/>
                <w:szCs w:val="20"/>
              </w:rPr>
            </w:pPr>
          </w:p>
        </w:tc>
        <w:tc>
          <w:tcPr>
            <w:tcW w:w="854" w:type="dxa"/>
            <w:vMerge/>
            <w:tcBorders>
              <w:top w:val="nil"/>
              <w:left w:val="single" w:sz="8" w:space="0" w:color="A6A6A6"/>
              <w:bottom w:val="single" w:sz="8" w:space="0" w:color="A6A6A6"/>
              <w:right w:val="single" w:sz="8" w:space="0" w:color="A6A6A6"/>
            </w:tcBorders>
            <w:vAlign w:val="center"/>
            <w:hideMark/>
          </w:tcPr>
          <w:p w14:paraId="03964369" w14:textId="77777777" w:rsidR="00FD2CBB" w:rsidRPr="00A2769C" w:rsidRDefault="00FD2CBB">
            <w:pPr>
              <w:spacing w:after="0" w:line="240" w:lineRule="auto"/>
              <w:jc w:val="left"/>
              <w:rPr>
                <w:rFonts w:eastAsia="Times New Roman" w:cs="Calibri"/>
                <w:color w:val="FF0000"/>
                <w:sz w:val="20"/>
                <w:szCs w:val="20"/>
              </w:rPr>
            </w:pPr>
          </w:p>
        </w:tc>
        <w:tc>
          <w:tcPr>
            <w:tcW w:w="3355" w:type="dxa"/>
            <w:vMerge/>
            <w:tcBorders>
              <w:top w:val="nil"/>
              <w:left w:val="single" w:sz="8" w:space="0" w:color="A6A6A6"/>
              <w:bottom w:val="single" w:sz="8" w:space="0" w:color="A6A6A6"/>
              <w:right w:val="single" w:sz="8" w:space="0" w:color="A6A6A6"/>
            </w:tcBorders>
            <w:vAlign w:val="center"/>
            <w:hideMark/>
          </w:tcPr>
          <w:p w14:paraId="36A4BE14" w14:textId="77777777" w:rsidR="00FD2CBB" w:rsidRPr="00A2769C" w:rsidRDefault="00FD2CBB">
            <w:pPr>
              <w:spacing w:after="0" w:line="240" w:lineRule="auto"/>
              <w:jc w:val="left"/>
              <w:rPr>
                <w:rFonts w:eastAsia="Times New Roman" w:cs="Calibri"/>
                <w:color w:val="242424"/>
                <w:sz w:val="20"/>
                <w:szCs w:val="20"/>
              </w:rPr>
            </w:pPr>
          </w:p>
        </w:tc>
      </w:tr>
      <w:tr w:rsidR="00FD2CBB" w:rsidRPr="00A2769C" w14:paraId="482A819E" w14:textId="77777777">
        <w:trPr>
          <w:trHeight w:val="297"/>
        </w:trPr>
        <w:tc>
          <w:tcPr>
            <w:tcW w:w="1245" w:type="dxa"/>
            <w:vMerge/>
            <w:tcBorders>
              <w:top w:val="nil"/>
              <w:left w:val="single" w:sz="8" w:space="0" w:color="A6A6A6"/>
              <w:bottom w:val="single" w:sz="8" w:space="0" w:color="A6A6A6"/>
              <w:right w:val="single" w:sz="8" w:space="0" w:color="A6A6A6"/>
            </w:tcBorders>
            <w:vAlign w:val="center"/>
            <w:hideMark/>
          </w:tcPr>
          <w:p w14:paraId="141DBB2E" w14:textId="77777777" w:rsidR="00FD2CBB" w:rsidRPr="00A2769C" w:rsidRDefault="00FD2CBB">
            <w:pPr>
              <w:spacing w:after="0" w:line="240" w:lineRule="auto"/>
              <w:jc w:val="left"/>
              <w:rPr>
                <w:rFonts w:eastAsia="Times New Roman" w:cs="Calibri"/>
                <w:b/>
                <w:color w:val="000000"/>
                <w:sz w:val="20"/>
                <w:szCs w:val="20"/>
              </w:rPr>
            </w:pPr>
          </w:p>
        </w:tc>
        <w:tc>
          <w:tcPr>
            <w:tcW w:w="1439" w:type="dxa"/>
            <w:tcBorders>
              <w:top w:val="nil"/>
              <w:left w:val="nil"/>
              <w:bottom w:val="nil"/>
              <w:right w:val="single" w:sz="8" w:space="0" w:color="A6A6A6"/>
            </w:tcBorders>
            <w:noWrap/>
            <w:vAlign w:val="center"/>
            <w:hideMark/>
          </w:tcPr>
          <w:p w14:paraId="53A29D97" w14:textId="77777777" w:rsidR="00FD2CBB" w:rsidRPr="00A2769C" w:rsidRDefault="00FD2CBB">
            <w:pPr>
              <w:spacing w:after="0" w:line="240" w:lineRule="auto"/>
              <w:jc w:val="left"/>
              <w:rPr>
                <w:rFonts w:eastAsia="Times New Roman" w:cs="Calibri"/>
                <w:color w:val="242424"/>
                <w:sz w:val="20"/>
                <w:szCs w:val="20"/>
              </w:rPr>
            </w:pPr>
            <w:r w:rsidRPr="00A2769C">
              <w:rPr>
                <w:rFonts w:eastAsia="Times New Roman" w:cs="Calibri"/>
                <w:color w:val="242424"/>
                <w:sz w:val="20"/>
                <w:szCs w:val="20"/>
              </w:rPr>
              <w:t>Bicicletta;</w:t>
            </w:r>
          </w:p>
        </w:tc>
        <w:tc>
          <w:tcPr>
            <w:tcW w:w="1280" w:type="dxa"/>
            <w:vMerge/>
            <w:tcBorders>
              <w:top w:val="nil"/>
              <w:left w:val="single" w:sz="8" w:space="0" w:color="A6A6A6"/>
              <w:bottom w:val="single" w:sz="8" w:space="0" w:color="A6A6A6"/>
              <w:right w:val="single" w:sz="8" w:space="0" w:color="A6A6A6"/>
            </w:tcBorders>
            <w:vAlign w:val="center"/>
            <w:hideMark/>
          </w:tcPr>
          <w:p w14:paraId="20848771" w14:textId="77777777" w:rsidR="00FD2CBB" w:rsidRPr="00A2769C" w:rsidRDefault="00FD2CBB">
            <w:pPr>
              <w:spacing w:after="0" w:line="240" w:lineRule="auto"/>
              <w:jc w:val="left"/>
              <w:rPr>
                <w:rFonts w:eastAsia="Times New Roman" w:cs="Calibri"/>
                <w:color w:val="000000"/>
                <w:sz w:val="20"/>
                <w:szCs w:val="20"/>
              </w:rPr>
            </w:pPr>
          </w:p>
        </w:tc>
        <w:tc>
          <w:tcPr>
            <w:tcW w:w="1222" w:type="dxa"/>
            <w:vMerge/>
            <w:tcBorders>
              <w:top w:val="nil"/>
              <w:left w:val="single" w:sz="8" w:space="0" w:color="A6A6A6"/>
              <w:bottom w:val="single" w:sz="8" w:space="0" w:color="A6A6A6"/>
              <w:right w:val="single" w:sz="8" w:space="0" w:color="A6A6A6"/>
            </w:tcBorders>
            <w:vAlign w:val="center"/>
            <w:hideMark/>
          </w:tcPr>
          <w:p w14:paraId="174CCEDF" w14:textId="77777777" w:rsidR="00FD2CBB" w:rsidRPr="00A2769C" w:rsidRDefault="00FD2CBB">
            <w:pPr>
              <w:spacing w:after="0" w:line="240" w:lineRule="auto"/>
              <w:jc w:val="left"/>
              <w:rPr>
                <w:rFonts w:eastAsia="Times New Roman" w:cs="Calibri"/>
                <w:color w:val="242424"/>
                <w:sz w:val="20"/>
                <w:szCs w:val="20"/>
              </w:rPr>
            </w:pPr>
          </w:p>
        </w:tc>
        <w:tc>
          <w:tcPr>
            <w:tcW w:w="854" w:type="dxa"/>
            <w:vMerge/>
            <w:tcBorders>
              <w:top w:val="nil"/>
              <w:left w:val="single" w:sz="8" w:space="0" w:color="A6A6A6"/>
              <w:bottom w:val="single" w:sz="8" w:space="0" w:color="A6A6A6"/>
              <w:right w:val="single" w:sz="8" w:space="0" w:color="A6A6A6"/>
            </w:tcBorders>
            <w:vAlign w:val="center"/>
            <w:hideMark/>
          </w:tcPr>
          <w:p w14:paraId="78A90C29" w14:textId="77777777" w:rsidR="00FD2CBB" w:rsidRPr="00A2769C" w:rsidRDefault="00FD2CBB">
            <w:pPr>
              <w:spacing w:after="0" w:line="240" w:lineRule="auto"/>
              <w:jc w:val="left"/>
              <w:rPr>
                <w:rFonts w:eastAsia="Times New Roman" w:cs="Calibri"/>
                <w:color w:val="FF0000"/>
                <w:sz w:val="20"/>
                <w:szCs w:val="20"/>
              </w:rPr>
            </w:pPr>
          </w:p>
        </w:tc>
        <w:tc>
          <w:tcPr>
            <w:tcW w:w="3355" w:type="dxa"/>
            <w:vMerge/>
            <w:tcBorders>
              <w:top w:val="nil"/>
              <w:left w:val="single" w:sz="8" w:space="0" w:color="A6A6A6"/>
              <w:bottom w:val="single" w:sz="8" w:space="0" w:color="A6A6A6"/>
              <w:right w:val="single" w:sz="8" w:space="0" w:color="A6A6A6"/>
            </w:tcBorders>
            <w:vAlign w:val="center"/>
            <w:hideMark/>
          </w:tcPr>
          <w:p w14:paraId="08448838" w14:textId="77777777" w:rsidR="00FD2CBB" w:rsidRPr="00A2769C" w:rsidRDefault="00FD2CBB">
            <w:pPr>
              <w:spacing w:after="0" w:line="240" w:lineRule="auto"/>
              <w:jc w:val="left"/>
              <w:rPr>
                <w:rFonts w:eastAsia="Times New Roman" w:cs="Calibri"/>
                <w:color w:val="242424"/>
                <w:sz w:val="20"/>
                <w:szCs w:val="20"/>
              </w:rPr>
            </w:pPr>
          </w:p>
        </w:tc>
      </w:tr>
      <w:tr w:rsidR="00FD2CBB" w:rsidRPr="00A2769C" w14:paraId="659D17AD" w14:textId="77777777">
        <w:trPr>
          <w:trHeight w:val="311"/>
        </w:trPr>
        <w:tc>
          <w:tcPr>
            <w:tcW w:w="1245" w:type="dxa"/>
            <w:vMerge/>
            <w:tcBorders>
              <w:top w:val="nil"/>
              <w:left w:val="single" w:sz="8" w:space="0" w:color="A6A6A6"/>
              <w:bottom w:val="single" w:sz="8" w:space="0" w:color="A6A6A6"/>
              <w:right w:val="single" w:sz="8" w:space="0" w:color="A6A6A6"/>
            </w:tcBorders>
            <w:vAlign w:val="center"/>
            <w:hideMark/>
          </w:tcPr>
          <w:p w14:paraId="21BB69DC" w14:textId="77777777" w:rsidR="00FD2CBB" w:rsidRPr="00A2769C" w:rsidRDefault="00FD2CBB">
            <w:pPr>
              <w:spacing w:after="0" w:line="240" w:lineRule="auto"/>
              <w:jc w:val="left"/>
              <w:rPr>
                <w:rFonts w:eastAsia="Times New Roman" w:cs="Calibri"/>
                <w:b/>
                <w:color w:val="000000"/>
                <w:sz w:val="20"/>
                <w:szCs w:val="20"/>
              </w:rPr>
            </w:pPr>
          </w:p>
        </w:tc>
        <w:tc>
          <w:tcPr>
            <w:tcW w:w="1439" w:type="dxa"/>
            <w:tcBorders>
              <w:top w:val="nil"/>
              <w:left w:val="nil"/>
              <w:bottom w:val="single" w:sz="8" w:space="0" w:color="A6A6A6"/>
              <w:right w:val="single" w:sz="8" w:space="0" w:color="A6A6A6"/>
            </w:tcBorders>
            <w:noWrap/>
            <w:vAlign w:val="center"/>
            <w:hideMark/>
          </w:tcPr>
          <w:p w14:paraId="2DD8E022" w14:textId="77777777" w:rsidR="00FD2CBB" w:rsidRPr="00A2769C" w:rsidRDefault="00FD2CBB">
            <w:pPr>
              <w:spacing w:after="0" w:line="240" w:lineRule="auto"/>
              <w:jc w:val="left"/>
              <w:rPr>
                <w:rFonts w:eastAsia="Times New Roman" w:cs="Calibri"/>
                <w:color w:val="242424"/>
                <w:sz w:val="20"/>
                <w:szCs w:val="20"/>
              </w:rPr>
            </w:pPr>
            <w:r w:rsidRPr="00A2769C">
              <w:rPr>
                <w:rFonts w:eastAsia="Times New Roman" w:cs="Calibri"/>
                <w:color w:val="242424"/>
                <w:sz w:val="20"/>
                <w:szCs w:val="20"/>
              </w:rPr>
              <w:t>Monopattini.</w:t>
            </w:r>
          </w:p>
        </w:tc>
        <w:tc>
          <w:tcPr>
            <w:tcW w:w="1280" w:type="dxa"/>
            <w:vMerge/>
            <w:tcBorders>
              <w:top w:val="nil"/>
              <w:left w:val="single" w:sz="8" w:space="0" w:color="A6A6A6"/>
              <w:bottom w:val="single" w:sz="8" w:space="0" w:color="A6A6A6"/>
              <w:right w:val="single" w:sz="8" w:space="0" w:color="A6A6A6"/>
            </w:tcBorders>
            <w:vAlign w:val="center"/>
            <w:hideMark/>
          </w:tcPr>
          <w:p w14:paraId="741B4F91" w14:textId="77777777" w:rsidR="00FD2CBB" w:rsidRPr="00A2769C" w:rsidRDefault="00FD2CBB">
            <w:pPr>
              <w:spacing w:after="0" w:line="240" w:lineRule="auto"/>
              <w:jc w:val="left"/>
              <w:rPr>
                <w:rFonts w:eastAsia="Times New Roman" w:cs="Calibri"/>
                <w:color w:val="000000"/>
                <w:sz w:val="20"/>
                <w:szCs w:val="20"/>
              </w:rPr>
            </w:pPr>
          </w:p>
        </w:tc>
        <w:tc>
          <w:tcPr>
            <w:tcW w:w="1222" w:type="dxa"/>
            <w:vMerge/>
            <w:tcBorders>
              <w:top w:val="nil"/>
              <w:left w:val="single" w:sz="8" w:space="0" w:color="A6A6A6"/>
              <w:bottom w:val="single" w:sz="8" w:space="0" w:color="A6A6A6"/>
              <w:right w:val="single" w:sz="8" w:space="0" w:color="A6A6A6"/>
            </w:tcBorders>
            <w:vAlign w:val="center"/>
            <w:hideMark/>
          </w:tcPr>
          <w:p w14:paraId="56C857FF" w14:textId="77777777" w:rsidR="00FD2CBB" w:rsidRPr="00A2769C" w:rsidRDefault="00FD2CBB">
            <w:pPr>
              <w:spacing w:after="0" w:line="240" w:lineRule="auto"/>
              <w:jc w:val="left"/>
              <w:rPr>
                <w:rFonts w:eastAsia="Times New Roman" w:cs="Calibri"/>
                <w:color w:val="242424"/>
                <w:sz w:val="20"/>
                <w:szCs w:val="20"/>
              </w:rPr>
            </w:pPr>
          </w:p>
        </w:tc>
        <w:tc>
          <w:tcPr>
            <w:tcW w:w="854" w:type="dxa"/>
            <w:vMerge/>
            <w:tcBorders>
              <w:top w:val="nil"/>
              <w:left w:val="single" w:sz="8" w:space="0" w:color="A6A6A6"/>
              <w:bottom w:val="single" w:sz="8" w:space="0" w:color="A6A6A6"/>
              <w:right w:val="single" w:sz="8" w:space="0" w:color="A6A6A6"/>
            </w:tcBorders>
            <w:vAlign w:val="center"/>
            <w:hideMark/>
          </w:tcPr>
          <w:p w14:paraId="5EE4C83F" w14:textId="77777777" w:rsidR="00FD2CBB" w:rsidRPr="00A2769C" w:rsidRDefault="00FD2CBB">
            <w:pPr>
              <w:spacing w:after="0" w:line="240" w:lineRule="auto"/>
              <w:jc w:val="left"/>
              <w:rPr>
                <w:rFonts w:eastAsia="Times New Roman" w:cs="Calibri"/>
                <w:color w:val="FF0000"/>
                <w:sz w:val="20"/>
                <w:szCs w:val="20"/>
              </w:rPr>
            </w:pPr>
          </w:p>
        </w:tc>
        <w:tc>
          <w:tcPr>
            <w:tcW w:w="3355" w:type="dxa"/>
            <w:vMerge/>
            <w:tcBorders>
              <w:top w:val="nil"/>
              <w:left w:val="single" w:sz="8" w:space="0" w:color="A6A6A6"/>
              <w:bottom w:val="single" w:sz="8" w:space="0" w:color="A6A6A6"/>
              <w:right w:val="single" w:sz="8" w:space="0" w:color="A6A6A6"/>
            </w:tcBorders>
            <w:vAlign w:val="center"/>
            <w:hideMark/>
          </w:tcPr>
          <w:p w14:paraId="09E30756" w14:textId="77777777" w:rsidR="00FD2CBB" w:rsidRPr="00A2769C" w:rsidRDefault="00FD2CBB">
            <w:pPr>
              <w:spacing w:after="0" w:line="240" w:lineRule="auto"/>
              <w:jc w:val="left"/>
              <w:rPr>
                <w:rFonts w:eastAsia="Times New Roman" w:cs="Calibri"/>
                <w:color w:val="242424"/>
                <w:sz w:val="20"/>
                <w:szCs w:val="20"/>
              </w:rPr>
            </w:pPr>
          </w:p>
        </w:tc>
      </w:tr>
      <w:tr w:rsidR="00FD2CBB" w:rsidRPr="00A2769C" w14:paraId="370735CE" w14:textId="77777777">
        <w:trPr>
          <w:trHeight w:val="549"/>
        </w:trPr>
        <w:tc>
          <w:tcPr>
            <w:tcW w:w="1245" w:type="dxa"/>
            <w:vMerge w:val="restart"/>
            <w:tcBorders>
              <w:top w:val="nil"/>
              <w:left w:val="single" w:sz="8" w:space="0" w:color="A6A6A6"/>
              <w:bottom w:val="single" w:sz="8" w:space="0" w:color="A6A6A6"/>
              <w:right w:val="single" w:sz="8" w:space="0" w:color="A6A6A6"/>
            </w:tcBorders>
            <w:shd w:val="clear" w:color="000000" w:fill="FFFFFF"/>
            <w:vAlign w:val="center"/>
            <w:hideMark/>
          </w:tcPr>
          <w:p w14:paraId="56A232D8" w14:textId="77777777" w:rsidR="00FD2CBB" w:rsidRPr="00A2769C" w:rsidRDefault="00FD2CBB">
            <w:pPr>
              <w:spacing w:after="0" w:line="240" w:lineRule="auto"/>
              <w:jc w:val="left"/>
              <w:rPr>
                <w:rFonts w:eastAsia="Times New Roman" w:cs="Calibri"/>
                <w:b/>
                <w:color w:val="000000"/>
                <w:sz w:val="20"/>
                <w:szCs w:val="20"/>
              </w:rPr>
            </w:pPr>
            <w:r w:rsidRPr="00A2769C">
              <w:rPr>
                <w:rFonts w:eastAsia="Times New Roman" w:cs="Calibri"/>
                <w:b/>
                <w:color w:val="000000"/>
                <w:sz w:val="20"/>
                <w:szCs w:val="20"/>
              </w:rPr>
              <w:t>IVREA</w:t>
            </w:r>
          </w:p>
        </w:tc>
        <w:tc>
          <w:tcPr>
            <w:tcW w:w="1439" w:type="dxa"/>
            <w:tcBorders>
              <w:top w:val="nil"/>
              <w:left w:val="nil"/>
              <w:bottom w:val="nil"/>
              <w:right w:val="single" w:sz="8" w:space="0" w:color="A6A6A6"/>
            </w:tcBorders>
            <w:vAlign w:val="center"/>
            <w:hideMark/>
          </w:tcPr>
          <w:p w14:paraId="278570FF" w14:textId="77777777" w:rsidR="00FD2CBB" w:rsidRPr="00A2769C" w:rsidRDefault="00FD2CBB">
            <w:pPr>
              <w:spacing w:after="0" w:line="240" w:lineRule="auto"/>
              <w:jc w:val="left"/>
              <w:rPr>
                <w:rFonts w:eastAsia="Times New Roman" w:cs="Calibri"/>
                <w:color w:val="242424"/>
                <w:sz w:val="20"/>
                <w:szCs w:val="20"/>
              </w:rPr>
            </w:pPr>
            <w:r w:rsidRPr="00A2769C">
              <w:rPr>
                <w:rFonts w:eastAsia="Times New Roman" w:cs="Calibri"/>
                <w:color w:val="242424"/>
                <w:sz w:val="20"/>
                <w:szCs w:val="20"/>
              </w:rPr>
              <w:t>Autolinee extraurbane e urbane;</w:t>
            </w:r>
          </w:p>
        </w:tc>
        <w:tc>
          <w:tcPr>
            <w:tcW w:w="1280" w:type="dxa"/>
            <w:vMerge w:val="restart"/>
            <w:tcBorders>
              <w:top w:val="nil"/>
              <w:left w:val="single" w:sz="8" w:space="0" w:color="A6A6A6"/>
              <w:bottom w:val="single" w:sz="8" w:space="0" w:color="A6A6A6"/>
              <w:right w:val="single" w:sz="8" w:space="0" w:color="A6A6A6"/>
            </w:tcBorders>
            <w:vAlign w:val="center"/>
            <w:hideMark/>
          </w:tcPr>
          <w:p w14:paraId="454CA906" w14:textId="77777777" w:rsidR="00FD2CBB" w:rsidRPr="00A2769C" w:rsidRDefault="00FD2CBB">
            <w:pPr>
              <w:spacing w:after="0" w:line="240" w:lineRule="auto"/>
              <w:jc w:val="left"/>
              <w:rPr>
                <w:rFonts w:eastAsia="Times New Roman" w:cs="Calibri"/>
                <w:color w:val="000000"/>
                <w:sz w:val="20"/>
                <w:szCs w:val="20"/>
              </w:rPr>
            </w:pPr>
            <w:r w:rsidRPr="00A2769C">
              <w:rPr>
                <w:rFonts w:eastAsia="Times New Roman" w:cs="Calibri"/>
                <w:color w:val="000000"/>
                <w:sz w:val="20"/>
                <w:szCs w:val="20"/>
              </w:rPr>
              <w:t>Nodo di interscambio multimodale diretto</w:t>
            </w:r>
          </w:p>
        </w:tc>
        <w:tc>
          <w:tcPr>
            <w:tcW w:w="1222" w:type="dxa"/>
            <w:vMerge w:val="restart"/>
            <w:tcBorders>
              <w:top w:val="nil"/>
              <w:left w:val="single" w:sz="8" w:space="0" w:color="A6A6A6"/>
              <w:bottom w:val="single" w:sz="8" w:space="0" w:color="A6A6A6"/>
              <w:right w:val="single" w:sz="8" w:space="0" w:color="A6A6A6"/>
            </w:tcBorders>
            <w:vAlign w:val="center"/>
            <w:hideMark/>
          </w:tcPr>
          <w:p w14:paraId="28FD2279" w14:textId="77777777" w:rsidR="00FD2CBB" w:rsidRPr="00A2769C" w:rsidRDefault="00FD2CBB">
            <w:pPr>
              <w:spacing w:after="0" w:line="240" w:lineRule="auto"/>
              <w:jc w:val="left"/>
              <w:rPr>
                <w:rFonts w:eastAsia="Times New Roman" w:cs="Calibri"/>
                <w:color w:val="242424"/>
                <w:sz w:val="20"/>
                <w:szCs w:val="20"/>
              </w:rPr>
            </w:pPr>
            <w:r w:rsidRPr="00A2769C">
              <w:rPr>
                <w:rFonts w:eastAsia="Times New Roman" w:cs="Calibri"/>
                <w:color w:val="242424"/>
                <w:sz w:val="20"/>
                <w:szCs w:val="20"/>
              </w:rPr>
              <w:t>Necessità di definizione di accordi gestione</w:t>
            </w:r>
          </w:p>
        </w:tc>
        <w:tc>
          <w:tcPr>
            <w:tcW w:w="854" w:type="dxa"/>
            <w:vMerge w:val="restart"/>
            <w:tcBorders>
              <w:top w:val="nil"/>
              <w:left w:val="single" w:sz="8" w:space="0" w:color="A6A6A6"/>
              <w:bottom w:val="single" w:sz="8" w:space="0" w:color="A6A6A6"/>
              <w:right w:val="single" w:sz="8" w:space="0" w:color="A6A6A6"/>
            </w:tcBorders>
            <w:noWrap/>
            <w:vAlign w:val="center"/>
            <w:hideMark/>
          </w:tcPr>
          <w:p w14:paraId="122046E3" w14:textId="77777777" w:rsidR="00FD2CBB" w:rsidRPr="00A2769C" w:rsidRDefault="00FD2CBB">
            <w:pPr>
              <w:spacing w:after="0" w:line="240" w:lineRule="auto"/>
              <w:jc w:val="left"/>
              <w:rPr>
                <w:rFonts w:eastAsia="Times New Roman" w:cs="Calibri"/>
                <w:color w:val="242424"/>
                <w:sz w:val="20"/>
                <w:szCs w:val="20"/>
              </w:rPr>
            </w:pPr>
            <w:r w:rsidRPr="00A2769C">
              <w:rPr>
                <w:rFonts w:eastAsia="Times New Roman" w:cs="Calibri"/>
                <w:color w:val="242424"/>
                <w:sz w:val="20"/>
                <w:szCs w:val="20"/>
              </w:rPr>
              <w:t>Da definire</w:t>
            </w:r>
          </w:p>
        </w:tc>
        <w:tc>
          <w:tcPr>
            <w:tcW w:w="3355" w:type="dxa"/>
            <w:vMerge w:val="restart"/>
            <w:tcBorders>
              <w:top w:val="nil"/>
              <w:left w:val="single" w:sz="8" w:space="0" w:color="A6A6A6"/>
              <w:bottom w:val="single" w:sz="8" w:space="0" w:color="A6A6A6"/>
              <w:right w:val="single" w:sz="8" w:space="0" w:color="A6A6A6"/>
            </w:tcBorders>
            <w:vAlign w:val="center"/>
            <w:hideMark/>
          </w:tcPr>
          <w:p w14:paraId="7B4C3E84" w14:textId="77777777" w:rsidR="00FD2CBB" w:rsidRPr="00A2769C" w:rsidRDefault="00FD2CBB">
            <w:pPr>
              <w:spacing w:after="0" w:line="240" w:lineRule="auto"/>
              <w:jc w:val="left"/>
              <w:rPr>
                <w:rFonts w:eastAsia="Times New Roman" w:cs="Calibri"/>
                <w:color w:val="FF0000"/>
                <w:sz w:val="20"/>
                <w:szCs w:val="20"/>
              </w:rPr>
            </w:pPr>
            <w:r w:rsidRPr="00A2769C">
              <w:rPr>
                <w:rFonts w:eastAsia="Times New Roman" w:cs="Calibri"/>
                <w:sz w:val="20"/>
                <w:szCs w:val="20"/>
              </w:rPr>
              <w:t xml:space="preserve">Il "Movicentro" è dotato di un edificio destinato ai servizi per i cittadini, tra cui la biglietteria per autobus e treni. Comprende un'area di fermata coperta con più stalli per autobus, un ampio parcheggio dedicato ai mezzi pubblici e un ulteriore parcheggio riservato alle automobili. </w:t>
            </w:r>
            <w:r w:rsidRPr="00B3168E">
              <w:rPr>
                <w:rFonts w:eastAsia="Times New Roman" w:cs="Calibri"/>
                <w:sz w:val="20"/>
                <w:szCs w:val="20"/>
              </w:rPr>
              <w:t>La gestione della struttura è affidata a una cooperativa sociale.</w:t>
            </w:r>
          </w:p>
        </w:tc>
      </w:tr>
      <w:tr w:rsidR="00FD2CBB" w:rsidRPr="00A2769C" w14:paraId="5FAC4921" w14:textId="77777777">
        <w:trPr>
          <w:trHeight w:val="490"/>
        </w:trPr>
        <w:tc>
          <w:tcPr>
            <w:tcW w:w="1245" w:type="dxa"/>
            <w:vMerge/>
            <w:tcBorders>
              <w:top w:val="nil"/>
              <w:left w:val="single" w:sz="8" w:space="0" w:color="A6A6A6"/>
              <w:bottom w:val="single" w:sz="8" w:space="0" w:color="A6A6A6"/>
              <w:right w:val="single" w:sz="8" w:space="0" w:color="A6A6A6"/>
            </w:tcBorders>
            <w:vAlign w:val="center"/>
            <w:hideMark/>
          </w:tcPr>
          <w:p w14:paraId="2AA7F063" w14:textId="77777777" w:rsidR="00FD2CBB" w:rsidRPr="00A2769C" w:rsidRDefault="00FD2CBB">
            <w:pPr>
              <w:spacing w:after="0" w:line="240" w:lineRule="auto"/>
              <w:jc w:val="left"/>
              <w:rPr>
                <w:rFonts w:eastAsia="Times New Roman" w:cs="Calibri"/>
                <w:b/>
                <w:color w:val="000000"/>
                <w:sz w:val="20"/>
                <w:szCs w:val="20"/>
              </w:rPr>
            </w:pPr>
          </w:p>
        </w:tc>
        <w:tc>
          <w:tcPr>
            <w:tcW w:w="1439" w:type="dxa"/>
            <w:tcBorders>
              <w:top w:val="nil"/>
              <w:left w:val="nil"/>
              <w:bottom w:val="nil"/>
              <w:right w:val="single" w:sz="8" w:space="0" w:color="A6A6A6"/>
            </w:tcBorders>
            <w:noWrap/>
            <w:vAlign w:val="center"/>
            <w:hideMark/>
          </w:tcPr>
          <w:p w14:paraId="07BDC38F" w14:textId="77777777" w:rsidR="00FD2CBB" w:rsidRDefault="00FD2CBB">
            <w:pPr>
              <w:spacing w:after="0" w:line="240" w:lineRule="auto"/>
              <w:jc w:val="left"/>
              <w:rPr>
                <w:rFonts w:eastAsia="Times New Roman" w:cs="Calibri"/>
                <w:color w:val="242424"/>
                <w:sz w:val="20"/>
                <w:szCs w:val="20"/>
              </w:rPr>
            </w:pPr>
            <w:r w:rsidRPr="00A2769C">
              <w:rPr>
                <w:rFonts w:eastAsia="Times New Roman" w:cs="Calibri"/>
                <w:color w:val="242424"/>
                <w:sz w:val="20"/>
                <w:szCs w:val="20"/>
              </w:rPr>
              <w:t>Servizi ferroviari;</w:t>
            </w:r>
            <w:r>
              <w:rPr>
                <w:rFonts w:eastAsia="Times New Roman" w:cs="Calibri"/>
                <w:color w:val="242424"/>
                <w:sz w:val="20"/>
                <w:szCs w:val="20"/>
              </w:rPr>
              <w:t xml:space="preserve"> </w:t>
            </w:r>
            <w:r w:rsidRPr="00A2769C">
              <w:rPr>
                <w:rFonts w:eastAsia="Times New Roman" w:cs="Calibri"/>
                <w:color w:val="242424"/>
                <w:sz w:val="20"/>
                <w:szCs w:val="20"/>
              </w:rPr>
              <w:t xml:space="preserve"> </w:t>
            </w:r>
          </w:p>
          <w:p w14:paraId="16040444" w14:textId="77777777" w:rsidR="00FD2CBB" w:rsidRPr="00A2769C" w:rsidRDefault="00FD2CBB">
            <w:pPr>
              <w:spacing w:after="0" w:line="240" w:lineRule="auto"/>
              <w:jc w:val="left"/>
              <w:rPr>
                <w:rFonts w:eastAsia="Times New Roman" w:cs="Calibri"/>
                <w:color w:val="242424"/>
                <w:sz w:val="20"/>
                <w:szCs w:val="20"/>
              </w:rPr>
            </w:pPr>
            <w:r w:rsidRPr="00A2769C">
              <w:rPr>
                <w:rFonts w:eastAsia="Times New Roman" w:cs="Calibri"/>
                <w:color w:val="242424"/>
                <w:sz w:val="20"/>
                <w:szCs w:val="20"/>
              </w:rPr>
              <w:t>Taxi.</w:t>
            </w:r>
          </w:p>
        </w:tc>
        <w:tc>
          <w:tcPr>
            <w:tcW w:w="1280" w:type="dxa"/>
            <w:vMerge/>
            <w:tcBorders>
              <w:top w:val="nil"/>
              <w:left w:val="single" w:sz="8" w:space="0" w:color="A6A6A6"/>
              <w:bottom w:val="single" w:sz="8" w:space="0" w:color="A6A6A6"/>
              <w:right w:val="single" w:sz="8" w:space="0" w:color="A6A6A6"/>
            </w:tcBorders>
            <w:vAlign w:val="center"/>
            <w:hideMark/>
          </w:tcPr>
          <w:p w14:paraId="33246AD6" w14:textId="77777777" w:rsidR="00FD2CBB" w:rsidRPr="00A2769C" w:rsidRDefault="00FD2CBB">
            <w:pPr>
              <w:spacing w:after="0" w:line="240" w:lineRule="auto"/>
              <w:jc w:val="left"/>
              <w:rPr>
                <w:rFonts w:eastAsia="Times New Roman" w:cs="Calibri"/>
                <w:color w:val="000000"/>
                <w:sz w:val="20"/>
                <w:szCs w:val="20"/>
              </w:rPr>
            </w:pPr>
          </w:p>
        </w:tc>
        <w:tc>
          <w:tcPr>
            <w:tcW w:w="1222" w:type="dxa"/>
            <w:vMerge/>
            <w:tcBorders>
              <w:top w:val="nil"/>
              <w:left w:val="single" w:sz="8" w:space="0" w:color="A6A6A6"/>
              <w:bottom w:val="single" w:sz="8" w:space="0" w:color="A6A6A6"/>
              <w:right w:val="single" w:sz="8" w:space="0" w:color="A6A6A6"/>
            </w:tcBorders>
            <w:vAlign w:val="center"/>
            <w:hideMark/>
          </w:tcPr>
          <w:p w14:paraId="17236E2F" w14:textId="77777777" w:rsidR="00FD2CBB" w:rsidRPr="00A2769C" w:rsidRDefault="00FD2CBB">
            <w:pPr>
              <w:spacing w:after="0" w:line="240" w:lineRule="auto"/>
              <w:jc w:val="left"/>
              <w:rPr>
                <w:rFonts w:eastAsia="Times New Roman" w:cs="Calibri"/>
                <w:color w:val="242424"/>
                <w:sz w:val="20"/>
                <w:szCs w:val="20"/>
              </w:rPr>
            </w:pPr>
          </w:p>
        </w:tc>
        <w:tc>
          <w:tcPr>
            <w:tcW w:w="854" w:type="dxa"/>
            <w:vMerge/>
            <w:tcBorders>
              <w:top w:val="nil"/>
              <w:left w:val="single" w:sz="8" w:space="0" w:color="A6A6A6"/>
              <w:bottom w:val="single" w:sz="8" w:space="0" w:color="A6A6A6"/>
              <w:right w:val="single" w:sz="8" w:space="0" w:color="A6A6A6"/>
            </w:tcBorders>
            <w:vAlign w:val="center"/>
            <w:hideMark/>
          </w:tcPr>
          <w:p w14:paraId="4546BDC4" w14:textId="77777777" w:rsidR="00FD2CBB" w:rsidRPr="00A2769C" w:rsidRDefault="00FD2CBB">
            <w:pPr>
              <w:spacing w:after="0" w:line="240" w:lineRule="auto"/>
              <w:jc w:val="left"/>
              <w:rPr>
                <w:rFonts w:eastAsia="Times New Roman" w:cs="Calibri"/>
                <w:color w:val="242424"/>
                <w:sz w:val="20"/>
                <w:szCs w:val="20"/>
              </w:rPr>
            </w:pPr>
          </w:p>
        </w:tc>
        <w:tc>
          <w:tcPr>
            <w:tcW w:w="3355" w:type="dxa"/>
            <w:vMerge/>
            <w:tcBorders>
              <w:top w:val="nil"/>
              <w:left w:val="single" w:sz="8" w:space="0" w:color="A6A6A6"/>
              <w:bottom w:val="single" w:sz="8" w:space="0" w:color="A6A6A6"/>
              <w:right w:val="single" w:sz="8" w:space="0" w:color="A6A6A6"/>
            </w:tcBorders>
            <w:vAlign w:val="center"/>
            <w:hideMark/>
          </w:tcPr>
          <w:p w14:paraId="45EAE6FD" w14:textId="77777777" w:rsidR="00FD2CBB" w:rsidRPr="00A2769C" w:rsidRDefault="00FD2CBB">
            <w:pPr>
              <w:spacing w:after="0" w:line="240" w:lineRule="auto"/>
              <w:jc w:val="left"/>
              <w:rPr>
                <w:rFonts w:eastAsia="Times New Roman" w:cs="Calibri"/>
                <w:color w:val="FF0000"/>
                <w:sz w:val="20"/>
                <w:szCs w:val="20"/>
              </w:rPr>
            </w:pPr>
          </w:p>
        </w:tc>
      </w:tr>
      <w:tr w:rsidR="00FD2CBB" w:rsidRPr="00A2769C" w14:paraId="558422BC" w14:textId="77777777">
        <w:trPr>
          <w:trHeight w:val="519"/>
        </w:trPr>
        <w:tc>
          <w:tcPr>
            <w:tcW w:w="1245" w:type="dxa"/>
            <w:vMerge/>
            <w:tcBorders>
              <w:top w:val="nil"/>
              <w:left w:val="single" w:sz="8" w:space="0" w:color="A6A6A6"/>
              <w:bottom w:val="single" w:sz="8" w:space="0" w:color="A6A6A6"/>
              <w:right w:val="single" w:sz="8" w:space="0" w:color="A6A6A6"/>
            </w:tcBorders>
            <w:vAlign w:val="center"/>
            <w:hideMark/>
          </w:tcPr>
          <w:p w14:paraId="6F7E734B" w14:textId="77777777" w:rsidR="00FD2CBB" w:rsidRPr="00A2769C" w:rsidRDefault="00FD2CBB">
            <w:pPr>
              <w:spacing w:after="0" w:line="240" w:lineRule="auto"/>
              <w:jc w:val="left"/>
              <w:rPr>
                <w:rFonts w:eastAsia="Times New Roman" w:cs="Calibri"/>
                <w:b/>
                <w:color w:val="000000"/>
                <w:sz w:val="20"/>
                <w:szCs w:val="20"/>
              </w:rPr>
            </w:pPr>
          </w:p>
        </w:tc>
        <w:tc>
          <w:tcPr>
            <w:tcW w:w="1439" w:type="dxa"/>
            <w:tcBorders>
              <w:top w:val="nil"/>
              <w:left w:val="nil"/>
              <w:bottom w:val="single" w:sz="8" w:space="0" w:color="A6A6A6"/>
              <w:right w:val="single" w:sz="8" w:space="0" w:color="A6A6A6"/>
            </w:tcBorders>
            <w:noWrap/>
            <w:vAlign w:val="center"/>
            <w:hideMark/>
          </w:tcPr>
          <w:p w14:paraId="6119EB32" w14:textId="77777777" w:rsidR="00FD2CBB" w:rsidRPr="00A2769C" w:rsidRDefault="00FD2CBB">
            <w:pPr>
              <w:spacing w:after="0" w:line="240" w:lineRule="auto"/>
              <w:jc w:val="left"/>
              <w:rPr>
                <w:rFonts w:eastAsia="Times New Roman" w:cs="Calibri"/>
                <w:color w:val="242424"/>
                <w:sz w:val="20"/>
                <w:szCs w:val="20"/>
              </w:rPr>
            </w:pPr>
          </w:p>
        </w:tc>
        <w:tc>
          <w:tcPr>
            <w:tcW w:w="1280" w:type="dxa"/>
            <w:vMerge/>
            <w:tcBorders>
              <w:top w:val="nil"/>
              <w:left w:val="single" w:sz="8" w:space="0" w:color="A6A6A6"/>
              <w:bottom w:val="single" w:sz="8" w:space="0" w:color="A6A6A6"/>
              <w:right w:val="single" w:sz="8" w:space="0" w:color="A6A6A6"/>
            </w:tcBorders>
            <w:vAlign w:val="center"/>
            <w:hideMark/>
          </w:tcPr>
          <w:p w14:paraId="3A60CD2F" w14:textId="77777777" w:rsidR="00FD2CBB" w:rsidRPr="00A2769C" w:rsidRDefault="00FD2CBB">
            <w:pPr>
              <w:spacing w:after="0" w:line="240" w:lineRule="auto"/>
              <w:jc w:val="left"/>
              <w:rPr>
                <w:rFonts w:eastAsia="Times New Roman" w:cs="Calibri"/>
                <w:color w:val="000000"/>
                <w:sz w:val="20"/>
                <w:szCs w:val="20"/>
              </w:rPr>
            </w:pPr>
          </w:p>
        </w:tc>
        <w:tc>
          <w:tcPr>
            <w:tcW w:w="1222" w:type="dxa"/>
            <w:vMerge/>
            <w:tcBorders>
              <w:top w:val="nil"/>
              <w:left w:val="single" w:sz="8" w:space="0" w:color="A6A6A6"/>
              <w:bottom w:val="single" w:sz="8" w:space="0" w:color="A6A6A6"/>
              <w:right w:val="single" w:sz="8" w:space="0" w:color="A6A6A6"/>
            </w:tcBorders>
            <w:vAlign w:val="center"/>
            <w:hideMark/>
          </w:tcPr>
          <w:p w14:paraId="2EAC4CC2" w14:textId="77777777" w:rsidR="00FD2CBB" w:rsidRPr="00A2769C" w:rsidRDefault="00FD2CBB">
            <w:pPr>
              <w:spacing w:after="0" w:line="240" w:lineRule="auto"/>
              <w:jc w:val="left"/>
              <w:rPr>
                <w:rFonts w:eastAsia="Times New Roman" w:cs="Calibri"/>
                <w:color w:val="242424"/>
                <w:sz w:val="20"/>
                <w:szCs w:val="20"/>
              </w:rPr>
            </w:pPr>
          </w:p>
        </w:tc>
        <w:tc>
          <w:tcPr>
            <w:tcW w:w="854" w:type="dxa"/>
            <w:vMerge/>
            <w:tcBorders>
              <w:top w:val="nil"/>
              <w:left w:val="single" w:sz="8" w:space="0" w:color="A6A6A6"/>
              <w:bottom w:val="single" w:sz="8" w:space="0" w:color="A6A6A6"/>
              <w:right w:val="single" w:sz="8" w:space="0" w:color="A6A6A6"/>
            </w:tcBorders>
            <w:vAlign w:val="center"/>
            <w:hideMark/>
          </w:tcPr>
          <w:p w14:paraId="2309694C" w14:textId="77777777" w:rsidR="00FD2CBB" w:rsidRPr="00A2769C" w:rsidRDefault="00FD2CBB">
            <w:pPr>
              <w:spacing w:after="0" w:line="240" w:lineRule="auto"/>
              <w:jc w:val="left"/>
              <w:rPr>
                <w:rFonts w:eastAsia="Times New Roman" w:cs="Calibri"/>
                <w:color w:val="242424"/>
                <w:sz w:val="20"/>
                <w:szCs w:val="20"/>
              </w:rPr>
            </w:pPr>
          </w:p>
        </w:tc>
        <w:tc>
          <w:tcPr>
            <w:tcW w:w="3355" w:type="dxa"/>
            <w:vMerge/>
            <w:tcBorders>
              <w:top w:val="nil"/>
              <w:left w:val="single" w:sz="8" w:space="0" w:color="A6A6A6"/>
              <w:bottom w:val="single" w:sz="8" w:space="0" w:color="A6A6A6"/>
              <w:right w:val="single" w:sz="8" w:space="0" w:color="A6A6A6"/>
            </w:tcBorders>
            <w:vAlign w:val="center"/>
            <w:hideMark/>
          </w:tcPr>
          <w:p w14:paraId="3B1952A4" w14:textId="77777777" w:rsidR="00FD2CBB" w:rsidRPr="00A2769C" w:rsidRDefault="00FD2CBB">
            <w:pPr>
              <w:spacing w:after="0" w:line="240" w:lineRule="auto"/>
              <w:jc w:val="left"/>
              <w:rPr>
                <w:rFonts w:eastAsia="Times New Roman" w:cs="Calibri"/>
                <w:color w:val="FF0000"/>
                <w:sz w:val="20"/>
                <w:szCs w:val="20"/>
              </w:rPr>
            </w:pPr>
          </w:p>
        </w:tc>
      </w:tr>
      <w:tr w:rsidR="00FD2CBB" w:rsidRPr="00A2769C" w14:paraId="04C2B94D" w14:textId="77777777">
        <w:trPr>
          <w:trHeight w:val="297"/>
        </w:trPr>
        <w:tc>
          <w:tcPr>
            <w:tcW w:w="1245" w:type="dxa"/>
            <w:vMerge w:val="restart"/>
            <w:tcBorders>
              <w:top w:val="nil"/>
              <w:left w:val="single" w:sz="8" w:space="0" w:color="A6A6A6"/>
              <w:bottom w:val="single" w:sz="8" w:space="0" w:color="A6A6A6"/>
              <w:right w:val="single" w:sz="8" w:space="0" w:color="A6A6A6"/>
            </w:tcBorders>
            <w:shd w:val="clear" w:color="000000" w:fill="FFFFFF"/>
            <w:vAlign w:val="center"/>
            <w:hideMark/>
          </w:tcPr>
          <w:p w14:paraId="4935793D" w14:textId="77777777" w:rsidR="00FD2CBB" w:rsidRPr="00A2769C" w:rsidRDefault="00FD2CBB">
            <w:pPr>
              <w:spacing w:after="0" w:line="240" w:lineRule="auto"/>
              <w:jc w:val="left"/>
              <w:rPr>
                <w:rFonts w:eastAsia="Times New Roman" w:cs="Calibri"/>
                <w:b/>
                <w:color w:val="000000"/>
                <w:sz w:val="20"/>
                <w:szCs w:val="20"/>
              </w:rPr>
            </w:pPr>
            <w:r w:rsidRPr="00A2769C">
              <w:rPr>
                <w:rFonts w:eastAsia="Times New Roman" w:cs="Calibri"/>
                <w:b/>
                <w:color w:val="000000"/>
                <w:sz w:val="20"/>
                <w:szCs w:val="20"/>
              </w:rPr>
              <w:t>LANZO</w:t>
            </w:r>
          </w:p>
        </w:tc>
        <w:tc>
          <w:tcPr>
            <w:tcW w:w="1439" w:type="dxa"/>
            <w:tcBorders>
              <w:top w:val="nil"/>
              <w:left w:val="nil"/>
              <w:bottom w:val="nil"/>
              <w:right w:val="single" w:sz="8" w:space="0" w:color="A6A6A6"/>
            </w:tcBorders>
            <w:noWrap/>
            <w:vAlign w:val="center"/>
            <w:hideMark/>
          </w:tcPr>
          <w:p w14:paraId="2378E511" w14:textId="77777777" w:rsidR="00FD2CBB" w:rsidRPr="00A2769C" w:rsidRDefault="00FD2CBB">
            <w:pPr>
              <w:spacing w:after="0" w:line="240" w:lineRule="auto"/>
              <w:jc w:val="left"/>
              <w:rPr>
                <w:rFonts w:eastAsia="Times New Roman" w:cs="Calibri"/>
                <w:color w:val="242424"/>
                <w:sz w:val="20"/>
                <w:szCs w:val="20"/>
              </w:rPr>
            </w:pPr>
            <w:r w:rsidRPr="00A2769C">
              <w:rPr>
                <w:rFonts w:eastAsia="Times New Roman" w:cs="Calibri"/>
                <w:color w:val="242424"/>
                <w:sz w:val="20"/>
                <w:szCs w:val="20"/>
              </w:rPr>
              <w:t>Autolinee extraurbane;</w:t>
            </w:r>
          </w:p>
        </w:tc>
        <w:tc>
          <w:tcPr>
            <w:tcW w:w="1280" w:type="dxa"/>
            <w:vMerge w:val="restart"/>
            <w:tcBorders>
              <w:top w:val="nil"/>
              <w:left w:val="single" w:sz="8" w:space="0" w:color="A6A6A6"/>
              <w:bottom w:val="single" w:sz="8" w:space="0" w:color="A6A6A6"/>
              <w:right w:val="single" w:sz="8" w:space="0" w:color="A6A6A6"/>
            </w:tcBorders>
            <w:vAlign w:val="center"/>
            <w:hideMark/>
          </w:tcPr>
          <w:p w14:paraId="6FF870B9" w14:textId="77777777" w:rsidR="00FD2CBB" w:rsidRPr="000121B0" w:rsidRDefault="00FD2CBB">
            <w:pPr>
              <w:spacing w:after="0" w:line="240" w:lineRule="auto"/>
              <w:jc w:val="left"/>
              <w:rPr>
                <w:rFonts w:eastAsia="Times New Roman" w:cs="Calibri"/>
                <w:sz w:val="20"/>
                <w:szCs w:val="20"/>
              </w:rPr>
            </w:pPr>
            <w:r w:rsidRPr="000121B0">
              <w:rPr>
                <w:rFonts w:eastAsia="Times New Roman" w:cs="Calibri"/>
                <w:sz w:val="20"/>
                <w:szCs w:val="20"/>
              </w:rPr>
              <w:t>Nodo di interscambio multimodale diretto</w:t>
            </w:r>
          </w:p>
        </w:tc>
        <w:tc>
          <w:tcPr>
            <w:tcW w:w="1222" w:type="dxa"/>
            <w:vMerge w:val="restart"/>
            <w:tcBorders>
              <w:top w:val="nil"/>
              <w:left w:val="single" w:sz="8" w:space="0" w:color="A6A6A6"/>
              <w:bottom w:val="single" w:sz="8" w:space="0" w:color="A6A6A6"/>
              <w:right w:val="single" w:sz="8" w:space="0" w:color="A6A6A6"/>
            </w:tcBorders>
            <w:vAlign w:val="center"/>
            <w:hideMark/>
          </w:tcPr>
          <w:p w14:paraId="29096836" w14:textId="77777777" w:rsidR="00FD2CBB" w:rsidRPr="000121B0" w:rsidRDefault="00FD2CBB">
            <w:pPr>
              <w:spacing w:after="0" w:line="240" w:lineRule="auto"/>
              <w:jc w:val="left"/>
              <w:rPr>
                <w:rFonts w:eastAsia="Times New Roman" w:cs="Calibri"/>
                <w:sz w:val="20"/>
                <w:szCs w:val="20"/>
              </w:rPr>
            </w:pPr>
            <w:r w:rsidRPr="000121B0">
              <w:rPr>
                <w:rFonts w:eastAsia="Times New Roman" w:cs="Calibri"/>
                <w:sz w:val="20"/>
                <w:szCs w:val="20"/>
              </w:rPr>
              <w:t>Necessità di definizione di accordi gestione</w:t>
            </w:r>
          </w:p>
        </w:tc>
        <w:tc>
          <w:tcPr>
            <w:tcW w:w="854" w:type="dxa"/>
            <w:vMerge w:val="restart"/>
            <w:tcBorders>
              <w:top w:val="nil"/>
              <w:left w:val="single" w:sz="8" w:space="0" w:color="A6A6A6"/>
              <w:bottom w:val="single" w:sz="8" w:space="0" w:color="A6A6A6"/>
              <w:right w:val="single" w:sz="8" w:space="0" w:color="A6A6A6"/>
            </w:tcBorders>
            <w:noWrap/>
            <w:vAlign w:val="center"/>
            <w:hideMark/>
          </w:tcPr>
          <w:p w14:paraId="68EFB4F5" w14:textId="77777777" w:rsidR="00FD2CBB" w:rsidRPr="000121B0" w:rsidRDefault="00FD2CBB">
            <w:pPr>
              <w:spacing w:after="0" w:line="240" w:lineRule="auto"/>
              <w:jc w:val="left"/>
              <w:rPr>
                <w:rFonts w:eastAsia="Times New Roman" w:cs="Calibri"/>
                <w:sz w:val="20"/>
                <w:szCs w:val="20"/>
              </w:rPr>
            </w:pPr>
            <w:r w:rsidRPr="000121B0">
              <w:rPr>
                <w:rFonts w:eastAsia="Times New Roman" w:cs="Calibri"/>
                <w:sz w:val="20"/>
                <w:szCs w:val="20"/>
              </w:rPr>
              <w:t>Da definire</w:t>
            </w:r>
          </w:p>
        </w:tc>
        <w:tc>
          <w:tcPr>
            <w:tcW w:w="3355" w:type="dxa"/>
            <w:vMerge w:val="restart"/>
            <w:tcBorders>
              <w:top w:val="nil"/>
              <w:left w:val="single" w:sz="8" w:space="0" w:color="A6A6A6"/>
              <w:bottom w:val="single" w:sz="8" w:space="0" w:color="A6A6A6"/>
              <w:right w:val="single" w:sz="8" w:space="0" w:color="A6A6A6"/>
            </w:tcBorders>
            <w:vAlign w:val="center"/>
            <w:hideMark/>
          </w:tcPr>
          <w:p w14:paraId="4EFE16EF" w14:textId="77777777" w:rsidR="00FD2CBB" w:rsidRPr="000121B0" w:rsidRDefault="00FD2CBB">
            <w:pPr>
              <w:spacing w:after="0" w:line="240" w:lineRule="auto"/>
              <w:jc w:val="left"/>
              <w:rPr>
                <w:rFonts w:eastAsia="Times New Roman" w:cs="Calibri"/>
                <w:sz w:val="20"/>
                <w:szCs w:val="20"/>
              </w:rPr>
            </w:pPr>
            <w:r w:rsidRPr="000121B0">
              <w:rPr>
                <w:rFonts w:eastAsia="Times New Roman" w:cs="Calibri"/>
                <w:sz w:val="20"/>
                <w:szCs w:val="20"/>
              </w:rPr>
              <w:t xml:space="preserve">Il "Movicentro" è caratterizzato da un edificio che non ha attualmente servizi attivi per i cittadini e presenta un'area </w:t>
            </w:r>
            <w:r w:rsidRPr="000121B0">
              <w:rPr>
                <w:rFonts w:eastAsia="Times New Roman" w:cs="Calibri"/>
                <w:sz w:val="20"/>
                <w:szCs w:val="20"/>
              </w:rPr>
              <w:lastRenderedPageBreak/>
              <w:t>di fermata coperta per i bus. La struttura è di proprietà del comune.</w:t>
            </w:r>
          </w:p>
        </w:tc>
      </w:tr>
      <w:tr w:rsidR="00FD2CBB" w:rsidRPr="00A2769C" w14:paraId="768C6E47" w14:textId="77777777">
        <w:trPr>
          <w:trHeight w:val="297"/>
        </w:trPr>
        <w:tc>
          <w:tcPr>
            <w:tcW w:w="1245" w:type="dxa"/>
            <w:vMerge/>
            <w:tcBorders>
              <w:top w:val="nil"/>
              <w:left w:val="single" w:sz="8" w:space="0" w:color="A6A6A6"/>
              <w:bottom w:val="single" w:sz="8" w:space="0" w:color="A6A6A6"/>
              <w:right w:val="single" w:sz="8" w:space="0" w:color="A6A6A6"/>
            </w:tcBorders>
            <w:vAlign w:val="center"/>
            <w:hideMark/>
          </w:tcPr>
          <w:p w14:paraId="3D4B76B8" w14:textId="77777777" w:rsidR="00FD2CBB" w:rsidRPr="00A2769C" w:rsidRDefault="00FD2CBB">
            <w:pPr>
              <w:spacing w:after="0" w:line="240" w:lineRule="auto"/>
              <w:jc w:val="left"/>
              <w:rPr>
                <w:rFonts w:eastAsia="Times New Roman" w:cs="Calibri"/>
                <w:b/>
                <w:color w:val="000000"/>
                <w:sz w:val="20"/>
                <w:szCs w:val="20"/>
              </w:rPr>
            </w:pPr>
          </w:p>
        </w:tc>
        <w:tc>
          <w:tcPr>
            <w:tcW w:w="1439" w:type="dxa"/>
            <w:tcBorders>
              <w:top w:val="nil"/>
              <w:left w:val="nil"/>
              <w:bottom w:val="nil"/>
              <w:right w:val="single" w:sz="8" w:space="0" w:color="A6A6A6"/>
            </w:tcBorders>
            <w:noWrap/>
            <w:vAlign w:val="center"/>
            <w:hideMark/>
          </w:tcPr>
          <w:p w14:paraId="13165015" w14:textId="77777777" w:rsidR="00FD2CBB" w:rsidRPr="00A2769C" w:rsidRDefault="00FD2CBB">
            <w:pPr>
              <w:spacing w:after="0" w:line="240" w:lineRule="auto"/>
              <w:jc w:val="left"/>
              <w:rPr>
                <w:rFonts w:eastAsia="Times New Roman" w:cs="Calibri"/>
                <w:color w:val="242424"/>
                <w:sz w:val="20"/>
                <w:szCs w:val="20"/>
              </w:rPr>
            </w:pPr>
            <w:r w:rsidRPr="00A2769C">
              <w:rPr>
                <w:rFonts w:eastAsia="Times New Roman" w:cs="Calibri"/>
                <w:color w:val="242424"/>
                <w:sz w:val="20"/>
                <w:szCs w:val="20"/>
              </w:rPr>
              <w:t>Servizi ferroviari;</w:t>
            </w:r>
          </w:p>
        </w:tc>
        <w:tc>
          <w:tcPr>
            <w:tcW w:w="1280" w:type="dxa"/>
            <w:vMerge/>
            <w:tcBorders>
              <w:top w:val="nil"/>
              <w:left w:val="single" w:sz="8" w:space="0" w:color="A6A6A6"/>
              <w:bottom w:val="single" w:sz="8" w:space="0" w:color="A6A6A6"/>
              <w:right w:val="single" w:sz="8" w:space="0" w:color="A6A6A6"/>
            </w:tcBorders>
            <w:vAlign w:val="center"/>
            <w:hideMark/>
          </w:tcPr>
          <w:p w14:paraId="5A0AE3EF" w14:textId="77777777" w:rsidR="00FD2CBB" w:rsidRPr="00A2769C" w:rsidRDefault="00FD2CBB">
            <w:pPr>
              <w:spacing w:after="0" w:line="240" w:lineRule="auto"/>
              <w:jc w:val="left"/>
              <w:rPr>
                <w:rFonts w:eastAsia="Times New Roman" w:cs="Calibri"/>
                <w:color w:val="000000"/>
                <w:sz w:val="20"/>
                <w:szCs w:val="20"/>
              </w:rPr>
            </w:pPr>
          </w:p>
        </w:tc>
        <w:tc>
          <w:tcPr>
            <w:tcW w:w="1222" w:type="dxa"/>
            <w:vMerge/>
            <w:tcBorders>
              <w:top w:val="nil"/>
              <w:left w:val="single" w:sz="8" w:space="0" w:color="A6A6A6"/>
              <w:bottom w:val="single" w:sz="8" w:space="0" w:color="A6A6A6"/>
              <w:right w:val="single" w:sz="8" w:space="0" w:color="A6A6A6"/>
            </w:tcBorders>
            <w:vAlign w:val="center"/>
            <w:hideMark/>
          </w:tcPr>
          <w:p w14:paraId="6ED72B67" w14:textId="77777777" w:rsidR="00FD2CBB" w:rsidRPr="00A2769C" w:rsidRDefault="00FD2CBB">
            <w:pPr>
              <w:spacing w:after="0" w:line="240" w:lineRule="auto"/>
              <w:jc w:val="left"/>
              <w:rPr>
                <w:rFonts w:eastAsia="Times New Roman" w:cs="Calibri"/>
                <w:color w:val="242424"/>
                <w:sz w:val="20"/>
                <w:szCs w:val="20"/>
              </w:rPr>
            </w:pPr>
          </w:p>
        </w:tc>
        <w:tc>
          <w:tcPr>
            <w:tcW w:w="854" w:type="dxa"/>
            <w:vMerge/>
            <w:tcBorders>
              <w:top w:val="nil"/>
              <w:left w:val="single" w:sz="8" w:space="0" w:color="A6A6A6"/>
              <w:bottom w:val="single" w:sz="8" w:space="0" w:color="A6A6A6"/>
              <w:right w:val="single" w:sz="8" w:space="0" w:color="A6A6A6"/>
            </w:tcBorders>
            <w:vAlign w:val="center"/>
            <w:hideMark/>
          </w:tcPr>
          <w:p w14:paraId="4FA8F79E" w14:textId="77777777" w:rsidR="00FD2CBB" w:rsidRPr="00A2769C" w:rsidRDefault="00FD2CBB">
            <w:pPr>
              <w:spacing w:after="0" w:line="240" w:lineRule="auto"/>
              <w:jc w:val="left"/>
              <w:rPr>
                <w:rFonts w:eastAsia="Times New Roman" w:cs="Calibri"/>
                <w:color w:val="242424"/>
                <w:sz w:val="20"/>
                <w:szCs w:val="20"/>
              </w:rPr>
            </w:pPr>
          </w:p>
        </w:tc>
        <w:tc>
          <w:tcPr>
            <w:tcW w:w="3355" w:type="dxa"/>
            <w:vMerge/>
            <w:tcBorders>
              <w:top w:val="nil"/>
              <w:left w:val="single" w:sz="8" w:space="0" w:color="A6A6A6"/>
              <w:bottom w:val="single" w:sz="8" w:space="0" w:color="A6A6A6"/>
              <w:right w:val="single" w:sz="8" w:space="0" w:color="A6A6A6"/>
            </w:tcBorders>
            <w:vAlign w:val="center"/>
            <w:hideMark/>
          </w:tcPr>
          <w:p w14:paraId="20304324" w14:textId="77777777" w:rsidR="00FD2CBB" w:rsidRPr="00A2769C" w:rsidRDefault="00FD2CBB">
            <w:pPr>
              <w:spacing w:after="0" w:line="240" w:lineRule="auto"/>
              <w:jc w:val="left"/>
              <w:rPr>
                <w:rFonts w:eastAsia="Times New Roman" w:cs="Calibri"/>
                <w:color w:val="242424"/>
                <w:sz w:val="20"/>
                <w:szCs w:val="20"/>
              </w:rPr>
            </w:pPr>
          </w:p>
        </w:tc>
      </w:tr>
      <w:tr w:rsidR="00FD2CBB" w:rsidRPr="00A2769C" w14:paraId="3B43AD03" w14:textId="77777777">
        <w:trPr>
          <w:trHeight w:val="297"/>
        </w:trPr>
        <w:tc>
          <w:tcPr>
            <w:tcW w:w="1245" w:type="dxa"/>
            <w:vMerge/>
            <w:tcBorders>
              <w:top w:val="nil"/>
              <w:left w:val="single" w:sz="8" w:space="0" w:color="A6A6A6"/>
              <w:bottom w:val="single" w:sz="8" w:space="0" w:color="A6A6A6"/>
              <w:right w:val="single" w:sz="8" w:space="0" w:color="A6A6A6"/>
            </w:tcBorders>
            <w:vAlign w:val="center"/>
            <w:hideMark/>
          </w:tcPr>
          <w:p w14:paraId="046F8E76" w14:textId="77777777" w:rsidR="00FD2CBB" w:rsidRPr="00A2769C" w:rsidRDefault="00FD2CBB">
            <w:pPr>
              <w:spacing w:after="0" w:line="240" w:lineRule="auto"/>
              <w:jc w:val="left"/>
              <w:rPr>
                <w:rFonts w:eastAsia="Times New Roman" w:cs="Calibri"/>
                <w:b/>
                <w:color w:val="000000"/>
                <w:sz w:val="20"/>
                <w:szCs w:val="20"/>
              </w:rPr>
            </w:pPr>
          </w:p>
        </w:tc>
        <w:tc>
          <w:tcPr>
            <w:tcW w:w="1439" w:type="dxa"/>
            <w:tcBorders>
              <w:top w:val="nil"/>
              <w:left w:val="nil"/>
              <w:bottom w:val="single" w:sz="8" w:space="0" w:color="A6A6A6"/>
              <w:right w:val="single" w:sz="8" w:space="0" w:color="A6A6A6"/>
            </w:tcBorders>
            <w:noWrap/>
            <w:vAlign w:val="center"/>
            <w:hideMark/>
          </w:tcPr>
          <w:p w14:paraId="46B8F14D" w14:textId="77777777" w:rsidR="00FD2CBB" w:rsidRPr="00A2769C" w:rsidRDefault="00FD2CBB">
            <w:pPr>
              <w:spacing w:after="0" w:line="240" w:lineRule="auto"/>
              <w:jc w:val="left"/>
              <w:rPr>
                <w:rFonts w:eastAsia="Times New Roman" w:cs="Calibri"/>
                <w:color w:val="242424"/>
                <w:sz w:val="20"/>
                <w:szCs w:val="20"/>
              </w:rPr>
            </w:pPr>
            <w:r w:rsidRPr="00A2769C">
              <w:rPr>
                <w:rFonts w:eastAsia="Times New Roman" w:cs="Calibri"/>
                <w:color w:val="242424"/>
                <w:sz w:val="20"/>
                <w:szCs w:val="20"/>
              </w:rPr>
              <w:t>Bicicletta;</w:t>
            </w:r>
          </w:p>
        </w:tc>
        <w:tc>
          <w:tcPr>
            <w:tcW w:w="1280" w:type="dxa"/>
            <w:vMerge/>
            <w:tcBorders>
              <w:top w:val="nil"/>
              <w:left w:val="single" w:sz="8" w:space="0" w:color="A6A6A6"/>
              <w:bottom w:val="single" w:sz="8" w:space="0" w:color="A6A6A6"/>
              <w:right w:val="single" w:sz="8" w:space="0" w:color="A6A6A6"/>
            </w:tcBorders>
            <w:vAlign w:val="center"/>
            <w:hideMark/>
          </w:tcPr>
          <w:p w14:paraId="400DE5CC" w14:textId="77777777" w:rsidR="00FD2CBB" w:rsidRPr="00A2769C" w:rsidRDefault="00FD2CBB">
            <w:pPr>
              <w:spacing w:after="0" w:line="240" w:lineRule="auto"/>
              <w:jc w:val="left"/>
              <w:rPr>
                <w:rFonts w:eastAsia="Times New Roman" w:cs="Calibri"/>
                <w:color w:val="000000"/>
                <w:sz w:val="20"/>
                <w:szCs w:val="20"/>
              </w:rPr>
            </w:pPr>
          </w:p>
        </w:tc>
        <w:tc>
          <w:tcPr>
            <w:tcW w:w="1222" w:type="dxa"/>
            <w:vMerge/>
            <w:tcBorders>
              <w:top w:val="nil"/>
              <w:left w:val="single" w:sz="8" w:space="0" w:color="A6A6A6"/>
              <w:bottom w:val="single" w:sz="8" w:space="0" w:color="A6A6A6"/>
              <w:right w:val="single" w:sz="8" w:space="0" w:color="A6A6A6"/>
            </w:tcBorders>
            <w:vAlign w:val="center"/>
            <w:hideMark/>
          </w:tcPr>
          <w:p w14:paraId="7035A03E" w14:textId="77777777" w:rsidR="00FD2CBB" w:rsidRPr="00A2769C" w:rsidRDefault="00FD2CBB">
            <w:pPr>
              <w:spacing w:after="0" w:line="240" w:lineRule="auto"/>
              <w:jc w:val="left"/>
              <w:rPr>
                <w:rFonts w:eastAsia="Times New Roman" w:cs="Calibri"/>
                <w:color w:val="242424"/>
                <w:sz w:val="20"/>
                <w:szCs w:val="20"/>
              </w:rPr>
            </w:pPr>
          </w:p>
        </w:tc>
        <w:tc>
          <w:tcPr>
            <w:tcW w:w="854" w:type="dxa"/>
            <w:vMerge/>
            <w:tcBorders>
              <w:top w:val="nil"/>
              <w:left w:val="single" w:sz="8" w:space="0" w:color="A6A6A6"/>
              <w:bottom w:val="single" w:sz="8" w:space="0" w:color="A6A6A6"/>
              <w:right w:val="single" w:sz="8" w:space="0" w:color="A6A6A6"/>
            </w:tcBorders>
            <w:vAlign w:val="center"/>
            <w:hideMark/>
          </w:tcPr>
          <w:p w14:paraId="54516242" w14:textId="77777777" w:rsidR="00FD2CBB" w:rsidRPr="00A2769C" w:rsidRDefault="00FD2CBB">
            <w:pPr>
              <w:spacing w:after="0" w:line="240" w:lineRule="auto"/>
              <w:jc w:val="left"/>
              <w:rPr>
                <w:rFonts w:eastAsia="Times New Roman" w:cs="Calibri"/>
                <w:color w:val="242424"/>
                <w:sz w:val="20"/>
                <w:szCs w:val="20"/>
              </w:rPr>
            </w:pPr>
          </w:p>
        </w:tc>
        <w:tc>
          <w:tcPr>
            <w:tcW w:w="3355" w:type="dxa"/>
            <w:vMerge/>
            <w:tcBorders>
              <w:top w:val="nil"/>
              <w:left w:val="single" w:sz="8" w:space="0" w:color="A6A6A6"/>
              <w:bottom w:val="single" w:sz="8" w:space="0" w:color="A6A6A6"/>
              <w:right w:val="single" w:sz="8" w:space="0" w:color="A6A6A6"/>
            </w:tcBorders>
            <w:vAlign w:val="center"/>
            <w:hideMark/>
          </w:tcPr>
          <w:p w14:paraId="51336201" w14:textId="77777777" w:rsidR="00FD2CBB" w:rsidRPr="00A2769C" w:rsidRDefault="00FD2CBB">
            <w:pPr>
              <w:spacing w:after="0" w:line="240" w:lineRule="auto"/>
              <w:jc w:val="left"/>
              <w:rPr>
                <w:rFonts w:eastAsia="Times New Roman" w:cs="Calibri"/>
                <w:color w:val="242424"/>
                <w:sz w:val="20"/>
                <w:szCs w:val="20"/>
              </w:rPr>
            </w:pPr>
          </w:p>
        </w:tc>
      </w:tr>
      <w:tr w:rsidR="00FD2CBB" w:rsidRPr="00A2769C" w14:paraId="1CC27B51" w14:textId="77777777">
        <w:trPr>
          <w:trHeight w:val="475"/>
        </w:trPr>
        <w:tc>
          <w:tcPr>
            <w:tcW w:w="1245" w:type="dxa"/>
            <w:vMerge w:val="restart"/>
            <w:tcBorders>
              <w:top w:val="nil"/>
              <w:left w:val="single" w:sz="8" w:space="0" w:color="A6A6A6"/>
              <w:bottom w:val="single" w:sz="8" w:space="0" w:color="A6A6A6"/>
              <w:right w:val="single" w:sz="8" w:space="0" w:color="A6A6A6"/>
            </w:tcBorders>
            <w:shd w:val="clear" w:color="000000" w:fill="FFFFFF"/>
            <w:vAlign w:val="center"/>
            <w:hideMark/>
          </w:tcPr>
          <w:p w14:paraId="2E510E1A" w14:textId="77777777" w:rsidR="00FD2CBB" w:rsidRPr="00A2769C" w:rsidRDefault="00FD2CBB">
            <w:pPr>
              <w:spacing w:after="0" w:line="240" w:lineRule="auto"/>
              <w:jc w:val="left"/>
              <w:rPr>
                <w:rFonts w:eastAsia="Times New Roman" w:cs="Calibri"/>
                <w:b/>
                <w:color w:val="000000"/>
                <w:sz w:val="20"/>
                <w:szCs w:val="20"/>
              </w:rPr>
            </w:pPr>
            <w:r w:rsidRPr="00A2769C">
              <w:rPr>
                <w:rFonts w:eastAsia="Times New Roman" w:cs="Calibri"/>
                <w:b/>
                <w:color w:val="000000"/>
                <w:sz w:val="20"/>
                <w:szCs w:val="20"/>
              </w:rPr>
              <w:t>MONCALIERI</w:t>
            </w:r>
          </w:p>
        </w:tc>
        <w:tc>
          <w:tcPr>
            <w:tcW w:w="1439" w:type="dxa"/>
            <w:tcBorders>
              <w:top w:val="single" w:sz="8" w:space="0" w:color="A6A6A6"/>
              <w:left w:val="nil"/>
              <w:bottom w:val="nil"/>
              <w:right w:val="single" w:sz="8" w:space="0" w:color="A6A6A6"/>
            </w:tcBorders>
            <w:noWrap/>
            <w:vAlign w:val="center"/>
            <w:hideMark/>
          </w:tcPr>
          <w:p w14:paraId="7696D641" w14:textId="77777777" w:rsidR="00FD2CBB" w:rsidRPr="00A2769C" w:rsidRDefault="00FD2CBB">
            <w:pPr>
              <w:spacing w:after="0" w:line="240" w:lineRule="auto"/>
              <w:jc w:val="left"/>
              <w:rPr>
                <w:rFonts w:eastAsia="Times New Roman" w:cs="Calibri"/>
                <w:color w:val="242424"/>
                <w:sz w:val="20"/>
                <w:szCs w:val="20"/>
              </w:rPr>
            </w:pPr>
            <w:r w:rsidRPr="00A2769C">
              <w:rPr>
                <w:rFonts w:eastAsia="Times New Roman" w:cs="Calibri"/>
                <w:color w:val="242424"/>
                <w:sz w:val="20"/>
                <w:szCs w:val="20"/>
              </w:rPr>
              <w:t>Autolinee urbane;</w:t>
            </w:r>
          </w:p>
        </w:tc>
        <w:tc>
          <w:tcPr>
            <w:tcW w:w="1280" w:type="dxa"/>
            <w:vMerge w:val="restart"/>
            <w:tcBorders>
              <w:top w:val="nil"/>
              <w:left w:val="single" w:sz="8" w:space="0" w:color="A6A6A6"/>
              <w:bottom w:val="single" w:sz="8" w:space="0" w:color="A6A6A6"/>
              <w:right w:val="single" w:sz="8" w:space="0" w:color="A6A6A6"/>
            </w:tcBorders>
            <w:vAlign w:val="center"/>
            <w:hideMark/>
          </w:tcPr>
          <w:p w14:paraId="13A68183" w14:textId="77777777" w:rsidR="00FD2CBB" w:rsidRPr="00A2769C" w:rsidRDefault="00FD2CBB">
            <w:pPr>
              <w:spacing w:after="0" w:line="240" w:lineRule="auto"/>
              <w:jc w:val="left"/>
              <w:rPr>
                <w:rFonts w:eastAsia="Times New Roman" w:cs="Calibri"/>
                <w:color w:val="000000"/>
                <w:sz w:val="20"/>
                <w:szCs w:val="20"/>
              </w:rPr>
            </w:pPr>
            <w:r w:rsidRPr="00A2769C">
              <w:rPr>
                <w:rFonts w:eastAsia="Times New Roman" w:cs="Calibri"/>
                <w:color w:val="000000"/>
                <w:sz w:val="20"/>
                <w:szCs w:val="20"/>
              </w:rPr>
              <w:t xml:space="preserve">Nodo di interscambio multimodale </w:t>
            </w:r>
            <w:r w:rsidRPr="004F5BC4">
              <w:rPr>
                <w:rFonts w:eastAsia="Times New Roman" w:cs="Calibri"/>
                <w:sz w:val="20"/>
                <w:szCs w:val="20"/>
              </w:rPr>
              <w:t>indiretto</w:t>
            </w:r>
          </w:p>
        </w:tc>
        <w:tc>
          <w:tcPr>
            <w:tcW w:w="1222" w:type="dxa"/>
            <w:vMerge w:val="restart"/>
            <w:tcBorders>
              <w:top w:val="nil"/>
              <w:left w:val="single" w:sz="8" w:space="0" w:color="A6A6A6"/>
              <w:bottom w:val="single" w:sz="8" w:space="0" w:color="A6A6A6"/>
              <w:right w:val="single" w:sz="8" w:space="0" w:color="A6A6A6"/>
            </w:tcBorders>
            <w:vAlign w:val="center"/>
            <w:hideMark/>
          </w:tcPr>
          <w:p w14:paraId="75C348D7" w14:textId="77777777" w:rsidR="00FD2CBB" w:rsidRPr="00A2769C" w:rsidRDefault="00FD2CBB">
            <w:pPr>
              <w:spacing w:after="0" w:line="240" w:lineRule="auto"/>
              <w:jc w:val="left"/>
              <w:rPr>
                <w:rFonts w:eastAsia="Times New Roman" w:cs="Calibri"/>
                <w:color w:val="242424"/>
                <w:sz w:val="20"/>
                <w:szCs w:val="20"/>
              </w:rPr>
            </w:pPr>
            <w:r w:rsidRPr="00A2769C">
              <w:rPr>
                <w:rFonts w:eastAsia="Times New Roman" w:cs="Calibri"/>
                <w:color w:val="242424"/>
                <w:sz w:val="20"/>
                <w:szCs w:val="20"/>
              </w:rPr>
              <w:t> </w:t>
            </w:r>
          </w:p>
        </w:tc>
        <w:tc>
          <w:tcPr>
            <w:tcW w:w="854" w:type="dxa"/>
            <w:vMerge w:val="restart"/>
            <w:tcBorders>
              <w:top w:val="nil"/>
              <w:left w:val="single" w:sz="8" w:space="0" w:color="A6A6A6"/>
              <w:bottom w:val="single" w:sz="8" w:space="0" w:color="A6A6A6"/>
              <w:right w:val="single" w:sz="8" w:space="0" w:color="A6A6A6"/>
            </w:tcBorders>
            <w:vAlign w:val="center"/>
            <w:hideMark/>
          </w:tcPr>
          <w:p w14:paraId="5FCE6088" w14:textId="77777777" w:rsidR="00FD2CBB" w:rsidRPr="00A2769C" w:rsidRDefault="00FD2CBB">
            <w:pPr>
              <w:spacing w:after="0" w:line="240" w:lineRule="auto"/>
              <w:jc w:val="left"/>
              <w:rPr>
                <w:rFonts w:eastAsia="Times New Roman" w:cs="Calibri"/>
                <w:color w:val="FF0000"/>
                <w:sz w:val="20"/>
                <w:szCs w:val="20"/>
              </w:rPr>
            </w:pPr>
            <w:r w:rsidRPr="004F5BC4">
              <w:rPr>
                <w:rFonts w:eastAsia="Times New Roman" w:cs="Calibri"/>
                <w:sz w:val="20"/>
                <w:szCs w:val="20"/>
              </w:rPr>
              <w:t>NO per aspetti TPL</w:t>
            </w:r>
          </w:p>
        </w:tc>
        <w:tc>
          <w:tcPr>
            <w:tcW w:w="3355" w:type="dxa"/>
            <w:vMerge w:val="restart"/>
            <w:tcBorders>
              <w:top w:val="nil"/>
              <w:left w:val="single" w:sz="8" w:space="0" w:color="A6A6A6"/>
              <w:bottom w:val="single" w:sz="8" w:space="0" w:color="A6A6A6"/>
              <w:right w:val="single" w:sz="8" w:space="0" w:color="A6A6A6"/>
            </w:tcBorders>
            <w:vAlign w:val="center"/>
            <w:hideMark/>
          </w:tcPr>
          <w:p w14:paraId="0B5A2823" w14:textId="77777777" w:rsidR="00FD2CBB" w:rsidRPr="00A2769C" w:rsidRDefault="00FD2CBB">
            <w:pPr>
              <w:spacing w:after="0" w:line="240" w:lineRule="auto"/>
              <w:jc w:val="left"/>
              <w:rPr>
                <w:rFonts w:eastAsia="Times New Roman" w:cs="Calibri"/>
                <w:color w:val="242424"/>
                <w:sz w:val="20"/>
                <w:szCs w:val="20"/>
              </w:rPr>
            </w:pPr>
            <w:r w:rsidRPr="00A2769C">
              <w:rPr>
                <w:rFonts w:eastAsia="Times New Roman" w:cs="Calibri"/>
                <w:color w:val="242424"/>
                <w:sz w:val="20"/>
                <w:szCs w:val="20"/>
              </w:rPr>
              <w:t xml:space="preserve">Il "Movicentro" si caratterizza principalmente per la presenza di parcheggi dislocati </w:t>
            </w:r>
            <w:r>
              <w:rPr>
                <w:rFonts w:eastAsia="Times New Roman" w:cs="Calibri"/>
                <w:color w:val="242424"/>
                <w:sz w:val="20"/>
                <w:szCs w:val="20"/>
              </w:rPr>
              <w:t>posteriormente</w:t>
            </w:r>
            <w:r w:rsidRPr="00A2769C">
              <w:rPr>
                <w:rFonts w:eastAsia="Times New Roman" w:cs="Calibri"/>
                <w:color w:val="242424"/>
                <w:sz w:val="20"/>
                <w:szCs w:val="20"/>
              </w:rPr>
              <w:t xml:space="preserve"> e lateralmente rispetto alla stazione ferroviaria. Le fermate di TPL si trovano a circa 200 m di distanza dalla stazione.</w:t>
            </w:r>
          </w:p>
        </w:tc>
      </w:tr>
      <w:tr w:rsidR="00FD2CBB" w:rsidRPr="00A2769C" w14:paraId="11047446" w14:textId="77777777">
        <w:trPr>
          <w:trHeight w:val="371"/>
        </w:trPr>
        <w:tc>
          <w:tcPr>
            <w:tcW w:w="1245" w:type="dxa"/>
            <w:vMerge/>
            <w:tcBorders>
              <w:top w:val="nil"/>
              <w:left w:val="single" w:sz="8" w:space="0" w:color="A6A6A6"/>
              <w:bottom w:val="single" w:sz="8" w:space="0" w:color="A6A6A6"/>
              <w:right w:val="single" w:sz="8" w:space="0" w:color="A6A6A6"/>
            </w:tcBorders>
            <w:vAlign w:val="center"/>
            <w:hideMark/>
          </w:tcPr>
          <w:p w14:paraId="6C019988" w14:textId="77777777" w:rsidR="00FD2CBB" w:rsidRPr="00A2769C" w:rsidRDefault="00FD2CBB">
            <w:pPr>
              <w:spacing w:after="0" w:line="240" w:lineRule="auto"/>
              <w:jc w:val="left"/>
              <w:rPr>
                <w:rFonts w:eastAsia="Times New Roman" w:cs="Calibri"/>
                <w:b/>
                <w:color w:val="000000"/>
                <w:sz w:val="20"/>
                <w:szCs w:val="20"/>
              </w:rPr>
            </w:pPr>
          </w:p>
        </w:tc>
        <w:tc>
          <w:tcPr>
            <w:tcW w:w="1439" w:type="dxa"/>
            <w:tcBorders>
              <w:top w:val="nil"/>
              <w:left w:val="nil"/>
              <w:bottom w:val="nil"/>
              <w:right w:val="single" w:sz="8" w:space="0" w:color="A6A6A6"/>
            </w:tcBorders>
            <w:noWrap/>
            <w:vAlign w:val="center"/>
            <w:hideMark/>
          </w:tcPr>
          <w:p w14:paraId="146BDEB6" w14:textId="77777777" w:rsidR="00FD2CBB" w:rsidRPr="00A2769C" w:rsidRDefault="00FD2CBB">
            <w:pPr>
              <w:spacing w:after="0" w:line="240" w:lineRule="auto"/>
              <w:jc w:val="left"/>
              <w:rPr>
                <w:rFonts w:eastAsia="Times New Roman" w:cs="Calibri"/>
                <w:color w:val="242424"/>
                <w:sz w:val="20"/>
                <w:szCs w:val="20"/>
              </w:rPr>
            </w:pPr>
            <w:r w:rsidRPr="00A2769C">
              <w:rPr>
                <w:rFonts w:eastAsia="Times New Roman" w:cs="Calibri"/>
                <w:color w:val="242424"/>
                <w:sz w:val="20"/>
                <w:szCs w:val="20"/>
              </w:rPr>
              <w:t>Servizi ferroviari;</w:t>
            </w:r>
          </w:p>
        </w:tc>
        <w:tc>
          <w:tcPr>
            <w:tcW w:w="1280" w:type="dxa"/>
            <w:vMerge/>
            <w:tcBorders>
              <w:top w:val="nil"/>
              <w:left w:val="single" w:sz="8" w:space="0" w:color="A6A6A6"/>
              <w:bottom w:val="single" w:sz="8" w:space="0" w:color="A6A6A6"/>
              <w:right w:val="single" w:sz="8" w:space="0" w:color="A6A6A6"/>
            </w:tcBorders>
            <w:vAlign w:val="center"/>
            <w:hideMark/>
          </w:tcPr>
          <w:p w14:paraId="094B999A" w14:textId="77777777" w:rsidR="00FD2CBB" w:rsidRPr="00A2769C" w:rsidRDefault="00FD2CBB">
            <w:pPr>
              <w:spacing w:after="0" w:line="240" w:lineRule="auto"/>
              <w:jc w:val="left"/>
              <w:rPr>
                <w:rFonts w:eastAsia="Times New Roman" w:cs="Calibri"/>
                <w:color w:val="000000"/>
                <w:sz w:val="20"/>
                <w:szCs w:val="20"/>
              </w:rPr>
            </w:pPr>
          </w:p>
        </w:tc>
        <w:tc>
          <w:tcPr>
            <w:tcW w:w="1222" w:type="dxa"/>
            <w:vMerge/>
            <w:tcBorders>
              <w:top w:val="nil"/>
              <w:left w:val="single" w:sz="8" w:space="0" w:color="A6A6A6"/>
              <w:bottom w:val="single" w:sz="8" w:space="0" w:color="A6A6A6"/>
              <w:right w:val="single" w:sz="8" w:space="0" w:color="A6A6A6"/>
            </w:tcBorders>
            <w:vAlign w:val="center"/>
            <w:hideMark/>
          </w:tcPr>
          <w:p w14:paraId="3450663D" w14:textId="77777777" w:rsidR="00FD2CBB" w:rsidRPr="00A2769C" w:rsidRDefault="00FD2CBB">
            <w:pPr>
              <w:spacing w:after="0" w:line="240" w:lineRule="auto"/>
              <w:jc w:val="left"/>
              <w:rPr>
                <w:rFonts w:eastAsia="Times New Roman" w:cs="Calibri"/>
                <w:color w:val="242424"/>
                <w:sz w:val="20"/>
                <w:szCs w:val="20"/>
              </w:rPr>
            </w:pPr>
          </w:p>
        </w:tc>
        <w:tc>
          <w:tcPr>
            <w:tcW w:w="854" w:type="dxa"/>
            <w:vMerge/>
            <w:tcBorders>
              <w:top w:val="nil"/>
              <w:left w:val="single" w:sz="8" w:space="0" w:color="A6A6A6"/>
              <w:bottom w:val="single" w:sz="8" w:space="0" w:color="A6A6A6"/>
              <w:right w:val="single" w:sz="8" w:space="0" w:color="A6A6A6"/>
            </w:tcBorders>
            <w:vAlign w:val="center"/>
            <w:hideMark/>
          </w:tcPr>
          <w:p w14:paraId="0B6EFBF8" w14:textId="77777777" w:rsidR="00FD2CBB" w:rsidRPr="00A2769C" w:rsidRDefault="00FD2CBB">
            <w:pPr>
              <w:spacing w:after="0" w:line="240" w:lineRule="auto"/>
              <w:jc w:val="left"/>
              <w:rPr>
                <w:rFonts w:eastAsia="Times New Roman" w:cs="Calibri"/>
                <w:color w:val="FF0000"/>
                <w:sz w:val="20"/>
                <w:szCs w:val="20"/>
              </w:rPr>
            </w:pPr>
          </w:p>
        </w:tc>
        <w:tc>
          <w:tcPr>
            <w:tcW w:w="3355" w:type="dxa"/>
            <w:vMerge/>
            <w:tcBorders>
              <w:top w:val="nil"/>
              <w:left w:val="single" w:sz="8" w:space="0" w:color="A6A6A6"/>
              <w:bottom w:val="single" w:sz="8" w:space="0" w:color="A6A6A6"/>
              <w:right w:val="single" w:sz="8" w:space="0" w:color="A6A6A6"/>
            </w:tcBorders>
            <w:vAlign w:val="center"/>
            <w:hideMark/>
          </w:tcPr>
          <w:p w14:paraId="3BC50959" w14:textId="77777777" w:rsidR="00FD2CBB" w:rsidRPr="00A2769C" w:rsidRDefault="00FD2CBB">
            <w:pPr>
              <w:spacing w:after="0" w:line="240" w:lineRule="auto"/>
              <w:jc w:val="left"/>
              <w:rPr>
                <w:rFonts w:eastAsia="Times New Roman" w:cs="Calibri"/>
                <w:color w:val="242424"/>
                <w:sz w:val="20"/>
                <w:szCs w:val="20"/>
              </w:rPr>
            </w:pPr>
          </w:p>
        </w:tc>
      </w:tr>
      <w:tr w:rsidR="00FD2CBB" w:rsidRPr="00A2769C" w14:paraId="435B1A4F" w14:textId="77777777">
        <w:trPr>
          <w:trHeight w:val="297"/>
        </w:trPr>
        <w:tc>
          <w:tcPr>
            <w:tcW w:w="1245" w:type="dxa"/>
            <w:vMerge/>
            <w:tcBorders>
              <w:top w:val="nil"/>
              <w:left w:val="single" w:sz="8" w:space="0" w:color="A6A6A6"/>
              <w:bottom w:val="single" w:sz="8" w:space="0" w:color="A6A6A6"/>
              <w:right w:val="single" w:sz="8" w:space="0" w:color="A6A6A6"/>
            </w:tcBorders>
            <w:vAlign w:val="center"/>
            <w:hideMark/>
          </w:tcPr>
          <w:p w14:paraId="72ED6C35" w14:textId="77777777" w:rsidR="00FD2CBB" w:rsidRPr="00A2769C" w:rsidRDefault="00FD2CBB">
            <w:pPr>
              <w:spacing w:after="0" w:line="240" w:lineRule="auto"/>
              <w:jc w:val="left"/>
              <w:rPr>
                <w:rFonts w:eastAsia="Times New Roman" w:cs="Calibri"/>
                <w:b/>
                <w:color w:val="000000"/>
                <w:sz w:val="20"/>
                <w:szCs w:val="20"/>
              </w:rPr>
            </w:pPr>
          </w:p>
        </w:tc>
        <w:tc>
          <w:tcPr>
            <w:tcW w:w="1439" w:type="dxa"/>
            <w:tcBorders>
              <w:top w:val="nil"/>
              <w:left w:val="nil"/>
              <w:bottom w:val="nil"/>
              <w:right w:val="single" w:sz="8" w:space="0" w:color="A6A6A6"/>
            </w:tcBorders>
            <w:noWrap/>
            <w:vAlign w:val="center"/>
            <w:hideMark/>
          </w:tcPr>
          <w:p w14:paraId="195D11BC" w14:textId="77777777" w:rsidR="00FD2CBB" w:rsidRPr="00A2769C" w:rsidRDefault="00FD2CBB">
            <w:pPr>
              <w:spacing w:after="0" w:line="240" w:lineRule="auto"/>
              <w:jc w:val="left"/>
              <w:rPr>
                <w:rFonts w:eastAsia="Times New Roman" w:cs="Calibri"/>
                <w:color w:val="242424"/>
                <w:sz w:val="20"/>
                <w:szCs w:val="20"/>
              </w:rPr>
            </w:pPr>
            <w:r w:rsidRPr="00A2769C">
              <w:rPr>
                <w:rFonts w:eastAsia="Times New Roman" w:cs="Calibri"/>
                <w:color w:val="242424"/>
                <w:sz w:val="20"/>
                <w:szCs w:val="20"/>
              </w:rPr>
              <w:t>Bicicletta;</w:t>
            </w:r>
          </w:p>
        </w:tc>
        <w:tc>
          <w:tcPr>
            <w:tcW w:w="1280" w:type="dxa"/>
            <w:vMerge/>
            <w:tcBorders>
              <w:top w:val="nil"/>
              <w:left w:val="single" w:sz="8" w:space="0" w:color="A6A6A6"/>
              <w:bottom w:val="single" w:sz="8" w:space="0" w:color="A6A6A6"/>
              <w:right w:val="single" w:sz="8" w:space="0" w:color="A6A6A6"/>
            </w:tcBorders>
            <w:vAlign w:val="center"/>
            <w:hideMark/>
          </w:tcPr>
          <w:p w14:paraId="227E231A" w14:textId="77777777" w:rsidR="00FD2CBB" w:rsidRPr="00A2769C" w:rsidRDefault="00FD2CBB">
            <w:pPr>
              <w:spacing w:after="0" w:line="240" w:lineRule="auto"/>
              <w:jc w:val="left"/>
              <w:rPr>
                <w:rFonts w:eastAsia="Times New Roman" w:cs="Calibri"/>
                <w:color w:val="000000"/>
                <w:sz w:val="20"/>
                <w:szCs w:val="20"/>
              </w:rPr>
            </w:pPr>
          </w:p>
        </w:tc>
        <w:tc>
          <w:tcPr>
            <w:tcW w:w="1222" w:type="dxa"/>
            <w:vMerge/>
            <w:tcBorders>
              <w:top w:val="nil"/>
              <w:left w:val="single" w:sz="8" w:space="0" w:color="A6A6A6"/>
              <w:bottom w:val="single" w:sz="8" w:space="0" w:color="A6A6A6"/>
              <w:right w:val="single" w:sz="8" w:space="0" w:color="A6A6A6"/>
            </w:tcBorders>
            <w:vAlign w:val="center"/>
            <w:hideMark/>
          </w:tcPr>
          <w:p w14:paraId="5C157310" w14:textId="77777777" w:rsidR="00FD2CBB" w:rsidRPr="00A2769C" w:rsidRDefault="00FD2CBB">
            <w:pPr>
              <w:spacing w:after="0" w:line="240" w:lineRule="auto"/>
              <w:jc w:val="left"/>
              <w:rPr>
                <w:rFonts w:eastAsia="Times New Roman" w:cs="Calibri"/>
                <w:color w:val="242424"/>
                <w:sz w:val="20"/>
                <w:szCs w:val="20"/>
              </w:rPr>
            </w:pPr>
          </w:p>
        </w:tc>
        <w:tc>
          <w:tcPr>
            <w:tcW w:w="854" w:type="dxa"/>
            <w:vMerge/>
            <w:tcBorders>
              <w:top w:val="nil"/>
              <w:left w:val="single" w:sz="8" w:space="0" w:color="A6A6A6"/>
              <w:bottom w:val="single" w:sz="8" w:space="0" w:color="A6A6A6"/>
              <w:right w:val="single" w:sz="8" w:space="0" w:color="A6A6A6"/>
            </w:tcBorders>
            <w:vAlign w:val="center"/>
            <w:hideMark/>
          </w:tcPr>
          <w:p w14:paraId="3DEC05C1" w14:textId="77777777" w:rsidR="00FD2CBB" w:rsidRPr="00A2769C" w:rsidRDefault="00FD2CBB">
            <w:pPr>
              <w:spacing w:after="0" w:line="240" w:lineRule="auto"/>
              <w:jc w:val="left"/>
              <w:rPr>
                <w:rFonts w:eastAsia="Times New Roman" w:cs="Calibri"/>
                <w:color w:val="FF0000"/>
                <w:sz w:val="20"/>
                <w:szCs w:val="20"/>
              </w:rPr>
            </w:pPr>
          </w:p>
        </w:tc>
        <w:tc>
          <w:tcPr>
            <w:tcW w:w="3355" w:type="dxa"/>
            <w:vMerge/>
            <w:tcBorders>
              <w:top w:val="nil"/>
              <w:left w:val="single" w:sz="8" w:space="0" w:color="A6A6A6"/>
              <w:bottom w:val="single" w:sz="8" w:space="0" w:color="A6A6A6"/>
              <w:right w:val="single" w:sz="8" w:space="0" w:color="A6A6A6"/>
            </w:tcBorders>
            <w:vAlign w:val="center"/>
            <w:hideMark/>
          </w:tcPr>
          <w:p w14:paraId="22A587E5" w14:textId="77777777" w:rsidR="00FD2CBB" w:rsidRPr="00A2769C" w:rsidRDefault="00FD2CBB">
            <w:pPr>
              <w:spacing w:after="0" w:line="240" w:lineRule="auto"/>
              <w:jc w:val="left"/>
              <w:rPr>
                <w:rFonts w:eastAsia="Times New Roman" w:cs="Calibri"/>
                <w:color w:val="242424"/>
                <w:sz w:val="20"/>
                <w:szCs w:val="20"/>
              </w:rPr>
            </w:pPr>
          </w:p>
        </w:tc>
      </w:tr>
      <w:tr w:rsidR="00FD2CBB" w:rsidRPr="00A2769C" w14:paraId="55702683" w14:textId="77777777">
        <w:trPr>
          <w:trHeight w:val="371"/>
        </w:trPr>
        <w:tc>
          <w:tcPr>
            <w:tcW w:w="1245" w:type="dxa"/>
            <w:vMerge/>
            <w:tcBorders>
              <w:top w:val="nil"/>
              <w:left w:val="single" w:sz="8" w:space="0" w:color="A6A6A6"/>
              <w:bottom w:val="single" w:sz="8" w:space="0" w:color="A6A6A6"/>
              <w:right w:val="single" w:sz="8" w:space="0" w:color="A6A6A6"/>
            </w:tcBorders>
            <w:vAlign w:val="center"/>
            <w:hideMark/>
          </w:tcPr>
          <w:p w14:paraId="190D126E" w14:textId="77777777" w:rsidR="00FD2CBB" w:rsidRPr="00A2769C" w:rsidRDefault="00FD2CBB">
            <w:pPr>
              <w:spacing w:after="0" w:line="240" w:lineRule="auto"/>
              <w:jc w:val="left"/>
              <w:rPr>
                <w:rFonts w:eastAsia="Times New Roman" w:cs="Calibri"/>
                <w:b/>
                <w:color w:val="000000"/>
                <w:sz w:val="20"/>
                <w:szCs w:val="20"/>
              </w:rPr>
            </w:pPr>
          </w:p>
        </w:tc>
        <w:tc>
          <w:tcPr>
            <w:tcW w:w="1439" w:type="dxa"/>
            <w:tcBorders>
              <w:top w:val="nil"/>
              <w:left w:val="nil"/>
              <w:bottom w:val="single" w:sz="8" w:space="0" w:color="A6A6A6"/>
              <w:right w:val="single" w:sz="8" w:space="0" w:color="A6A6A6"/>
            </w:tcBorders>
            <w:noWrap/>
            <w:vAlign w:val="center"/>
            <w:hideMark/>
          </w:tcPr>
          <w:p w14:paraId="2588D59D" w14:textId="77777777" w:rsidR="00FD2CBB" w:rsidRPr="00A2769C" w:rsidRDefault="00FD2CBB">
            <w:pPr>
              <w:spacing w:after="0" w:line="240" w:lineRule="auto"/>
              <w:jc w:val="left"/>
              <w:rPr>
                <w:rFonts w:eastAsia="Times New Roman" w:cs="Calibri"/>
                <w:color w:val="242424"/>
                <w:sz w:val="20"/>
                <w:szCs w:val="20"/>
              </w:rPr>
            </w:pPr>
            <w:r w:rsidRPr="00A2769C">
              <w:rPr>
                <w:rFonts w:eastAsia="Times New Roman" w:cs="Calibri"/>
                <w:color w:val="242424"/>
                <w:sz w:val="20"/>
                <w:szCs w:val="20"/>
              </w:rPr>
              <w:t>Taxi.</w:t>
            </w:r>
          </w:p>
        </w:tc>
        <w:tc>
          <w:tcPr>
            <w:tcW w:w="1280" w:type="dxa"/>
            <w:vMerge/>
            <w:tcBorders>
              <w:top w:val="nil"/>
              <w:left w:val="single" w:sz="8" w:space="0" w:color="A6A6A6"/>
              <w:bottom w:val="single" w:sz="8" w:space="0" w:color="A6A6A6"/>
              <w:right w:val="single" w:sz="8" w:space="0" w:color="A6A6A6"/>
            </w:tcBorders>
            <w:vAlign w:val="center"/>
            <w:hideMark/>
          </w:tcPr>
          <w:p w14:paraId="0D779EBC" w14:textId="77777777" w:rsidR="00FD2CBB" w:rsidRPr="00A2769C" w:rsidRDefault="00FD2CBB">
            <w:pPr>
              <w:spacing w:after="0" w:line="240" w:lineRule="auto"/>
              <w:jc w:val="left"/>
              <w:rPr>
                <w:rFonts w:eastAsia="Times New Roman" w:cs="Calibri"/>
                <w:color w:val="000000"/>
                <w:sz w:val="20"/>
                <w:szCs w:val="20"/>
              </w:rPr>
            </w:pPr>
          </w:p>
        </w:tc>
        <w:tc>
          <w:tcPr>
            <w:tcW w:w="1222" w:type="dxa"/>
            <w:vMerge/>
            <w:tcBorders>
              <w:top w:val="nil"/>
              <w:left w:val="single" w:sz="8" w:space="0" w:color="A6A6A6"/>
              <w:bottom w:val="single" w:sz="8" w:space="0" w:color="A6A6A6"/>
              <w:right w:val="single" w:sz="8" w:space="0" w:color="A6A6A6"/>
            </w:tcBorders>
            <w:vAlign w:val="center"/>
            <w:hideMark/>
          </w:tcPr>
          <w:p w14:paraId="41115CB3" w14:textId="77777777" w:rsidR="00FD2CBB" w:rsidRPr="00A2769C" w:rsidRDefault="00FD2CBB">
            <w:pPr>
              <w:spacing w:after="0" w:line="240" w:lineRule="auto"/>
              <w:jc w:val="left"/>
              <w:rPr>
                <w:rFonts w:eastAsia="Times New Roman" w:cs="Calibri"/>
                <w:color w:val="242424"/>
                <w:sz w:val="20"/>
                <w:szCs w:val="20"/>
              </w:rPr>
            </w:pPr>
          </w:p>
        </w:tc>
        <w:tc>
          <w:tcPr>
            <w:tcW w:w="854" w:type="dxa"/>
            <w:vMerge/>
            <w:tcBorders>
              <w:top w:val="nil"/>
              <w:left w:val="single" w:sz="8" w:space="0" w:color="A6A6A6"/>
              <w:bottom w:val="single" w:sz="8" w:space="0" w:color="A6A6A6"/>
              <w:right w:val="single" w:sz="8" w:space="0" w:color="A6A6A6"/>
            </w:tcBorders>
            <w:vAlign w:val="center"/>
            <w:hideMark/>
          </w:tcPr>
          <w:p w14:paraId="521E2707" w14:textId="77777777" w:rsidR="00FD2CBB" w:rsidRPr="00A2769C" w:rsidRDefault="00FD2CBB">
            <w:pPr>
              <w:spacing w:after="0" w:line="240" w:lineRule="auto"/>
              <w:jc w:val="left"/>
              <w:rPr>
                <w:rFonts w:eastAsia="Times New Roman" w:cs="Calibri"/>
                <w:color w:val="FF0000"/>
                <w:sz w:val="20"/>
                <w:szCs w:val="20"/>
              </w:rPr>
            </w:pPr>
          </w:p>
        </w:tc>
        <w:tc>
          <w:tcPr>
            <w:tcW w:w="3355" w:type="dxa"/>
            <w:vMerge/>
            <w:tcBorders>
              <w:top w:val="nil"/>
              <w:left w:val="single" w:sz="8" w:space="0" w:color="A6A6A6"/>
              <w:bottom w:val="single" w:sz="8" w:space="0" w:color="A6A6A6"/>
              <w:right w:val="single" w:sz="8" w:space="0" w:color="A6A6A6"/>
            </w:tcBorders>
            <w:vAlign w:val="center"/>
            <w:hideMark/>
          </w:tcPr>
          <w:p w14:paraId="69CC15E0" w14:textId="77777777" w:rsidR="00FD2CBB" w:rsidRPr="00A2769C" w:rsidRDefault="00FD2CBB">
            <w:pPr>
              <w:spacing w:after="0" w:line="240" w:lineRule="auto"/>
              <w:jc w:val="left"/>
              <w:rPr>
                <w:rFonts w:eastAsia="Times New Roman" w:cs="Calibri"/>
                <w:color w:val="242424"/>
                <w:sz w:val="20"/>
                <w:szCs w:val="20"/>
              </w:rPr>
            </w:pPr>
          </w:p>
        </w:tc>
      </w:tr>
      <w:tr w:rsidR="00FD2CBB" w:rsidRPr="00A2769C" w14:paraId="44E43EED" w14:textId="77777777">
        <w:trPr>
          <w:trHeight w:val="606"/>
        </w:trPr>
        <w:tc>
          <w:tcPr>
            <w:tcW w:w="1245" w:type="dxa"/>
            <w:vMerge w:val="restart"/>
            <w:tcBorders>
              <w:top w:val="nil"/>
              <w:left w:val="single" w:sz="8" w:space="0" w:color="A6A6A6"/>
              <w:bottom w:val="single" w:sz="8" w:space="0" w:color="A6A6A6"/>
              <w:right w:val="single" w:sz="8" w:space="0" w:color="A6A6A6"/>
            </w:tcBorders>
            <w:shd w:val="clear" w:color="000000" w:fill="FFFFFF"/>
            <w:vAlign w:val="center"/>
            <w:hideMark/>
          </w:tcPr>
          <w:p w14:paraId="4A825E42" w14:textId="77777777" w:rsidR="00FD2CBB" w:rsidRPr="00A2769C" w:rsidRDefault="00FD2CBB">
            <w:pPr>
              <w:spacing w:after="0" w:line="240" w:lineRule="auto"/>
              <w:jc w:val="left"/>
              <w:rPr>
                <w:rFonts w:eastAsia="Times New Roman" w:cs="Calibri"/>
                <w:b/>
                <w:color w:val="000000"/>
                <w:sz w:val="20"/>
                <w:szCs w:val="20"/>
              </w:rPr>
            </w:pPr>
            <w:r w:rsidRPr="00A2769C">
              <w:rPr>
                <w:rFonts w:eastAsia="Times New Roman" w:cs="Calibri"/>
                <w:b/>
                <w:color w:val="000000"/>
                <w:sz w:val="20"/>
                <w:szCs w:val="20"/>
              </w:rPr>
              <w:t>PINEROLO</w:t>
            </w:r>
          </w:p>
        </w:tc>
        <w:tc>
          <w:tcPr>
            <w:tcW w:w="1439" w:type="dxa"/>
            <w:tcBorders>
              <w:top w:val="single" w:sz="8" w:space="0" w:color="A6A6A6"/>
              <w:left w:val="nil"/>
              <w:bottom w:val="nil"/>
              <w:right w:val="single" w:sz="8" w:space="0" w:color="A6A6A6"/>
            </w:tcBorders>
            <w:vAlign w:val="center"/>
            <w:hideMark/>
          </w:tcPr>
          <w:p w14:paraId="0666EEAF" w14:textId="77777777" w:rsidR="00FD2CBB" w:rsidRPr="00A2769C" w:rsidRDefault="00FD2CBB">
            <w:pPr>
              <w:spacing w:after="0" w:line="240" w:lineRule="auto"/>
              <w:jc w:val="left"/>
              <w:rPr>
                <w:rFonts w:eastAsia="Times New Roman" w:cs="Calibri"/>
                <w:color w:val="242424"/>
                <w:sz w:val="20"/>
                <w:szCs w:val="20"/>
              </w:rPr>
            </w:pPr>
            <w:r w:rsidRPr="00A2769C">
              <w:rPr>
                <w:rFonts w:eastAsia="Times New Roman" w:cs="Calibri"/>
                <w:color w:val="242424"/>
                <w:sz w:val="20"/>
                <w:szCs w:val="20"/>
              </w:rPr>
              <w:t>Autolinee extraurbane e urbane;</w:t>
            </w:r>
          </w:p>
        </w:tc>
        <w:tc>
          <w:tcPr>
            <w:tcW w:w="1280" w:type="dxa"/>
            <w:vMerge w:val="restart"/>
            <w:tcBorders>
              <w:top w:val="nil"/>
              <w:left w:val="single" w:sz="8" w:space="0" w:color="A6A6A6"/>
              <w:bottom w:val="single" w:sz="8" w:space="0" w:color="A6A6A6"/>
              <w:right w:val="single" w:sz="8" w:space="0" w:color="A6A6A6"/>
            </w:tcBorders>
            <w:vAlign w:val="center"/>
            <w:hideMark/>
          </w:tcPr>
          <w:p w14:paraId="35DF67D9" w14:textId="77777777" w:rsidR="00FD2CBB" w:rsidRPr="00A2769C" w:rsidRDefault="00FD2CBB">
            <w:pPr>
              <w:spacing w:after="0" w:line="240" w:lineRule="auto"/>
              <w:jc w:val="left"/>
              <w:rPr>
                <w:rFonts w:eastAsia="Times New Roman" w:cs="Calibri"/>
                <w:color w:val="000000"/>
                <w:sz w:val="20"/>
                <w:szCs w:val="20"/>
              </w:rPr>
            </w:pPr>
            <w:r w:rsidRPr="00A2769C">
              <w:rPr>
                <w:rFonts w:eastAsia="Times New Roman" w:cs="Calibri"/>
                <w:color w:val="000000"/>
                <w:sz w:val="20"/>
                <w:szCs w:val="20"/>
              </w:rPr>
              <w:t>Nodo di interscambio multimodale diretto</w:t>
            </w:r>
          </w:p>
        </w:tc>
        <w:tc>
          <w:tcPr>
            <w:tcW w:w="1222" w:type="dxa"/>
            <w:vMerge w:val="restart"/>
            <w:tcBorders>
              <w:top w:val="nil"/>
              <w:left w:val="single" w:sz="8" w:space="0" w:color="A6A6A6"/>
              <w:bottom w:val="single" w:sz="8" w:space="0" w:color="A6A6A6"/>
              <w:right w:val="single" w:sz="8" w:space="0" w:color="A6A6A6"/>
            </w:tcBorders>
            <w:vAlign w:val="center"/>
            <w:hideMark/>
          </w:tcPr>
          <w:p w14:paraId="569FB31E" w14:textId="77777777" w:rsidR="00FD2CBB" w:rsidRPr="00A2769C" w:rsidRDefault="00FD2CBB">
            <w:pPr>
              <w:spacing w:after="0" w:line="240" w:lineRule="auto"/>
              <w:jc w:val="left"/>
              <w:rPr>
                <w:rFonts w:eastAsia="Times New Roman" w:cs="Calibri"/>
                <w:color w:val="242424"/>
                <w:sz w:val="20"/>
                <w:szCs w:val="20"/>
              </w:rPr>
            </w:pPr>
            <w:r w:rsidRPr="00A2769C">
              <w:rPr>
                <w:rFonts w:eastAsia="Times New Roman" w:cs="Calibri"/>
                <w:color w:val="242424"/>
                <w:sz w:val="20"/>
                <w:szCs w:val="20"/>
              </w:rPr>
              <w:t>Necessità di definizione di accordi gestione</w:t>
            </w:r>
          </w:p>
        </w:tc>
        <w:tc>
          <w:tcPr>
            <w:tcW w:w="854" w:type="dxa"/>
            <w:vMerge w:val="restart"/>
            <w:tcBorders>
              <w:top w:val="nil"/>
              <w:left w:val="single" w:sz="8" w:space="0" w:color="A6A6A6"/>
              <w:bottom w:val="single" w:sz="8" w:space="0" w:color="A6A6A6"/>
              <w:right w:val="single" w:sz="8" w:space="0" w:color="A6A6A6"/>
            </w:tcBorders>
            <w:noWrap/>
            <w:vAlign w:val="center"/>
            <w:hideMark/>
          </w:tcPr>
          <w:p w14:paraId="47A76415" w14:textId="77777777" w:rsidR="00FD2CBB" w:rsidRPr="00A2769C" w:rsidRDefault="00FD2CBB">
            <w:pPr>
              <w:spacing w:after="0" w:line="240" w:lineRule="auto"/>
              <w:jc w:val="left"/>
              <w:rPr>
                <w:rFonts w:eastAsia="Times New Roman" w:cs="Calibri"/>
                <w:color w:val="242424"/>
                <w:sz w:val="20"/>
                <w:szCs w:val="20"/>
              </w:rPr>
            </w:pPr>
            <w:r w:rsidRPr="00A2769C">
              <w:rPr>
                <w:rFonts w:eastAsia="Times New Roman" w:cs="Calibri"/>
                <w:color w:val="242424"/>
                <w:sz w:val="20"/>
                <w:szCs w:val="20"/>
              </w:rPr>
              <w:t>Da definire</w:t>
            </w:r>
          </w:p>
        </w:tc>
        <w:tc>
          <w:tcPr>
            <w:tcW w:w="3355" w:type="dxa"/>
            <w:vMerge w:val="restart"/>
            <w:tcBorders>
              <w:top w:val="nil"/>
              <w:left w:val="single" w:sz="8" w:space="0" w:color="A6A6A6"/>
              <w:bottom w:val="single" w:sz="8" w:space="0" w:color="A6A6A6"/>
              <w:right w:val="single" w:sz="8" w:space="0" w:color="A6A6A6"/>
            </w:tcBorders>
            <w:vAlign w:val="center"/>
            <w:hideMark/>
          </w:tcPr>
          <w:p w14:paraId="7BB75FD4" w14:textId="77777777" w:rsidR="00FD2CBB" w:rsidRPr="00A2769C" w:rsidRDefault="00FD2CBB">
            <w:pPr>
              <w:spacing w:after="0" w:line="240" w:lineRule="auto"/>
              <w:jc w:val="left"/>
              <w:rPr>
                <w:rFonts w:eastAsia="Times New Roman" w:cs="Calibri"/>
                <w:color w:val="242424"/>
                <w:sz w:val="20"/>
                <w:szCs w:val="20"/>
              </w:rPr>
            </w:pPr>
            <w:r w:rsidRPr="00A2769C">
              <w:rPr>
                <w:rFonts w:eastAsia="Times New Roman" w:cs="Calibri"/>
                <w:color w:val="242424"/>
                <w:sz w:val="20"/>
                <w:szCs w:val="20"/>
              </w:rPr>
              <w:t>Il "Movicentro"</w:t>
            </w:r>
            <w:r w:rsidRPr="00A2769C">
              <w:rPr>
                <w:rFonts w:eastAsia="Times New Roman" w:cs="Calibri"/>
                <w:sz w:val="20"/>
                <w:szCs w:val="20"/>
              </w:rPr>
              <w:t xml:space="preserve"> presenta un edificio che ospita una sala d'aspetto, la biglietteria ferroviaria e i servizi igienici</w:t>
            </w:r>
            <w:r w:rsidRPr="00A2769C">
              <w:rPr>
                <w:rFonts w:eastAsia="Times New Roman" w:cs="Calibri"/>
                <w:color w:val="FF0000"/>
                <w:sz w:val="20"/>
                <w:szCs w:val="20"/>
              </w:rPr>
              <w:t xml:space="preserve"> </w:t>
            </w:r>
            <w:r w:rsidRPr="00A2769C">
              <w:rPr>
                <w:rFonts w:eastAsia="Times New Roman" w:cs="Calibri"/>
                <w:color w:val="242424"/>
                <w:sz w:val="20"/>
                <w:szCs w:val="20"/>
              </w:rPr>
              <w:t>e presenta un'area di fermata scoperta per i bus.</w:t>
            </w:r>
          </w:p>
        </w:tc>
      </w:tr>
      <w:tr w:rsidR="00FD2CBB" w:rsidRPr="00A2769C" w14:paraId="4DFDD832" w14:textId="77777777">
        <w:trPr>
          <w:trHeight w:val="297"/>
        </w:trPr>
        <w:tc>
          <w:tcPr>
            <w:tcW w:w="1245" w:type="dxa"/>
            <w:vMerge/>
            <w:tcBorders>
              <w:top w:val="nil"/>
              <w:left w:val="single" w:sz="8" w:space="0" w:color="A6A6A6"/>
              <w:bottom w:val="single" w:sz="8" w:space="0" w:color="A6A6A6"/>
              <w:right w:val="single" w:sz="8" w:space="0" w:color="A6A6A6"/>
            </w:tcBorders>
            <w:vAlign w:val="center"/>
            <w:hideMark/>
          </w:tcPr>
          <w:p w14:paraId="034EEE22" w14:textId="77777777" w:rsidR="00FD2CBB" w:rsidRPr="00A2769C" w:rsidRDefault="00FD2CBB">
            <w:pPr>
              <w:spacing w:after="0" w:line="240" w:lineRule="auto"/>
              <w:jc w:val="left"/>
              <w:rPr>
                <w:rFonts w:eastAsia="Times New Roman" w:cs="Calibri"/>
                <w:b/>
                <w:color w:val="000000"/>
                <w:sz w:val="20"/>
                <w:szCs w:val="20"/>
              </w:rPr>
            </w:pPr>
          </w:p>
        </w:tc>
        <w:tc>
          <w:tcPr>
            <w:tcW w:w="1439" w:type="dxa"/>
            <w:tcBorders>
              <w:top w:val="nil"/>
              <w:left w:val="nil"/>
              <w:bottom w:val="nil"/>
              <w:right w:val="single" w:sz="8" w:space="0" w:color="A6A6A6"/>
            </w:tcBorders>
            <w:noWrap/>
            <w:vAlign w:val="center"/>
            <w:hideMark/>
          </w:tcPr>
          <w:p w14:paraId="06122E46" w14:textId="77777777" w:rsidR="00FD2CBB" w:rsidRPr="00A2769C" w:rsidRDefault="00FD2CBB">
            <w:pPr>
              <w:spacing w:after="0" w:line="240" w:lineRule="auto"/>
              <w:jc w:val="left"/>
              <w:rPr>
                <w:rFonts w:eastAsia="Times New Roman" w:cs="Calibri"/>
                <w:color w:val="242424"/>
                <w:sz w:val="20"/>
                <w:szCs w:val="20"/>
              </w:rPr>
            </w:pPr>
            <w:r w:rsidRPr="00A2769C">
              <w:rPr>
                <w:rFonts w:eastAsia="Times New Roman" w:cs="Calibri"/>
                <w:color w:val="242424"/>
                <w:sz w:val="20"/>
                <w:szCs w:val="20"/>
              </w:rPr>
              <w:t>Servizi ferroviari;</w:t>
            </w:r>
          </w:p>
        </w:tc>
        <w:tc>
          <w:tcPr>
            <w:tcW w:w="1280" w:type="dxa"/>
            <w:vMerge/>
            <w:tcBorders>
              <w:top w:val="nil"/>
              <w:left w:val="single" w:sz="8" w:space="0" w:color="A6A6A6"/>
              <w:bottom w:val="single" w:sz="8" w:space="0" w:color="A6A6A6"/>
              <w:right w:val="single" w:sz="8" w:space="0" w:color="A6A6A6"/>
            </w:tcBorders>
            <w:vAlign w:val="center"/>
            <w:hideMark/>
          </w:tcPr>
          <w:p w14:paraId="0285F573" w14:textId="77777777" w:rsidR="00FD2CBB" w:rsidRPr="00A2769C" w:rsidRDefault="00FD2CBB">
            <w:pPr>
              <w:spacing w:after="0" w:line="240" w:lineRule="auto"/>
              <w:jc w:val="left"/>
              <w:rPr>
                <w:rFonts w:eastAsia="Times New Roman" w:cs="Calibri"/>
                <w:color w:val="000000"/>
                <w:sz w:val="20"/>
                <w:szCs w:val="20"/>
              </w:rPr>
            </w:pPr>
          </w:p>
        </w:tc>
        <w:tc>
          <w:tcPr>
            <w:tcW w:w="1222" w:type="dxa"/>
            <w:vMerge/>
            <w:tcBorders>
              <w:top w:val="nil"/>
              <w:left w:val="single" w:sz="8" w:space="0" w:color="A6A6A6"/>
              <w:bottom w:val="single" w:sz="8" w:space="0" w:color="A6A6A6"/>
              <w:right w:val="single" w:sz="8" w:space="0" w:color="A6A6A6"/>
            </w:tcBorders>
            <w:vAlign w:val="center"/>
            <w:hideMark/>
          </w:tcPr>
          <w:p w14:paraId="6825E1DB" w14:textId="77777777" w:rsidR="00FD2CBB" w:rsidRPr="00A2769C" w:rsidRDefault="00FD2CBB">
            <w:pPr>
              <w:spacing w:after="0" w:line="240" w:lineRule="auto"/>
              <w:jc w:val="left"/>
              <w:rPr>
                <w:rFonts w:eastAsia="Times New Roman" w:cs="Calibri"/>
                <w:color w:val="242424"/>
                <w:sz w:val="20"/>
                <w:szCs w:val="20"/>
              </w:rPr>
            </w:pPr>
          </w:p>
        </w:tc>
        <w:tc>
          <w:tcPr>
            <w:tcW w:w="854" w:type="dxa"/>
            <w:vMerge/>
            <w:tcBorders>
              <w:top w:val="nil"/>
              <w:left w:val="single" w:sz="8" w:space="0" w:color="A6A6A6"/>
              <w:bottom w:val="single" w:sz="8" w:space="0" w:color="A6A6A6"/>
              <w:right w:val="single" w:sz="8" w:space="0" w:color="A6A6A6"/>
            </w:tcBorders>
            <w:vAlign w:val="center"/>
            <w:hideMark/>
          </w:tcPr>
          <w:p w14:paraId="10567C23" w14:textId="77777777" w:rsidR="00FD2CBB" w:rsidRPr="00A2769C" w:rsidRDefault="00FD2CBB">
            <w:pPr>
              <w:spacing w:after="0" w:line="240" w:lineRule="auto"/>
              <w:jc w:val="left"/>
              <w:rPr>
                <w:rFonts w:eastAsia="Times New Roman" w:cs="Calibri"/>
                <w:color w:val="242424"/>
                <w:sz w:val="20"/>
                <w:szCs w:val="20"/>
              </w:rPr>
            </w:pPr>
          </w:p>
        </w:tc>
        <w:tc>
          <w:tcPr>
            <w:tcW w:w="3355" w:type="dxa"/>
            <w:vMerge/>
            <w:tcBorders>
              <w:top w:val="nil"/>
              <w:left w:val="single" w:sz="8" w:space="0" w:color="A6A6A6"/>
              <w:bottom w:val="single" w:sz="8" w:space="0" w:color="A6A6A6"/>
              <w:right w:val="single" w:sz="8" w:space="0" w:color="A6A6A6"/>
            </w:tcBorders>
            <w:vAlign w:val="center"/>
            <w:hideMark/>
          </w:tcPr>
          <w:p w14:paraId="60E50BAD" w14:textId="77777777" w:rsidR="00FD2CBB" w:rsidRPr="00A2769C" w:rsidRDefault="00FD2CBB">
            <w:pPr>
              <w:spacing w:after="0" w:line="240" w:lineRule="auto"/>
              <w:jc w:val="left"/>
              <w:rPr>
                <w:rFonts w:eastAsia="Times New Roman" w:cs="Calibri"/>
                <w:color w:val="242424"/>
                <w:sz w:val="20"/>
                <w:szCs w:val="20"/>
              </w:rPr>
            </w:pPr>
          </w:p>
        </w:tc>
      </w:tr>
      <w:tr w:rsidR="00FD2CBB" w:rsidRPr="00A2769C" w14:paraId="606F60A1" w14:textId="77777777">
        <w:trPr>
          <w:trHeight w:val="297"/>
        </w:trPr>
        <w:tc>
          <w:tcPr>
            <w:tcW w:w="1245" w:type="dxa"/>
            <w:vMerge/>
            <w:tcBorders>
              <w:top w:val="nil"/>
              <w:left w:val="single" w:sz="8" w:space="0" w:color="A6A6A6"/>
              <w:bottom w:val="single" w:sz="8" w:space="0" w:color="A6A6A6"/>
              <w:right w:val="single" w:sz="8" w:space="0" w:color="A6A6A6"/>
            </w:tcBorders>
            <w:vAlign w:val="center"/>
            <w:hideMark/>
          </w:tcPr>
          <w:p w14:paraId="1E5BC2AB" w14:textId="77777777" w:rsidR="00FD2CBB" w:rsidRPr="00A2769C" w:rsidRDefault="00FD2CBB">
            <w:pPr>
              <w:spacing w:after="0" w:line="240" w:lineRule="auto"/>
              <w:jc w:val="left"/>
              <w:rPr>
                <w:rFonts w:eastAsia="Times New Roman" w:cs="Calibri"/>
                <w:b/>
                <w:color w:val="000000"/>
                <w:sz w:val="20"/>
                <w:szCs w:val="20"/>
              </w:rPr>
            </w:pPr>
          </w:p>
        </w:tc>
        <w:tc>
          <w:tcPr>
            <w:tcW w:w="1439" w:type="dxa"/>
            <w:tcBorders>
              <w:top w:val="nil"/>
              <w:left w:val="nil"/>
              <w:bottom w:val="single" w:sz="8" w:space="0" w:color="A6A6A6"/>
              <w:right w:val="single" w:sz="8" w:space="0" w:color="A6A6A6"/>
            </w:tcBorders>
            <w:noWrap/>
            <w:vAlign w:val="center"/>
            <w:hideMark/>
          </w:tcPr>
          <w:p w14:paraId="4147DF0E" w14:textId="77777777" w:rsidR="00FD2CBB" w:rsidRPr="00A2769C" w:rsidRDefault="00FD2CBB">
            <w:pPr>
              <w:spacing w:after="0" w:line="240" w:lineRule="auto"/>
              <w:jc w:val="left"/>
              <w:rPr>
                <w:rFonts w:eastAsia="Times New Roman" w:cs="Calibri"/>
                <w:color w:val="242424"/>
                <w:sz w:val="20"/>
                <w:szCs w:val="20"/>
              </w:rPr>
            </w:pPr>
            <w:r w:rsidRPr="00A2769C">
              <w:rPr>
                <w:rFonts w:eastAsia="Times New Roman" w:cs="Calibri"/>
                <w:color w:val="242424"/>
                <w:sz w:val="20"/>
                <w:szCs w:val="20"/>
              </w:rPr>
              <w:t>Bicicletta;</w:t>
            </w:r>
          </w:p>
        </w:tc>
        <w:tc>
          <w:tcPr>
            <w:tcW w:w="1280" w:type="dxa"/>
            <w:vMerge/>
            <w:tcBorders>
              <w:top w:val="nil"/>
              <w:left w:val="single" w:sz="8" w:space="0" w:color="A6A6A6"/>
              <w:bottom w:val="single" w:sz="8" w:space="0" w:color="A6A6A6"/>
              <w:right w:val="single" w:sz="8" w:space="0" w:color="A6A6A6"/>
            </w:tcBorders>
            <w:vAlign w:val="center"/>
            <w:hideMark/>
          </w:tcPr>
          <w:p w14:paraId="7D44FA1E" w14:textId="77777777" w:rsidR="00FD2CBB" w:rsidRPr="00A2769C" w:rsidRDefault="00FD2CBB">
            <w:pPr>
              <w:spacing w:after="0" w:line="240" w:lineRule="auto"/>
              <w:jc w:val="left"/>
              <w:rPr>
                <w:rFonts w:eastAsia="Times New Roman" w:cs="Calibri"/>
                <w:color w:val="000000"/>
                <w:sz w:val="20"/>
                <w:szCs w:val="20"/>
              </w:rPr>
            </w:pPr>
          </w:p>
        </w:tc>
        <w:tc>
          <w:tcPr>
            <w:tcW w:w="1222" w:type="dxa"/>
            <w:vMerge/>
            <w:tcBorders>
              <w:top w:val="nil"/>
              <w:left w:val="single" w:sz="8" w:space="0" w:color="A6A6A6"/>
              <w:bottom w:val="single" w:sz="8" w:space="0" w:color="A6A6A6"/>
              <w:right w:val="single" w:sz="8" w:space="0" w:color="A6A6A6"/>
            </w:tcBorders>
            <w:vAlign w:val="center"/>
            <w:hideMark/>
          </w:tcPr>
          <w:p w14:paraId="5A3C4F87" w14:textId="77777777" w:rsidR="00FD2CBB" w:rsidRPr="00A2769C" w:rsidRDefault="00FD2CBB">
            <w:pPr>
              <w:spacing w:after="0" w:line="240" w:lineRule="auto"/>
              <w:jc w:val="left"/>
              <w:rPr>
                <w:rFonts w:eastAsia="Times New Roman" w:cs="Calibri"/>
                <w:color w:val="242424"/>
                <w:sz w:val="20"/>
                <w:szCs w:val="20"/>
              </w:rPr>
            </w:pPr>
          </w:p>
        </w:tc>
        <w:tc>
          <w:tcPr>
            <w:tcW w:w="854" w:type="dxa"/>
            <w:vMerge/>
            <w:tcBorders>
              <w:top w:val="nil"/>
              <w:left w:val="single" w:sz="8" w:space="0" w:color="A6A6A6"/>
              <w:bottom w:val="single" w:sz="8" w:space="0" w:color="A6A6A6"/>
              <w:right w:val="single" w:sz="8" w:space="0" w:color="A6A6A6"/>
            </w:tcBorders>
            <w:vAlign w:val="center"/>
            <w:hideMark/>
          </w:tcPr>
          <w:p w14:paraId="56C3C6FB" w14:textId="77777777" w:rsidR="00FD2CBB" w:rsidRPr="00A2769C" w:rsidRDefault="00FD2CBB">
            <w:pPr>
              <w:spacing w:after="0" w:line="240" w:lineRule="auto"/>
              <w:jc w:val="left"/>
              <w:rPr>
                <w:rFonts w:eastAsia="Times New Roman" w:cs="Calibri"/>
                <w:color w:val="242424"/>
                <w:sz w:val="20"/>
                <w:szCs w:val="20"/>
              </w:rPr>
            </w:pPr>
          </w:p>
        </w:tc>
        <w:tc>
          <w:tcPr>
            <w:tcW w:w="3355" w:type="dxa"/>
            <w:vMerge/>
            <w:tcBorders>
              <w:top w:val="nil"/>
              <w:left w:val="single" w:sz="8" w:space="0" w:color="A6A6A6"/>
              <w:bottom w:val="single" w:sz="8" w:space="0" w:color="A6A6A6"/>
              <w:right w:val="single" w:sz="8" w:space="0" w:color="A6A6A6"/>
            </w:tcBorders>
            <w:vAlign w:val="center"/>
            <w:hideMark/>
          </w:tcPr>
          <w:p w14:paraId="2FB57C54" w14:textId="77777777" w:rsidR="00FD2CBB" w:rsidRPr="00A2769C" w:rsidRDefault="00FD2CBB">
            <w:pPr>
              <w:spacing w:after="0" w:line="240" w:lineRule="auto"/>
              <w:jc w:val="left"/>
              <w:rPr>
                <w:rFonts w:eastAsia="Times New Roman" w:cs="Calibri"/>
                <w:color w:val="242424"/>
                <w:sz w:val="20"/>
                <w:szCs w:val="20"/>
              </w:rPr>
            </w:pPr>
          </w:p>
        </w:tc>
      </w:tr>
      <w:tr w:rsidR="00FD2CBB" w:rsidRPr="00A2769C" w14:paraId="6E4D8852" w14:textId="77777777">
        <w:trPr>
          <w:trHeight w:val="297"/>
        </w:trPr>
        <w:tc>
          <w:tcPr>
            <w:tcW w:w="1245" w:type="dxa"/>
            <w:vMerge w:val="restart"/>
            <w:tcBorders>
              <w:top w:val="nil"/>
              <w:left w:val="single" w:sz="8" w:space="0" w:color="A6A6A6"/>
              <w:bottom w:val="nil"/>
              <w:right w:val="single" w:sz="8" w:space="0" w:color="A6A6A6"/>
            </w:tcBorders>
            <w:shd w:val="clear" w:color="000000" w:fill="FFFFFF"/>
            <w:vAlign w:val="center"/>
            <w:hideMark/>
          </w:tcPr>
          <w:p w14:paraId="2BDAF095" w14:textId="77777777" w:rsidR="00FD2CBB" w:rsidRPr="00A2769C" w:rsidRDefault="00FD2CBB">
            <w:pPr>
              <w:spacing w:after="0" w:line="240" w:lineRule="auto"/>
              <w:jc w:val="left"/>
              <w:rPr>
                <w:rFonts w:eastAsia="Times New Roman" w:cs="Calibri"/>
                <w:b/>
                <w:color w:val="000000"/>
                <w:sz w:val="20"/>
                <w:szCs w:val="20"/>
              </w:rPr>
            </w:pPr>
            <w:r w:rsidRPr="00A2769C">
              <w:rPr>
                <w:rFonts w:eastAsia="Times New Roman" w:cs="Calibri"/>
                <w:b/>
                <w:color w:val="000000"/>
                <w:sz w:val="20"/>
                <w:szCs w:val="20"/>
              </w:rPr>
              <w:t>TORINO STURA</w:t>
            </w:r>
          </w:p>
        </w:tc>
        <w:tc>
          <w:tcPr>
            <w:tcW w:w="1439" w:type="dxa"/>
            <w:tcBorders>
              <w:top w:val="single" w:sz="8" w:space="0" w:color="A6A6A6"/>
              <w:left w:val="nil"/>
              <w:bottom w:val="nil"/>
              <w:right w:val="single" w:sz="8" w:space="0" w:color="A6A6A6"/>
            </w:tcBorders>
            <w:noWrap/>
            <w:vAlign w:val="center"/>
            <w:hideMark/>
          </w:tcPr>
          <w:p w14:paraId="094C53C8" w14:textId="77777777" w:rsidR="00FD2CBB" w:rsidRPr="00A2769C" w:rsidRDefault="00FD2CBB">
            <w:pPr>
              <w:spacing w:after="0" w:line="240" w:lineRule="auto"/>
              <w:jc w:val="left"/>
              <w:rPr>
                <w:rFonts w:eastAsia="Times New Roman" w:cs="Calibri"/>
                <w:color w:val="242424"/>
                <w:sz w:val="20"/>
                <w:szCs w:val="20"/>
              </w:rPr>
            </w:pPr>
            <w:r w:rsidRPr="00A2769C">
              <w:rPr>
                <w:rFonts w:eastAsia="Times New Roman" w:cs="Calibri"/>
                <w:color w:val="242424"/>
                <w:sz w:val="20"/>
                <w:szCs w:val="20"/>
              </w:rPr>
              <w:t>Autolinee extraurbane e urbane;</w:t>
            </w:r>
          </w:p>
        </w:tc>
        <w:tc>
          <w:tcPr>
            <w:tcW w:w="1280" w:type="dxa"/>
            <w:vMerge w:val="restart"/>
            <w:tcBorders>
              <w:top w:val="nil"/>
              <w:left w:val="single" w:sz="8" w:space="0" w:color="A6A6A6"/>
              <w:bottom w:val="single" w:sz="8" w:space="0" w:color="A6A6A6"/>
              <w:right w:val="single" w:sz="8" w:space="0" w:color="A6A6A6"/>
            </w:tcBorders>
            <w:vAlign w:val="center"/>
            <w:hideMark/>
          </w:tcPr>
          <w:p w14:paraId="5036D65A" w14:textId="77777777" w:rsidR="00FD2CBB" w:rsidRPr="00A2769C" w:rsidRDefault="00FD2CBB">
            <w:pPr>
              <w:spacing w:after="0" w:line="240" w:lineRule="auto"/>
              <w:jc w:val="left"/>
              <w:rPr>
                <w:rFonts w:eastAsia="Times New Roman" w:cs="Calibri"/>
                <w:color w:val="000000"/>
                <w:sz w:val="20"/>
                <w:szCs w:val="20"/>
              </w:rPr>
            </w:pPr>
            <w:r w:rsidRPr="00A2769C">
              <w:rPr>
                <w:rFonts w:eastAsia="Times New Roman" w:cs="Calibri"/>
                <w:color w:val="000000"/>
                <w:sz w:val="20"/>
                <w:szCs w:val="20"/>
              </w:rPr>
              <w:t xml:space="preserve">Nodo di interscambio multimodale </w:t>
            </w:r>
            <w:r w:rsidRPr="004F5BC4">
              <w:rPr>
                <w:rFonts w:eastAsia="Times New Roman" w:cs="Calibri"/>
                <w:sz w:val="20"/>
                <w:szCs w:val="20"/>
              </w:rPr>
              <w:t>diretto</w:t>
            </w:r>
          </w:p>
        </w:tc>
        <w:tc>
          <w:tcPr>
            <w:tcW w:w="1222" w:type="dxa"/>
            <w:vMerge w:val="restart"/>
            <w:tcBorders>
              <w:top w:val="nil"/>
              <w:left w:val="single" w:sz="8" w:space="0" w:color="A6A6A6"/>
              <w:bottom w:val="single" w:sz="8" w:space="0" w:color="A6A6A6"/>
              <w:right w:val="single" w:sz="8" w:space="0" w:color="A6A6A6"/>
            </w:tcBorders>
            <w:vAlign w:val="center"/>
            <w:hideMark/>
          </w:tcPr>
          <w:p w14:paraId="62CA2B76" w14:textId="77777777" w:rsidR="00FD2CBB" w:rsidRPr="00A2769C" w:rsidRDefault="00FD2CBB">
            <w:pPr>
              <w:spacing w:after="0" w:line="240" w:lineRule="auto"/>
              <w:jc w:val="left"/>
              <w:rPr>
                <w:rFonts w:eastAsia="Times New Roman" w:cs="Calibri"/>
                <w:color w:val="242424"/>
                <w:sz w:val="20"/>
                <w:szCs w:val="20"/>
              </w:rPr>
            </w:pPr>
            <w:r w:rsidRPr="00A2769C">
              <w:rPr>
                <w:rFonts w:eastAsia="Times New Roman" w:cs="Calibri"/>
                <w:color w:val="242424"/>
                <w:sz w:val="20"/>
                <w:szCs w:val="20"/>
              </w:rPr>
              <w:t> </w:t>
            </w:r>
          </w:p>
        </w:tc>
        <w:tc>
          <w:tcPr>
            <w:tcW w:w="854" w:type="dxa"/>
            <w:vMerge w:val="restart"/>
            <w:tcBorders>
              <w:top w:val="nil"/>
              <w:left w:val="single" w:sz="8" w:space="0" w:color="A6A6A6"/>
              <w:bottom w:val="single" w:sz="8" w:space="0" w:color="A6A6A6"/>
              <w:right w:val="single" w:sz="8" w:space="0" w:color="A6A6A6"/>
            </w:tcBorders>
            <w:vAlign w:val="center"/>
            <w:hideMark/>
          </w:tcPr>
          <w:p w14:paraId="00F235DF" w14:textId="77777777" w:rsidR="00FD2CBB" w:rsidRPr="00A2769C" w:rsidRDefault="00FD2CBB">
            <w:pPr>
              <w:spacing w:after="0" w:line="240" w:lineRule="auto"/>
              <w:jc w:val="left"/>
              <w:rPr>
                <w:rFonts w:eastAsia="Times New Roman" w:cs="Calibri"/>
                <w:color w:val="FF0000"/>
                <w:sz w:val="20"/>
                <w:szCs w:val="20"/>
              </w:rPr>
            </w:pPr>
            <w:r w:rsidRPr="004F5BC4">
              <w:rPr>
                <w:rFonts w:eastAsia="Times New Roman" w:cs="Calibri"/>
                <w:sz w:val="20"/>
                <w:szCs w:val="20"/>
              </w:rPr>
              <w:t>NO per aspetti TPL</w:t>
            </w:r>
          </w:p>
        </w:tc>
        <w:tc>
          <w:tcPr>
            <w:tcW w:w="3355" w:type="dxa"/>
            <w:vMerge w:val="restart"/>
            <w:tcBorders>
              <w:top w:val="nil"/>
              <w:left w:val="single" w:sz="8" w:space="0" w:color="A6A6A6"/>
              <w:bottom w:val="single" w:sz="8" w:space="0" w:color="A6A6A6"/>
              <w:right w:val="single" w:sz="8" w:space="0" w:color="A6A6A6"/>
            </w:tcBorders>
            <w:vAlign w:val="center"/>
            <w:hideMark/>
          </w:tcPr>
          <w:p w14:paraId="670963FB" w14:textId="77777777" w:rsidR="00FD2CBB" w:rsidRPr="00A2769C" w:rsidRDefault="00FD2CBB">
            <w:pPr>
              <w:spacing w:after="0" w:line="240" w:lineRule="auto"/>
              <w:jc w:val="left"/>
              <w:rPr>
                <w:rFonts w:eastAsia="Times New Roman" w:cs="Calibri"/>
                <w:color w:val="242424"/>
                <w:sz w:val="20"/>
                <w:szCs w:val="20"/>
              </w:rPr>
            </w:pPr>
            <w:r w:rsidRPr="00A2769C">
              <w:rPr>
                <w:rFonts w:eastAsia="Times New Roman" w:cs="Calibri"/>
                <w:color w:val="242424"/>
                <w:sz w:val="20"/>
                <w:szCs w:val="20"/>
              </w:rPr>
              <w:t xml:space="preserve">Il "Movicentro" si caratterizza principalmente per la presenza di un parcheggio </w:t>
            </w:r>
            <w:r w:rsidRPr="000121B0">
              <w:rPr>
                <w:rFonts w:eastAsia="Times New Roman" w:cs="Calibri"/>
                <w:sz w:val="20"/>
                <w:szCs w:val="20"/>
              </w:rPr>
              <w:t xml:space="preserve">pluripiano gestito da GTT spa, collocato lateralmente rispetto </w:t>
            </w:r>
            <w:r w:rsidRPr="00A2769C">
              <w:rPr>
                <w:rFonts w:eastAsia="Times New Roman" w:cs="Calibri"/>
                <w:color w:val="242424"/>
                <w:sz w:val="20"/>
                <w:szCs w:val="20"/>
              </w:rPr>
              <w:t>alla stazione ferroviaria e distante circa 250 metri da essa. Le fermate di TPL sono prive di infrastrutture rilevanti.</w:t>
            </w:r>
          </w:p>
        </w:tc>
      </w:tr>
      <w:tr w:rsidR="00FD2CBB" w:rsidRPr="00A2769C" w14:paraId="4EEF835A" w14:textId="77777777">
        <w:trPr>
          <w:trHeight w:val="297"/>
        </w:trPr>
        <w:tc>
          <w:tcPr>
            <w:tcW w:w="1245" w:type="dxa"/>
            <w:vMerge/>
            <w:tcBorders>
              <w:top w:val="nil"/>
              <w:left w:val="single" w:sz="8" w:space="0" w:color="A6A6A6"/>
              <w:bottom w:val="nil"/>
              <w:right w:val="single" w:sz="8" w:space="0" w:color="A6A6A6"/>
            </w:tcBorders>
            <w:vAlign w:val="center"/>
            <w:hideMark/>
          </w:tcPr>
          <w:p w14:paraId="2F73ABEC" w14:textId="77777777" w:rsidR="00FD2CBB" w:rsidRPr="00A2769C" w:rsidRDefault="00FD2CBB">
            <w:pPr>
              <w:spacing w:after="0" w:line="240" w:lineRule="auto"/>
              <w:jc w:val="left"/>
              <w:rPr>
                <w:rFonts w:eastAsia="Times New Roman" w:cs="Calibri"/>
                <w:b/>
                <w:color w:val="000000"/>
                <w:sz w:val="20"/>
                <w:szCs w:val="20"/>
              </w:rPr>
            </w:pPr>
          </w:p>
        </w:tc>
        <w:tc>
          <w:tcPr>
            <w:tcW w:w="1439" w:type="dxa"/>
            <w:tcBorders>
              <w:top w:val="nil"/>
              <w:left w:val="nil"/>
              <w:bottom w:val="nil"/>
              <w:right w:val="single" w:sz="8" w:space="0" w:color="A6A6A6"/>
            </w:tcBorders>
            <w:noWrap/>
            <w:vAlign w:val="center"/>
            <w:hideMark/>
          </w:tcPr>
          <w:p w14:paraId="03975993" w14:textId="77777777" w:rsidR="00FD2CBB" w:rsidRPr="00A2769C" w:rsidRDefault="00FD2CBB">
            <w:pPr>
              <w:spacing w:after="0" w:line="240" w:lineRule="auto"/>
              <w:jc w:val="left"/>
              <w:rPr>
                <w:rFonts w:eastAsia="Times New Roman" w:cs="Calibri"/>
                <w:color w:val="242424"/>
                <w:sz w:val="20"/>
                <w:szCs w:val="20"/>
              </w:rPr>
            </w:pPr>
            <w:r w:rsidRPr="00A2769C">
              <w:rPr>
                <w:rFonts w:eastAsia="Times New Roman" w:cs="Calibri"/>
                <w:color w:val="242424"/>
                <w:sz w:val="20"/>
                <w:szCs w:val="20"/>
              </w:rPr>
              <w:t>Autolinee a lunga percorrenza;</w:t>
            </w:r>
          </w:p>
        </w:tc>
        <w:tc>
          <w:tcPr>
            <w:tcW w:w="1280" w:type="dxa"/>
            <w:vMerge/>
            <w:tcBorders>
              <w:top w:val="nil"/>
              <w:left w:val="single" w:sz="8" w:space="0" w:color="A6A6A6"/>
              <w:bottom w:val="single" w:sz="8" w:space="0" w:color="A6A6A6"/>
              <w:right w:val="single" w:sz="8" w:space="0" w:color="A6A6A6"/>
            </w:tcBorders>
            <w:vAlign w:val="center"/>
            <w:hideMark/>
          </w:tcPr>
          <w:p w14:paraId="605411E6" w14:textId="77777777" w:rsidR="00FD2CBB" w:rsidRPr="00A2769C" w:rsidRDefault="00FD2CBB">
            <w:pPr>
              <w:spacing w:after="0" w:line="240" w:lineRule="auto"/>
              <w:jc w:val="left"/>
              <w:rPr>
                <w:rFonts w:eastAsia="Times New Roman" w:cs="Calibri"/>
                <w:color w:val="000000"/>
                <w:sz w:val="20"/>
                <w:szCs w:val="20"/>
              </w:rPr>
            </w:pPr>
          </w:p>
        </w:tc>
        <w:tc>
          <w:tcPr>
            <w:tcW w:w="1222" w:type="dxa"/>
            <w:vMerge/>
            <w:tcBorders>
              <w:top w:val="nil"/>
              <w:left w:val="single" w:sz="8" w:space="0" w:color="A6A6A6"/>
              <w:bottom w:val="single" w:sz="8" w:space="0" w:color="A6A6A6"/>
              <w:right w:val="single" w:sz="8" w:space="0" w:color="A6A6A6"/>
            </w:tcBorders>
            <w:vAlign w:val="center"/>
            <w:hideMark/>
          </w:tcPr>
          <w:p w14:paraId="143F98EC" w14:textId="77777777" w:rsidR="00FD2CBB" w:rsidRPr="00A2769C" w:rsidRDefault="00FD2CBB">
            <w:pPr>
              <w:spacing w:after="0" w:line="240" w:lineRule="auto"/>
              <w:jc w:val="left"/>
              <w:rPr>
                <w:rFonts w:eastAsia="Times New Roman" w:cs="Calibri"/>
                <w:color w:val="242424"/>
                <w:sz w:val="20"/>
                <w:szCs w:val="20"/>
              </w:rPr>
            </w:pPr>
          </w:p>
        </w:tc>
        <w:tc>
          <w:tcPr>
            <w:tcW w:w="854" w:type="dxa"/>
            <w:vMerge/>
            <w:tcBorders>
              <w:top w:val="nil"/>
              <w:left w:val="single" w:sz="8" w:space="0" w:color="A6A6A6"/>
              <w:bottom w:val="single" w:sz="8" w:space="0" w:color="A6A6A6"/>
              <w:right w:val="single" w:sz="8" w:space="0" w:color="A6A6A6"/>
            </w:tcBorders>
            <w:vAlign w:val="center"/>
            <w:hideMark/>
          </w:tcPr>
          <w:p w14:paraId="66DA4C94" w14:textId="77777777" w:rsidR="00FD2CBB" w:rsidRPr="00A2769C" w:rsidRDefault="00FD2CBB">
            <w:pPr>
              <w:spacing w:after="0" w:line="240" w:lineRule="auto"/>
              <w:jc w:val="left"/>
              <w:rPr>
                <w:rFonts w:eastAsia="Times New Roman" w:cs="Calibri"/>
                <w:color w:val="FF0000"/>
                <w:sz w:val="20"/>
                <w:szCs w:val="20"/>
              </w:rPr>
            </w:pPr>
          </w:p>
        </w:tc>
        <w:tc>
          <w:tcPr>
            <w:tcW w:w="3355" w:type="dxa"/>
            <w:vMerge/>
            <w:tcBorders>
              <w:top w:val="nil"/>
              <w:left w:val="single" w:sz="8" w:space="0" w:color="A6A6A6"/>
              <w:bottom w:val="single" w:sz="8" w:space="0" w:color="A6A6A6"/>
              <w:right w:val="single" w:sz="8" w:space="0" w:color="A6A6A6"/>
            </w:tcBorders>
            <w:vAlign w:val="center"/>
            <w:hideMark/>
          </w:tcPr>
          <w:p w14:paraId="5FB8C878" w14:textId="77777777" w:rsidR="00FD2CBB" w:rsidRPr="00A2769C" w:rsidRDefault="00FD2CBB">
            <w:pPr>
              <w:spacing w:after="0" w:line="240" w:lineRule="auto"/>
              <w:jc w:val="left"/>
              <w:rPr>
                <w:rFonts w:eastAsia="Times New Roman" w:cs="Calibri"/>
                <w:color w:val="242424"/>
                <w:sz w:val="20"/>
                <w:szCs w:val="20"/>
              </w:rPr>
            </w:pPr>
          </w:p>
        </w:tc>
      </w:tr>
      <w:tr w:rsidR="00FD2CBB" w:rsidRPr="00A2769C" w14:paraId="63A1156F" w14:textId="77777777">
        <w:trPr>
          <w:trHeight w:val="519"/>
        </w:trPr>
        <w:tc>
          <w:tcPr>
            <w:tcW w:w="1245" w:type="dxa"/>
            <w:vMerge/>
            <w:tcBorders>
              <w:top w:val="nil"/>
              <w:left w:val="single" w:sz="8" w:space="0" w:color="A6A6A6"/>
              <w:bottom w:val="nil"/>
              <w:right w:val="single" w:sz="8" w:space="0" w:color="A6A6A6"/>
            </w:tcBorders>
            <w:vAlign w:val="center"/>
            <w:hideMark/>
          </w:tcPr>
          <w:p w14:paraId="558EF2C7" w14:textId="77777777" w:rsidR="00FD2CBB" w:rsidRPr="00A2769C" w:rsidRDefault="00FD2CBB">
            <w:pPr>
              <w:spacing w:after="0" w:line="240" w:lineRule="auto"/>
              <w:jc w:val="left"/>
              <w:rPr>
                <w:rFonts w:eastAsia="Times New Roman" w:cs="Calibri"/>
                <w:b/>
                <w:color w:val="000000"/>
                <w:sz w:val="20"/>
                <w:szCs w:val="20"/>
              </w:rPr>
            </w:pPr>
          </w:p>
        </w:tc>
        <w:tc>
          <w:tcPr>
            <w:tcW w:w="1439" w:type="dxa"/>
            <w:tcBorders>
              <w:top w:val="nil"/>
              <w:left w:val="nil"/>
              <w:bottom w:val="nil"/>
              <w:right w:val="single" w:sz="8" w:space="0" w:color="A6A6A6"/>
            </w:tcBorders>
            <w:noWrap/>
            <w:vAlign w:val="center"/>
            <w:hideMark/>
          </w:tcPr>
          <w:p w14:paraId="6804A963" w14:textId="77777777" w:rsidR="00FD2CBB" w:rsidRPr="00A2769C" w:rsidRDefault="00FD2CBB">
            <w:pPr>
              <w:spacing w:after="0" w:line="240" w:lineRule="auto"/>
              <w:jc w:val="left"/>
              <w:rPr>
                <w:rFonts w:eastAsia="Times New Roman" w:cs="Calibri"/>
                <w:color w:val="242424"/>
                <w:sz w:val="20"/>
                <w:szCs w:val="20"/>
              </w:rPr>
            </w:pPr>
            <w:r w:rsidRPr="00A2769C">
              <w:rPr>
                <w:rFonts w:eastAsia="Times New Roman" w:cs="Calibri"/>
                <w:color w:val="242424"/>
                <w:sz w:val="20"/>
                <w:szCs w:val="20"/>
              </w:rPr>
              <w:t>Servizi ferroviari;</w:t>
            </w:r>
          </w:p>
        </w:tc>
        <w:tc>
          <w:tcPr>
            <w:tcW w:w="1280" w:type="dxa"/>
            <w:vMerge/>
            <w:tcBorders>
              <w:top w:val="nil"/>
              <w:left w:val="single" w:sz="8" w:space="0" w:color="A6A6A6"/>
              <w:bottom w:val="single" w:sz="8" w:space="0" w:color="A6A6A6"/>
              <w:right w:val="single" w:sz="8" w:space="0" w:color="A6A6A6"/>
            </w:tcBorders>
            <w:vAlign w:val="center"/>
            <w:hideMark/>
          </w:tcPr>
          <w:p w14:paraId="15E326CA" w14:textId="77777777" w:rsidR="00FD2CBB" w:rsidRPr="00A2769C" w:rsidRDefault="00FD2CBB">
            <w:pPr>
              <w:spacing w:after="0" w:line="240" w:lineRule="auto"/>
              <w:jc w:val="left"/>
              <w:rPr>
                <w:rFonts w:eastAsia="Times New Roman" w:cs="Calibri"/>
                <w:color w:val="000000"/>
                <w:sz w:val="20"/>
                <w:szCs w:val="20"/>
              </w:rPr>
            </w:pPr>
          </w:p>
        </w:tc>
        <w:tc>
          <w:tcPr>
            <w:tcW w:w="1222" w:type="dxa"/>
            <w:vMerge/>
            <w:tcBorders>
              <w:top w:val="nil"/>
              <w:left w:val="single" w:sz="8" w:space="0" w:color="A6A6A6"/>
              <w:bottom w:val="single" w:sz="8" w:space="0" w:color="A6A6A6"/>
              <w:right w:val="single" w:sz="8" w:space="0" w:color="A6A6A6"/>
            </w:tcBorders>
            <w:vAlign w:val="center"/>
            <w:hideMark/>
          </w:tcPr>
          <w:p w14:paraId="4653D578" w14:textId="77777777" w:rsidR="00FD2CBB" w:rsidRPr="00A2769C" w:rsidRDefault="00FD2CBB">
            <w:pPr>
              <w:spacing w:after="0" w:line="240" w:lineRule="auto"/>
              <w:jc w:val="left"/>
              <w:rPr>
                <w:rFonts w:eastAsia="Times New Roman" w:cs="Calibri"/>
                <w:color w:val="242424"/>
                <w:sz w:val="20"/>
                <w:szCs w:val="20"/>
              </w:rPr>
            </w:pPr>
          </w:p>
        </w:tc>
        <w:tc>
          <w:tcPr>
            <w:tcW w:w="854" w:type="dxa"/>
            <w:vMerge/>
            <w:tcBorders>
              <w:top w:val="nil"/>
              <w:left w:val="single" w:sz="8" w:space="0" w:color="A6A6A6"/>
              <w:bottom w:val="single" w:sz="8" w:space="0" w:color="A6A6A6"/>
              <w:right w:val="single" w:sz="8" w:space="0" w:color="A6A6A6"/>
            </w:tcBorders>
            <w:vAlign w:val="center"/>
            <w:hideMark/>
          </w:tcPr>
          <w:p w14:paraId="19313E61" w14:textId="77777777" w:rsidR="00FD2CBB" w:rsidRPr="00A2769C" w:rsidRDefault="00FD2CBB">
            <w:pPr>
              <w:spacing w:after="0" w:line="240" w:lineRule="auto"/>
              <w:jc w:val="left"/>
              <w:rPr>
                <w:rFonts w:eastAsia="Times New Roman" w:cs="Calibri"/>
                <w:color w:val="FF0000"/>
                <w:sz w:val="20"/>
                <w:szCs w:val="20"/>
              </w:rPr>
            </w:pPr>
          </w:p>
        </w:tc>
        <w:tc>
          <w:tcPr>
            <w:tcW w:w="3355" w:type="dxa"/>
            <w:vMerge/>
            <w:tcBorders>
              <w:top w:val="nil"/>
              <w:left w:val="single" w:sz="8" w:space="0" w:color="A6A6A6"/>
              <w:bottom w:val="single" w:sz="8" w:space="0" w:color="A6A6A6"/>
              <w:right w:val="single" w:sz="8" w:space="0" w:color="A6A6A6"/>
            </w:tcBorders>
            <w:vAlign w:val="center"/>
            <w:hideMark/>
          </w:tcPr>
          <w:p w14:paraId="1132C44A" w14:textId="77777777" w:rsidR="00FD2CBB" w:rsidRPr="00A2769C" w:rsidRDefault="00FD2CBB">
            <w:pPr>
              <w:spacing w:after="0" w:line="240" w:lineRule="auto"/>
              <w:jc w:val="left"/>
              <w:rPr>
                <w:rFonts w:eastAsia="Times New Roman" w:cs="Calibri"/>
                <w:color w:val="242424"/>
                <w:sz w:val="20"/>
                <w:szCs w:val="20"/>
              </w:rPr>
            </w:pPr>
          </w:p>
        </w:tc>
      </w:tr>
      <w:tr w:rsidR="00FD2CBB" w:rsidRPr="00A2769C" w14:paraId="5BC5E528" w14:textId="77777777">
        <w:trPr>
          <w:trHeight w:val="268"/>
        </w:trPr>
        <w:tc>
          <w:tcPr>
            <w:tcW w:w="1245" w:type="dxa"/>
            <w:vMerge/>
            <w:tcBorders>
              <w:top w:val="nil"/>
              <w:left w:val="single" w:sz="8" w:space="0" w:color="A6A6A6"/>
              <w:bottom w:val="nil"/>
              <w:right w:val="single" w:sz="8" w:space="0" w:color="A6A6A6"/>
            </w:tcBorders>
            <w:vAlign w:val="center"/>
            <w:hideMark/>
          </w:tcPr>
          <w:p w14:paraId="35C03943" w14:textId="77777777" w:rsidR="00FD2CBB" w:rsidRPr="00A2769C" w:rsidRDefault="00FD2CBB">
            <w:pPr>
              <w:spacing w:after="0" w:line="240" w:lineRule="auto"/>
              <w:jc w:val="left"/>
              <w:rPr>
                <w:rFonts w:eastAsia="Times New Roman" w:cs="Calibri"/>
                <w:b/>
                <w:color w:val="000000"/>
                <w:sz w:val="20"/>
                <w:szCs w:val="20"/>
              </w:rPr>
            </w:pPr>
          </w:p>
        </w:tc>
        <w:tc>
          <w:tcPr>
            <w:tcW w:w="1439" w:type="dxa"/>
            <w:tcBorders>
              <w:top w:val="nil"/>
              <w:left w:val="nil"/>
              <w:bottom w:val="single" w:sz="8" w:space="0" w:color="A6A6A6"/>
              <w:right w:val="single" w:sz="8" w:space="0" w:color="A6A6A6"/>
            </w:tcBorders>
            <w:noWrap/>
            <w:vAlign w:val="center"/>
            <w:hideMark/>
          </w:tcPr>
          <w:p w14:paraId="2A61956F" w14:textId="77777777" w:rsidR="00FD2CBB" w:rsidRPr="00A2769C" w:rsidRDefault="00FD2CBB">
            <w:pPr>
              <w:spacing w:after="0" w:line="240" w:lineRule="auto"/>
              <w:jc w:val="left"/>
              <w:rPr>
                <w:rFonts w:eastAsia="Times New Roman" w:cs="Calibri"/>
                <w:color w:val="242424"/>
                <w:sz w:val="20"/>
                <w:szCs w:val="20"/>
              </w:rPr>
            </w:pPr>
            <w:r w:rsidRPr="00A2769C">
              <w:rPr>
                <w:rFonts w:eastAsia="Times New Roman" w:cs="Calibri"/>
                <w:color w:val="242424"/>
                <w:sz w:val="20"/>
                <w:szCs w:val="20"/>
              </w:rPr>
              <w:t>Bicicletta;</w:t>
            </w:r>
          </w:p>
        </w:tc>
        <w:tc>
          <w:tcPr>
            <w:tcW w:w="1280" w:type="dxa"/>
            <w:vMerge/>
            <w:tcBorders>
              <w:top w:val="nil"/>
              <w:left w:val="single" w:sz="8" w:space="0" w:color="A6A6A6"/>
              <w:bottom w:val="single" w:sz="8" w:space="0" w:color="A6A6A6"/>
              <w:right w:val="single" w:sz="8" w:space="0" w:color="A6A6A6"/>
            </w:tcBorders>
            <w:vAlign w:val="center"/>
            <w:hideMark/>
          </w:tcPr>
          <w:p w14:paraId="7CAE91D8" w14:textId="77777777" w:rsidR="00FD2CBB" w:rsidRPr="00A2769C" w:rsidRDefault="00FD2CBB">
            <w:pPr>
              <w:spacing w:after="0" w:line="240" w:lineRule="auto"/>
              <w:jc w:val="left"/>
              <w:rPr>
                <w:rFonts w:eastAsia="Times New Roman" w:cs="Calibri"/>
                <w:color w:val="000000"/>
                <w:sz w:val="20"/>
                <w:szCs w:val="20"/>
              </w:rPr>
            </w:pPr>
          </w:p>
        </w:tc>
        <w:tc>
          <w:tcPr>
            <w:tcW w:w="1222" w:type="dxa"/>
            <w:vMerge/>
            <w:tcBorders>
              <w:top w:val="nil"/>
              <w:left w:val="single" w:sz="8" w:space="0" w:color="A6A6A6"/>
              <w:bottom w:val="single" w:sz="8" w:space="0" w:color="A6A6A6"/>
              <w:right w:val="single" w:sz="8" w:space="0" w:color="A6A6A6"/>
            </w:tcBorders>
            <w:vAlign w:val="center"/>
            <w:hideMark/>
          </w:tcPr>
          <w:p w14:paraId="501E1975" w14:textId="77777777" w:rsidR="00FD2CBB" w:rsidRPr="00A2769C" w:rsidRDefault="00FD2CBB">
            <w:pPr>
              <w:spacing w:after="0" w:line="240" w:lineRule="auto"/>
              <w:jc w:val="left"/>
              <w:rPr>
                <w:rFonts w:eastAsia="Times New Roman" w:cs="Calibri"/>
                <w:color w:val="242424"/>
                <w:sz w:val="20"/>
                <w:szCs w:val="20"/>
              </w:rPr>
            </w:pPr>
          </w:p>
        </w:tc>
        <w:tc>
          <w:tcPr>
            <w:tcW w:w="854" w:type="dxa"/>
            <w:vMerge/>
            <w:tcBorders>
              <w:top w:val="nil"/>
              <w:left w:val="single" w:sz="8" w:space="0" w:color="A6A6A6"/>
              <w:bottom w:val="single" w:sz="8" w:space="0" w:color="A6A6A6"/>
              <w:right w:val="single" w:sz="8" w:space="0" w:color="A6A6A6"/>
            </w:tcBorders>
            <w:vAlign w:val="center"/>
            <w:hideMark/>
          </w:tcPr>
          <w:p w14:paraId="2DC37F70" w14:textId="77777777" w:rsidR="00FD2CBB" w:rsidRPr="00A2769C" w:rsidRDefault="00FD2CBB">
            <w:pPr>
              <w:spacing w:after="0" w:line="240" w:lineRule="auto"/>
              <w:jc w:val="left"/>
              <w:rPr>
                <w:rFonts w:eastAsia="Times New Roman" w:cs="Calibri"/>
                <w:color w:val="FF0000"/>
                <w:sz w:val="20"/>
                <w:szCs w:val="20"/>
              </w:rPr>
            </w:pPr>
          </w:p>
        </w:tc>
        <w:tc>
          <w:tcPr>
            <w:tcW w:w="3355" w:type="dxa"/>
            <w:vMerge/>
            <w:tcBorders>
              <w:top w:val="nil"/>
              <w:left w:val="single" w:sz="8" w:space="0" w:color="A6A6A6"/>
              <w:bottom w:val="single" w:sz="8" w:space="0" w:color="A6A6A6"/>
              <w:right w:val="single" w:sz="8" w:space="0" w:color="A6A6A6"/>
            </w:tcBorders>
            <w:vAlign w:val="center"/>
            <w:hideMark/>
          </w:tcPr>
          <w:p w14:paraId="3FFCAEAC" w14:textId="77777777" w:rsidR="00FD2CBB" w:rsidRPr="00A2769C" w:rsidRDefault="00FD2CBB">
            <w:pPr>
              <w:spacing w:after="0" w:line="240" w:lineRule="auto"/>
              <w:jc w:val="left"/>
              <w:rPr>
                <w:rFonts w:eastAsia="Times New Roman" w:cs="Calibri"/>
                <w:color w:val="242424"/>
                <w:sz w:val="20"/>
                <w:szCs w:val="20"/>
              </w:rPr>
            </w:pPr>
          </w:p>
        </w:tc>
      </w:tr>
      <w:tr w:rsidR="00FD2CBB" w:rsidRPr="00A2769C" w14:paraId="70EE34FD" w14:textId="77777777">
        <w:trPr>
          <w:trHeight w:val="297"/>
        </w:trPr>
        <w:tc>
          <w:tcPr>
            <w:tcW w:w="1245" w:type="dxa"/>
            <w:vMerge w:val="restart"/>
            <w:tcBorders>
              <w:top w:val="single" w:sz="8" w:space="0" w:color="A6A6A6"/>
              <w:left w:val="single" w:sz="8" w:space="0" w:color="A6A6A6"/>
              <w:bottom w:val="single" w:sz="8" w:space="0" w:color="A6A6A6"/>
              <w:right w:val="single" w:sz="8" w:space="0" w:color="A6A6A6"/>
            </w:tcBorders>
            <w:shd w:val="clear" w:color="000000" w:fill="FFFFFF"/>
            <w:vAlign w:val="center"/>
            <w:hideMark/>
          </w:tcPr>
          <w:p w14:paraId="51F52638" w14:textId="77777777" w:rsidR="00FD2CBB" w:rsidRPr="00A2769C" w:rsidRDefault="00FD2CBB">
            <w:pPr>
              <w:spacing w:after="0" w:line="240" w:lineRule="auto"/>
              <w:jc w:val="left"/>
              <w:rPr>
                <w:rFonts w:eastAsia="Times New Roman" w:cs="Calibri"/>
                <w:b/>
                <w:color w:val="000000"/>
                <w:sz w:val="20"/>
                <w:szCs w:val="20"/>
              </w:rPr>
            </w:pPr>
            <w:r w:rsidRPr="00A2769C">
              <w:rPr>
                <w:rFonts w:eastAsia="Times New Roman" w:cs="Calibri"/>
                <w:b/>
                <w:color w:val="000000"/>
                <w:sz w:val="20"/>
                <w:szCs w:val="20"/>
              </w:rPr>
              <w:t>TROFARELLO</w:t>
            </w:r>
          </w:p>
        </w:tc>
        <w:tc>
          <w:tcPr>
            <w:tcW w:w="1439" w:type="dxa"/>
            <w:tcBorders>
              <w:top w:val="nil"/>
              <w:left w:val="nil"/>
              <w:bottom w:val="nil"/>
              <w:right w:val="single" w:sz="8" w:space="0" w:color="A6A6A6"/>
            </w:tcBorders>
            <w:noWrap/>
            <w:vAlign w:val="center"/>
            <w:hideMark/>
          </w:tcPr>
          <w:p w14:paraId="44C80165" w14:textId="77777777" w:rsidR="00FD2CBB" w:rsidRPr="00A2769C" w:rsidRDefault="00FD2CBB">
            <w:pPr>
              <w:spacing w:after="0" w:line="240" w:lineRule="auto"/>
              <w:jc w:val="left"/>
              <w:rPr>
                <w:rFonts w:eastAsia="Times New Roman" w:cs="Calibri"/>
                <w:color w:val="242424"/>
                <w:sz w:val="20"/>
                <w:szCs w:val="20"/>
              </w:rPr>
            </w:pPr>
            <w:r w:rsidRPr="00A2769C">
              <w:rPr>
                <w:rFonts w:eastAsia="Times New Roman" w:cs="Calibri"/>
                <w:color w:val="242424"/>
                <w:sz w:val="20"/>
                <w:szCs w:val="20"/>
              </w:rPr>
              <w:t>Autolinee extraurbane e urbane;</w:t>
            </w:r>
          </w:p>
        </w:tc>
        <w:tc>
          <w:tcPr>
            <w:tcW w:w="1280" w:type="dxa"/>
            <w:vMerge w:val="restart"/>
            <w:tcBorders>
              <w:top w:val="nil"/>
              <w:left w:val="single" w:sz="8" w:space="0" w:color="A6A6A6"/>
              <w:bottom w:val="single" w:sz="8" w:space="0" w:color="A6A6A6"/>
              <w:right w:val="single" w:sz="8" w:space="0" w:color="A6A6A6"/>
            </w:tcBorders>
            <w:vAlign w:val="center"/>
            <w:hideMark/>
          </w:tcPr>
          <w:p w14:paraId="47EA4B5E" w14:textId="77777777" w:rsidR="00FD2CBB" w:rsidRPr="00A2769C" w:rsidRDefault="00FD2CBB">
            <w:pPr>
              <w:spacing w:after="0" w:line="240" w:lineRule="auto"/>
              <w:jc w:val="left"/>
              <w:rPr>
                <w:rFonts w:eastAsia="Times New Roman" w:cs="Calibri"/>
                <w:color w:val="000000"/>
                <w:sz w:val="20"/>
                <w:szCs w:val="20"/>
              </w:rPr>
            </w:pPr>
            <w:r w:rsidRPr="00A2769C">
              <w:rPr>
                <w:rFonts w:eastAsia="Times New Roman" w:cs="Calibri"/>
                <w:color w:val="000000"/>
                <w:sz w:val="20"/>
                <w:szCs w:val="20"/>
              </w:rPr>
              <w:t>Nodo di interscambio multimodale diretto</w:t>
            </w:r>
          </w:p>
        </w:tc>
        <w:tc>
          <w:tcPr>
            <w:tcW w:w="1222" w:type="dxa"/>
            <w:vMerge w:val="restart"/>
            <w:tcBorders>
              <w:top w:val="nil"/>
              <w:left w:val="single" w:sz="8" w:space="0" w:color="A6A6A6"/>
              <w:bottom w:val="single" w:sz="8" w:space="0" w:color="A6A6A6"/>
              <w:right w:val="single" w:sz="8" w:space="0" w:color="A6A6A6"/>
            </w:tcBorders>
            <w:vAlign w:val="center"/>
            <w:hideMark/>
          </w:tcPr>
          <w:p w14:paraId="025A4086" w14:textId="77777777" w:rsidR="00FD2CBB" w:rsidRPr="00A2769C" w:rsidRDefault="00FD2CBB">
            <w:pPr>
              <w:spacing w:after="0" w:line="240" w:lineRule="auto"/>
              <w:jc w:val="left"/>
              <w:rPr>
                <w:rFonts w:eastAsia="Times New Roman" w:cs="Calibri"/>
                <w:color w:val="242424"/>
                <w:sz w:val="20"/>
                <w:szCs w:val="20"/>
              </w:rPr>
            </w:pPr>
            <w:r w:rsidRPr="00A2769C">
              <w:rPr>
                <w:rFonts w:eastAsia="Times New Roman" w:cs="Calibri"/>
                <w:color w:val="242424"/>
                <w:sz w:val="20"/>
                <w:szCs w:val="20"/>
              </w:rPr>
              <w:t>Necessità di definizione di accordi gestione</w:t>
            </w:r>
          </w:p>
        </w:tc>
        <w:tc>
          <w:tcPr>
            <w:tcW w:w="854" w:type="dxa"/>
            <w:vMerge w:val="restart"/>
            <w:tcBorders>
              <w:top w:val="nil"/>
              <w:left w:val="single" w:sz="8" w:space="0" w:color="A6A6A6"/>
              <w:bottom w:val="single" w:sz="8" w:space="0" w:color="A6A6A6"/>
              <w:right w:val="single" w:sz="8" w:space="0" w:color="A6A6A6"/>
            </w:tcBorders>
            <w:vAlign w:val="center"/>
            <w:hideMark/>
          </w:tcPr>
          <w:p w14:paraId="5B6A1352" w14:textId="77777777" w:rsidR="00FD2CBB" w:rsidRPr="00A2769C" w:rsidRDefault="00FD2CBB">
            <w:pPr>
              <w:spacing w:after="0" w:line="240" w:lineRule="auto"/>
              <w:jc w:val="left"/>
              <w:rPr>
                <w:rFonts w:eastAsia="Times New Roman" w:cs="Calibri"/>
                <w:color w:val="FF0000"/>
                <w:sz w:val="20"/>
                <w:szCs w:val="20"/>
              </w:rPr>
            </w:pPr>
            <w:r w:rsidRPr="00A2769C">
              <w:rPr>
                <w:rFonts w:eastAsia="Times New Roman" w:cs="Calibri"/>
                <w:color w:val="242424"/>
                <w:sz w:val="20"/>
                <w:szCs w:val="20"/>
              </w:rPr>
              <w:t>Da definire</w:t>
            </w:r>
          </w:p>
        </w:tc>
        <w:tc>
          <w:tcPr>
            <w:tcW w:w="3355" w:type="dxa"/>
            <w:vMerge w:val="restart"/>
            <w:tcBorders>
              <w:top w:val="nil"/>
              <w:left w:val="single" w:sz="8" w:space="0" w:color="A6A6A6"/>
              <w:bottom w:val="single" w:sz="8" w:space="0" w:color="A6A6A6"/>
              <w:right w:val="single" w:sz="8" w:space="0" w:color="A6A6A6"/>
            </w:tcBorders>
            <w:vAlign w:val="center"/>
            <w:hideMark/>
          </w:tcPr>
          <w:p w14:paraId="0F7404F0" w14:textId="77777777" w:rsidR="00FD2CBB" w:rsidRPr="00A2769C" w:rsidRDefault="00FD2CBB">
            <w:pPr>
              <w:spacing w:after="0" w:line="240" w:lineRule="auto"/>
              <w:jc w:val="left"/>
              <w:rPr>
                <w:rFonts w:eastAsia="Times New Roman" w:cs="Calibri"/>
                <w:color w:val="242424"/>
                <w:sz w:val="20"/>
                <w:szCs w:val="20"/>
              </w:rPr>
            </w:pPr>
            <w:r w:rsidRPr="00A2769C">
              <w:rPr>
                <w:rFonts w:eastAsia="Times New Roman" w:cs="Calibri"/>
                <w:color w:val="242424"/>
                <w:sz w:val="20"/>
                <w:szCs w:val="20"/>
              </w:rPr>
              <w:t xml:space="preserve">Il "Movicentro" si caratterizza principalmente per la presenza di due parcheggi, collocati rispettivamente nella parte frontale e sul retro della stazione ferroviaria. </w:t>
            </w:r>
            <w:r>
              <w:rPr>
                <w:rFonts w:eastAsia="Times New Roman" w:cs="Calibri"/>
                <w:color w:val="242424"/>
                <w:sz w:val="20"/>
                <w:szCs w:val="20"/>
              </w:rPr>
              <w:t>D</w:t>
            </w:r>
            <w:r w:rsidRPr="00A2769C">
              <w:rPr>
                <w:rFonts w:eastAsia="Times New Roman" w:cs="Calibri"/>
                <w:color w:val="242424"/>
                <w:sz w:val="20"/>
                <w:szCs w:val="20"/>
              </w:rPr>
              <w:t>ispongono di un'area di sosta coperta, ma non sono presenti edifici dedicati.</w:t>
            </w:r>
          </w:p>
        </w:tc>
      </w:tr>
      <w:tr w:rsidR="00FD2CBB" w:rsidRPr="00A2769C" w14:paraId="0ED229C1" w14:textId="77777777">
        <w:trPr>
          <w:trHeight w:val="297"/>
        </w:trPr>
        <w:tc>
          <w:tcPr>
            <w:tcW w:w="1245" w:type="dxa"/>
            <w:vMerge/>
            <w:tcBorders>
              <w:top w:val="single" w:sz="8" w:space="0" w:color="A6A6A6"/>
              <w:left w:val="single" w:sz="8" w:space="0" w:color="A6A6A6"/>
              <w:bottom w:val="single" w:sz="8" w:space="0" w:color="A6A6A6"/>
              <w:right w:val="single" w:sz="8" w:space="0" w:color="A6A6A6"/>
            </w:tcBorders>
            <w:vAlign w:val="center"/>
            <w:hideMark/>
          </w:tcPr>
          <w:p w14:paraId="7D73CAE3" w14:textId="77777777" w:rsidR="00FD2CBB" w:rsidRPr="00A2769C" w:rsidRDefault="00FD2CBB">
            <w:pPr>
              <w:spacing w:after="0" w:line="240" w:lineRule="auto"/>
              <w:jc w:val="left"/>
              <w:rPr>
                <w:rFonts w:eastAsia="Times New Roman" w:cs="Calibri"/>
                <w:b/>
                <w:color w:val="000000"/>
                <w:sz w:val="20"/>
                <w:szCs w:val="20"/>
              </w:rPr>
            </w:pPr>
          </w:p>
        </w:tc>
        <w:tc>
          <w:tcPr>
            <w:tcW w:w="1439" w:type="dxa"/>
            <w:tcBorders>
              <w:top w:val="nil"/>
              <w:left w:val="nil"/>
              <w:bottom w:val="nil"/>
              <w:right w:val="single" w:sz="8" w:space="0" w:color="A6A6A6"/>
            </w:tcBorders>
            <w:noWrap/>
            <w:vAlign w:val="center"/>
            <w:hideMark/>
          </w:tcPr>
          <w:p w14:paraId="5E3B65C4" w14:textId="77777777" w:rsidR="00FD2CBB" w:rsidRPr="00A2769C" w:rsidRDefault="00FD2CBB">
            <w:pPr>
              <w:spacing w:after="0" w:line="240" w:lineRule="auto"/>
              <w:jc w:val="left"/>
              <w:rPr>
                <w:rFonts w:eastAsia="Times New Roman" w:cs="Calibri"/>
                <w:color w:val="242424"/>
                <w:sz w:val="20"/>
                <w:szCs w:val="20"/>
              </w:rPr>
            </w:pPr>
            <w:r w:rsidRPr="00A2769C">
              <w:rPr>
                <w:rFonts w:eastAsia="Times New Roman" w:cs="Calibri"/>
                <w:color w:val="242424"/>
                <w:sz w:val="20"/>
                <w:szCs w:val="20"/>
              </w:rPr>
              <w:t>Servizi ferroviari;</w:t>
            </w:r>
          </w:p>
        </w:tc>
        <w:tc>
          <w:tcPr>
            <w:tcW w:w="1280" w:type="dxa"/>
            <w:vMerge/>
            <w:tcBorders>
              <w:top w:val="nil"/>
              <w:left w:val="single" w:sz="8" w:space="0" w:color="A6A6A6"/>
              <w:bottom w:val="single" w:sz="8" w:space="0" w:color="A6A6A6"/>
              <w:right w:val="single" w:sz="8" w:space="0" w:color="A6A6A6"/>
            </w:tcBorders>
            <w:vAlign w:val="center"/>
            <w:hideMark/>
          </w:tcPr>
          <w:p w14:paraId="27BC016C" w14:textId="77777777" w:rsidR="00FD2CBB" w:rsidRPr="00A2769C" w:rsidRDefault="00FD2CBB">
            <w:pPr>
              <w:spacing w:after="0" w:line="240" w:lineRule="auto"/>
              <w:jc w:val="left"/>
              <w:rPr>
                <w:rFonts w:eastAsia="Times New Roman" w:cs="Calibri"/>
                <w:color w:val="000000"/>
                <w:sz w:val="20"/>
                <w:szCs w:val="20"/>
              </w:rPr>
            </w:pPr>
          </w:p>
        </w:tc>
        <w:tc>
          <w:tcPr>
            <w:tcW w:w="1222" w:type="dxa"/>
            <w:vMerge/>
            <w:tcBorders>
              <w:top w:val="nil"/>
              <w:left w:val="single" w:sz="8" w:space="0" w:color="A6A6A6"/>
              <w:bottom w:val="single" w:sz="8" w:space="0" w:color="A6A6A6"/>
              <w:right w:val="single" w:sz="8" w:space="0" w:color="A6A6A6"/>
            </w:tcBorders>
            <w:vAlign w:val="center"/>
            <w:hideMark/>
          </w:tcPr>
          <w:p w14:paraId="728F5151" w14:textId="77777777" w:rsidR="00FD2CBB" w:rsidRPr="00A2769C" w:rsidRDefault="00FD2CBB">
            <w:pPr>
              <w:spacing w:after="0" w:line="240" w:lineRule="auto"/>
              <w:jc w:val="left"/>
              <w:rPr>
                <w:rFonts w:eastAsia="Times New Roman" w:cs="Calibri"/>
                <w:color w:val="242424"/>
                <w:sz w:val="20"/>
                <w:szCs w:val="20"/>
              </w:rPr>
            </w:pPr>
          </w:p>
        </w:tc>
        <w:tc>
          <w:tcPr>
            <w:tcW w:w="854" w:type="dxa"/>
            <w:vMerge/>
            <w:tcBorders>
              <w:top w:val="nil"/>
              <w:left w:val="single" w:sz="8" w:space="0" w:color="A6A6A6"/>
              <w:bottom w:val="single" w:sz="8" w:space="0" w:color="A6A6A6"/>
              <w:right w:val="single" w:sz="8" w:space="0" w:color="A6A6A6"/>
            </w:tcBorders>
            <w:vAlign w:val="center"/>
            <w:hideMark/>
          </w:tcPr>
          <w:p w14:paraId="7F2F7C65" w14:textId="77777777" w:rsidR="00FD2CBB" w:rsidRPr="00A2769C" w:rsidRDefault="00FD2CBB">
            <w:pPr>
              <w:spacing w:after="0" w:line="240" w:lineRule="auto"/>
              <w:jc w:val="left"/>
              <w:rPr>
                <w:rFonts w:eastAsia="Times New Roman" w:cs="Calibri"/>
                <w:color w:val="FF0000"/>
                <w:sz w:val="20"/>
                <w:szCs w:val="20"/>
              </w:rPr>
            </w:pPr>
          </w:p>
        </w:tc>
        <w:tc>
          <w:tcPr>
            <w:tcW w:w="3355" w:type="dxa"/>
            <w:vMerge/>
            <w:tcBorders>
              <w:top w:val="nil"/>
              <w:left w:val="single" w:sz="8" w:space="0" w:color="A6A6A6"/>
              <w:bottom w:val="single" w:sz="8" w:space="0" w:color="A6A6A6"/>
              <w:right w:val="single" w:sz="8" w:space="0" w:color="A6A6A6"/>
            </w:tcBorders>
            <w:vAlign w:val="center"/>
            <w:hideMark/>
          </w:tcPr>
          <w:p w14:paraId="5BC42527" w14:textId="77777777" w:rsidR="00FD2CBB" w:rsidRPr="00A2769C" w:rsidRDefault="00FD2CBB">
            <w:pPr>
              <w:spacing w:after="0" w:line="240" w:lineRule="auto"/>
              <w:jc w:val="left"/>
              <w:rPr>
                <w:rFonts w:eastAsia="Times New Roman" w:cs="Calibri"/>
                <w:color w:val="242424"/>
                <w:sz w:val="20"/>
                <w:szCs w:val="20"/>
              </w:rPr>
            </w:pPr>
          </w:p>
        </w:tc>
      </w:tr>
      <w:tr w:rsidR="00FD2CBB" w:rsidRPr="00A2769C" w14:paraId="207D75A7" w14:textId="77777777">
        <w:trPr>
          <w:trHeight w:val="475"/>
        </w:trPr>
        <w:tc>
          <w:tcPr>
            <w:tcW w:w="1245" w:type="dxa"/>
            <w:vMerge/>
            <w:tcBorders>
              <w:top w:val="single" w:sz="8" w:space="0" w:color="A6A6A6"/>
              <w:left w:val="single" w:sz="8" w:space="0" w:color="A6A6A6"/>
              <w:bottom w:val="single" w:sz="8" w:space="0" w:color="A6A6A6"/>
              <w:right w:val="single" w:sz="8" w:space="0" w:color="A6A6A6"/>
            </w:tcBorders>
            <w:vAlign w:val="center"/>
            <w:hideMark/>
          </w:tcPr>
          <w:p w14:paraId="2F9889C3" w14:textId="77777777" w:rsidR="00FD2CBB" w:rsidRPr="00A2769C" w:rsidRDefault="00FD2CBB">
            <w:pPr>
              <w:spacing w:after="0" w:line="240" w:lineRule="auto"/>
              <w:jc w:val="left"/>
              <w:rPr>
                <w:rFonts w:eastAsia="Times New Roman" w:cs="Calibri"/>
                <w:b/>
                <w:color w:val="000000"/>
                <w:sz w:val="20"/>
                <w:szCs w:val="20"/>
              </w:rPr>
            </w:pPr>
          </w:p>
        </w:tc>
        <w:tc>
          <w:tcPr>
            <w:tcW w:w="1439" w:type="dxa"/>
            <w:tcBorders>
              <w:top w:val="nil"/>
              <w:left w:val="nil"/>
              <w:bottom w:val="nil"/>
              <w:right w:val="single" w:sz="8" w:space="0" w:color="A6A6A6"/>
            </w:tcBorders>
            <w:noWrap/>
            <w:vAlign w:val="center"/>
            <w:hideMark/>
          </w:tcPr>
          <w:p w14:paraId="09E9BD9C" w14:textId="77777777" w:rsidR="00FD2CBB" w:rsidRPr="00A2769C" w:rsidRDefault="00FD2CBB">
            <w:pPr>
              <w:spacing w:after="0" w:line="240" w:lineRule="auto"/>
              <w:jc w:val="left"/>
              <w:rPr>
                <w:rFonts w:eastAsia="Times New Roman" w:cs="Calibri"/>
                <w:color w:val="242424"/>
                <w:sz w:val="20"/>
                <w:szCs w:val="20"/>
              </w:rPr>
            </w:pPr>
            <w:r w:rsidRPr="00A2769C">
              <w:rPr>
                <w:rFonts w:eastAsia="Times New Roman" w:cs="Calibri"/>
                <w:color w:val="242424"/>
                <w:sz w:val="20"/>
                <w:szCs w:val="20"/>
              </w:rPr>
              <w:t>Bicicletta;</w:t>
            </w:r>
          </w:p>
        </w:tc>
        <w:tc>
          <w:tcPr>
            <w:tcW w:w="1280" w:type="dxa"/>
            <w:vMerge/>
            <w:tcBorders>
              <w:top w:val="nil"/>
              <w:left w:val="single" w:sz="8" w:space="0" w:color="A6A6A6"/>
              <w:bottom w:val="single" w:sz="8" w:space="0" w:color="A6A6A6"/>
              <w:right w:val="single" w:sz="8" w:space="0" w:color="A6A6A6"/>
            </w:tcBorders>
            <w:vAlign w:val="center"/>
            <w:hideMark/>
          </w:tcPr>
          <w:p w14:paraId="671BACE3" w14:textId="77777777" w:rsidR="00FD2CBB" w:rsidRPr="00A2769C" w:rsidRDefault="00FD2CBB">
            <w:pPr>
              <w:spacing w:after="0" w:line="240" w:lineRule="auto"/>
              <w:jc w:val="left"/>
              <w:rPr>
                <w:rFonts w:eastAsia="Times New Roman" w:cs="Calibri"/>
                <w:color w:val="000000"/>
                <w:sz w:val="20"/>
                <w:szCs w:val="20"/>
              </w:rPr>
            </w:pPr>
          </w:p>
        </w:tc>
        <w:tc>
          <w:tcPr>
            <w:tcW w:w="1222" w:type="dxa"/>
            <w:vMerge/>
            <w:tcBorders>
              <w:top w:val="nil"/>
              <w:left w:val="single" w:sz="8" w:space="0" w:color="A6A6A6"/>
              <w:bottom w:val="single" w:sz="8" w:space="0" w:color="A6A6A6"/>
              <w:right w:val="single" w:sz="8" w:space="0" w:color="A6A6A6"/>
            </w:tcBorders>
            <w:vAlign w:val="center"/>
            <w:hideMark/>
          </w:tcPr>
          <w:p w14:paraId="2BC4688B" w14:textId="77777777" w:rsidR="00FD2CBB" w:rsidRPr="00A2769C" w:rsidRDefault="00FD2CBB">
            <w:pPr>
              <w:spacing w:after="0" w:line="240" w:lineRule="auto"/>
              <w:jc w:val="left"/>
              <w:rPr>
                <w:rFonts w:eastAsia="Times New Roman" w:cs="Calibri"/>
                <w:color w:val="242424"/>
                <w:sz w:val="20"/>
                <w:szCs w:val="20"/>
              </w:rPr>
            </w:pPr>
          </w:p>
        </w:tc>
        <w:tc>
          <w:tcPr>
            <w:tcW w:w="854" w:type="dxa"/>
            <w:vMerge/>
            <w:tcBorders>
              <w:top w:val="nil"/>
              <w:left w:val="single" w:sz="8" w:space="0" w:color="A6A6A6"/>
              <w:bottom w:val="single" w:sz="8" w:space="0" w:color="A6A6A6"/>
              <w:right w:val="single" w:sz="8" w:space="0" w:color="A6A6A6"/>
            </w:tcBorders>
            <w:vAlign w:val="center"/>
            <w:hideMark/>
          </w:tcPr>
          <w:p w14:paraId="28EB5B70" w14:textId="77777777" w:rsidR="00FD2CBB" w:rsidRPr="00A2769C" w:rsidRDefault="00FD2CBB">
            <w:pPr>
              <w:spacing w:after="0" w:line="240" w:lineRule="auto"/>
              <w:jc w:val="left"/>
              <w:rPr>
                <w:rFonts w:eastAsia="Times New Roman" w:cs="Calibri"/>
                <w:color w:val="FF0000"/>
                <w:sz w:val="20"/>
                <w:szCs w:val="20"/>
              </w:rPr>
            </w:pPr>
          </w:p>
        </w:tc>
        <w:tc>
          <w:tcPr>
            <w:tcW w:w="3355" w:type="dxa"/>
            <w:vMerge/>
            <w:tcBorders>
              <w:top w:val="nil"/>
              <w:left w:val="single" w:sz="8" w:space="0" w:color="A6A6A6"/>
              <w:bottom w:val="single" w:sz="8" w:space="0" w:color="A6A6A6"/>
              <w:right w:val="single" w:sz="8" w:space="0" w:color="A6A6A6"/>
            </w:tcBorders>
            <w:vAlign w:val="center"/>
            <w:hideMark/>
          </w:tcPr>
          <w:p w14:paraId="681FA157" w14:textId="77777777" w:rsidR="00FD2CBB" w:rsidRPr="00A2769C" w:rsidRDefault="00FD2CBB">
            <w:pPr>
              <w:spacing w:after="0" w:line="240" w:lineRule="auto"/>
              <w:jc w:val="left"/>
              <w:rPr>
                <w:rFonts w:eastAsia="Times New Roman" w:cs="Calibri"/>
                <w:color w:val="242424"/>
                <w:sz w:val="20"/>
                <w:szCs w:val="20"/>
              </w:rPr>
            </w:pPr>
          </w:p>
        </w:tc>
      </w:tr>
      <w:tr w:rsidR="00FD2CBB" w:rsidRPr="00A2769C" w14:paraId="2D9CBE33" w14:textId="77777777">
        <w:trPr>
          <w:trHeight w:val="256"/>
        </w:trPr>
        <w:tc>
          <w:tcPr>
            <w:tcW w:w="1245" w:type="dxa"/>
            <w:vMerge/>
            <w:tcBorders>
              <w:top w:val="single" w:sz="8" w:space="0" w:color="A6A6A6"/>
              <w:left w:val="single" w:sz="8" w:space="0" w:color="A6A6A6"/>
              <w:bottom w:val="single" w:sz="8" w:space="0" w:color="A6A6A6"/>
              <w:right w:val="single" w:sz="8" w:space="0" w:color="A6A6A6"/>
            </w:tcBorders>
            <w:vAlign w:val="center"/>
            <w:hideMark/>
          </w:tcPr>
          <w:p w14:paraId="0817427E" w14:textId="77777777" w:rsidR="00FD2CBB" w:rsidRPr="00A2769C" w:rsidRDefault="00FD2CBB">
            <w:pPr>
              <w:spacing w:after="0" w:line="240" w:lineRule="auto"/>
              <w:jc w:val="left"/>
              <w:rPr>
                <w:rFonts w:eastAsia="Times New Roman" w:cs="Calibri"/>
                <w:b/>
                <w:color w:val="000000"/>
                <w:sz w:val="20"/>
                <w:szCs w:val="20"/>
              </w:rPr>
            </w:pPr>
          </w:p>
        </w:tc>
        <w:tc>
          <w:tcPr>
            <w:tcW w:w="1439" w:type="dxa"/>
            <w:tcBorders>
              <w:top w:val="nil"/>
              <w:left w:val="nil"/>
              <w:bottom w:val="single" w:sz="8" w:space="0" w:color="A6A6A6"/>
              <w:right w:val="single" w:sz="8" w:space="0" w:color="A6A6A6"/>
            </w:tcBorders>
            <w:noWrap/>
            <w:vAlign w:val="center"/>
            <w:hideMark/>
          </w:tcPr>
          <w:p w14:paraId="7F5E7F70" w14:textId="77777777" w:rsidR="00FD2CBB" w:rsidRPr="00A2769C" w:rsidRDefault="00FD2CBB">
            <w:pPr>
              <w:spacing w:after="0" w:line="240" w:lineRule="auto"/>
              <w:jc w:val="left"/>
              <w:rPr>
                <w:rFonts w:eastAsia="Times New Roman" w:cs="Calibri"/>
                <w:color w:val="242424"/>
                <w:sz w:val="20"/>
                <w:szCs w:val="20"/>
              </w:rPr>
            </w:pPr>
            <w:r w:rsidRPr="00A2769C">
              <w:rPr>
                <w:rFonts w:eastAsia="Times New Roman" w:cs="Calibri"/>
                <w:color w:val="242424"/>
                <w:sz w:val="20"/>
                <w:szCs w:val="20"/>
              </w:rPr>
              <w:t>Taxi.</w:t>
            </w:r>
          </w:p>
        </w:tc>
        <w:tc>
          <w:tcPr>
            <w:tcW w:w="1280" w:type="dxa"/>
            <w:vMerge/>
            <w:tcBorders>
              <w:top w:val="nil"/>
              <w:left w:val="single" w:sz="8" w:space="0" w:color="A6A6A6"/>
              <w:bottom w:val="single" w:sz="8" w:space="0" w:color="A6A6A6"/>
              <w:right w:val="single" w:sz="8" w:space="0" w:color="A6A6A6"/>
            </w:tcBorders>
            <w:vAlign w:val="center"/>
            <w:hideMark/>
          </w:tcPr>
          <w:p w14:paraId="674BD735" w14:textId="77777777" w:rsidR="00FD2CBB" w:rsidRPr="00A2769C" w:rsidRDefault="00FD2CBB">
            <w:pPr>
              <w:spacing w:after="0" w:line="240" w:lineRule="auto"/>
              <w:jc w:val="left"/>
              <w:rPr>
                <w:rFonts w:eastAsia="Times New Roman" w:cs="Calibri"/>
                <w:color w:val="000000"/>
                <w:sz w:val="20"/>
                <w:szCs w:val="20"/>
              </w:rPr>
            </w:pPr>
          </w:p>
        </w:tc>
        <w:tc>
          <w:tcPr>
            <w:tcW w:w="1222" w:type="dxa"/>
            <w:vMerge/>
            <w:tcBorders>
              <w:top w:val="nil"/>
              <w:left w:val="single" w:sz="8" w:space="0" w:color="A6A6A6"/>
              <w:bottom w:val="single" w:sz="8" w:space="0" w:color="A6A6A6"/>
              <w:right w:val="single" w:sz="8" w:space="0" w:color="A6A6A6"/>
            </w:tcBorders>
            <w:vAlign w:val="center"/>
            <w:hideMark/>
          </w:tcPr>
          <w:p w14:paraId="638BFF44" w14:textId="77777777" w:rsidR="00FD2CBB" w:rsidRPr="00A2769C" w:rsidRDefault="00FD2CBB">
            <w:pPr>
              <w:spacing w:after="0" w:line="240" w:lineRule="auto"/>
              <w:jc w:val="left"/>
              <w:rPr>
                <w:rFonts w:eastAsia="Times New Roman" w:cs="Calibri"/>
                <w:color w:val="242424"/>
                <w:sz w:val="20"/>
                <w:szCs w:val="20"/>
              </w:rPr>
            </w:pPr>
          </w:p>
        </w:tc>
        <w:tc>
          <w:tcPr>
            <w:tcW w:w="854" w:type="dxa"/>
            <w:vMerge/>
            <w:tcBorders>
              <w:top w:val="nil"/>
              <w:left w:val="single" w:sz="8" w:space="0" w:color="A6A6A6"/>
              <w:bottom w:val="single" w:sz="8" w:space="0" w:color="A6A6A6"/>
              <w:right w:val="single" w:sz="8" w:space="0" w:color="A6A6A6"/>
            </w:tcBorders>
            <w:vAlign w:val="center"/>
            <w:hideMark/>
          </w:tcPr>
          <w:p w14:paraId="0CCCCCF1" w14:textId="77777777" w:rsidR="00FD2CBB" w:rsidRPr="00A2769C" w:rsidRDefault="00FD2CBB">
            <w:pPr>
              <w:spacing w:after="0" w:line="240" w:lineRule="auto"/>
              <w:jc w:val="left"/>
              <w:rPr>
                <w:rFonts w:eastAsia="Times New Roman" w:cs="Calibri"/>
                <w:color w:val="FF0000"/>
                <w:sz w:val="20"/>
                <w:szCs w:val="20"/>
              </w:rPr>
            </w:pPr>
          </w:p>
        </w:tc>
        <w:tc>
          <w:tcPr>
            <w:tcW w:w="3355" w:type="dxa"/>
            <w:vMerge/>
            <w:tcBorders>
              <w:top w:val="nil"/>
              <w:left w:val="single" w:sz="8" w:space="0" w:color="A6A6A6"/>
              <w:bottom w:val="single" w:sz="8" w:space="0" w:color="A6A6A6"/>
              <w:right w:val="single" w:sz="8" w:space="0" w:color="A6A6A6"/>
            </w:tcBorders>
            <w:vAlign w:val="center"/>
            <w:hideMark/>
          </w:tcPr>
          <w:p w14:paraId="27DEE8FB" w14:textId="77777777" w:rsidR="00FD2CBB" w:rsidRPr="00A2769C" w:rsidRDefault="00FD2CBB">
            <w:pPr>
              <w:spacing w:after="0" w:line="240" w:lineRule="auto"/>
              <w:jc w:val="left"/>
              <w:rPr>
                <w:rFonts w:eastAsia="Times New Roman" w:cs="Calibri"/>
                <w:color w:val="242424"/>
                <w:sz w:val="20"/>
                <w:szCs w:val="20"/>
              </w:rPr>
            </w:pPr>
          </w:p>
        </w:tc>
      </w:tr>
      <w:tr w:rsidR="00FD2CBB" w:rsidRPr="00A2769C" w14:paraId="4353F37B" w14:textId="77777777">
        <w:trPr>
          <w:trHeight w:val="297"/>
        </w:trPr>
        <w:tc>
          <w:tcPr>
            <w:tcW w:w="1245" w:type="dxa"/>
            <w:vMerge w:val="restart"/>
            <w:tcBorders>
              <w:top w:val="nil"/>
              <w:left w:val="single" w:sz="8" w:space="0" w:color="A6A6A6"/>
              <w:bottom w:val="single" w:sz="8" w:space="0" w:color="A6A6A6"/>
              <w:right w:val="single" w:sz="8" w:space="0" w:color="A6A6A6"/>
            </w:tcBorders>
            <w:shd w:val="clear" w:color="000000" w:fill="FFFFFF"/>
            <w:vAlign w:val="center"/>
            <w:hideMark/>
          </w:tcPr>
          <w:p w14:paraId="71397C45" w14:textId="77777777" w:rsidR="00FD2CBB" w:rsidRPr="001F3314" w:rsidRDefault="00FD2CBB">
            <w:pPr>
              <w:spacing w:after="0" w:line="240" w:lineRule="auto"/>
              <w:jc w:val="left"/>
              <w:rPr>
                <w:rFonts w:eastAsia="Times New Roman" w:cs="Calibri"/>
                <w:b/>
                <w:color w:val="000000"/>
                <w:sz w:val="20"/>
                <w:szCs w:val="20"/>
              </w:rPr>
            </w:pPr>
            <w:r w:rsidRPr="001F3314">
              <w:rPr>
                <w:rFonts w:eastAsia="Times New Roman" w:cs="Calibri"/>
                <w:b/>
                <w:color w:val="000000"/>
                <w:sz w:val="20"/>
                <w:szCs w:val="20"/>
              </w:rPr>
              <w:t>VENARIA</w:t>
            </w:r>
          </w:p>
        </w:tc>
        <w:tc>
          <w:tcPr>
            <w:tcW w:w="1439" w:type="dxa"/>
            <w:tcBorders>
              <w:top w:val="nil"/>
              <w:left w:val="nil"/>
              <w:bottom w:val="nil"/>
              <w:right w:val="single" w:sz="8" w:space="0" w:color="A6A6A6"/>
            </w:tcBorders>
            <w:noWrap/>
            <w:vAlign w:val="center"/>
            <w:hideMark/>
          </w:tcPr>
          <w:p w14:paraId="456169CA" w14:textId="77777777" w:rsidR="00FD2CBB" w:rsidRPr="001F3314" w:rsidRDefault="00FD2CBB">
            <w:pPr>
              <w:spacing w:after="0" w:line="240" w:lineRule="auto"/>
              <w:jc w:val="left"/>
              <w:rPr>
                <w:rFonts w:eastAsia="Times New Roman" w:cs="Calibri"/>
                <w:color w:val="242424"/>
                <w:sz w:val="20"/>
                <w:szCs w:val="20"/>
              </w:rPr>
            </w:pPr>
            <w:r w:rsidRPr="001F3314">
              <w:rPr>
                <w:rFonts w:eastAsia="Times New Roman" w:cs="Calibri"/>
                <w:color w:val="242424"/>
                <w:sz w:val="20"/>
                <w:szCs w:val="20"/>
              </w:rPr>
              <w:t>Autolinee urbane e suburbane;</w:t>
            </w:r>
          </w:p>
        </w:tc>
        <w:tc>
          <w:tcPr>
            <w:tcW w:w="1280" w:type="dxa"/>
            <w:vMerge w:val="restart"/>
            <w:tcBorders>
              <w:top w:val="nil"/>
              <w:left w:val="single" w:sz="8" w:space="0" w:color="A6A6A6"/>
              <w:bottom w:val="single" w:sz="8" w:space="0" w:color="A6A6A6"/>
              <w:right w:val="single" w:sz="8" w:space="0" w:color="A6A6A6"/>
            </w:tcBorders>
            <w:vAlign w:val="center"/>
            <w:hideMark/>
          </w:tcPr>
          <w:p w14:paraId="452434A3" w14:textId="77777777" w:rsidR="00FD2CBB" w:rsidRPr="001F3314" w:rsidRDefault="00FD2CBB">
            <w:pPr>
              <w:spacing w:after="0" w:line="240" w:lineRule="auto"/>
              <w:jc w:val="left"/>
              <w:rPr>
                <w:rFonts w:eastAsia="Times New Roman" w:cs="Calibri"/>
                <w:color w:val="242424"/>
                <w:sz w:val="20"/>
                <w:szCs w:val="20"/>
              </w:rPr>
            </w:pPr>
            <w:r w:rsidRPr="001F3314">
              <w:rPr>
                <w:rFonts w:eastAsia="Times New Roman" w:cs="Calibri"/>
                <w:color w:val="242424"/>
                <w:sz w:val="20"/>
                <w:szCs w:val="20"/>
              </w:rPr>
              <w:t>Nodo di interscambio multimodale diretto</w:t>
            </w:r>
          </w:p>
        </w:tc>
        <w:tc>
          <w:tcPr>
            <w:tcW w:w="1222" w:type="dxa"/>
            <w:vMerge w:val="restart"/>
            <w:tcBorders>
              <w:top w:val="nil"/>
              <w:left w:val="single" w:sz="8" w:space="0" w:color="A6A6A6"/>
              <w:bottom w:val="single" w:sz="8" w:space="0" w:color="A6A6A6"/>
              <w:right w:val="single" w:sz="8" w:space="0" w:color="A6A6A6"/>
            </w:tcBorders>
            <w:vAlign w:val="center"/>
            <w:hideMark/>
          </w:tcPr>
          <w:p w14:paraId="19042B48" w14:textId="77777777" w:rsidR="00FD2CBB" w:rsidRPr="001F3314" w:rsidRDefault="00FD2CBB">
            <w:pPr>
              <w:spacing w:after="0" w:line="240" w:lineRule="auto"/>
              <w:jc w:val="left"/>
              <w:rPr>
                <w:rFonts w:eastAsia="Times New Roman" w:cs="Calibri"/>
                <w:color w:val="242424"/>
                <w:sz w:val="20"/>
                <w:szCs w:val="20"/>
              </w:rPr>
            </w:pPr>
            <w:r w:rsidRPr="001F3314">
              <w:rPr>
                <w:rFonts w:eastAsia="Times New Roman" w:cs="Calibri"/>
                <w:color w:val="242424"/>
                <w:sz w:val="20"/>
                <w:szCs w:val="20"/>
              </w:rPr>
              <w:t> </w:t>
            </w:r>
          </w:p>
        </w:tc>
        <w:tc>
          <w:tcPr>
            <w:tcW w:w="854" w:type="dxa"/>
            <w:vMerge w:val="restart"/>
            <w:tcBorders>
              <w:top w:val="nil"/>
              <w:left w:val="single" w:sz="8" w:space="0" w:color="A6A6A6"/>
              <w:bottom w:val="single" w:sz="8" w:space="0" w:color="A6A6A6"/>
              <w:right w:val="single" w:sz="8" w:space="0" w:color="A6A6A6"/>
            </w:tcBorders>
            <w:vAlign w:val="center"/>
            <w:hideMark/>
          </w:tcPr>
          <w:p w14:paraId="4FFD295F" w14:textId="77777777" w:rsidR="00FD2CBB" w:rsidRPr="00A2769C" w:rsidRDefault="00FD2CBB">
            <w:pPr>
              <w:spacing w:after="0" w:line="240" w:lineRule="auto"/>
              <w:jc w:val="left"/>
              <w:rPr>
                <w:rFonts w:eastAsia="Times New Roman" w:cs="Calibri"/>
                <w:color w:val="FF0000"/>
                <w:sz w:val="20"/>
                <w:szCs w:val="20"/>
              </w:rPr>
            </w:pPr>
            <w:r w:rsidRPr="003F33A8">
              <w:rPr>
                <w:rFonts w:eastAsia="Times New Roman" w:cs="Calibri"/>
                <w:sz w:val="20"/>
                <w:szCs w:val="20"/>
              </w:rPr>
              <w:t>NO per aspetti TPL</w:t>
            </w:r>
          </w:p>
        </w:tc>
        <w:tc>
          <w:tcPr>
            <w:tcW w:w="3355" w:type="dxa"/>
            <w:vMerge w:val="restart"/>
            <w:tcBorders>
              <w:top w:val="nil"/>
              <w:left w:val="single" w:sz="8" w:space="0" w:color="A6A6A6"/>
              <w:bottom w:val="single" w:sz="8" w:space="0" w:color="A6A6A6"/>
              <w:right w:val="single" w:sz="8" w:space="0" w:color="A6A6A6"/>
            </w:tcBorders>
            <w:vAlign w:val="center"/>
            <w:hideMark/>
          </w:tcPr>
          <w:p w14:paraId="3E28EE8A" w14:textId="77777777" w:rsidR="00FD2CBB" w:rsidRPr="00A2769C" w:rsidRDefault="00FD2CBB">
            <w:pPr>
              <w:spacing w:after="0" w:line="240" w:lineRule="auto"/>
              <w:jc w:val="left"/>
              <w:rPr>
                <w:rFonts w:eastAsia="Times New Roman" w:cs="Calibri"/>
                <w:color w:val="242424"/>
                <w:sz w:val="20"/>
                <w:szCs w:val="20"/>
              </w:rPr>
            </w:pPr>
            <w:r w:rsidRPr="00A2769C">
              <w:rPr>
                <w:rFonts w:eastAsia="Times New Roman" w:cs="Calibri"/>
                <w:color w:val="242424"/>
                <w:sz w:val="20"/>
                <w:szCs w:val="20"/>
              </w:rPr>
              <w:t>Il "Movicentro" si distingue principalmente per la presenza di un parcheggio situato frontalmente alla stazione ferroviaria. Le fermate di TPL sono di passaggio e sono prive di infrastrutture dedicate.</w:t>
            </w:r>
          </w:p>
        </w:tc>
      </w:tr>
      <w:tr w:rsidR="00FD2CBB" w:rsidRPr="00A2769C" w14:paraId="0A67B27E" w14:textId="77777777">
        <w:trPr>
          <w:trHeight w:val="297"/>
        </w:trPr>
        <w:tc>
          <w:tcPr>
            <w:tcW w:w="1245" w:type="dxa"/>
            <w:vMerge/>
            <w:tcBorders>
              <w:top w:val="nil"/>
              <w:left w:val="single" w:sz="8" w:space="0" w:color="A6A6A6"/>
              <w:bottom w:val="single" w:sz="8" w:space="0" w:color="A6A6A6"/>
              <w:right w:val="single" w:sz="8" w:space="0" w:color="A6A6A6"/>
            </w:tcBorders>
            <w:vAlign w:val="center"/>
            <w:hideMark/>
          </w:tcPr>
          <w:p w14:paraId="06B09D3D" w14:textId="77777777" w:rsidR="00FD2CBB" w:rsidRPr="001F3314" w:rsidRDefault="00FD2CBB">
            <w:pPr>
              <w:spacing w:after="0" w:line="240" w:lineRule="auto"/>
              <w:jc w:val="left"/>
              <w:rPr>
                <w:rFonts w:eastAsia="Times New Roman" w:cs="Calibri"/>
                <w:b/>
                <w:color w:val="000000"/>
                <w:sz w:val="20"/>
                <w:szCs w:val="20"/>
              </w:rPr>
            </w:pPr>
          </w:p>
        </w:tc>
        <w:tc>
          <w:tcPr>
            <w:tcW w:w="1439" w:type="dxa"/>
            <w:tcBorders>
              <w:top w:val="nil"/>
              <w:left w:val="nil"/>
              <w:bottom w:val="nil"/>
              <w:right w:val="single" w:sz="8" w:space="0" w:color="A6A6A6"/>
            </w:tcBorders>
            <w:noWrap/>
            <w:vAlign w:val="center"/>
            <w:hideMark/>
          </w:tcPr>
          <w:p w14:paraId="408CE1AF" w14:textId="77777777" w:rsidR="00FD2CBB" w:rsidRPr="001F3314" w:rsidRDefault="00FD2CBB">
            <w:pPr>
              <w:spacing w:after="0" w:line="240" w:lineRule="auto"/>
              <w:jc w:val="left"/>
              <w:rPr>
                <w:rFonts w:eastAsia="Times New Roman" w:cs="Calibri"/>
                <w:color w:val="242424"/>
                <w:sz w:val="20"/>
                <w:szCs w:val="20"/>
              </w:rPr>
            </w:pPr>
            <w:r w:rsidRPr="001F3314">
              <w:rPr>
                <w:rFonts w:eastAsia="Times New Roman" w:cs="Calibri"/>
                <w:color w:val="242424"/>
                <w:sz w:val="20"/>
                <w:szCs w:val="20"/>
              </w:rPr>
              <w:t>Servizi ferroviari;</w:t>
            </w:r>
          </w:p>
        </w:tc>
        <w:tc>
          <w:tcPr>
            <w:tcW w:w="1280" w:type="dxa"/>
            <w:vMerge/>
            <w:tcBorders>
              <w:top w:val="nil"/>
              <w:left w:val="single" w:sz="8" w:space="0" w:color="A6A6A6"/>
              <w:bottom w:val="single" w:sz="8" w:space="0" w:color="A6A6A6"/>
              <w:right w:val="single" w:sz="8" w:space="0" w:color="A6A6A6"/>
            </w:tcBorders>
            <w:vAlign w:val="center"/>
            <w:hideMark/>
          </w:tcPr>
          <w:p w14:paraId="77BADD13" w14:textId="77777777" w:rsidR="00FD2CBB" w:rsidRPr="001F3314" w:rsidRDefault="00FD2CBB">
            <w:pPr>
              <w:spacing w:after="0" w:line="240" w:lineRule="auto"/>
              <w:jc w:val="left"/>
              <w:rPr>
                <w:rFonts w:eastAsia="Times New Roman" w:cs="Calibri"/>
                <w:color w:val="242424"/>
                <w:sz w:val="20"/>
                <w:szCs w:val="20"/>
                <w:highlight w:val="yellow"/>
              </w:rPr>
            </w:pPr>
          </w:p>
        </w:tc>
        <w:tc>
          <w:tcPr>
            <w:tcW w:w="1222" w:type="dxa"/>
            <w:vMerge/>
            <w:tcBorders>
              <w:top w:val="nil"/>
              <w:left w:val="single" w:sz="8" w:space="0" w:color="A6A6A6"/>
              <w:bottom w:val="single" w:sz="8" w:space="0" w:color="A6A6A6"/>
              <w:right w:val="single" w:sz="8" w:space="0" w:color="A6A6A6"/>
            </w:tcBorders>
            <w:vAlign w:val="center"/>
            <w:hideMark/>
          </w:tcPr>
          <w:p w14:paraId="56C00E53" w14:textId="77777777" w:rsidR="00FD2CBB" w:rsidRPr="00A2769C" w:rsidRDefault="00FD2CBB">
            <w:pPr>
              <w:spacing w:after="0" w:line="240" w:lineRule="auto"/>
              <w:jc w:val="left"/>
              <w:rPr>
                <w:rFonts w:eastAsia="Times New Roman" w:cs="Calibri"/>
                <w:color w:val="242424"/>
                <w:sz w:val="20"/>
                <w:szCs w:val="20"/>
              </w:rPr>
            </w:pPr>
          </w:p>
        </w:tc>
        <w:tc>
          <w:tcPr>
            <w:tcW w:w="854" w:type="dxa"/>
            <w:vMerge/>
            <w:tcBorders>
              <w:top w:val="nil"/>
              <w:left w:val="single" w:sz="8" w:space="0" w:color="A6A6A6"/>
              <w:bottom w:val="single" w:sz="8" w:space="0" w:color="A6A6A6"/>
              <w:right w:val="single" w:sz="8" w:space="0" w:color="A6A6A6"/>
            </w:tcBorders>
            <w:vAlign w:val="center"/>
            <w:hideMark/>
          </w:tcPr>
          <w:p w14:paraId="20F259B3" w14:textId="77777777" w:rsidR="00FD2CBB" w:rsidRPr="00A2769C" w:rsidRDefault="00FD2CBB">
            <w:pPr>
              <w:spacing w:after="0" w:line="240" w:lineRule="auto"/>
              <w:jc w:val="left"/>
              <w:rPr>
                <w:rFonts w:eastAsia="Times New Roman" w:cs="Calibri"/>
                <w:color w:val="FF0000"/>
                <w:sz w:val="20"/>
                <w:szCs w:val="20"/>
              </w:rPr>
            </w:pPr>
          </w:p>
        </w:tc>
        <w:tc>
          <w:tcPr>
            <w:tcW w:w="3355" w:type="dxa"/>
            <w:vMerge/>
            <w:tcBorders>
              <w:top w:val="nil"/>
              <w:left w:val="single" w:sz="8" w:space="0" w:color="A6A6A6"/>
              <w:bottom w:val="single" w:sz="8" w:space="0" w:color="A6A6A6"/>
              <w:right w:val="single" w:sz="8" w:space="0" w:color="A6A6A6"/>
            </w:tcBorders>
            <w:vAlign w:val="center"/>
            <w:hideMark/>
          </w:tcPr>
          <w:p w14:paraId="0C67EFD0" w14:textId="77777777" w:rsidR="00FD2CBB" w:rsidRPr="00A2769C" w:rsidRDefault="00FD2CBB">
            <w:pPr>
              <w:spacing w:after="0" w:line="240" w:lineRule="auto"/>
              <w:jc w:val="left"/>
              <w:rPr>
                <w:rFonts w:eastAsia="Times New Roman" w:cs="Calibri"/>
                <w:color w:val="242424"/>
                <w:sz w:val="20"/>
                <w:szCs w:val="20"/>
              </w:rPr>
            </w:pPr>
          </w:p>
        </w:tc>
      </w:tr>
      <w:tr w:rsidR="00FD2CBB" w:rsidRPr="00A2769C" w14:paraId="15C0EBC5" w14:textId="77777777">
        <w:trPr>
          <w:trHeight w:val="297"/>
        </w:trPr>
        <w:tc>
          <w:tcPr>
            <w:tcW w:w="1245" w:type="dxa"/>
            <w:vMerge/>
            <w:tcBorders>
              <w:top w:val="nil"/>
              <w:left w:val="single" w:sz="8" w:space="0" w:color="A6A6A6"/>
              <w:bottom w:val="single" w:sz="8" w:space="0" w:color="A6A6A6"/>
              <w:right w:val="single" w:sz="8" w:space="0" w:color="A6A6A6"/>
            </w:tcBorders>
            <w:vAlign w:val="center"/>
            <w:hideMark/>
          </w:tcPr>
          <w:p w14:paraId="47373A87" w14:textId="77777777" w:rsidR="00FD2CBB" w:rsidRPr="001F3314" w:rsidRDefault="00FD2CBB">
            <w:pPr>
              <w:spacing w:after="0" w:line="240" w:lineRule="auto"/>
              <w:jc w:val="left"/>
              <w:rPr>
                <w:rFonts w:eastAsia="Times New Roman" w:cs="Calibri"/>
                <w:b/>
                <w:color w:val="000000"/>
                <w:sz w:val="20"/>
                <w:szCs w:val="20"/>
              </w:rPr>
            </w:pPr>
          </w:p>
        </w:tc>
        <w:tc>
          <w:tcPr>
            <w:tcW w:w="1439" w:type="dxa"/>
            <w:tcBorders>
              <w:top w:val="nil"/>
              <w:left w:val="nil"/>
              <w:bottom w:val="nil"/>
              <w:right w:val="single" w:sz="8" w:space="0" w:color="A6A6A6"/>
            </w:tcBorders>
            <w:noWrap/>
            <w:vAlign w:val="center"/>
            <w:hideMark/>
          </w:tcPr>
          <w:p w14:paraId="2CCD3412" w14:textId="77777777" w:rsidR="00FD2CBB" w:rsidRPr="001F3314" w:rsidRDefault="00FD2CBB">
            <w:pPr>
              <w:spacing w:after="0" w:line="240" w:lineRule="auto"/>
              <w:jc w:val="left"/>
              <w:rPr>
                <w:rFonts w:eastAsia="Times New Roman" w:cs="Calibri"/>
                <w:color w:val="242424"/>
                <w:sz w:val="20"/>
                <w:szCs w:val="20"/>
              </w:rPr>
            </w:pPr>
            <w:r w:rsidRPr="001F3314">
              <w:rPr>
                <w:rFonts w:eastAsia="Times New Roman" w:cs="Calibri"/>
                <w:color w:val="242424"/>
                <w:sz w:val="20"/>
                <w:szCs w:val="20"/>
              </w:rPr>
              <w:t>Bicicletta;</w:t>
            </w:r>
          </w:p>
        </w:tc>
        <w:tc>
          <w:tcPr>
            <w:tcW w:w="1280" w:type="dxa"/>
            <w:vMerge/>
            <w:tcBorders>
              <w:top w:val="nil"/>
              <w:left w:val="single" w:sz="8" w:space="0" w:color="A6A6A6"/>
              <w:bottom w:val="single" w:sz="8" w:space="0" w:color="A6A6A6"/>
              <w:right w:val="single" w:sz="8" w:space="0" w:color="A6A6A6"/>
            </w:tcBorders>
            <w:vAlign w:val="center"/>
            <w:hideMark/>
          </w:tcPr>
          <w:p w14:paraId="57536703" w14:textId="77777777" w:rsidR="00FD2CBB" w:rsidRPr="001F3314" w:rsidRDefault="00FD2CBB">
            <w:pPr>
              <w:spacing w:after="0" w:line="240" w:lineRule="auto"/>
              <w:jc w:val="left"/>
              <w:rPr>
                <w:rFonts w:eastAsia="Times New Roman" w:cs="Calibri"/>
                <w:color w:val="242424"/>
                <w:sz w:val="20"/>
                <w:szCs w:val="20"/>
                <w:highlight w:val="yellow"/>
              </w:rPr>
            </w:pPr>
          </w:p>
        </w:tc>
        <w:tc>
          <w:tcPr>
            <w:tcW w:w="1222" w:type="dxa"/>
            <w:vMerge/>
            <w:tcBorders>
              <w:top w:val="nil"/>
              <w:left w:val="single" w:sz="8" w:space="0" w:color="A6A6A6"/>
              <w:bottom w:val="single" w:sz="8" w:space="0" w:color="A6A6A6"/>
              <w:right w:val="single" w:sz="8" w:space="0" w:color="A6A6A6"/>
            </w:tcBorders>
            <w:vAlign w:val="center"/>
            <w:hideMark/>
          </w:tcPr>
          <w:p w14:paraId="35A3BB14" w14:textId="77777777" w:rsidR="00FD2CBB" w:rsidRPr="00A2769C" w:rsidRDefault="00FD2CBB">
            <w:pPr>
              <w:spacing w:after="0" w:line="240" w:lineRule="auto"/>
              <w:jc w:val="left"/>
              <w:rPr>
                <w:rFonts w:eastAsia="Times New Roman" w:cs="Calibri"/>
                <w:color w:val="242424"/>
                <w:sz w:val="20"/>
                <w:szCs w:val="20"/>
              </w:rPr>
            </w:pPr>
          </w:p>
        </w:tc>
        <w:tc>
          <w:tcPr>
            <w:tcW w:w="854" w:type="dxa"/>
            <w:vMerge/>
            <w:tcBorders>
              <w:top w:val="nil"/>
              <w:left w:val="single" w:sz="8" w:space="0" w:color="A6A6A6"/>
              <w:bottom w:val="single" w:sz="8" w:space="0" w:color="A6A6A6"/>
              <w:right w:val="single" w:sz="8" w:space="0" w:color="A6A6A6"/>
            </w:tcBorders>
            <w:vAlign w:val="center"/>
            <w:hideMark/>
          </w:tcPr>
          <w:p w14:paraId="654CB1B3" w14:textId="77777777" w:rsidR="00FD2CBB" w:rsidRPr="00A2769C" w:rsidRDefault="00FD2CBB">
            <w:pPr>
              <w:spacing w:after="0" w:line="240" w:lineRule="auto"/>
              <w:jc w:val="left"/>
              <w:rPr>
                <w:rFonts w:eastAsia="Times New Roman" w:cs="Calibri"/>
                <w:color w:val="FF0000"/>
                <w:sz w:val="20"/>
                <w:szCs w:val="20"/>
              </w:rPr>
            </w:pPr>
          </w:p>
        </w:tc>
        <w:tc>
          <w:tcPr>
            <w:tcW w:w="3355" w:type="dxa"/>
            <w:vMerge/>
            <w:tcBorders>
              <w:top w:val="nil"/>
              <w:left w:val="single" w:sz="8" w:space="0" w:color="A6A6A6"/>
              <w:bottom w:val="single" w:sz="8" w:space="0" w:color="A6A6A6"/>
              <w:right w:val="single" w:sz="8" w:space="0" w:color="A6A6A6"/>
            </w:tcBorders>
            <w:vAlign w:val="center"/>
            <w:hideMark/>
          </w:tcPr>
          <w:p w14:paraId="4A4A0C26" w14:textId="77777777" w:rsidR="00FD2CBB" w:rsidRPr="00A2769C" w:rsidRDefault="00FD2CBB">
            <w:pPr>
              <w:spacing w:after="0" w:line="240" w:lineRule="auto"/>
              <w:jc w:val="left"/>
              <w:rPr>
                <w:rFonts w:eastAsia="Times New Roman" w:cs="Calibri"/>
                <w:color w:val="242424"/>
                <w:sz w:val="20"/>
                <w:szCs w:val="20"/>
              </w:rPr>
            </w:pPr>
          </w:p>
        </w:tc>
      </w:tr>
      <w:tr w:rsidR="00FD2CBB" w:rsidRPr="00A2769C" w14:paraId="0A1D3FB7" w14:textId="77777777">
        <w:trPr>
          <w:trHeight w:val="475"/>
        </w:trPr>
        <w:tc>
          <w:tcPr>
            <w:tcW w:w="1245" w:type="dxa"/>
            <w:vMerge/>
            <w:tcBorders>
              <w:top w:val="nil"/>
              <w:left w:val="single" w:sz="8" w:space="0" w:color="A6A6A6"/>
              <w:bottom w:val="single" w:sz="8" w:space="0" w:color="A6A6A6"/>
              <w:right w:val="single" w:sz="8" w:space="0" w:color="A6A6A6"/>
            </w:tcBorders>
            <w:vAlign w:val="center"/>
            <w:hideMark/>
          </w:tcPr>
          <w:p w14:paraId="25218F81" w14:textId="77777777" w:rsidR="00FD2CBB" w:rsidRPr="001F3314" w:rsidRDefault="00FD2CBB">
            <w:pPr>
              <w:spacing w:after="0" w:line="240" w:lineRule="auto"/>
              <w:jc w:val="left"/>
              <w:rPr>
                <w:rFonts w:eastAsia="Times New Roman" w:cs="Calibri"/>
                <w:b/>
                <w:color w:val="000000"/>
                <w:sz w:val="20"/>
                <w:szCs w:val="20"/>
              </w:rPr>
            </w:pPr>
          </w:p>
        </w:tc>
        <w:tc>
          <w:tcPr>
            <w:tcW w:w="1439" w:type="dxa"/>
            <w:tcBorders>
              <w:top w:val="nil"/>
              <w:left w:val="nil"/>
              <w:bottom w:val="single" w:sz="8" w:space="0" w:color="A6A6A6"/>
              <w:right w:val="single" w:sz="8" w:space="0" w:color="A6A6A6"/>
            </w:tcBorders>
            <w:noWrap/>
            <w:vAlign w:val="center"/>
            <w:hideMark/>
          </w:tcPr>
          <w:p w14:paraId="138AFE6A" w14:textId="77777777" w:rsidR="00FD2CBB" w:rsidRPr="001F3314" w:rsidRDefault="00FD2CBB">
            <w:pPr>
              <w:spacing w:after="0" w:line="240" w:lineRule="auto"/>
              <w:jc w:val="left"/>
              <w:rPr>
                <w:rFonts w:eastAsia="Times New Roman" w:cs="Calibri"/>
                <w:color w:val="242424"/>
                <w:sz w:val="20"/>
                <w:szCs w:val="20"/>
              </w:rPr>
            </w:pPr>
            <w:r w:rsidRPr="001F3314">
              <w:rPr>
                <w:rFonts w:eastAsia="Times New Roman" w:cs="Calibri"/>
                <w:color w:val="242424"/>
                <w:sz w:val="20"/>
                <w:szCs w:val="20"/>
              </w:rPr>
              <w:t>Taxi.</w:t>
            </w:r>
          </w:p>
        </w:tc>
        <w:tc>
          <w:tcPr>
            <w:tcW w:w="1280" w:type="dxa"/>
            <w:vMerge/>
            <w:tcBorders>
              <w:top w:val="nil"/>
              <w:left w:val="single" w:sz="8" w:space="0" w:color="A6A6A6"/>
              <w:bottom w:val="single" w:sz="8" w:space="0" w:color="A6A6A6"/>
              <w:right w:val="single" w:sz="8" w:space="0" w:color="A6A6A6"/>
            </w:tcBorders>
            <w:vAlign w:val="center"/>
            <w:hideMark/>
          </w:tcPr>
          <w:p w14:paraId="564EE4F9" w14:textId="77777777" w:rsidR="00FD2CBB" w:rsidRPr="00A2769C" w:rsidRDefault="00FD2CBB">
            <w:pPr>
              <w:spacing w:after="0" w:line="240" w:lineRule="auto"/>
              <w:jc w:val="left"/>
              <w:rPr>
                <w:rFonts w:eastAsia="Times New Roman" w:cs="Calibri"/>
                <w:color w:val="000000"/>
                <w:sz w:val="20"/>
                <w:szCs w:val="20"/>
              </w:rPr>
            </w:pPr>
          </w:p>
        </w:tc>
        <w:tc>
          <w:tcPr>
            <w:tcW w:w="1222" w:type="dxa"/>
            <w:vMerge/>
            <w:tcBorders>
              <w:top w:val="nil"/>
              <w:left w:val="single" w:sz="8" w:space="0" w:color="A6A6A6"/>
              <w:bottom w:val="single" w:sz="8" w:space="0" w:color="A6A6A6"/>
              <w:right w:val="single" w:sz="8" w:space="0" w:color="A6A6A6"/>
            </w:tcBorders>
            <w:vAlign w:val="center"/>
            <w:hideMark/>
          </w:tcPr>
          <w:p w14:paraId="2BB314B4" w14:textId="77777777" w:rsidR="00FD2CBB" w:rsidRPr="00A2769C" w:rsidRDefault="00FD2CBB">
            <w:pPr>
              <w:spacing w:after="0" w:line="240" w:lineRule="auto"/>
              <w:jc w:val="left"/>
              <w:rPr>
                <w:rFonts w:eastAsia="Times New Roman" w:cs="Calibri"/>
                <w:color w:val="242424"/>
                <w:sz w:val="20"/>
                <w:szCs w:val="20"/>
              </w:rPr>
            </w:pPr>
          </w:p>
        </w:tc>
        <w:tc>
          <w:tcPr>
            <w:tcW w:w="854" w:type="dxa"/>
            <w:vMerge/>
            <w:tcBorders>
              <w:top w:val="nil"/>
              <w:left w:val="single" w:sz="8" w:space="0" w:color="A6A6A6"/>
              <w:bottom w:val="single" w:sz="8" w:space="0" w:color="A6A6A6"/>
              <w:right w:val="single" w:sz="8" w:space="0" w:color="A6A6A6"/>
            </w:tcBorders>
            <w:vAlign w:val="center"/>
            <w:hideMark/>
          </w:tcPr>
          <w:p w14:paraId="102DF49E" w14:textId="77777777" w:rsidR="00FD2CBB" w:rsidRPr="00A2769C" w:rsidRDefault="00FD2CBB">
            <w:pPr>
              <w:spacing w:after="0" w:line="240" w:lineRule="auto"/>
              <w:jc w:val="left"/>
              <w:rPr>
                <w:rFonts w:eastAsia="Times New Roman" w:cs="Calibri"/>
                <w:color w:val="FF0000"/>
                <w:sz w:val="20"/>
                <w:szCs w:val="20"/>
              </w:rPr>
            </w:pPr>
          </w:p>
        </w:tc>
        <w:tc>
          <w:tcPr>
            <w:tcW w:w="3355" w:type="dxa"/>
            <w:vMerge/>
            <w:tcBorders>
              <w:top w:val="nil"/>
              <w:left w:val="single" w:sz="8" w:space="0" w:color="A6A6A6"/>
              <w:bottom w:val="single" w:sz="8" w:space="0" w:color="A6A6A6"/>
              <w:right w:val="single" w:sz="8" w:space="0" w:color="A6A6A6"/>
            </w:tcBorders>
            <w:vAlign w:val="center"/>
            <w:hideMark/>
          </w:tcPr>
          <w:p w14:paraId="4E0DFFDA" w14:textId="77777777" w:rsidR="00FD2CBB" w:rsidRPr="00A2769C" w:rsidRDefault="00FD2CBB">
            <w:pPr>
              <w:spacing w:after="0" w:line="240" w:lineRule="auto"/>
              <w:jc w:val="left"/>
              <w:rPr>
                <w:rFonts w:eastAsia="Times New Roman" w:cs="Calibri"/>
                <w:color w:val="242424"/>
                <w:sz w:val="20"/>
                <w:szCs w:val="20"/>
              </w:rPr>
            </w:pPr>
          </w:p>
        </w:tc>
      </w:tr>
    </w:tbl>
    <w:p w14:paraId="77E95663" w14:textId="055A8EF3" w:rsidR="00FD2CBB" w:rsidRDefault="00FD2CBB" w:rsidP="00FD2CBB">
      <w:pPr>
        <w:pStyle w:val="Didascalia"/>
        <w:jc w:val="center"/>
        <w:rPr>
          <w:i w:val="0"/>
        </w:rPr>
      </w:pPr>
      <w:r>
        <w:t xml:space="preserve">Tabella </w:t>
      </w:r>
      <w:r w:rsidR="00FD7EE5">
        <w:fldChar w:fldCharType="begin"/>
      </w:r>
      <w:r w:rsidR="00FD7EE5">
        <w:instrText xml:space="preserve"> SEQ Tabella \* ARABIC </w:instrText>
      </w:r>
      <w:r w:rsidR="00FD7EE5">
        <w:fldChar w:fldCharType="separate"/>
      </w:r>
      <w:r w:rsidR="00073B6D">
        <w:rPr>
          <w:noProof/>
        </w:rPr>
        <w:t>35</w:t>
      </w:r>
      <w:r w:rsidR="00FD7EE5">
        <w:rPr>
          <w:noProof/>
        </w:rPr>
        <w:fldChar w:fldCharType="end"/>
      </w:r>
      <w:r>
        <w:rPr>
          <w:i w:val="0"/>
        </w:rPr>
        <w:t xml:space="preserve"> – </w:t>
      </w:r>
      <w:r w:rsidRPr="00446884">
        <w:rPr>
          <w:iCs w:val="0"/>
        </w:rPr>
        <w:t>Quadro di sintesi delle caratteristiche dei nodi d’interscambio di I livello</w:t>
      </w:r>
    </w:p>
    <w:p w14:paraId="4DA40BD9" w14:textId="77777777" w:rsidR="00FD2CBB" w:rsidRDefault="00FD2CBB" w:rsidP="00FD2CBB">
      <w:pPr>
        <w:spacing w:before="120" w:after="0" w:line="240" w:lineRule="auto"/>
      </w:pPr>
      <w:bookmarkStart w:id="221" w:name="_Toc193195713"/>
      <w:bookmarkStart w:id="222" w:name="_Toc214278525"/>
      <w:bookmarkStart w:id="223" w:name="_Ref197352178"/>
      <w:bookmarkStart w:id="224" w:name="_Toc197695689"/>
      <w:bookmarkStart w:id="225" w:name="_Toc204616499"/>
      <w:r w:rsidRPr="0023459E">
        <w:t xml:space="preserve">A valle della definizione del </w:t>
      </w:r>
      <w:r w:rsidRPr="000C6009">
        <w:rPr>
          <w:rFonts w:cstheme="minorHAnsi"/>
        </w:rPr>
        <w:t xml:space="preserve">Piano dell’accessibilità </w:t>
      </w:r>
      <w:r>
        <w:rPr>
          <w:rFonts w:cstheme="minorHAnsi"/>
        </w:rPr>
        <w:t xml:space="preserve">e </w:t>
      </w:r>
      <w:r w:rsidRPr="000C6009">
        <w:rPr>
          <w:rFonts w:cstheme="minorHAnsi"/>
        </w:rPr>
        <w:t xml:space="preserve">dell’intermodalità </w:t>
      </w:r>
      <w:r w:rsidRPr="0023459E">
        <w:t>del Bacino Metropolitano potrebbero essere evidenziati altri nodi rilevanti di primo livello.</w:t>
      </w:r>
    </w:p>
    <w:p w14:paraId="296775A6" w14:textId="77777777" w:rsidR="00FD2CBB" w:rsidRDefault="00FD2CBB" w:rsidP="00FD2CBB">
      <w:pPr>
        <w:spacing w:before="120" w:after="0" w:line="240" w:lineRule="auto"/>
      </w:pPr>
      <w:r w:rsidRPr="001F3314">
        <w:t>Si segnala inoltre che le nuove stazioni ferroviarie di Orbassano San Luigi e Buttigliera Alta Ferriere in corso di realizzazione, presentano caratteri progettuali da “Movicentro” come ampio parcheggio, aree di fermata e attestamento per il TPL su gomma.</w:t>
      </w:r>
    </w:p>
    <w:p w14:paraId="011937C7" w14:textId="77777777" w:rsidR="00FD2CBB" w:rsidRDefault="00FD2CBB" w:rsidP="00FD2CBB">
      <w:pPr>
        <w:pStyle w:val="Titolo2"/>
        <w:ind w:left="567"/>
      </w:pPr>
      <w:bookmarkStart w:id="226" w:name="_Toc204328730"/>
      <w:bookmarkStart w:id="227" w:name="_Ref213072029"/>
      <w:bookmarkStart w:id="228" w:name="_Toc213078370"/>
      <w:bookmarkEnd w:id="221"/>
      <w:bookmarkEnd w:id="222"/>
      <w:bookmarkEnd w:id="223"/>
      <w:bookmarkEnd w:id="224"/>
      <w:bookmarkEnd w:id="225"/>
      <w:r>
        <w:t>Offerta di trasporto - Sviluppi</w:t>
      </w:r>
      <w:bookmarkEnd w:id="226"/>
      <w:bookmarkEnd w:id="227"/>
      <w:bookmarkEnd w:id="228"/>
    </w:p>
    <w:p w14:paraId="3F7D71EF" w14:textId="77777777" w:rsidR="00FD2CBB" w:rsidRPr="0010715C" w:rsidRDefault="00FD2CBB" w:rsidP="00FD2CBB">
      <w:pPr>
        <w:spacing w:before="120" w:after="0" w:line="240" w:lineRule="auto"/>
        <w:rPr>
          <w:rFonts w:eastAsiaTheme="minorEastAsia"/>
        </w:rPr>
      </w:pPr>
      <w:r w:rsidRPr="0010715C">
        <w:rPr>
          <w:rFonts w:eastAsiaTheme="minorEastAsia"/>
        </w:rPr>
        <w:t>Lo sviluppo nella programmazione dei servizi di TPL sarà affrontato seguendo gli indirizzi che saranno forniti dalla Città Metropolitana nel Piano dell’accessibilità e dell’intermodalità in via di definizione.</w:t>
      </w:r>
    </w:p>
    <w:p w14:paraId="4A88B0D8" w14:textId="77777777" w:rsidR="00FD2CBB" w:rsidRPr="0010715C" w:rsidRDefault="00FD2CBB" w:rsidP="00FD2CBB">
      <w:pPr>
        <w:spacing w:before="120" w:after="0" w:line="240" w:lineRule="auto"/>
        <w:rPr>
          <w:rFonts w:eastAsiaTheme="minorEastAsia"/>
        </w:rPr>
      </w:pPr>
      <w:r w:rsidRPr="0010715C">
        <w:rPr>
          <w:rFonts w:eastAsiaTheme="minorEastAsia"/>
        </w:rPr>
        <w:lastRenderedPageBreak/>
        <w:t>La penetrazione all’interno di altro ambito di gara sarà coordinata dall'Agenzia della Mobilità Piemontese (AMP) nell'ambito dei processi di integrazione dei servizi fra gli operatori presenti in ciascun territorio. Questo significa che AMP avrà un ruolo centrale nel garantire che i servizi di trasporto pubblico siano integrati e coordinati tra i diversi operatori, facilitando la mobilità interregionale e migliorando l'efficienza complessiva del sistema di trasporto.</w:t>
      </w:r>
    </w:p>
    <w:p w14:paraId="78F53DA9" w14:textId="77777777" w:rsidR="00FD2CBB" w:rsidRPr="00770D1D" w:rsidRDefault="00FD2CBB" w:rsidP="00FD2CBB">
      <w:pPr>
        <w:spacing w:before="120" w:after="0" w:line="240" w:lineRule="auto"/>
        <w:rPr>
          <w:rFonts w:eastAsiaTheme="minorEastAsia"/>
          <w:color w:val="242424"/>
        </w:rPr>
      </w:pPr>
      <w:r w:rsidRPr="0010715C">
        <w:rPr>
          <w:rFonts w:eastAsiaTheme="minorEastAsia"/>
        </w:rPr>
        <w:t>La valutazione delle proposte di programmazione sarà supportata con gli strumenti di analisi in possesso dell’Agenzia quali Visum</w:t>
      </w:r>
      <w:r w:rsidRPr="0010715C">
        <w:rPr>
          <w:rStyle w:val="Rimandonotaapidipagina"/>
          <w:rFonts w:eastAsiaTheme="minorEastAsia"/>
        </w:rPr>
        <w:footnoteReference w:id="27"/>
      </w:r>
      <w:r w:rsidRPr="0010715C">
        <w:rPr>
          <w:rFonts w:eastAsiaTheme="minorEastAsia"/>
        </w:rPr>
        <w:t xml:space="preserve"> e Remix</w:t>
      </w:r>
      <w:r w:rsidRPr="0010715C">
        <w:rPr>
          <w:rStyle w:val="Rimandonotaapidipagina"/>
          <w:rFonts w:eastAsiaTheme="minorEastAsia"/>
        </w:rPr>
        <w:footnoteReference w:id="28"/>
      </w:r>
      <w:r w:rsidRPr="0010715C">
        <w:rPr>
          <w:rFonts w:eastAsiaTheme="minorEastAsia"/>
        </w:rPr>
        <w:t>. Questi strumenti di analisi permetteranno di valutare</w:t>
      </w:r>
      <w:r w:rsidRPr="0010715C">
        <w:rPr>
          <w:rFonts w:eastAsiaTheme="minorEastAsia"/>
          <w:color w:val="242424"/>
          <w:shd w:val="clear" w:color="auto" w:fill="FAFAFA"/>
        </w:rPr>
        <w:t xml:space="preserve"> </w:t>
      </w:r>
      <w:r w:rsidRPr="0010715C">
        <w:rPr>
          <w:rFonts w:eastAsiaTheme="minorEastAsia"/>
        </w:rPr>
        <w:t>l'efficacia delle proposte progettuali, garantendo che i servizi di trasporto pubblico siano adeguati alle esigenze della popolazione e che siano in grado di migliorare la mobilità nel Bacino Metropolitano e nelle aree limitrofe.</w:t>
      </w:r>
    </w:p>
    <w:p w14:paraId="734B6B83" w14:textId="77777777" w:rsidR="00FD2CBB" w:rsidRPr="00C128A7" w:rsidRDefault="00FD2CBB" w:rsidP="00FD2CBB">
      <w:pPr>
        <w:spacing w:before="120" w:after="0" w:line="240" w:lineRule="auto"/>
        <w:rPr>
          <w:rFonts w:eastAsiaTheme="minorEastAsia"/>
        </w:rPr>
      </w:pPr>
      <w:r w:rsidRPr="00C128A7">
        <w:rPr>
          <w:rFonts w:eastAsiaTheme="minorEastAsia"/>
        </w:rPr>
        <w:t>Nella relazione di affidamento sarà descritta nel dettaglio la procedura di gara e i criteri di valutazione, inclusa la modalità di presentazione delle offerte, e saranno specificati i contenuti tecnici che ogni offerta dovrà includere, garantendo la trasparenza dei dati e la ripercorribilità di modelli e metodi per il raggiungimento dei risultati proposti.  Si può qui sintetizzare la progettualità che sarà richiesta all’interno della procedura di gara:</w:t>
      </w:r>
    </w:p>
    <w:p w14:paraId="2F6868D1" w14:textId="77777777" w:rsidR="00FD2CBB" w:rsidRPr="00C128A7" w:rsidRDefault="00FD2CBB" w:rsidP="004B0DBE">
      <w:pPr>
        <w:pStyle w:val="Paragrafoelenco"/>
        <w:numPr>
          <w:ilvl w:val="0"/>
          <w:numId w:val="35"/>
        </w:numPr>
        <w:spacing w:before="120" w:after="0" w:line="240" w:lineRule="auto"/>
        <w:rPr>
          <w:rFonts w:eastAsiaTheme="minorEastAsia"/>
        </w:rPr>
      </w:pPr>
      <w:r w:rsidRPr="00C128A7">
        <w:rPr>
          <w:rFonts w:eastAsiaTheme="minorEastAsia"/>
        </w:rPr>
        <w:t>Scenario Attuale – una proposta progettuale che attraverso modifiche organizzative e limitate variazioni sulla programmazione oraria fornisca la massima efficienza organizzativa dell’attuale servizio di trasporto</w:t>
      </w:r>
    </w:p>
    <w:p w14:paraId="5389E6E0" w14:textId="77777777" w:rsidR="00FD2CBB" w:rsidRPr="00C128A7" w:rsidRDefault="00FD2CBB" w:rsidP="004B0DBE">
      <w:pPr>
        <w:pStyle w:val="Paragrafoelenco"/>
        <w:numPr>
          <w:ilvl w:val="0"/>
          <w:numId w:val="35"/>
        </w:numPr>
        <w:spacing w:before="120" w:after="0" w:line="240" w:lineRule="auto"/>
        <w:rPr>
          <w:rFonts w:eastAsiaTheme="minorEastAsia"/>
        </w:rPr>
      </w:pPr>
      <w:r w:rsidRPr="00C128A7">
        <w:rPr>
          <w:rFonts w:eastAsiaTheme="minorEastAsia"/>
        </w:rPr>
        <w:t>Scenario Base – una proposta progettuale che attraverso una revisione della programmazione del servizio, a parità di risorse messe a base di gara fornisca un servizio efficiente ed efficace, rispondente maggiormente alle esigenze di mobilità.</w:t>
      </w:r>
    </w:p>
    <w:p w14:paraId="6C6B0E1E" w14:textId="77777777" w:rsidR="00FD2CBB" w:rsidRPr="00C128A7" w:rsidRDefault="00FD2CBB" w:rsidP="004B0DBE">
      <w:pPr>
        <w:pStyle w:val="Paragrafoelenco"/>
        <w:numPr>
          <w:ilvl w:val="0"/>
          <w:numId w:val="35"/>
        </w:numPr>
        <w:spacing w:before="120" w:after="0" w:line="240" w:lineRule="auto"/>
        <w:rPr>
          <w:rFonts w:eastAsiaTheme="minorEastAsia"/>
        </w:rPr>
      </w:pPr>
      <w:r w:rsidRPr="00C128A7">
        <w:rPr>
          <w:rFonts w:eastAsiaTheme="minorEastAsia"/>
        </w:rPr>
        <w:t>Scenario Evolutivo – una proposta progettuale che indipendentemente dalle risorse necessarie proponga un’evoluzione del servizio anche con la previsione d’investimenti, identificando specifici piani economico-finanziari per ciascuna proposta.</w:t>
      </w:r>
    </w:p>
    <w:p w14:paraId="62098092" w14:textId="77777777" w:rsidR="00FD2CBB" w:rsidRPr="00C128A7" w:rsidRDefault="00FD2CBB" w:rsidP="00FD2CBB">
      <w:pPr>
        <w:spacing w:before="120" w:after="0" w:line="240" w:lineRule="auto"/>
        <w:rPr>
          <w:rFonts w:eastAsiaTheme="minorEastAsia"/>
        </w:rPr>
      </w:pPr>
      <w:r w:rsidRPr="009B0ADD">
        <w:rPr>
          <w:rFonts w:eastAsiaTheme="minorEastAsia"/>
        </w:rPr>
        <w:t>Sia nello scenario Base sia nello scenario Evolutivo la progettualità dell’impresa dovrà migliorare la cooperazione con i servizi ferroviari presenti sul territorio attraverso:</w:t>
      </w:r>
    </w:p>
    <w:p w14:paraId="21963BA1" w14:textId="77777777" w:rsidR="00FD2CBB" w:rsidRDefault="00FD2CBB" w:rsidP="004B0DBE">
      <w:pPr>
        <w:pStyle w:val="Paragrafoelenco"/>
        <w:numPr>
          <w:ilvl w:val="0"/>
          <w:numId w:val="36"/>
        </w:numPr>
        <w:spacing w:before="120" w:after="0" w:line="240" w:lineRule="auto"/>
        <w:rPr>
          <w:rFonts w:eastAsiaTheme="minorEastAsia"/>
        </w:rPr>
      </w:pPr>
      <w:r w:rsidRPr="00C128A7">
        <w:rPr>
          <w:rFonts w:eastAsiaTheme="minorEastAsia"/>
        </w:rPr>
        <w:t>La strutturazione delle coincidenze nelle stazioni ferroviarie, con una particolare attenzione nei principali nodi, come ad esempio, le stazioni di</w:t>
      </w:r>
      <w:r>
        <w:rPr>
          <w:rFonts w:eastAsiaTheme="minorEastAsia"/>
        </w:rPr>
        <w:t xml:space="preserve"> Chieri, Trofarello, Pinerolo, Bardonecchia, Oulx, Susa, Bussoleno, Avigliana, Germagnano, Ciriè, Rivarolo, Settimo, Ivrea, Chivasso</w:t>
      </w:r>
      <w:r w:rsidRPr="00C128A7">
        <w:rPr>
          <w:rFonts w:eastAsiaTheme="minorEastAsia"/>
        </w:rPr>
        <w:t>.</w:t>
      </w:r>
    </w:p>
    <w:p w14:paraId="1B7A5A1F" w14:textId="45852832" w:rsidR="00FD2CBB" w:rsidRPr="00C128A7" w:rsidRDefault="00FD2CBB" w:rsidP="004B0DBE">
      <w:pPr>
        <w:pStyle w:val="Paragrafoelenco"/>
        <w:numPr>
          <w:ilvl w:val="0"/>
          <w:numId w:val="36"/>
        </w:numPr>
        <w:spacing w:before="120" w:after="0" w:line="240" w:lineRule="auto"/>
        <w:rPr>
          <w:rFonts w:eastAsiaTheme="minorEastAsia"/>
        </w:rPr>
      </w:pPr>
      <w:r>
        <w:rPr>
          <w:rFonts w:eastAsiaTheme="minorEastAsia"/>
        </w:rPr>
        <w:t>L’interscambio con le stazioni esterne di Torino (come, ad esempio, a nord Torino Stura, Torino Corso Grosseto e Torino Rebaudengo, a sud Torino Lingotto e la futura Torino San Paolo) e della prima cintura (come ad esempio, Moncalieri, Grugliasco, Venaria, Settimo ecc.), dove il servizio ferroviario garantisce una frequenza elevata e permette un rapido accesso all’area centrale di Torino</w:t>
      </w:r>
      <w:r w:rsidR="000121B0">
        <w:rPr>
          <w:rFonts w:eastAsiaTheme="minorEastAsia"/>
        </w:rPr>
        <w:t>.</w:t>
      </w:r>
    </w:p>
    <w:p w14:paraId="3FE00771" w14:textId="77777777" w:rsidR="00FD2CBB" w:rsidRPr="00C128A7" w:rsidRDefault="00FD2CBB" w:rsidP="004B0DBE">
      <w:pPr>
        <w:pStyle w:val="Paragrafoelenco"/>
        <w:numPr>
          <w:ilvl w:val="0"/>
          <w:numId w:val="36"/>
        </w:numPr>
        <w:spacing w:before="120" w:after="0" w:line="240" w:lineRule="auto"/>
        <w:rPr>
          <w:rFonts w:eastAsiaTheme="minorEastAsia"/>
        </w:rPr>
      </w:pPr>
      <w:r w:rsidRPr="00C128A7">
        <w:rPr>
          <w:rFonts w:eastAsiaTheme="minorEastAsia"/>
        </w:rPr>
        <w:t>L‘integrazione degli orari nelle relazioni comuni con le linee ferroviarie, in cui il servizio bus deve integrare e completare il servizio ferroviario,</w:t>
      </w:r>
    </w:p>
    <w:p w14:paraId="108A4C07" w14:textId="77777777" w:rsidR="00FD2CBB" w:rsidRPr="00CD2557" w:rsidRDefault="00FD2CBB" w:rsidP="00FD2CBB">
      <w:pPr>
        <w:spacing w:before="120" w:after="0" w:line="240" w:lineRule="auto"/>
      </w:pPr>
      <w:r w:rsidRPr="00CD2557">
        <w:rPr>
          <w:rFonts w:eastAsiaTheme="minorEastAsia"/>
        </w:rPr>
        <w:t>Sia nello scenario Base sia nello scenario Evolutivo le imprese dovranno sviluppare specifiche proposte di servizi per le aree a domanda debole che</w:t>
      </w:r>
      <w:r w:rsidRPr="00CD2557">
        <w:t xml:space="preserve"> potranno riguardare sia servizi convenzionali, ovvero servizi diversamente organizzati e gestiti, sia servizi non convenzionali come i servizi a conferma e/o a chiamata.</w:t>
      </w:r>
    </w:p>
    <w:p w14:paraId="24935115" w14:textId="77777777" w:rsidR="00FD2CBB" w:rsidRPr="00CD2557" w:rsidRDefault="00FD2CBB" w:rsidP="00FD2CBB">
      <w:pPr>
        <w:pStyle w:val="Titolo2"/>
        <w:ind w:left="567"/>
      </w:pPr>
      <w:bookmarkStart w:id="229" w:name="_Toc193195714"/>
      <w:bookmarkStart w:id="230" w:name="_Toc2053117150"/>
      <w:bookmarkStart w:id="231" w:name="_Toc197695690"/>
      <w:bookmarkStart w:id="232" w:name="_Toc204328731"/>
      <w:bookmarkStart w:id="233" w:name="_Toc213078371"/>
      <w:r w:rsidRPr="00CD2557">
        <w:lastRenderedPageBreak/>
        <w:t>Interazione domanda offerta</w:t>
      </w:r>
      <w:bookmarkEnd w:id="229"/>
      <w:bookmarkEnd w:id="230"/>
      <w:bookmarkEnd w:id="231"/>
      <w:bookmarkEnd w:id="232"/>
      <w:bookmarkEnd w:id="233"/>
    </w:p>
    <w:p w14:paraId="429A505F" w14:textId="77777777" w:rsidR="00FD2CBB" w:rsidRPr="00CD2557" w:rsidRDefault="00FD2CBB" w:rsidP="00FD2CBB">
      <w:pPr>
        <w:spacing w:before="120" w:after="0" w:line="240" w:lineRule="auto"/>
      </w:pPr>
      <w:r w:rsidRPr="00CD2557">
        <w:t>Migliorare l'interazione tra domanda e offerta nei servizi di trasporto pubblico locale (TPL) è l’obiettivo fondamentale nella pianificazione e gestione dei sistemi di mobilità.</w:t>
      </w:r>
    </w:p>
    <w:p w14:paraId="350A19C4" w14:textId="77777777" w:rsidR="00FD2CBB" w:rsidRDefault="00FD2CBB" w:rsidP="00FD2CBB">
      <w:pPr>
        <w:spacing w:before="120" w:after="0" w:line="240" w:lineRule="auto"/>
      </w:pPr>
      <w:r w:rsidRPr="00CD2557">
        <w:t>La procedura di gara di AMP intende promuovere una evoluzione del concetto tradizionale e</w:t>
      </w:r>
      <w:r>
        <w:t xml:space="preserve"> traguardare verso il tempestivo adeguamento continuo tra le mutevoli esigenze di mobilità della popolazione e l'offerta di servizi di trasporto disponibili.</w:t>
      </w:r>
    </w:p>
    <w:p w14:paraId="5F8B3218" w14:textId="77777777" w:rsidR="00FD2CBB" w:rsidRDefault="00FD2CBB" w:rsidP="00FD2CBB">
      <w:pPr>
        <w:spacing w:before="120" w:after="0" w:line="240" w:lineRule="auto"/>
      </w:pPr>
      <w:r>
        <w:t>Per comprendere la situazione attuale del Bacino Metropolitano, è opportuno analizzare le tabelle riepilogative dei dati dell'Osservatorio Nazionale per le Politiche del Trasporto Pubblico Locale (ONTPL). Queste tabelle forniscono una panoramica dell’andamento dei Contratti di Servizio automobilistici nel Bacino Metropolitano. Sulla base delle informazioni desunte da queste tabelle, è possibile elaborare alcuni indicatori di sintesi che aiutano a valutare l'efficacia dell'interazione tra domanda e offerta.</w:t>
      </w:r>
      <w:r w:rsidRPr="006C4977">
        <w:rPr>
          <w:noProof/>
          <w:color w:val="0070C0"/>
        </w:rPr>
        <w:t xml:space="preserve"> </w:t>
      </w:r>
    </w:p>
    <w:p w14:paraId="7A0D9DE7" w14:textId="77777777" w:rsidR="00FD2CBB" w:rsidRDefault="00FD2CBB" w:rsidP="00FD2CBB">
      <w:pPr>
        <w:spacing w:before="120" w:after="0" w:line="240" w:lineRule="auto"/>
        <w:rPr>
          <w:rFonts w:ascii="Courier" w:hAnsi="Courier"/>
        </w:rPr>
      </w:pPr>
      <w:r w:rsidRPr="004D5EB8">
        <w:rPr>
          <w:noProof/>
        </w:rPr>
        <w:drawing>
          <wp:inline distT="0" distB="0" distL="0" distR="0" wp14:anchorId="2C2C7D79" wp14:editId="41D66565">
            <wp:extent cx="5759450" cy="2509520"/>
            <wp:effectExtent l="0" t="0" r="0" b="5080"/>
            <wp:docPr id="127309159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759450" cy="2509520"/>
                    </a:xfrm>
                    <a:prstGeom prst="rect">
                      <a:avLst/>
                    </a:prstGeom>
                    <a:noFill/>
                    <a:ln>
                      <a:noFill/>
                    </a:ln>
                  </pic:spPr>
                </pic:pic>
              </a:graphicData>
            </a:graphic>
          </wp:inline>
        </w:drawing>
      </w:r>
    </w:p>
    <w:p w14:paraId="776FA94A" w14:textId="77777777" w:rsidR="00FD2CBB" w:rsidRPr="00E06205" w:rsidRDefault="00FD2CBB" w:rsidP="00FD2CBB">
      <w:pPr>
        <w:spacing w:before="120" w:after="0" w:line="240" w:lineRule="auto"/>
        <w:rPr>
          <w:rFonts w:ascii="Courier" w:hAnsi="Courier"/>
        </w:rPr>
      </w:pPr>
    </w:p>
    <w:p w14:paraId="11BE7E30" w14:textId="77777777" w:rsidR="00FD2CBB" w:rsidRPr="00E06205" w:rsidRDefault="00FD2CBB" w:rsidP="00FD2CBB">
      <w:pPr>
        <w:spacing w:before="120" w:after="0" w:line="240" w:lineRule="auto"/>
        <w:rPr>
          <w:rFonts w:ascii="Courier" w:hAnsi="Courier"/>
        </w:rPr>
      </w:pPr>
      <w:r w:rsidRPr="004D5EB8">
        <w:rPr>
          <w:noProof/>
        </w:rPr>
        <w:drawing>
          <wp:inline distT="0" distB="0" distL="0" distR="0" wp14:anchorId="58FCB6BF" wp14:editId="71FB9C2B">
            <wp:extent cx="5759450" cy="2509520"/>
            <wp:effectExtent l="0" t="0" r="0" b="5080"/>
            <wp:docPr id="1967248008"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759450" cy="2509520"/>
                    </a:xfrm>
                    <a:prstGeom prst="rect">
                      <a:avLst/>
                    </a:prstGeom>
                    <a:noFill/>
                    <a:ln>
                      <a:noFill/>
                    </a:ln>
                  </pic:spPr>
                </pic:pic>
              </a:graphicData>
            </a:graphic>
          </wp:inline>
        </w:drawing>
      </w:r>
    </w:p>
    <w:p w14:paraId="53FBA61E" w14:textId="5F680DF6" w:rsidR="00FD2CBB" w:rsidRDefault="00FD2CBB" w:rsidP="00FD2CBB">
      <w:pPr>
        <w:pStyle w:val="Didascalia"/>
        <w:jc w:val="center"/>
        <w:rPr>
          <w:i w:val="0"/>
        </w:rPr>
      </w:pPr>
      <w:bookmarkStart w:id="234" w:name="_Ref212972091"/>
      <w:r w:rsidRPr="00BF35BC">
        <w:rPr>
          <w:rFonts w:eastAsia="Calibri"/>
          <w:color w:val="003366"/>
        </w:rPr>
        <w:t xml:space="preserve">Tabella </w:t>
      </w:r>
      <w:r w:rsidRPr="00BF35BC">
        <w:rPr>
          <w:rFonts w:cstheme="minorHAnsi"/>
          <w:i w:val="0"/>
          <w:color w:val="003366"/>
        </w:rPr>
        <w:fldChar w:fldCharType="begin"/>
      </w:r>
      <w:r>
        <w:instrText xml:space="preserve"> SEQ Tabella \* ARABIC </w:instrText>
      </w:r>
      <w:r w:rsidRPr="00BF35BC">
        <w:rPr>
          <w:rFonts w:cstheme="minorHAnsi"/>
          <w:i w:val="0"/>
          <w:color w:val="003366"/>
        </w:rPr>
        <w:fldChar w:fldCharType="separate"/>
      </w:r>
      <w:r w:rsidR="00073B6D">
        <w:rPr>
          <w:noProof/>
        </w:rPr>
        <w:t>36</w:t>
      </w:r>
      <w:r w:rsidRPr="00BF35BC">
        <w:rPr>
          <w:rFonts w:cstheme="minorHAnsi"/>
          <w:i w:val="0"/>
          <w:color w:val="003366"/>
        </w:rPr>
        <w:fldChar w:fldCharType="end"/>
      </w:r>
      <w:bookmarkEnd w:id="234"/>
      <w:r w:rsidRPr="00BF35BC">
        <w:rPr>
          <w:rFonts w:cstheme="minorHAnsi"/>
          <w:color w:val="003366"/>
        </w:rPr>
        <w:t xml:space="preserve"> </w:t>
      </w:r>
      <w:r w:rsidRPr="00BF35BC">
        <w:rPr>
          <w:rFonts w:eastAsia="Calibri"/>
          <w:color w:val="003366"/>
        </w:rPr>
        <w:t xml:space="preserve">– </w:t>
      </w:r>
      <w:r w:rsidRPr="00446884">
        <w:rPr>
          <w:iCs w:val="0"/>
        </w:rPr>
        <w:t>Serie storica dati di servizio registrati dall’ONTPL</w:t>
      </w:r>
      <w:r>
        <w:rPr>
          <w:i w:val="0"/>
        </w:rPr>
        <w:t xml:space="preserve"> </w:t>
      </w:r>
    </w:p>
    <w:p w14:paraId="7820ACF4" w14:textId="77777777" w:rsidR="00FD2CBB" w:rsidRDefault="00FD2CBB" w:rsidP="00FD2CBB">
      <w:pPr>
        <w:spacing w:before="120" w:after="0" w:line="240" w:lineRule="auto"/>
      </w:pPr>
      <w:r>
        <w:t>I dati e gli indicatori riportati, che descrivono la serie storica dal 2012 al 2023, offrono numerosi spunti di riflessione. In questa sede, si ritiene opportuno richiamare l'attenzione sui seguenti aspetti:</w:t>
      </w:r>
    </w:p>
    <w:p w14:paraId="1898079A" w14:textId="77777777" w:rsidR="00FD2CBB" w:rsidRPr="00C61C6D" w:rsidRDefault="00FD2CBB" w:rsidP="00FD2CBB">
      <w:pPr>
        <w:spacing w:before="120" w:after="0" w:line="240" w:lineRule="auto"/>
        <w:rPr>
          <w:b/>
          <w:bCs/>
        </w:rPr>
      </w:pPr>
      <w:r w:rsidRPr="00C61C6D">
        <w:rPr>
          <w:b/>
          <w:bCs/>
        </w:rPr>
        <w:t>Rapporto ricavi/costi del Bacino</w:t>
      </w:r>
    </w:p>
    <w:p w14:paraId="1B685545" w14:textId="77777777" w:rsidR="00FD2CBB" w:rsidRPr="00C61C6D" w:rsidRDefault="00FD2CBB" w:rsidP="00FD2CBB">
      <w:pPr>
        <w:spacing w:before="120" w:after="0" w:line="240" w:lineRule="auto"/>
      </w:pPr>
      <w:r w:rsidRPr="00C61C6D">
        <w:lastRenderedPageBreak/>
        <w:t xml:space="preserve">Il rapporto ricavi/costi del Bacino </w:t>
      </w:r>
      <w:r>
        <w:t>dal 2013 risulta sempre al di sopra della soglia del 35% tranne nel 2020 e 2021 in cui tutto il sistema di trasporto pubblico ha risentito delle limitazioni imposte dall’emergenza sanitaria del Covid-19. Questo dato è particolarmente significativo perché indica una buona sostenibilità del servizio.</w:t>
      </w:r>
    </w:p>
    <w:p w14:paraId="0C9C05FF" w14:textId="77777777" w:rsidR="00FD2CBB" w:rsidRPr="00C61C6D" w:rsidRDefault="00FD2CBB" w:rsidP="00FD2CBB">
      <w:pPr>
        <w:spacing w:before="120" w:after="0" w:line="240" w:lineRule="auto"/>
        <w:rPr>
          <w:b/>
          <w:bCs/>
        </w:rPr>
      </w:pPr>
      <w:r w:rsidRPr="00C61C6D">
        <w:rPr>
          <w:b/>
          <w:bCs/>
        </w:rPr>
        <w:t>Indicatori di economicità</w:t>
      </w:r>
    </w:p>
    <w:p w14:paraId="63994D49" w14:textId="62019D47" w:rsidR="000076AF" w:rsidRPr="00532AE5" w:rsidRDefault="00EE2A18" w:rsidP="00FD2CBB">
      <w:pPr>
        <w:spacing w:before="120" w:after="0" w:line="240" w:lineRule="auto"/>
      </w:pPr>
      <w:r w:rsidRPr="00532AE5">
        <w:t>I</w:t>
      </w:r>
      <w:r w:rsidR="00025EA3" w:rsidRPr="00532AE5">
        <w:t>l</w:t>
      </w:r>
      <w:r w:rsidRPr="00532AE5">
        <w:t xml:space="preserve"> rapporto tra numero di passeggeri e </w:t>
      </w:r>
      <w:r w:rsidR="00025EA3" w:rsidRPr="00532AE5">
        <w:t>i ricavi da titoli di viaggio</w:t>
      </w:r>
      <w:r w:rsidR="00FD2CBB" w:rsidRPr="00532AE5">
        <w:t xml:space="preserve"> mostra, al di là della flessione negli anni Covid, un andamento abbastanza costante</w:t>
      </w:r>
      <w:r w:rsidR="000076AF" w:rsidRPr="00532AE5">
        <w:t xml:space="preserve"> dei ricavi</w:t>
      </w:r>
      <w:r w:rsidR="00D16532" w:rsidRPr="00532AE5">
        <w:t xml:space="preserve">, mentre il numero </w:t>
      </w:r>
      <w:r w:rsidR="00533B68" w:rsidRPr="00532AE5">
        <w:t>di passeggeri annui</w:t>
      </w:r>
      <w:r w:rsidR="00FD762F" w:rsidRPr="00532AE5">
        <w:t xml:space="preserve"> ha subito una </w:t>
      </w:r>
      <w:r w:rsidR="00016E8B" w:rsidRPr="00532AE5">
        <w:t>brusca</w:t>
      </w:r>
      <w:r w:rsidR="00FD762F" w:rsidRPr="00532AE5">
        <w:t xml:space="preserve"> flessione</w:t>
      </w:r>
      <w:r w:rsidR="006354DB" w:rsidRPr="00532AE5">
        <w:t xml:space="preserve"> </w:t>
      </w:r>
      <w:r w:rsidR="00016E8B" w:rsidRPr="00532AE5">
        <w:t>seguita da un lento recupero</w:t>
      </w:r>
      <w:r w:rsidR="00CA1146" w:rsidRPr="00532AE5">
        <w:t xml:space="preserve">. Questo suggerisce che il mantenimento dei ricavi non è legato </w:t>
      </w:r>
      <w:r w:rsidR="008B0A10" w:rsidRPr="00532AE5">
        <w:t>al mantenimento del numero di utenti,</w:t>
      </w:r>
      <w:r w:rsidR="000076AF" w:rsidRPr="00532AE5">
        <w:t xml:space="preserve"> </w:t>
      </w:r>
      <w:r w:rsidR="008B0A10" w:rsidRPr="00532AE5">
        <w:t xml:space="preserve">ma </w:t>
      </w:r>
      <w:r w:rsidR="0058797B" w:rsidRPr="00532AE5">
        <w:t>ad altri fattori, quale ad esempio l’adeguamento tariffario</w:t>
      </w:r>
      <w:r w:rsidR="0012185C" w:rsidRPr="00532AE5">
        <w:t xml:space="preserve"> al tasso inflattivo.</w:t>
      </w:r>
    </w:p>
    <w:p w14:paraId="5BF31F6A" w14:textId="77777777" w:rsidR="00FD2CBB" w:rsidRPr="00C61C6D" w:rsidRDefault="00FD2CBB" w:rsidP="00FD2CBB">
      <w:pPr>
        <w:spacing w:before="120" w:after="0" w:line="240" w:lineRule="auto"/>
        <w:rPr>
          <w:b/>
          <w:bCs/>
        </w:rPr>
      </w:pPr>
      <w:r w:rsidRPr="00C61C6D">
        <w:rPr>
          <w:b/>
          <w:bCs/>
        </w:rPr>
        <w:t>Ricavi per titolo di viaggio (TdV) e per chilometro</w:t>
      </w:r>
    </w:p>
    <w:p w14:paraId="190904E5" w14:textId="40BE6FE0" w:rsidR="00FD2CBB" w:rsidRPr="00C61C6D" w:rsidRDefault="00FD2CBB" w:rsidP="00FD2CBB">
      <w:pPr>
        <w:spacing w:before="120" w:after="0" w:line="240" w:lineRule="auto"/>
      </w:pPr>
      <w:r w:rsidRPr="00C61C6D">
        <w:t xml:space="preserve">Tra il 2018 e il 2023, l'indicatore Ricavi TdV a passeggero e l'indicatore Ricavo medio a chilometro </w:t>
      </w:r>
      <w:r>
        <w:t>ha avuto un graduale lieve incremento</w:t>
      </w:r>
      <w:r w:rsidRPr="00C61C6D">
        <w:t>, ad eccezione del periodo Covid</w:t>
      </w:r>
      <w:r w:rsidR="00FC3438">
        <w:t xml:space="preserve">, </w:t>
      </w:r>
      <w:r w:rsidR="00D85F54">
        <w:t xml:space="preserve">miglioramento </w:t>
      </w:r>
      <w:r w:rsidR="0003499D">
        <w:t>legato agli adeguamenti tariffari</w:t>
      </w:r>
      <w:r w:rsidR="0036755E">
        <w:t>.</w:t>
      </w:r>
    </w:p>
    <w:p w14:paraId="0A0D8170" w14:textId="77777777" w:rsidR="00FD2CBB" w:rsidRDefault="00FD2CBB" w:rsidP="00FD2CBB">
      <w:pPr>
        <w:spacing w:before="120" w:after="0" w:line="240" w:lineRule="auto"/>
      </w:pPr>
      <w:r w:rsidRPr="00C61C6D">
        <w:t>Questi aspetti evidenziano come la sostenibilità economica dei contratti di servizio debba essere sempre monitorata attraverso una continua, e profonda, interpretazione del mutamento dei comportamenti di mobilità.</w:t>
      </w:r>
    </w:p>
    <w:p w14:paraId="432B5AA9" w14:textId="77777777" w:rsidR="00FD2CBB" w:rsidRDefault="00FD2CBB" w:rsidP="00FD2CBB">
      <w:pPr>
        <w:spacing w:before="120" w:after="0" w:line="240" w:lineRule="auto"/>
      </w:pPr>
      <w:r>
        <w:t>Come analizzato nel capitolo della domanda di mobilità il forte impatto del calo demografico e dell’invecchiamento della popolazione sono elementi che comportano una riduzione della domanda ma d’altro canto l’avvento delle nuove generazioni sta portando considerevoli cambiamenti nelle abitudini di mobilità ed in questo ambito il trasporto collettivo può svolgere un ruolo fondamentale. Le nuove generazioni tendono a preferire soluzioni di trasporto più flessibili e sostenibili, e il TPL può adattarsi a queste esigenze attraverso l'innovazione tecnologica.</w:t>
      </w:r>
    </w:p>
    <w:p w14:paraId="7141EF57" w14:textId="77777777" w:rsidR="00FD2CBB" w:rsidRDefault="00FD2CBB" w:rsidP="00FD2CBB">
      <w:pPr>
        <w:spacing w:before="120" w:after="0" w:line="240" w:lineRule="auto"/>
      </w:pPr>
      <w:r>
        <w:t>Oggi la classica impostazione in cui l’utente deve “raggiungere” il proprio trasporto pubblico appare desueta.</w:t>
      </w:r>
    </w:p>
    <w:p w14:paraId="0987D6AB" w14:textId="77777777" w:rsidR="00FD2CBB" w:rsidRDefault="00FD2CBB" w:rsidP="00FD2CBB">
      <w:pPr>
        <w:spacing w:before="120" w:after="0" w:line="240" w:lineRule="auto"/>
        <w:jc w:val="center"/>
      </w:pPr>
      <w:r>
        <w:rPr>
          <w:noProof/>
        </w:rPr>
        <w:drawing>
          <wp:inline distT="0" distB="0" distL="0" distR="0" wp14:anchorId="5CA31535" wp14:editId="77716832">
            <wp:extent cx="3149600" cy="1377950"/>
            <wp:effectExtent l="0" t="0" r="0" b="0"/>
            <wp:docPr id="1033996652" name="Immagine 9" descr="Immagine che contiene testo, schermata, diagramma, design&#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996652" name="Immagine 9" descr="Immagine che contiene testo, schermata, diagramma, design&#10;&#10;Descrizione generata automaticamente"/>
                    <pic:cNvPicPr>
                      <a:picLocks noChangeAspect="1" noChangeArrowheads="1"/>
                    </pic:cNvPicPr>
                  </pic:nvPicPr>
                  <pic:blipFill rotWithShape="1">
                    <a:blip r:embed="rId71" cstate="print">
                      <a:extLst>
                        <a:ext uri="{28A0092B-C50C-407E-A947-70E740481C1C}">
                          <a14:useLocalDpi xmlns:a14="http://schemas.microsoft.com/office/drawing/2010/main" val="0"/>
                        </a:ext>
                      </a:extLst>
                    </a:blip>
                    <a:srcRect r="45254" b="54792"/>
                    <a:stretch/>
                  </pic:blipFill>
                  <pic:spPr bwMode="auto">
                    <a:xfrm>
                      <a:off x="0" y="0"/>
                      <a:ext cx="3149600" cy="1377950"/>
                    </a:xfrm>
                    <a:prstGeom prst="rect">
                      <a:avLst/>
                    </a:prstGeom>
                    <a:noFill/>
                    <a:ln>
                      <a:noFill/>
                    </a:ln>
                    <a:extLst>
                      <a:ext uri="{53640926-AAD7-44D8-BBD7-CCE9431645EC}">
                        <a14:shadowObscured xmlns:a14="http://schemas.microsoft.com/office/drawing/2010/main"/>
                      </a:ext>
                    </a:extLst>
                  </pic:spPr>
                </pic:pic>
              </a:graphicData>
            </a:graphic>
          </wp:inline>
        </w:drawing>
      </w:r>
    </w:p>
    <w:p w14:paraId="3B430D8D" w14:textId="77777777" w:rsidR="00FD2CBB" w:rsidRDefault="00FD2CBB" w:rsidP="00FD2CBB">
      <w:pPr>
        <w:spacing w:before="120" w:after="0" w:line="240" w:lineRule="auto"/>
      </w:pPr>
      <w:r>
        <w:t>Affinché l'interazione tra domanda e offerta nei servizi di TPL, e la sua evoluzione, che costituiscono un processo complesso e dinamico, possa garantire un servizio efficiente, sostenibile e rispondente alle esigenze della comunità, sarà richiesto all’azienda di TPL aggiudicatrice del Contratto di Servizio una proposta organizzativa adeguata, che riesca a garantire un monitoraggio continuo e un adattamento costante. In tal ottica si inserisce il progetto prioritario di completa digitalizzazione del servizio e dell’impresa che AMP porrà a base di gara.</w:t>
      </w:r>
    </w:p>
    <w:p w14:paraId="166BB33E" w14:textId="77777777" w:rsidR="00FD2CBB" w:rsidRDefault="00FD2CBB" w:rsidP="00FD2CBB">
      <w:pPr>
        <w:spacing w:before="120" w:after="0" w:line="240" w:lineRule="auto"/>
      </w:pPr>
      <w:r>
        <w:t>Lo schema che ogni concessionario dovrà perseguire è basato su una organizzazione in cui ogni elemento del ciclo produttivo sia connesso in tempo reale e possa pertanto avvicinare il trasporto pubblico alle esigenze della domanda.</w:t>
      </w:r>
    </w:p>
    <w:p w14:paraId="3CC7FCE8" w14:textId="77777777" w:rsidR="00FD2CBB" w:rsidRDefault="00FD2CBB" w:rsidP="00FD2CBB">
      <w:pPr>
        <w:spacing w:before="120" w:after="0" w:line="240" w:lineRule="auto"/>
        <w:jc w:val="center"/>
      </w:pPr>
      <w:r>
        <w:rPr>
          <w:noProof/>
        </w:rPr>
        <w:lastRenderedPageBreak/>
        <w:drawing>
          <wp:inline distT="0" distB="0" distL="0" distR="0" wp14:anchorId="54B72D1D" wp14:editId="124AA18E">
            <wp:extent cx="3148716" cy="1386177"/>
            <wp:effectExtent l="0" t="0" r="0" b="5080"/>
            <wp:docPr id="382717749" name="Immagine 10" descr="Immagine che contiene testo, schermata, diagramma, design&#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717749" name="Immagine 10" descr="Immagine che contiene testo, schermata, diagramma, design&#10;&#10;Descrizione generata automaticamente"/>
                    <pic:cNvPicPr>
                      <a:picLocks noChangeAspect="1" noChangeArrowheads="1"/>
                    </pic:cNvPicPr>
                  </pic:nvPicPr>
                  <pic:blipFill rotWithShape="1">
                    <a:blip r:embed="rId71" cstate="print">
                      <a:extLst>
                        <a:ext uri="{28A0092B-C50C-407E-A947-70E740481C1C}">
                          <a14:useLocalDpi xmlns:a14="http://schemas.microsoft.com/office/drawing/2010/main" val="0"/>
                        </a:ext>
                      </a:extLst>
                    </a:blip>
                    <a:srcRect t="54522" r="45269"/>
                    <a:stretch/>
                  </pic:blipFill>
                  <pic:spPr bwMode="auto">
                    <a:xfrm>
                      <a:off x="0" y="0"/>
                      <a:ext cx="3148716" cy="1386177"/>
                    </a:xfrm>
                    <a:prstGeom prst="rect">
                      <a:avLst/>
                    </a:prstGeom>
                    <a:noFill/>
                    <a:ln>
                      <a:noFill/>
                    </a:ln>
                    <a:extLst>
                      <a:ext uri="{53640926-AAD7-44D8-BBD7-CCE9431645EC}">
                        <a14:shadowObscured xmlns:a14="http://schemas.microsoft.com/office/drawing/2010/main"/>
                      </a:ext>
                    </a:extLst>
                  </pic:spPr>
                </pic:pic>
              </a:graphicData>
            </a:graphic>
          </wp:inline>
        </w:drawing>
      </w:r>
    </w:p>
    <w:p w14:paraId="5F3E30A3" w14:textId="77777777" w:rsidR="00FD2CBB" w:rsidRDefault="00FD2CBB" w:rsidP="00FD2CBB">
      <w:pPr>
        <w:spacing w:before="120" w:after="0" w:line="240" w:lineRule="auto"/>
      </w:pPr>
      <w:r>
        <w:t>La “digitalizzazione” consente di connettere in tempo reale ogni elemento del ciclo realizzativo del servizio, migliorandone l'efficienza e la reattività. Questo approccio rende il trasporto pubblico più accessibile e in linea con le esigenze degli utenti, riducendo la necessità per gli utenti di "raggiungere" il trasporto pubblico, ma piuttosto portando il trasporto pubblico più vicino a loro. Questo garantisce inoltre un monitoraggio continuo e un adattamento costante, elementi essenziali per mantenere il servizio attrattivo, accessibile, efficiente e sostenibile.</w:t>
      </w:r>
    </w:p>
    <w:p w14:paraId="5651B7C0" w14:textId="6FDCCDAE" w:rsidR="002E0EA3" w:rsidRDefault="00FD2CBB" w:rsidP="00FD2CBB">
      <w:r>
        <w:t>L’interazione fra domanda ed offerta è oggi una sfida organizzativa interna al concessionario che agisce su impulso dell’ente concedente ed in stretta collaborazione con gli enti locali.</w:t>
      </w:r>
    </w:p>
    <w:p w14:paraId="414DD40E" w14:textId="77777777" w:rsidR="00FD2CBB" w:rsidRDefault="00FD2CBB" w:rsidP="002E0EA3">
      <w:pPr>
        <w:tabs>
          <w:tab w:val="left" w:pos="2685"/>
        </w:tabs>
        <w:sectPr w:rsidR="00FD2CBB" w:rsidSect="00F41C4B">
          <w:footerReference w:type="default" r:id="rId72"/>
          <w:pgSz w:w="11906" w:h="16838"/>
          <w:pgMar w:top="1418" w:right="1418" w:bottom="1418" w:left="1418" w:header="709" w:footer="709" w:gutter="0"/>
          <w:pgBorders w:offsetFrom="page">
            <w:right w:val="single" w:sz="48" w:space="24" w:color="EE3438"/>
          </w:pgBorders>
          <w:cols w:space="708"/>
          <w:docGrid w:linePitch="360"/>
        </w:sectPr>
      </w:pPr>
      <w:bookmarkStart w:id="235" w:name="_Hlk203381735"/>
      <w:bookmarkEnd w:id="235"/>
    </w:p>
    <w:p w14:paraId="2A5FD1D3" w14:textId="77777777" w:rsidR="00FD2CBB" w:rsidRDefault="00FD2CBB" w:rsidP="00FD2CBB">
      <w:pPr>
        <w:pStyle w:val="Titolo1"/>
      </w:pPr>
      <w:bookmarkStart w:id="236" w:name="_Ref190429124"/>
      <w:bookmarkStart w:id="237" w:name="_Ref190429140"/>
      <w:bookmarkStart w:id="238" w:name="_Toc193218184"/>
      <w:bookmarkStart w:id="239" w:name="_Toc1272080221"/>
      <w:bookmarkStart w:id="240" w:name="_Toc197695691"/>
      <w:bookmarkStart w:id="241" w:name="_Toc204328732"/>
      <w:bookmarkStart w:id="242" w:name="_Toc213078372"/>
      <w:bookmarkStart w:id="243" w:name="_Toc193218185"/>
      <w:bookmarkStart w:id="244" w:name="_Toc1069753081"/>
      <w:bookmarkStart w:id="245" w:name="_Toc197695692"/>
      <w:bookmarkStart w:id="246" w:name="_Toc204616502"/>
      <w:r>
        <w:lastRenderedPageBreak/>
        <w:t>Determinazione degli OSP e criteri di copertura finanziaria</w:t>
      </w:r>
      <w:bookmarkEnd w:id="236"/>
      <w:bookmarkEnd w:id="237"/>
      <w:bookmarkEnd w:id="238"/>
      <w:bookmarkEnd w:id="239"/>
      <w:bookmarkEnd w:id="240"/>
      <w:bookmarkEnd w:id="241"/>
      <w:bookmarkEnd w:id="242"/>
    </w:p>
    <w:p w14:paraId="39015010" w14:textId="77777777" w:rsidR="00FD2CBB" w:rsidRDefault="00FD2CBB" w:rsidP="00FD2CBB">
      <w:pPr>
        <w:pStyle w:val="Titolo2"/>
        <w:ind w:left="567"/>
      </w:pPr>
      <w:bookmarkStart w:id="247" w:name="_Toc204328733"/>
      <w:bookmarkStart w:id="248" w:name="_Toc213078373"/>
      <w:bookmarkEnd w:id="243"/>
      <w:bookmarkEnd w:id="244"/>
      <w:bookmarkEnd w:id="245"/>
      <w:bookmarkEnd w:id="246"/>
      <w:r>
        <w:t>Obblighi di Servizio Pubblico</w:t>
      </w:r>
      <w:bookmarkEnd w:id="247"/>
      <w:bookmarkEnd w:id="248"/>
    </w:p>
    <w:p w14:paraId="02694970" w14:textId="77777777" w:rsidR="00FD2CBB" w:rsidRDefault="00FD2CBB" w:rsidP="00FD2CBB">
      <w:pPr>
        <w:spacing w:before="120" w:after="0" w:line="240" w:lineRule="auto"/>
        <w:rPr>
          <w:rFonts w:cs="Times New Roman"/>
          <w:color w:val="000000" w:themeColor="text1"/>
        </w:rPr>
      </w:pPr>
      <w:r w:rsidRPr="00F37E70">
        <w:rPr>
          <w:rFonts w:cs="Times New Roman"/>
          <w:color w:val="000000" w:themeColor="text1"/>
        </w:rPr>
        <w:t>Le compensazioni economiche sono concesse per l’adempimento degli Obblighi di Servizio Pubblico (OSP), come definiti nel Regolamento CE 1370/2007. Questi obblighi includono la fornitura di servizi di trasporto pubblico di passeggeri su strada e per ferrovia che non potrebbero essere gestiti secondo una logica meramente commerciale</w:t>
      </w:r>
      <w:r>
        <w:rPr>
          <w:rFonts w:cs="Times New Roman"/>
          <w:color w:val="000000" w:themeColor="text1"/>
        </w:rPr>
        <w:t>.</w:t>
      </w:r>
      <w:r w:rsidRPr="00F37E70">
        <w:rPr>
          <w:rFonts w:cs="Times New Roman"/>
          <w:color w:val="000000" w:themeColor="text1"/>
        </w:rPr>
        <w:t xml:space="preserve"> Le compensazioni sono destinate a coprire i costi sostenuti dagli operatori per l'adempimento degli OSP</w:t>
      </w:r>
      <w:r>
        <w:rPr>
          <w:rFonts w:cs="Times New Roman"/>
          <w:color w:val="000000" w:themeColor="text1"/>
        </w:rPr>
        <w:t xml:space="preserve"> oltre a garantire un ragionevole margine di utile al netto dei ricavi da traffico.</w:t>
      </w:r>
    </w:p>
    <w:p w14:paraId="1C32F614" w14:textId="77777777" w:rsidR="00FD2CBB" w:rsidRDefault="00FD2CBB" w:rsidP="00FD2CBB">
      <w:pPr>
        <w:spacing w:before="120" w:after="0" w:line="240" w:lineRule="auto"/>
        <w:rPr>
          <w:rFonts w:cs="Times New Roman"/>
          <w:color w:val="000000" w:themeColor="text1"/>
        </w:rPr>
      </w:pPr>
      <w:r>
        <w:rPr>
          <w:rFonts w:cs="Times New Roman"/>
          <w:color w:val="000000" w:themeColor="text1"/>
        </w:rPr>
        <w:t>L’equilibrio economico finanziario del contratto di servizio</w:t>
      </w:r>
      <w:r w:rsidRPr="00F37E70">
        <w:rPr>
          <w:rFonts w:cs="Times New Roman"/>
          <w:color w:val="000000" w:themeColor="text1"/>
        </w:rPr>
        <w:t xml:space="preserve"> </w:t>
      </w:r>
      <w:r>
        <w:rPr>
          <w:rFonts w:cs="Times New Roman"/>
          <w:color w:val="000000" w:themeColor="text1"/>
        </w:rPr>
        <w:t>riguarda quindi anche ulteriori</w:t>
      </w:r>
      <w:r w:rsidRPr="00D10E90">
        <w:rPr>
          <w:rFonts w:cs="Times New Roman"/>
          <w:color w:val="000000" w:themeColor="text1"/>
        </w:rPr>
        <w:t xml:space="preserve"> Obblighi </w:t>
      </w:r>
      <w:r>
        <w:rPr>
          <w:rFonts w:cs="Times New Roman"/>
          <w:color w:val="000000" w:themeColor="text1"/>
        </w:rPr>
        <w:t>contrattuali</w:t>
      </w:r>
      <w:r w:rsidRPr="00D10E90">
        <w:rPr>
          <w:rFonts w:cs="Times New Roman"/>
          <w:color w:val="000000" w:themeColor="text1"/>
        </w:rPr>
        <w:t xml:space="preserve"> funzionali </w:t>
      </w:r>
      <w:r>
        <w:rPr>
          <w:rFonts w:cs="Times New Roman"/>
          <w:color w:val="000000" w:themeColor="text1"/>
        </w:rPr>
        <w:t>all’esecuzione di tutti gli</w:t>
      </w:r>
      <w:r w:rsidRPr="00D10E90">
        <w:rPr>
          <w:rFonts w:cs="Times New Roman"/>
          <w:color w:val="000000" w:themeColor="text1"/>
        </w:rPr>
        <w:t xml:space="preserve"> adempimenti connessi all’</w:t>
      </w:r>
      <w:r>
        <w:rPr>
          <w:rFonts w:cs="Times New Roman"/>
          <w:color w:val="000000" w:themeColor="text1"/>
        </w:rPr>
        <w:t>esercizio dei servizi di trasporto pubblico affidati in concessione.</w:t>
      </w:r>
    </w:p>
    <w:p w14:paraId="6A170D12" w14:textId="77777777" w:rsidR="00FD2CBB" w:rsidRDefault="00FD2CBB" w:rsidP="00FD2CBB">
      <w:pPr>
        <w:spacing w:before="120" w:after="0" w:line="240" w:lineRule="auto"/>
        <w:rPr>
          <w:rFonts w:cs="Times New Roman"/>
          <w:color w:val="000000" w:themeColor="text1"/>
        </w:rPr>
      </w:pPr>
      <w:r>
        <w:rPr>
          <w:rFonts w:cs="Times New Roman"/>
          <w:color w:val="000000" w:themeColor="text1"/>
        </w:rPr>
        <w:t>Nel loro complesso gli obblighi di servizio e gli obblighi contrattuali, connessi alle procedure di affidamento, possono essere schematizzati in 6 grandi gruppi meglio rappresentati nello schema seguente:</w:t>
      </w:r>
    </w:p>
    <w:p w14:paraId="115D580A" w14:textId="77777777" w:rsidR="00FD2CBB" w:rsidRDefault="00FD2CBB" w:rsidP="004B0DBE">
      <w:pPr>
        <w:pStyle w:val="Paragrafoelenco"/>
        <w:numPr>
          <w:ilvl w:val="0"/>
          <w:numId w:val="44"/>
        </w:numPr>
        <w:spacing w:before="120" w:after="0" w:line="240" w:lineRule="auto"/>
        <w:rPr>
          <w:rFonts w:cs="Times New Roman"/>
          <w:color w:val="000000" w:themeColor="text1"/>
        </w:rPr>
      </w:pPr>
      <w:r w:rsidRPr="008553ED">
        <w:rPr>
          <w:rFonts w:cs="Times New Roman"/>
          <w:color w:val="000000" w:themeColor="text1"/>
        </w:rPr>
        <w:t>Obblighi di avvio del Contratto di Servizio; sono quelli che nella procedura di affidamento sono richiesti per verificare che all’avvio del servizio siano presenti tutte le condizioni previste per il corretto espletamento del servizio</w:t>
      </w:r>
      <w:r>
        <w:rPr>
          <w:rFonts w:cs="Times New Roman"/>
          <w:color w:val="000000" w:themeColor="text1"/>
        </w:rPr>
        <w:t>;</w:t>
      </w:r>
    </w:p>
    <w:p w14:paraId="45072BB5" w14:textId="77777777" w:rsidR="00FD2CBB" w:rsidRDefault="00FD2CBB" w:rsidP="004B0DBE">
      <w:pPr>
        <w:pStyle w:val="Paragrafoelenco"/>
        <w:numPr>
          <w:ilvl w:val="0"/>
          <w:numId w:val="44"/>
        </w:numPr>
        <w:spacing w:before="120" w:after="0" w:line="240" w:lineRule="auto"/>
        <w:rPr>
          <w:rFonts w:cs="Times New Roman"/>
          <w:color w:val="000000" w:themeColor="text1"/>
        </w:rPr>
      </w:pPr>
      <w:r>
        <w:rPr>
          <w:rFonts w:cs="Times New Roman"/>
          <w:color w:val="000000" w:themeColor="text1"/>
        </w:rPr>
        <w:t>Obblighi di servizio pubblico; sono quelli legati a garantire il livello di servizio programmato dall’Ente concedente quali frequenza e regolarità, la sicurezza dei passeggeri e del personale, l’accessibilità del servizio a tutte le categorie di utenti incluse quelle a ridotta capacità motoria, l’applicazione delle tariffe definite dall’Ente concedente;</w:t>
      </w:r>
    </w:p>
    <w:p w14:paraId="3F24A1CF" w14:textId="77777777" w:rsidR="00FD2CBB" w:rsidRDefault="00FD2CBB" w:rsidP="004B0DBE">
      <w:pPr>
        <w:pStyle w:val="Paragrafoelenco"/>
        <w:numPr>
          <w:ilvl w:val="0"/>
          <w:numId w:val="44"/>
        </w:numPr>
        <w:spacing w:before="120" w:after="0" w:line="240" w:lineRule="auto"/>
        <w:rPr>
          <w:rFonts w:cs="Times New Roman"/>
          <w:color w:val="000000" w:themeColor="text1"/>
        </w:rPr>
      </w:pPr>
      <w:r>
        <w:rPr>
          <w:rFonts w:cs="Times New Roman"/>
          <w:color w:val="000000" w:themeColor="text1"/>
        </w:rPr>
        <w:t>Obblighi di gestione contrattuale; riguardano tutti gli adempimenti programmati dall’Operatore Economico e quelli previsti dal Contratto di servizio incluso il costante monitoraggio e la dettagliata rendicontazione, nonché m</w:t>
      </w:r>
      <w:r w:rsidRPr="00F37E70">
        <w:rPr>
          <w:rFonts w:cs="Times New Roman"/>
          <w:color w:val="000000" w:themeColor="text1"/>
        </w:rPr>
        <w:t>antenere standard elevati di qualità del servizio, inclusi comfort e pulizia</w:t>
      </w:r>
      <w:r>
        <w:rPr>
          <w:rFonts w:cs="Times New Roman"/>
          <w:color w:val="000000" w:themeColor="text1"/>
        </w:rPr>
        <w:t>;</w:t>
      </w:r>
    </w:p>
    <w:p w14:paraId="7B6060FB" w14:textId="77777777" w:rsidR="00FD2CBB" w:rsidRPr="008553ED" w:rsidRDefault="00FD2CBB" w:rsidP="004B0DBE">
      <w:pPr>
        <w:pStyle w:val="Paragrafoelenco"/>
        <w:numPr>
          <w:ilvl w:val="0"/>
          <w:numId w:val="44"/>
        </w:numPr>
        <w:spacing w:before="120" w:after="0" w:line="240" w:lineRule="auto"/>
        <w:rPr>
          <w:rFonts w:cs="Times New Roman"/>
          <w:color w:val="000000" w:themeColor="text1"/>
        </w:rPr>
      </w:pPr>
      <w:r>
        <w:rPr>
          <w:rFonts w:cs="Times New Roman"/>
          <w:color w:val="000000" w:themeColor="text1"/>
        </w:rPr>
        <w:t>Obblighi di informazione e trasparenza; riguardano i rapporti con il cittadino e comprendono le informazioni e l’assistenza resa sia prima del viaggio, sia durante, sia dopo, la carta della mobilità ed il suo costante aggiornamento, i rimborsi e le procedure di conciliazione;</w:t>
      </w:r>
    </w:p>
    <w:p w14:paraId="3B7574C5" w14:textId="77777777" w:rsidR="00FD2CBB" w:rsidRPr="009D5126" w:rsidRDefault="00FD2CBB" w:rsidP="004B0DBE">
      <w:pPr>
        <w:pStyle w:val="Paragrafoelenco"/>
        <w:numPr>
          <w:ilvl w:val="0"/>
          <w:numId w:val="44"/>
        </w:numPr>
        <w:spacing w:before="120" w:after="0" w:line="240" w:lineRule="auto"/>
        <w:rPr>
          <w:rFonts w:cs="Times New Roman"/>
          <w:color w:val="000000" w:themeColor="text1"/>
        </w:rPr>
      </w:pPr>
      <w:r w:rsidRPr="009D5126">
        <w:rPr>
          <w:rFonts w:cs="Times New Roman"/>
          <w:color w:val="000000" w:themeColor="text1"/>
        </w:rPr>
        <w:t>Obblighi Ambientali</w:t>
      </w:r>
      <w:r>
        <w:rPr>
          <w:rFonts w:cs="Times New Roman"/>
          <w:color w:val="000000" w:themeColor="text1"/>
        </w:rPr>
        <w:t>; sono connessioni agli obiettivi di transizione ecologica e di</w:t>
      </w:r>
      <w:r w:rsidRPr="009D5126">
        <w:rPr>
          <w:rFonts w:cs="Times New Roman"/>
          <w:color w:val="000000" w:themeColor="text1"/>
        </w:rPr>
        <w:t xml:space="preserve"> </w:t>
      </w:r>
      <w:r>
        <w:rPr>
          <w:rFonts w:cs="Times New Roman"/>
          <w:color w:val="000000" w:themeColor="text1"/>
        </w:rPr>
        <w:t>r</w:t>
      </w:r>
      <w:r w:rsidRPr="009D5126">
        <w:rPr>
          <w:rFonts w:cs="Times New Roman"/>
          <w:color w:val="000000" w:themeColor="text1"/>
        </w:rPr>
        <w:t>idu</w:t>
      </w:r>
      <w:r>
        <w:rPr>
          <w:rFonts w:cs="Times New Roman"/>
          <w:color w:val="000000" w:themeColor="text1"/>
        </w:rPr>
        <w:t>zione</w:t>
      </w:r>
      <w:r w:rsidRPr="009D5126">
        <w:rPr>
          <w:rFonts w:cs="Times New Roman"/>
          <w:color w:val="000000" w:themeColor="text1"/>
        </w:rPr>
        <w:t xml:space="preserve"> </w:t>
      </w:r>
      <w:r>
        <w:rPr>
          <w:rFonts w:cs="Times New Roman"/>
          <w:color w:val="000000" w:themeColor="text1"/>
        </w:rPr>
        <w:t>del</w:t>
      </w:r>
      <w:r w:rsidRPr="009D5126">
        <w:rPr>
          <w:rFonts w:cs="Times New Roman"/>
          <w:color w:val="000000" w:themeColor="text1"/>
        </w:rPr>
        <w:t>l'impatto ambientale del servizio di trasporto</w:t>
      </w:r>
      <w:r>
        <w:rPr>
          <w:rFonts w:cs="Times New Roman"/>
          <w:color w:val="000000" w:themeColor="text1"/>
        </w:rPr>
        <w:t>;</w:t>
      </w:r>
    </w:p>
    <w:p w14:paraId="240D7F83" w14:textId="77777777" w:rsidR="00FD2CBB" w:rsidRPr="009D5126" w:rsidRDefault="00FD2CBB" w:rsidP="004B0DBE">
      <w:pPr>
        <w:pStyle w:val="Paragrafoelenco"/>
        <w:numPr>
          <w:ilvl w:val="0"/>
          <w:numId w:val="44"/>
        </w:numPr>
        <w:spacing w:before="120" w:after="0" w:line="240" w:lineRule="auto"/>
        <w:rPr>
          <w:rFonts w:cs="Times New Roman"/>
          <w:color w:val="000000" w:themeColor="text1"/>
        </w:rPr>
      </w:pPr>
      <w:r w:rsidRPr="009D5126">
        <w:rPr>
          <w:rFonts w:cs="Times New Roman"/>
          <w:color w:val="000000" w:themeColor="text1"/>
        </w:rPr>
        <w:t xml:space="preserve">Obblighi </w:t>
      </w:r>
      <w:r>
        <w:rPr>
          <w:rFonts w:cs="Times New Roman"/>
          <w:color w:val="000000" w:themeColor="text1"/>
        </w:rPr>
        <w:t>al termine della durata del contratto; sono connessi al necessario impegno per garantire una rapida ed efficace transizione verso un nuovo contratto anche in caso di subentro di un nuovo operatore</w:t>
      </w:r>
      <w:r w:rsidRPr="009D5126">
        <w:rPr>
          <w:rFonts w:cs="Times New Roman"/>
          <w:color w:val="000000" w:themeColor="text1"/>
        </w:rPr>
        <w:t>.</w:t>
      </w:r>
    </w:p>
    <w:p w14:paraId="34E1852E" w14:textId="77777777" w:rsidR="00FD2CBB" w:rsidRPr="009D5126" w:rsidRDefault="00FD2CBB" w:rsidP="00FD2CBB">
      <w:pPr>
        <w:spacing w:before="120" w:after="0" w:line="240" w:lineRule="auto"/>
        <w:rPr>
          <w:rFonts w:cs="Times New Roman"/>
        </w:rPr>
      </w:pPr>
      <w:r w:rsidRPr="009D5126">
        <w:rPr>
          <w:rFonts w:cs="Times New Roman"/>
        </w:rPr>
        <w:t>Nelle procedure di affidamento e nei contratti di servizio che saranno sottoscritti, gli obblighi indicati saranno esplicitati formulando per ciascuno di essi le varie modalità di descrizione, realizzazione, rendicontazione, monitoraggio e verifica</w:t>
      </w:r>
      <w:r>
        <w:rPr>
          <w:rFonts w:cs="Times New Roman"/>
        </w:rPr>
        <w:t>.</w:t>
      </w:r>
    </w:p>
    <w:p w14:paraId="4ABEFF37" w14:textId="77777777" w:rsidR="00FD2CBB" w:rsidRDefault="00FD2CBB" w:rsidP="00FD2CBB">
      <w:pPr>
        <w:spacing w:before="120" w:after="0" w:line="240" w:lineRule="auto"/>
        <w:rPr>
          <w:rFonts w:cs="Times New Roman"/>
          <w:color w:val="000000" w:themeColor="text1"/>
        </w:rPr>
      </w:pPr>
      <w:r w:rsidRPr="00F37E70">
        <w:rPr>
          <w:rFonts w:cs="Times New Roman"/>
          <w:color w:val="000000" w:themeColor="text1"/>
        </w:rPr>
        <w:t>Il mancato rispetto degli obblighi di servizio pubblico può dare luogo a penalità contrattuali e possono includere sanzioni economiche o altre misure correttive per garantire l'adempimento degli obblighi assunti.</w:t>
      </w:r>
    </w:p>
    <w:p w14:paraId="1C51C217" w14:textId="77777777" w:rsidR="00FD2CBB" w:rsidRDefault="00FD2CBB" w:rsidP="00FD2CBB">
      <w:pPr>
        <w:spacing w:before="120" w:after="0" w:line="240" w:lineRule="auto"/>
        <w:rPr>
          <w:rFonts w:cs="Times New Roman"/>
          <w:color w:val="000000" w:themeColor="text1"/>
        </w:rPr>
      </w:pPr>
      <w:r>
        <w:rPr>
          <w:rFonts w:cs="Times New Roman"/>
          <w:color w:val="000000" w:themeColor="text1"/>
        </w:rPr>
        <w:t>I piani economico finanziari sviluppati in sede di procedura di affidamento dovranno dettagliare i fattori di produzione ed i relativi costi connessi per garantire l’adempimento degli obblighi e la loro sostenibilità tecnica economico e finanziaria.</w:t>
      </w:r>
    </w:p>
    <w:p w14:paraId="078FAF6C" w14:textId="3474259C" w:rsidR="00FD2CBB" w:rsidRDefault="00FD2CBB" w:rsidP="0047122C">
      <w:pPr>
        <w:tabs>
          <w:tab w:val="left" w:pos="2565"/>
          <w:tab w:val="left" w:pos="5895"/>
        </w:tabs>
        <w:spacing w:before="120" w:after="0" w:line="240" w:lineRule="auto"/>
        <w:rPr>
          <w:rFonts w:cs="Times New Roman"/>
          <w:color w:val="000000" w:themeColor="text1"/>
        </w:rPr>
      </w:pPr>
      <w:r>
        <w:rPr>
          <w:rFonts w:cs="Times New Roman"/>
          <w:color w:val="000000" w:themeColor="text1"/>
        </w:rPr>
        <w:tab/>
      </w:r>
      <w:r w:rsidR="0047122C">
        <w:rPr>
          <w:rFonts w:cs="Times New Roman"/>
          <w:color w:val="000000" w:themeColor="text1"/>
        </w:rPr>
        <w:tab/>
      </w:r>
    </w:p>
    <w:p w14:paraId="2E496527" w14:textId="77777777" w:rsidR="00FD2CBB" w:rsidRDefault="00FD2CBB" w:rsidP="00FD2CBB">
      <w:pPr>
        <w:spacing w:before="120" w:after="0" w:line="240" w:lineRule="auto"/>
        <w:jc w:val="center"/>
        <w:rPr>
          <w:rFonts w:cs="Times New Roman"/>
          <w:color w:val="000000" w:themeColor="text1"/>
        </w:rPr>
      </w:pPr>
      <w:r>
        <w:rPr>
          <w:noProof/>
        </w:rPr>
        <w:lastRenderedPageBreak/>
        <w:drawing>
          <wp:inline distT="0" distB="0" distL="0" distR="0" wp14:anchorId="6301E6B4" wp14:editId="5AFC75E9">
            <wp:extent cx="5759450" cy="3276600"/>
            <wp:effectExtent l="0" t="0" r="0" b="0"/>
            <wp:docPr id="1608982624" name="Elemento gra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982624" name=""/>
                    <pic:cNvPicPr/>
                  </pic:nvPicPr>
                  <pic:blipFill>
                    <a:blip r:embed="rId73">
                      <a:extLst>
                        <a:ext uri="{96DAC541-7B7A-43D3-8B79-37D633B846F1}">
                          <asvg:svgBlip xmlns:asvg="http://schemas.microsoft.com/office/drawing/2016/SVG/main" r:embed="rId74"/>
                        </a:ext>
                      </a:extLst>
                    </a:blip>
                    <a:stretch>
                      <a:fillRect/>
                    </a:stretch>
                  </pic:blipFill>
                  <pic:spPr>
                    <a:xfrm>
                      <a:off x="0" y="0"/>
                      <a:ext cx="5759450" cy="3276600"/>
                    </a:xfrm>
                    <a:prstGeom prst="rect">
                      <a:avLst/>
                    </a:prstGeom>
                  </pic:spPr>
                </pic:pic>
              </a:graphicData>
            </a:graphic>
          </wp:inline>
        </w:drawing>
      </w:r>
    </w:p>
    <w:p w14:paraId="50BA555F" w14:textId="77777777" w:rsidR="00FD2CBB" w:rsidRDefault="00FD2CBB" w:rsidP="00FD2CBB">
      <w:pPr>
        <w:spacing w:before="120" w:after="0" w:line="240" w:lineRule="auto"/>
        <w:jc w:val="center"/>
        <w:rPr>
          <w:rFonts w:cs="Times New Roman"/>
          <w:color w:val="000000" w:themeColor="text1"/>
        </w:rPr>
      </w:pPr>
    </w:p>
    <w:p w14:paraId="1769ECF0" w14:textId="77777777" w:rsidR="00FD2CBB" w:rsidRDefault="00FD2CBB" w:rsidP="00FD2CBB">
      <w:pPr>
        <w:spacing w:before="120" w:after="0" w:line="240" w:lineRule="auto"/>
        <w:jc w:val="center"/>
        <w:rPr>
          <w:rFonts w:cs="Times New Roman"/>
          <w:color w:val="000000" w:themeColor="text1"/>
        </w:rPr>
      </w:pPr>
      <w:r>
        <w:rPr>
          <w:noProof/>
        </w:rPr>
        <w:drawing>
          <wp:inline distT="0" distB="0" distL="0" distR="0" wp14:anchorId="2244426A" wp14:editId="2FB49D06">
            <wp:extent cx="5759450" cy="3239770"/>
            <wp:effectExtent l="0" t="0" r="0" b="0"/>
            <wp:docPr id="672524856" name="Elemento gra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524856" name=""/>
                    <pic:cNvPicPr/>
                  </pic:nvPicPr>
                  <pic:blipFill>
                    <a:blip r:embed="rId75">
                      <a:extLst>
                        <a:ext uri="{96DAC541-7B7A-43D3-8B79-37D633B846F1}">
                          <asvg:svgBlip xmlns:asvg="http://schemas.microsoft.com/office/drawing/2016/SVG/main" r:embed="rId76"/>
                        </a:ext>
                      </a:extLst>
                    </a:blip>
                    <a:stretch>
                      <a:fillRect/>
                    </a:stretch>
                  </pic:blipFill>
                  <pic:spPr>
                    <a:xfrm>
                      <a:off x="0" y="0"/>
                      <a:ext cx="5759450" cy="3239770"/>
                    </a:xfrm>
                    <a:prstGeom prst="rect">
                      <a:avLst/>
                    </a:prstGeom>
                  </pic:spPr>
                </pic:pic>
              </a:graphicData>
            </a:graphic>
          </wp:inline>
        </w:drawing>
      </w:r>
    </w:p>
    <w:p w14:paraId="55B37B58" w14:textId="3321DC8C" w:rsidR="00FD2CBB" w:rsidRDefault="00FD2CBB" w:rsidP="00FD2CBB">
      <w:pPr>
        <w:pStyle w:val="Didascalia"/>
        <w:spacing w:after="0"/>
        <w:jc w:val="center"/>
        <w:rPr>
          <w:rFonts w:cstheme="minorHAnsi"/>
        </w:rPr>
      </w:pPr>
      <w:r w:rsidRPr="00F80456">
        <w:rPr>
          <w:rFonts w:cstheme="minorHAnsi"/>
        </w:rPr>
        <w:t xml:space="preserve">Figura </w:t>
      </w:r>
      <w:r w:rsidR="00FD7EE5">
        <w:fldChar w:fldCharType="begin"/>
      </w:r>
      <w:r w:rsidR="00FD7EE5">
        <w:instrText xml:space="preserve"> SEQ Figura \* ARABIC </w:instrText>
      </w:r>
      <w:r w:rsidR="00FD7EE5">
        <w:fldChar w:fldCharType="separate"/>
      </w:r>
      <w:r w:rsidR="00073B6D">
        <w:rPr>
          <w:noProof/>
        </w:rPr>
        <w:t>33</w:t>
      </w:r>
      <w:r w:rsidR="00FD7EE5">
        <w:rPr>
          <w:noProof/>
        </w:rPr>
        <w:fldChar w:fldCharType="end"/>
      </w:r>
      <w:r w:rsidRPr="00F80456">
        <w:rPr>
          <w:rFonts w:cstheme="minorHAnsi"/>
        </w:rPr>
        <w:t xml:space="preserve"> –</w:t>
      </w:r>
      <w:r>
        <w:rPr>
          <w:rFonts w:cstheme="minorHAnsi"/>
        </w:rPr>
        <w:t>Schematizzazione obblighi di servizio</w:t>
      </w:r>
    </w:p>
    <w:p w14:paraId="618FB5BC" w14:textId="77777777" w:rsidR="00FD2CBB" w:rsidRDefault="00FD2CBB" w:rsidP="00FD2CBB">
      <w:pPr>
        <w:pStyle w:val="Titolo2"/>
        <w:ind w:left="567"/>
      </w:pPr>
      <w:bookmarkStart w:id="249" w:name="_Toc193218186"/>
      <w:bookmarkStart w:id="250" w:name="_Toc1372678259"/>
      <w:bookmarkStart w:id="251" w:name="_Toc197695693"/>
      <w:bookmarkStart w:id="252" w:name="_Toc204328734"/>
      <w:bookmarkStart w:id="253" w:name="_Toc213078374"/>
      <w:bookmarkStart w:id="254" w:name="_Toc193218189"/>
      <w:bookmarkStart w:id="255" w:name="_Toc1316531327"/>
      <w:bookmarkStart w:id="256" w:name="_Toc197695697"/>
      <w:bookmarkStart w:id="257" w:name="_Toc204616507"/>
      <w:r>
        <w:t>Possibili soluzioni di finanziamento</w:t>
      </w:r>
      <w:bookmarkEnd w:id="249"/>
      <w:bookmarkEnd w:id="250"/>
      <w:bookmarkEnd w:id="251"/>
      <w:bookmarkEnd w:id="252"/>
      <w:bookmarkEnd w:id="253"/>
    </w:p>
    <w:p w14:paraId="613BD42C" w14:textId="77777777" w:rsidR="00FD2CBB" w:rsidRPr="00FB6927" w:rsidRDefault="00FD2CBB" w:rsidP="00FD2CBB">
      <w:pPr>
        <w:spacing w:before="120" w:after="0" w:line="240" w:lineRule="auto"/>
        <w:rPr>
          <w:rFonts w:cs="Times New Roman"/>
        </w:rPr>
      </w:pPr>
      <w:r w:rsidRPr="00FB6927">
        <w:rPr>
          <w:rFonts w:cs="Times New Roman"/>
        </w:rPr>
        <w:t xml:space="preserve">La Delibera ART n. 48/2017 (misure 4 e 6) prescrive che il </w:t>
      </w:r>
      <w:r>
        <w:rPr>
          <w:rFonts w:cs="Times New Roman"/>
        </w:rPr>
        <w:t>soggetto competente</w:t>
      </w:r>
      <w:r w:rsidRPr="00FB6927">
        <w:rPr>
          <w:rFonts w:cs="Times New Roman"/>
        </w:rPr>
        <w:t xml:space="preserve"> prima dell’adozione degli atti amministrativi relativi all’affidamento dei servizi di trasporto pubblico, illustri e motivi in un’apposita relazione le opzioni di finanziamento degli obblighi di servizio pubblico ed i fattori di mercato considerati ai fini del dimensionamento dei lotti da affidare. </w:t>
      </w:r>
    </w:p>
    <w:p w14:paraId="4F4784E2" w14:textId="77777777" w:rsidR="00FD2CBB" w:rsidRDefault="00FD2CBB" w:rsidP="00FD2CBB">
      <w:pPr>
        <w:pStyle w:val="Titolo3"/>
        <w:ind w:left="720"/>
      </w:pPr>
      <w:bookmarkStart w:id="258" w:name="_Toc193218187"/>
      <w:bookmarkStart w:id="259" w:name="_Toc1881519439"/>
      <w:bookmarkStart w:id="260" w:name="_Toc197695694"/>
      <w:bookmarkStart w:id="261" w:name="_Toc204328735"/>
      <w:bookmarkStart w:id="262" w:name="_Toc213078375"/>
      <w:r>
        <w:lastRenderedPageBreak/>
        <w:t>Quadro europeo</w:t>
      </w:r>
      <w:bookmarkEnd w:id="258"/>
      <w:bookmarkEnd w:id="259"/>
      <w:bookmarkEnd w:id="260"/>
      <w:bookmarkEnd w:id="261"/>
      <w:bookmarkEnd w:id="262"/>
    </w:p>
    <w:p w14:paraId="05C1B755" w14:textId="77777777" w:rsidR="00FD2CBB" w:rsidRDefault="00FD2CBB" w:rsidP="00FD2CBB">
      <w:pPr>
        <w:spacing w:before="120" w:after="0" w:line="240" w:lineRule="auto"/>
        <w:rPr>
          <w:rFonts w:cs="Times New Roman"/>
        </w:rPr>
      </w:pPr>
      <w:r>
        <w:rPr>
          <w:rFonts w:cs="Times New Roman"/>
        </w:rPr>
        <w:t xml:space="preserve">Al fine di individuare le fonti di finanziamento a copertura dei servizi di trasporto pubblico che saranno oggetto di affidamento, si è voluto approfondire il tema facendo riferimento anche a </w:t>
      </w:r>
      <w:r>
        <w:rPr>
          <w:rFonts w:cs="Times New Roman"/>
          <w:i/>
          <w:iCs/>
        </w:rPr>
        <w:t>be</w:t>
      </w:r>
      <w:r w:rsidRPr="00255CC7">
        <w:rPr>
          <w:rFonts w:cs="Times New Roman"/>
          <w:i/>
          <w:iCs/>
        </w:rPr>
        <w:t>nchmark</w:t>
      </w:r>
      <w:r>
        <w:rPr>
          <w:rFonts w:cs="Times New Roman"/>
        </w:rPr>
        <w:t xml:space="preserve"> europei.</w:t>
      </w:r>
    </w:p>
    <w:p w14:paraId="73A2FA90" w14:textId="77777777" w:rsidR="00FD2CBB" w:rsidRDefault="00FD2CBB" w:rsidP="00FD2CBB">
      <w:pPr>
        <w:spacing w:before="120" w:after="0" w:line="240" w:lineRule="auto"/>
        <w:rPr>
          <w:rFonts w:cs="Times New Roman"/>
        </w:rPr>
      </w:pPr>
      <w:r>
        <w:rPr>
          <w:rFonts w:cs="Times New Roman"/>
        </w:rPr>
        <w:t>L’Agenzia da anni fa parte e collabora con l’associazione EMTA – European Metropolitan Transport Authorities che racchiude al suo interno 35 agenzie/autorità competenti in materia di trasporto pubblico locale delle principali aree metropolitane d’Europa.</w:t>
      </w:r>
    </w:p>
    <w:p w14:paraId="4E73597A" w14:textId="77777777" w:rsidR="00FD2CBB" w:rsidRDefault="00FD2CBB" w:rsidP="00FD2CBB">
      <w:pPr>
        <w:spacing w:before="120" w:after="0" w:line="240" w:lineRule="auto"/>
        <w:rPr>
          <w:rFonts w:cs="Times New Roman"/>
        </w:rPr>
      </w:pPr>
      <w:r>
        <w:rPr>
          <w:rFonts w:cs="Times New Roman"/>
        </w:rPr>
        <w:t>Riportiamo di seguito un breve estratto di un documento di ricerca effettuato dall’associazione sulle soluzioni innovative di finanziamento del trasporto pubblico</w:t>
      </w:r>
      <w:r>
        <w:rPr>
          <w:rStyle w:val="Rimandonotaapidipagina"/>
          <w:rFonts w:cs="Times New Roman"/>
        </w:rPr>
        <w:footnoteReference w:id="29"/>
      </w:r>
      <w:r>
        <w:rPr>
          <w:rFonts w:cs="Times New Roman"/>
        </w:rPr>
        <w:t>.</w:t>
      </w:r>
    </w:p>
    <w:p w14:paraId="3A3C7E34" w14:textId="77777777" w:rsidR="00FD2CBB" w:rsidRPr="00255CC7" w:rsidRDefault="00FD2CBB" w:rsidP="00FD2CBB">
      <w:pPr>
        <w:spacing w:before="120" w:after="0" w:line="240" w:lineRule="auto"/>
        <w:rPr>
          <w:rFonts w:cs="Times New Roman"/>
        </w:rPr>
      </w:pPr>
      <w:r>
        <w:rPr>
          <w:rFonts w:cs="Times New Roman"/>
        </w:rPr>
        <w:t xml:space="preserve">Lo studio ha analizzato le strategie di finanziamento di 15 agenzie europee con lo scopo di individuare le tendenze e le </w:t>
      </w:r>
      <w:r>
        <w:rPr>
          <w:rFonts w:cs="Times New Roman"/>
          <w:i/>
          <w:iCs/>
        </w:rPr>
        <w:t>best practice</w:t>
      </w:r>
      <w:r w:rsidRPr="00255CC7">
        <w:rPr>
          <w:rFonts w:cs="Times New Roman"/>
          <w:i/>
          <w:iCs/>
        </w:rPr>
        <w:t>s</w:t>
      </w:r>
      <w:r>
        <w:rPr>
          <w:rFonts w:cs="Times New Roman"/>
        </w:rPr>
        <w:t xml:space="preserve"> in atto per integrare le fonti di finanziamento tradizionale, riducendo la dipendenza dai sussidi pubblici.</w:t>
      </w:r>
    </w:p>
    <w:p w14:paraId="3DC26569" w14:textId="77777777" w:rsidR="00FD2CBB" w:rsidRDefault="00FD2CBB" w:rsidP="00FD2CBB">
      <w:pPr>
        <w:spacing w:before="120" w:after="0" w:line="240" w:lineRule="auto"/>
        <w:rPr>
          <w:rFonts w:cs="Times New Roman"/>
        </w:rPr>
      </w:pPr>
      <w:r w:rsidRPr="00606094">
        <w:rPr>
          <w:rFonts w:cs="Times New Roman"/>
        </w:rPr>
        <w:t>Negli ultimi anni, l</w:t>
      </w:r>
      <w:r>
        <w:rPr>
          <w:rFonts w:cs="Times New Roman"/>
        </w:rPr>
        <w:t>e variazioni della</w:t>
      </w:r>
      <w:r w:rsidRPr="00606094">
        <w:rPr>
          <w:rFonts w:cs="Times New Roman"/>
        </w:rPr>
        <w:t xml:space="preserve"> domanda di trasporto pubblico e l’ammodernamento tecnologico ha portato a un incremento dei costi operativi. Tradizionalmente, le Autorità per il trasporto pubblico si affidano a finanziamenti governativi, ma i tagli ai bilanci pubblici rendono questa strategia sempre meno s</w:t>
      </w:r>
      <w:r>
        <w:rPr>
          <w:rFonts w:cs="Times New Roman"/>
        </w:rPr>
        <w:t>tabile</w:t>
      </w:r>
      <w:r w:rsidRPr="00606094">
        <w:rPr>
          <w:rFonts w:cs="Times New Roman"/>
        </w:rPr>
        <w:t>.</w:t>
      </w:r>
    </w:p>
    <w:p w14:paraId="65B942C9" w14:textId="77777777" w:rsidR="00FD2CBB" w:rsidRPr="00606094" w:rsidRDefault="00FD2CBB" w:rsidP="00FD2CBB">
      <w:pPr>
        <w:spacing w:before="120" w:after="0" w:line="240" w:lineRule="auto"/>
        <w:rPr>
          <w:rFonts w:cs="Times New Roman"/>
        </w:rPr>
      </w:pPr>
      <w:r w:rsidRPr="00606094">
        <w:rPr>
          <w:rFonts w:cs="Times New Roman"/>
        </w:rPr>
        <w:t>L’indagine ha identificato quattro categorie di soluzioni innovative per affrontare questa sfida:</w:t>
      </w:r>
    </w:p>
    <w:p w14:paraId="0F440A77" w14:textId="77777777" w:rsidR="00FD2CBB" w:rsidRPr="00255CC7" w:rsidRDefault="00FD2CBB" w:rsidP="004B0DBE">
      <w:pPr>
        <w:pStyle w:val="Paragrafoelenco"/>
        <w:numPr>
          <w:ilvl w:val="0"/>
          <w:numId w:val="39"/>
        </w:numPr>
        <w:spacing w:before="120" w:after="0" w:line="240" w:lineRule="auto"/>
        <w:contextualSpacing w:val="0"/>
        <w:rPr>
          <w:rFonts w:cs="Times New Roman"/>
        </w:rPr>
      </w:pPr>
      <w:r w:rsidRPr="00255CC7">
        <w:rPr>
          <w:rFonts w:cs="Times New Roman"/>
        </w:rPr>
        <w:t>Acquisizione di valore economico generico</w:t>
      </w:r>
    </w:p>
    <w:p w14:paraId="40522ADB" w14:textId="77777777" w:rsidR="00FD2CBB" w:rsidRPr="00255CC7" w:rsidRDefault="00FD2CBB" w:rsidP="004B0DBE">
      <w:pPr>
        <w:pStyle w:val="Paragrafoelenco"/>
        <w:numPr>
          <w:ilvl w:val="0"/>
          <w:numId w:val="39"/>
        </w:numPr>
        <w:spacing w:before="120" w:after="0" w:line="240" w:lineRule="auto"/>
        <w:contextualSpacing w:val="0"/>
        <w:rPr>
          <w:rFonts w:cs="Times New Roman"/>
        </w:rPr>
      </w:pPr>
      <w:r w:rsidRPr="00255CC7">
        <w:rPr>
          <w:rFonts w:cs="Times New Roman"/>
        </w:rPr>
        <w:t>Acquisizione di valore economico mirata</w:t>
      </w:r>
    </w:p>
    <w:p w14:paraId="2B42F32B" w14:textId="77777777" w:rsidR="00FD2CBB" w:rsidRPr="00255CC7" w:rsidRDefault="00FD2CBB" w:rsidP="004B0DBE">
      <w:pPr>
        <w:pStyle w:val="Paragrafoelenco"/>
        <w:numPr>
          <w:ilvl w:val="0"/>
          <w:numId w:val="39"/>
        </w:numPr>
        <w:spacing w:before="120" w:after="0" w:line="240" w:lineRule="auto"/>
        <w:contextualSpacing w:val="0"/>
        <w:rPr>
          <w:rFonts w:cs="Times New Roman"/>
        </w:rPr>
      </w:pPr>
      <w:r w:rsidRPr="00255CC7">
        <w:rPr>
          <w:rFonts w:cs="Times New Roman"/>
        </w:rPr>
        <w:t>Trasferimenti da privato a pubblico</w:t>
      </w:r>
    </w:p>
    <w:p w14:paraId="427789C5" w14:textId="77777777" w:rsidR="00FD2CBB" w:rsidRPr="00255CC7" w:rsidRDefault="00FD2CBB" w:rsidP="004B0DBE">
      <w:pPr>
        <w:pStyle w:val="Paragrafoelenco"/>
        <w:numPr>
          <w:ilvl w:val="0"/>
          <w:numId w:val="39"/>
        </w:numPr>
        <w:spacing w:before="120" w:after="0" w:line="240" w:lineRule="auto"/>
        <w:contextualSpacing w:val="0"/>
        <w:rPr>
          <w:rFonts w:cs="Times New Roman"/>
        </w:rPr>
      </w:pPr>
      <w:r w:rsidRPr="00255CC7">
        <w:rPr>
          <w:rFonts w:cs="Times New Roman"/>
        </w:rPr>
        <w:t>Altre soluzioni innovative</w:t>
      </w:r>
    </w:p>
    <w:p w14:paraId="7EED198A" w14:textId="77777777" w:rsidR="00FD2CBB" w:rsidRPr="005D2E24" w:rsidRDefault="00FD2CBB" w:rsidP="00FD2CBB">
      <w:pPr>
        <w:spacing w:before="120" w:after="0" w:line="240" w:lineRule="auto"/>
        <w:rPr>
          <w:rFonts w:cstheme="minorHAnsi"/>
          <w:b/>
          <w:bCs/>
        </w:rPr>
      </w:pPr>
      <w:r w:rsidRPr="005D2E24">
        <w:rPr>
          <w:rFonts w:cstheme="minorHAnsi"/>
          <w:b/>
          <w:bCs/>
        </w:rPr>
        <w:t>Tendenze emergenti nel finanziamento del trasporto pubblico</w:t>
      </w:r>
    </w:p>
    <w:p w14:paraId="68F9AE34" w14:textId="77777777" w:rsidR="00FD2CBB" w:rsidRDefault="00FD2CBB" w:rsidP="00FD2CBB">
      <w:pPr>
        <w:spacing w:before="120" w:after="0" w:line="240" w:lineRule="auto"/>
        <w:rPr>
          <w:rFonts w:cstheme="minorHAnsi"/>
        </w:rPr>
      </w:pPr>
      <w:r w:rsidRPr="005D2E24">
        <w:rPr>
          <w:rFonts w:cstheme="minorHAnsi"/>
        </w:rPr>
        <w:t>L’indagine ha evidenziato un aumento della dipendenza dai flussi di reddito indiretti, ovvero entrate che non derivano direttamente dall’operatività del trasporto pubblico, ma da tasse, sanzioni o contributi da parte di privati e aziende. Tra il 2012 e il 2016, la percentuale media di queste entrate è aumentata di 7 punti percentuali.</w:t>
      </w:r>
    </w:p>
    <w:p w14:paraId="4D9CF075" w14:textId="77777777" w:rsidR="00FD2CBB" w:rsidRDefault="00FD2CBB" w:rsidP="00FD2CBB">
      <w:pPr>
        <w:spacing w:before="120" w:after="0" w:line="240" w:lineRule="auto"/>
        <w:rPr>
          <w:rStyle w:val="Enfasigrassetto"/>
          <w:rFonts w:cstheme="minorHAnsi"/>
        </w:rPr>
      </w:pPr>
      <w:r w:rsidRPr="005D2E24">
        <w:rPr>
          <w:rStyle w:val="Enfasigrassetto"/>
          <w:rFonts w:cstheme="minorHAnsi"/>
        </w:rPr>
        <w:t>Soluzioni di finanziamento innovative</w:t>
      </w:r>
    </w:p>
    <w:p w14:paraId="18C1A41B" w14:textId="77777777" w:rsidR="00FD2CBB" w:rsidRPr="005D2E24" w:rsidRDefault="00FD2CBB" w:rsidP="00FD2CBB">
      <w:pPr>
        <w:spacing w:before="120" w:after="0" w:line="240" w:lineRule="auto"/>
        <w:rPr>
          <w:rFonts w:cstheme="minorHAnsi"/>
        </w:rPr>
      </w:pPr>
      <w:r w:rsidRPr="005D2E24">
        <w:rPr>
          <w:rFonts w:cstheme="minorHAnsi"/>
        </w:rPr>
        <w:t>Le soluzioni identificate possono essere suddivise in quattro categorie:</w:t>
      </w:r>
    </w:p>
    <w:p w14:paraId="57C14CFD" w14:textId="77777777" w:rsidR="00FD2CBB" w:rsidRPr="004405E4" w:rsidRDefault="00FD2CBB" w:rsidP="004B0DBE">
      <w:pPr>
        <w:pStyle w:val="Paragrafoelenco"/>
        <w:numPr>
          <w:ilvl w:val="0"/>
          <w:numId w:val="45"/>
        </w:numPr>
        <w:tabs>
          <w:tab w:val="left" w:pos="3402"/>
        </w:tabs>
        <w:spacing w:before="120" w:after="0" w:line="240" w:lineRule="auto"/>
        <w:contextualSpacing w:val="0"/>
        <w:rPr>
          <w:rFonts w:cstheme="minorHAnsi"/>
        </w:rPr>
      </w:pPr>
      <w:r w:rsidRPr="004405E4">
        <w:rPr>
          <w:rFonts w:cstheme="minorHAnsi"/>
        </w:rPr>
        <w:t>Acquisizione generica delle risorse a finanziamento del TPL. Esempi:</w:t>
      </w:r>
    </w:p>
    <w:p w14:paraId="2DB3740E" w14:textId="77777777" w:rsidR="00FD2CBB" w:rsidRPr="004405E4" w:rsidRDefault="00FD2CBB" w:rsidP="004B0DBE">
      <w:pPr>
        <w:pStyle w:val="NormaleWeb"/>
        <w:numPr>
          <w:ilvl w:val="1"/>
          <w:numId w:val="40"/>
        </w:numPr>
        <w:tabs>
          <w:tab w:val="left" w:pos="3402"/>
        </w:tabs>
        <w:spacing w:before="120" w:after="0" w:line="240" w:lineRule="auto"/>
        <w:ind w:left="1434" w:hanging="357"/>
        <w:rPr>
          <w:rFonts w:asciiTheme="minorHAnsi" w:hAnsiTheme="minorHAnsi" w:cstheme="minorHAnsi"/>
          <w:sz w:val="22"/>
          <w:szCs w:val="22"/>
        </w:rPr>
      </w:pPr>
      <w:r w:rsidRPr="004405E4">
        <w:rPr>
          <w:rStyle w:val="Enfasigrassetto"/>
          <w:rFonts w:asciiTheme="minorHAnsi" w:hAnsiTheme="minorHAnsi" w:cstheme="minorHAnsi"/>
          <w:sz w:val="22"/>
          <w:szCs w:val="22"/>
        </w:rPr>
        <w:t>Enterprise Zone Northern Line Extension (Londra):</w:t>
      </w:r>
      <w:r w:rsidRPr="004405E4">
        <w:rPr>
          <w:rFonts w:asciiTheme="minorHAnsi" w:hAnsiTheme="minorHAnsi" w:cstheme="minorHAnsi"/>
          <w:sz w:val="22"/>
          <w:szCs w:val="22"/>
        </w:rPr>
        <w:t xml:space="preserve"> le imprese situate nella zona contribuiscono con imposte per finanziare il prolungamento della linea metropolitana. Londra ha finora raccolto oltre 300 milioni di sterline.</w:t>
      </w:r>
    </w:p>
    <w:p w14:paraId="58781760" w14:textId="77777777" w:rsidR="00FD2CBB" w:rsidRPr="004405E4" w:rsidRDefault="00FD2CBB" w:rsidP="004B0DBE">
      <w:pPr>
        <w:pStyle w:val="NormaleWeb"/>
        <w:numPr>
          <w:ilvl w:val="1"/>
          <w:numId w:val="40"/>
        </w:numPr>
        <w:tabs>
          <w:tab w:val="left" w:pos="3402"/>
        </w:tabs>
        <w:spacing w:before="120" w:after="0" w:line="240" w:lineRule="auto"/>
        <w:rPr>
          <w:rFonts w:asciiTheme="minorHAnsi" w:hAnsiTheme="minorHAnsi" w:cstheme="minorHAnsi"/>
          <w:sz w:val="22"/>
          <w:szCs w:val="22"/>
        </w:rPr>
      </w:pPr>
      <w:r w:rsidRPr="004405E4">
        <w:rPr>
          <w:rStyle w:val="Enfasigrassetto"/>
          <w:rFonts w:asciiTheme="minorHAnsi" w:hAnsiTheme="minorHAnsi" w:cstheme="minorHAnsi"/>
          <w:sz w:val="22"/>
          <w:szCs w:val="22"/>
        </w:rPr>
        <w:t>AMB Metropolitan Tax (Barcellona):</w:t>
      </w:r>
      <w:r w:rsidRPr="004405E4">
        <w:rPr>
          <w:rFonts w:asciiTheme="minorHAnsi" w:hAnsiTheme="minorHAnsi" w:cstheme="minorHAnsi"/>
          <w:sz w:val="22"/>
          <w:szCs w:val="22"/>
        </w:rPr>
        <w:t xml:space="preserve"> una sovrattassa imposta sui proprietari di immobili nei 18 municipi dell'area metropolitana, che genera circa 110 milioni di euro all'anno per sostenere il trasporto pubblico.</w:t>
      </w:r>
    </w:p>
    <w:p w14:paraId="122592FF" w14:textId="77777777" w:rsidR="00FD2CBB" w:rsidRPr="004405E4" w:rsidRDefault="00FD2CBB" w:rsidP="004B0DBE">
      <w:pPr>
        <w:pStyle w:val="NormaleWeb"/>
        <w:numPr>
          <w:ilvl w:val="1"/>
          <w:numId w:val="40"/>
        </w:numPr>
        <w:tabs>
          <w:tab w:val="left" w:pos="3402"/>
        </w:tabs>
        <w:spacing w:before="120" w:after="0" w:line="240" w:lineRule="auto"/>
        <w:rPr>
          <w:rFonts w:asciiTheme="minorHAnsi" w:hAnsiTheme="minorHAnsi" w:cstheme="minorHAnsi"/>
          <w:sz w:val="22"/>
          <w:szCs w:val="22"/>
        </w:rPr>
      </w:pPr>
      <w:r w:rsidRPr="004405E4">
        <w:rPr>
          <w:rStyle w:val="Enfasigrassetto"/>
          <w:rFonts w:asciiTheme="minorHAnsi" w:hAnsiTheme="minorHAnsi" w:cstheme="minorHAnsi"/>
          <w:sz w:val="22"/>
          <w:szCs w:val="22"/>
        </w:rPr>
        <w:t>Mayoral Community Infrastructure Levy (Londra):</w:t>
      </w:r>
      <w:r w:rsidRPr="004405E4">
        <w:rPr>
          <w:rFonts w:asciiTheme="minorHAnsi" w:hAnsiTheme="minorHAnsi" w:cstheme="minorHAnsi"/>
          <w:sz w:val="22"/>
          <w:szCs w:val="22"/>
        </w:rPr>
        <w:t xml:space="preserve"> tassa per gli sviluppatori commerciali per finanziare il Crossrail.</w:t>
      </w:r>
    </w:p>
    <w:p w14:paraId="4685014D" w14:textId="77777777" w:rsidR="00FD2CBB" w:rsidRPr="004405E4" w:rsidRDefault="00FD2CBB" w:rsidP="004B0DBE">
      <w:pPr>
        <w:pStyle w:val="NormaleWeb"/>
        <w:numPr>
          <w:ilvl w:val="1"/>
          <w:numId w:val="40"/>
        </w:numPr>
        <w:tabs>
          <w:tab w:val="left" w:pos="3402"/>
        </w:tabs>
        <w:spacing w:before="120" w:after="0" w:line="240" w:lineRule="auto"/>
        <w:rPr>
          <w:rFonts w:asciiTheme="minorHAnsi" w:hAnsiTheme="minorHAnsi" w:cstheme="minorHAnsi"/>
          <w:sz w:val="22"/>
          <w:szCs w:val="22"/>
        </w:rPr>
      </w:pPr>
      <w:r w:rsidRPr="004405E4">
        <w:rPr>
          <w:rStyle w:val="Enfasigrassetto"/>
          <w:rFonts w:asciiTheme="minorHAnsi" w:hAnsiTheme="minorHAnsi" w:cstheme="minorHAnsi"/>
          <w:sz w:val="22"/>
          <w:szCs w:val="22"/>
        </w:rPr>
        <w:lastRenderedPageBreak/>
        <w:t>Legge sul finanziamento del trasporto pubblico (Barcellona):</w:t>
      </w:r>
      <w:r w:rsidRPr="004405E4">
        <w:rPr>
          <w:rFonts w:asciiTheme="minorHAnsi" w:hAnsiTheme="minorHAnsi" w:cstheme="minorHAnsi"/>
          <w:sz w:val="22"/>
          <w:szCs w:val="22"/>
        </w:rPr>
        <w:t xml:space="preserve"> imposte su attività economiche per coprire i costi del trasporto pubblico, con un gettito stimato di 75 milioni di euro annuali.</w:t>
      </w:r>
    </w:p>
    <w:p w14:paraId="778FB771" w14:textId="77777777" w:rsidR="00FD2CBB" w:rsidRPr="004405E4" w:rsidRDefault="00FD2CBB" w:rsidP="004B0DBE">
      <w:pPr>
        <w:pStyle w:val="NormaleWeb"/>
        <w:numPr>
          <w:ilvl w:val="1"/>
          <w:numId w:val="40"/>
        </w:numPr>
        <w:tabs>
          <w:tab w:val="left" w:pos="3402"/>
        </w:tabs>
        <w:spacing w:before="120" w:after="0" w:line="240" w:lineRule="auto"/>
        <w:rPr>
          <w:rFonts w:asciiTheme="minorHAnsi" w:hAnsiTheme="minorHAnsi" w:cstheme="minorHAnsi"/>
          <w:sz w:val="22"/>
          <w:szCs w:val="22"/>
        </w:rPr>
      </w:pPr>
      <w:r w:rsidRPr="004405E4">
        <w:rPr>
          <w:rStyle w:val="Enfasigrassetto"/>
          <w:rFonts w:asciiTheme="minorHAnsi" w:hAnsiTheme="minorHAnsi" w:cstheme="minorHAnsi"/>
          <w:sz w:val="22"/>
          <w:szCs w:val="22"/>
        </w:rPr>
        <w:t>Earn-Back Model (Manchester):</w:t>
      </w:r>
      <w:r w:rsidRPr="004405E4">
        <w:rPr>
          <w:rFonts w:asciiTheme="minorHAnsi" w:hAnsiTheme="minorHAnsi" w:cstheme="minorHAnsi"/>
          <w:sz w:val="22"/>
          <w:szCs w:val="22"/>
        </w:rPr>
        <w:t xml:space="preserve"> la Greater Manchester trattiene una parte dell’aumento delle imposte generate dagli investimenti in infrastrutture. Ad esempio, 30 milioni di sterline all’anno sono stati utilizzati per migliorare il sistema di trasporto locale.</w:t>
      </w:r>
    </w:p>
    <w:p w14:paraId="5F7D6D66" w14:textId="77777777" w:rsidR="00FD2CBB" w:rsidRPr="004405E4" w:rsidRDefault="00FD2CBB" w:rsidP="004B0DBE">
      <w:pPr>
        <w:pStyle w:val="Paragrafoelenco"/>
        <w:numPr>
          <w:ilvl w:val="0"/>
          <w:numId w:val="45"/>
        </w:numPr>
        <w:tabs>
          <w:tab w:val="left" w:pos="3402"/>
        </w:tabs>
        <w:spacing w:before="120" w:after="0" w:line="240" w:lineRule="auto"/>
        <w:contextualSpacing w:val="0"/>
        <w:rPr>
          <w:rFonts w:cstheme="minorHAnsi"/>
        </w:rPr>
      </w:pPr>
      <w:r w:rsidRPr="004405E4">
        <w:rPr>
          <w:rFonts w:cstheme="minorHAnsi"/>
        </w:rPr>
        <w:t>Acquisizione mirata delle risorse a finanziamento del TPL</w:t>
      </w:r>
      <w:r w:rsidRPr="004405E4">
        <w:rPr>
          <w:rFonts w:cstheme="minorHAnsi"/>
          <w:b/>
          <w:bCs/>
        </w:rPr>
        <w:t xml:space="preserve">. </w:t>
      </w:r>
      <w:r w:rsidRPr="004405E4">
        <w:rPr>
          <w:rFonts w:cstheme="minorHAnsi"/>
        </w:rPr>
        <w:t>Esempi:</w:t>
      </w:r>
    </w:p>
    <w:p w14:paraId="69DACBED" w14:textId="77777777" w:rsidR="00FD2CBB" w:rsidRPr="004405E4" w:rsidRDefault="00FD2CBB" w:rsidP="004B0DBE">
      <w:pPr>
        <w:pStyle w:val="NormaleWeb"/>
        <w:numPr>
          <w:ilvl w:val="1"/>
          <w:numId w:val="41"/>
        </w:numPr>
        <w:tabs>
          <w:tab w:val="left" w:pos="3402"/>
        </w:tabs>
        <w:spacing w:before="120" w:after="0" w:line="240" w:lineRule="auto"/>
        <w:rPr>
          <w:rFonts w:asciiTheme="minorHAnsi" w:hAnsiTheme="minorHAnsi" w:cstheme="minorHAnsi"/>
          <w:sz w:val="22"/>
          <w:szCs w:val="22"/>
        </w:rPr>
      </w:pPr>
      <w:r w:rsidRPr="004405E4">
        <w:rPr>
          <w:rStyle w:val="Enfasigrassetto"/>
          <w:rFonts w:asciiTheme="minorHAnsi" w:hAnsiTheme="minorHAnsi" w:cstheme="minorHAnsi"/>
          <w:sz w:val="22"/>
          <w:szCs w:val="22"/>
        </w:rPr>
        <w:t>Development Rights Auction Model (Londra):</w:t>
      </w:r>
      <w:r w:rsidRPr="004405E4">
        <w:rPr>
          <w:rFonts w:asciiTheme="minorHAnsi" w:hAnsiTheme="minorHAnsi" w:cstheme="minorHAnsi"/>
          <w:sz w:val="22"/>
          <w:szCs w:val="22"/>
        </w:rPr>
        <w:t xml:space="preserve"> i proprietari di terreni nelle aree di sviluppo possono mettere all’asta i loro diritti per finanziare il trasporto pubblico.</w:t>
      </w:r>
    </w:p>
    <w:p w14:paraId="09CE3631" w14:textId="77777777" w:rsidR="00FD2CBB" w:rsidRPr="004405E4" w:rsidRDefault="00FD2CBB" w:rsidP="004B0DBE">
      <w:pPr>
        <w:pStyle w:val="NormaleWeb"/>
        <w:numPr>
          <w:ilvl w:val="1"/>
          <w:numId w:val="41"/>
        </w:numPr>
        <w:tabs>
          <w:tab w:val="left" w:pos="3402"/>
        </w:tabs>
        <w:spacing w:before="120" w:after="0" w:line="240" w:lineRule="auto"/>
        <w:rPr>
          <w:rFonts w:asciiTheme="minorHAnsi" w:hAnsiTheme="minorHAnsi" w:cstheme="minorHAnsi"/>
          <w:sz w:val="22"/>
          <w:szCs w:val="22"/>
        </w:rPr>
      </w:pPr>
      <w:r w:rsidRPr="004405E4">
        <w:rPr>
          <w:rStyle w:val="Enfasigrassetto"/>
          <w:rFonts w:asciiTheme="minorHAnsi" w:hAnsiTheme="minorHAnsi" w:cstheme="minorHAnsi"/>
          <w:sz w:val="22"/>
          <w:szCs w:val="22"/>
        </w:rPr>
        <w:t>Diritti di denominazione Emirates Air Line (Londra):</w:t>
      </w:r>
      <w:r w:rsidRPr="004405E4">
        <w:rPr>
          <w:rFonts w:asciiTheme="minorHAnsi" w:hAnsiTheme="minorHAnsi" w:cstheme="minorHAnsi"/>
          <w:sz w:val="22"/>
          <w:szCs w:val="22"/>
        </w:rPr>
        <w:t xml:space="preserve"> un accordo commerciale ha permesso alla Emirates di sponsorizzare una funivia in cambio di visibilità e di una parte dei costi di gestione. Il contratto con Emirates ha portato circa 36 milioni di sterline in 10 anni, finanziando una parte significativa dei costi operativi della funivia sul Tamigi.</w:t>
      </w:r>
    </w:p>
    <w:p w14:paraId="4701A947" w14:textId="77777777" w:rsidR="00FD2CBB" w:rsidRPr="004405E4" w:rsidRDefault="00FD2CBB" w:rsidP="004B0DBE">
      <w:pPr>
        <w:pStyle w:val="NormaleWeb"/>
        <w:numPr>
          <w:ilvl w:val="1"/>
          <w:numId w:val="41"/>
        </w:numPr>
        <w:tabs>
          <w:tab w:val="left" w:pos="3402"/>
        </w:tabs>
        <w:spacing w:before="120" w:after="0" w:line="240" w:lineRule="auto"/>
        <w:rPr>
          <w:rFonts w:asciiTheme="minorHAnsi" w:hAnsiTheme="minorHAnsi" w:cstheme="minorHAnsi"/>
          <w:sz w:val="22"/>
          <w:szCs w:val="22"/>
        </w:rPr>
      </w:pPr>
      <w:r w:rsidRPr="004405E4">
        <w:rPr>
          <w:rStyle w:val="Enfasigrassetto"/>
          <w:rFonts w:asciiTheme="minorHAnsi" w:hAnsiTheme="minorHAnsi" w:cstheme="minorHAnsi"/>
          <w:sz w:val="22"/>
          <w:szCs w:val="22"/>
        </w:rPr>
        <w:t>Sviluppo legato alla stazione:</w:t>
      </w:r>
      <w:r w:rsidRPr="004405E4">
        <w:rPr>
          <w:rFonts w:asciiTheme="minorHAnsi" w:hAnsiTheme="minorHAnsi" w:cstheme="minorHAnsi"/>
          <w:sz w:val="22"/>
          <w:szCs w:val="22"/>
        </w:rPr>
        <w:t xml:space="preserve"> l’integrazione di nuove infrastrutture con aree commerciali permette di generare entrate aggiuntive.</w:t>
      </w:r>
    </w:p>
    <w:p w14:paraId="25C7DA77" w14:textId="77777777" w:rsidR="00FD2CBB" w:rsidRPr="004405E4" w:rsidRDefault="00FD2CBB" w:rsidP="004B0DBE">
      <w:pPr>
        <w:pStyle w:val="Paragrafoelenco"/>
        <w:numPr>
          <w:ilvl w:val="0"/>
          <w:numId w:val="45"/>
        </w:numPr>
        <w:tabs>
          <w:tab w:val="left" w:pos="3402"/>
        </w:tabs>
        <w:spacing w:before="120" w:after="0" w:line="240" w:lineRule="auto"/>
        <w:contextualSpacing w:val="0"/>
        <w:rPr>
          <w:rFonts w:cstheme="minorHAnsi"/>
        </w:rPr>
      </w:pPr>
      <w:r w:rsidRPr="004405E4">
        <w:rPr>
          <w:rFonts w:cstheme="minorHAnsi"/>
        </w:rPr>
        <w:t>Trasferimenti da privato a pubblico</w:t>
      </w:r>
      <w:r w:rsidRPr="004405E4">
        <w:rPr>
          <w:rFonts w:cstheme="minorHAnsi"/>
          <w:b/>
          <w:bCs/>
        </w:rPr>
        <w:t xml:space="preserve">. </w:t>
      </w:r>
      <w:r w:rsidRPr="004405E4">
        <w:rPr>
          <w:rFonts w:cstheme="minorHAnsi"/>
        </w:rPr>
        <w:t>Esempi:</w:t>
      </w:r>
    </w:p>
    <w:p w14:paraId="7F14E09E" w14:textId="77777777" w:rsidR="00FD2CBB" w:rsidRPr="004405E4" w:rsidRDefault="00FD2CBB" w:rsidP="004B0DBE">
      <w:pPr>
        <w:pStyle w:val="NormaleWeb"/>
        <w:numPr>
          <w:ilvl w:val="0"/>
          <w:numId w:val="42"/>
        </w:numPr>
        <w:tabs>
          <w:tab w:val="left" w:pos="3402"/>
        </w:tabs>
        <w:spacing w:before="120" w:after="0" w:line="240" w:lineRule="auto"/>
        <w:ind w:left="1418"/>
        <w:rPr>
          <w:rFonts w:asciiTheme="minorHAnsi" w:hAnsiTheme="minorHAnsi" w:cstheme="minorHAnsi"/>
          <w:sz w:val="22"/>
          <w:szCs w:val="22"/>
        </w:rPr>
      </w:pPr>
      <w:r w:rsidRPr="004405E4">
        <w:rPr>
          <w:rStyle w:val="Enfasigrassetto"/>
          <w:rFonts w:asciiTheme="minorHAnsi" w:hAnsiTheme="minorHAnsi" w:cstheme="minorHAnsi"/>
          <w:sz w:val="22"/>
          <w:szCs w:val="22"/>
        </w:rPr>
        <w:t>Prelievo sul carburante (Barcellona e Parigi):</w:t>
      </w:r>
      <w:r w:rsidRPr="004405E4">
        <w:rPr>
          <w:rFonts w:asciiTheme="minorHAnsi" w:hAnsiTheme="minorHAnsi" w:cstheme="minorHAnsi"/>
          <w:sz w:val="22"/>
          <w:szCs w:val="22"/>
        </w:rPr>
        <w:t xml:space="preserve"> aumento del prezzo dei carburanti per finanziare il trasporto pubblico.</w:t>
      </w:r>
    </w:p>
    <w:p w14:paraId="5EFA01FC" w14:textId="77777777" w:rsidR="00FD2CBB" w:rsidRPr="004405E4" w:rsidRDefault="00FD2CBB" w:rsidP="004B0DBE">
      <w:pPr>
        <w:pStyle w:val="NormaleWeb"/>
        <w:numPr>
          <w:ilvl w:val="0"/>
          <w:numId w:val="42"/>
        </w:numPr>
        <w:tabs>
          <w:tab w:val="left" w:pos="3402"/>
        </w:tabs>
        <w:spacing w:before="120" w:after="0" w:line="240" w:lineRule="auto"/>
        <w:ind w:left="1418"/>
        <w:rPr>
          <w:rFonts w:asciiTheme="minorHAnsi" w:hAnsiTheme="minorHAnsi" w:cstheme="minorHAnsi"/>
          <w:sz w:val="22"/>
          <w:szCs w:val="22"/>
        </w:rPr>
      </w:pPr>
      <w:r w:rsidRPr="004405E4">
        <w:rPr>
          <w:rStyle w:val="Enfasigrassetto"/>
          <w:rFonts w:asciiTheme="minorHAnsi" w:hAnsiTheme="minorHAnsi" w:cstheme="minorHAnsi"/>
          <w:sz w:val="22"/>
          <w:szCs w:val="22"/>
        </w:rPr>
        <w:t>Tasse sui parcheggi (Barcellona):</w:t>
      </w:r>
      <w:r w:rsidRPr="004405E4">
        <w:rPr>
          <w:rFonts w:asciiTheme="minorHAnsi" w:hAnsiTheme="minorHAnsi" w:cstheme="minorHAnsi"/>
          <w:sz w:val="22"/>
          <w:szCs w:val="22"/>
        </w:rPr>
        <w:t xml:space="preserve"> imposte sulle aree di sosta per ridurre il traffico e finanziare il trasporto.</w:t>
      </w:r>
    </w:p>
    <w:p w14:paraId="382B12AA" w14:textId="77777777" w:rsidR="00FD2CBB" w:rsidRPr="004405E4" w:rsidRDefault="00FD2CBB" w:rsidP="004B0DBE">
      <w:pPr>
        <w:pStyle w:val="NormaleWeb"/>
        <w:numPr>
          <w:ilvl w:val="0"/>
          <w:numId w:val="42"/>
        </w:numPr>
        <w:tabs>
          <w:tab w:val="left" w:pos="3402"/>
        </w:tabs>
        <w:spacing w:before="120" w:after="0" w:line="240" w:lineRule="auto"/>
        <w:ind w:left="1418"/>
        <w:rPr>
          <w:rStyle w:val="Enfasigrassetto"/>
          <w:rFonts w:asciiTheme="minorHAnsi" w:hAnsiTheme="minorHAnsi" w:cstheme="minorHAnsi"/>
          <w:b w:val="0"/>
          <w:bCs w:val="0"/>
          <w:sz w:val="22"/>
          <w:szCs w:val="22"/>
        </w:rPr>
      </w:pPr>
      <w:r w:rsidRPr="004405E4">
        <w:rPr>
          <w:rStyle w:val="Enfasigrassetto"/>
          <w:rFonts w:asciiTheme="minorHAnsi" w:hAnsiTheme="minorHAnsi" w:cstheme="minorHAnsi"/>
          <w:sz w:val="22"/>
          <w:szCs w:val="22"/>
        </w:rPr>
        <w:t>Tariffe di congestione/accesso (Helsinki):</w:t>
      </w:r>
      <w:r w:rsidRPr="004405E4">
        <w:rPr>
          <w:rFonts w:asciiTheme="minorHAnsi" w:hAnsiTheme="minorHAnsi" w:cstheme="minorHAnsi"/>
          <w:sz w:val="22"/>
          <w:szCs w:val="22"/>
        </w:rPr>
        <w:t xml:space="preserve"> il gettito derivante da pedaggi urbani verrebbe destinato al trasporto pubblico.</w:t>
      </w:r>
      <w:r w:rsidRPr="004405E4">
        <w:rPr>
          <w:rStyle w:val="Enfasigrassetto"/>
          <w:rFonts w:asciiTheme="minorHAnsi" w:hAnsiTheme="minorHAnsi" w:cstheme="minorHAnsi"/>
          <w:sz w:val="22"/>
          <w:szCs w:val="22"/>
        </w:rPr>
        <w:t xml:space="preserve"> </w:t>
      </w:r>
    </w:p>
    <w:p w14:paraId="6777CFBC" w14:textId="77777777" w:rsidR="00FD2CBB" w:rsidRPr="004405E4" w:rsidRDefault="00FD2CBB" w:rsidP="004B0DBE">
      <w:pPr>
        <w:pStyle w:val="NormaleWeb"/>
        <w:numPr>
          <w:ilvl w:val="0"/>
          <w:numId w:val="42"/>
        </w:numPr>
        <w:tabs>
          <w:tab w:val="left" w:pos="3402"/>
        </w:tabs>
        <w:spacing w:before="120" w:after="0" w:line="240" w:lineRule="auto"/>
        <w:ind w:left="1418"/>
        <w:rPr>
          <w:rFonts w:asciiTheme="minorHAnsi" w:hAnsiTheme="minorHAnsi" w:cstheme="minorHAnsi"/>
          <w:sz w:val="22"/>
          <w:szCs w:val="22"/>
        </w:rPr>
      </w:pPr>
      <w:r w:rsidRPr="004405E4">
        <w:rPr>
          <w:rStyle w:val="Enfasigrassetto"/>
          <w:rFonts w:asciiTheme="minorHAnsi" w:hAnsiTheme="minorHAnsi" w:cstheme="minorHAnsi"/>
          <w:sz w:val="22"/>
          <w:szCs w:val="22"/>
        </w:rPr>
        <w:t>Tassa di accesso per autocarri e automobili (Parigi/Île-de-France):</w:t>
      </w:r>
      <w:r w:rsidRPr="004405E4">
        <w:rPr>
          <w:rFonts w:asciiTheme="minorHAnsi" w:hAnsiTheme="minorHAnsi" w:cstheme="minorHAnsi"/>
          <w:sz w:val="22"/>
          <w:szCs w:val="22"/>
        </w:rPr>
        <w:t xml:space="preserve"> ipotesi di imposta per ridurre la congestione.</w:t>
      </w:r>
    </w:p>
    <w:p w14:paraId="7A69402D" w14:textId="77777777" w:rsidR="00FD2CBB" w:rsidRPr="004405E4" w:rsidRDefault="00FD2CBB" w:rsidP="004B0DBE">
      <w:pPr>
        <w:pStyle w:val="Paragrafoelenco"/>
        <w:numPr>
          <w:ilvl w:val="0"/>
          <w:numId w:val="45"/>
        </w:numPr>
        <w:tabs>
          <w:tab w:val="left" w:pos="3402"/>
        </w:tabs>
        <w:spacing w:before="120" w:after="0" w:line="240" w:lineRule="auto"/>
        <w:contextualSpacing w:val="0"/>
        <w:rPr>
          <w:rFonts w:cstheme="minorHAnsi"/>
        </w:rPr>
      </w:pPr>
      <w:r w:rsidRPr="004405E4">
        <w:rPr>
          <w:rFonts w:cstheme="minorHAnsi"/>
        </w:rPr>
        <w:t>Altre soluzioni innovative: Iniziative ibride o approcci alternativi come il finanziamento tramite crowdfunding o la vendita di spazi pubblicitari.</w:t>
      </w:r>
    </w:p>
    <w:p w14:paraId="32CFF93B" w14:textId="77777777" w:rsidR="00FD2CBB" w:rsidRPr="004405E4" w:rsidRDefault="00FD2CBB" w:rsidP="004B0DBE">
      <w:pPr>
        <w:pStyle w:val="NormaleWeb"/>
        <w:numPr>
          <w:ilvl w:val="0"/>
          <w:numId w:val="42"/>
        </w:numPr>
        <w:tabs>
          <w:tab w:val="left" w:pos="3402"/>
        </w:tabs>
        <w:spacing w:before="120" w:after="0" w:line="240" w:lineRule="auto"/>
        <w:ind w:left="1418"/>
        <w:rPr>
          <w:rStyle w:val="Enfasigrassetto"/>
          <w:rFonts w:asciiTheme="minorHAnsi" w:hAnsiTheme="minorHAnsi" w:cstheme="minorHAnsi"/>
          <w:b w:val="0"/>
          <w:sz w:val="22"/>
          <w:szCs w:val="22"/>
        </w:rPr>
      </w:pPr>
      <w:r w:rsidRPr="004405E4">
        <w:rPr>
          <w:rStyle w:val="Enfasigrassetto"/>
          <w:rFonts w:asciiTheme="minorHAnsi" w:hAnsiTheme="minorHAnsi" w:cstheme="minorHAnsi"/>
          <w:sz w:val="22"/>
          <w:szCs w:val="22"/>
        </w:rPr>
        <w:t>Miglioramento della sicurezza delle entrate (Budapest e Parigi)</w:t>
      </w:r>
      <w:r w:rsidRPr="004405E4">
        <w:rPr>
          <w:rStyle w:val="Enfasigrassetto"/>
          <w:rFonts w:asciiTheme="minorHAnsi" w:hAnsiTheme="minorHAnsi" w:cstheme="minorHAnsi"/>
          <w:b w:val="0"/>
          <w:sz w:val="22"/>
          <w:szCs w:val="22"/>
        </w:rPr>
        <w:t>: implementazione di sistemi avanzati per la riscossione delle tariffe.</w:t>
      </w:r>
    </w:p>
    <w:p w14:paraId="6F992213" w14:textId="77777777" w:rsidR="00FD2CBB" w:rsidRPr="004405E4" w:rsidRDefault="00FD2CBB" w:rsidP="004B0DBE">
      <w:pPr>
        <w:pStyle w:val="NormaleWeb"/>
        <w:numPr>
          <w:ilvl w:val="0"/>
          <w:numId w:val="42"/>
        </w:numPr>
        <w:tabs>
          <w:tab w:val="left" w:pos="3402"/>
        </w:tabs>
        <w:spacing w:before="120" w:after="0" w:line="240" w:lineRule="auto"/>
        <w:ind w:left="1418"/>
        <w:rPr>
          <w:rStyle w:val="Enfasigrassetto"/>
          <w:rFonts w:asciiTheme="minorHAnsi" w:hAnsiTheme="minorHAnsi" w:cstheme="minorHAnsi"/>
          <w:b w:val="0"/>
          <w:sz w:val="22"/>
          <w:szCs w:val="22"/>
        </w:rPr>
      </w:pPr>
      <w:r w:rsidRPr="004405E4">
        <w:rPr>
          <w:rStyle w:val="Enfasigrassetto"/>
          <w:rFonts w:asciiTheme="minorHAnsi" w:hAnsiTheme="minorHAnsi" w:cstheme="minorHAnsi"/>
          <w:sz w:val="22"/>
          <w:szCs w:val="22"/>
        </w:rPr>
        <w:t>Riduzione dell’IVA per il trasporto pubblico (Parigi):</w:t>
      </w:r>
      <w:r w:rsidRPr="004405E4">
        <w:rPr>
          <w:rStyle w:val="Enfasigrassetto"/>
          <w:rFonts w:asciiTheme="minorHAnsi" w:hAnsiTheme="minorHAnsi" w:cstheme="minorHAnsi"/>
          <w:b w:val="0"/>
          <w:sz w:val="22"/>
          <w:szCs w:val="22"/>
        </w:rPr>
        <w:t xml:space="preserve"> ipotesi di abbassamento dell’IVA sui biglietti per migliorare la sostenibilità economica del settore.</w:t>
      </w:r>
    </w:p>
    <w:p w14:paraId="60BD2458" w14:textId="77777777" w:rsidR="00FD2CBB" w:rsidRDefault="00FD2CBB" w:rsidP="00FD2CBB">
      <w:pPr>
        <w:pStyle w:val="Titolo3"/>
        <w:ind w:left="720"/>
      </w:pPr>
      <w:bookmarkStart w:id="263" w:name="_Toc1164370174"/>
      <w:bookmarkStart w:id="264" w:name="_Toc197695695"/>
      <w:bookmarkStart w:id="265" w:name="_Toc204328736"/>
      <w:bookmarkStart w:id="266" w:name="_Toc213078376"/>
      <w:bookmarkStart w:id="267" w:name="_Toc193218188"/>
      <w:r>
        <w:t>La digitalizzazione e la monetizzazione dei dati</w:t>
      </w:r>
      <w:bookmarkEnd w:id="263"/>
      <w:bookmarkEnd w:id="264"/>
      <w:bookmarkEnd w:id="265"/>
      <w:bookmarkEnd w:id="266"/>
    </w:p>
    <w:p w14:paraId="53281E1B" w14:textId="77777777" w:rsidR="00FD2CBB" w:rsidRPr="008D4AB1" w:rsidRDefault="00FD2CBB" w:rsidP="00FD2CBB">
      <w:pPr>
        <w:spacing w:before="120" w:after="0" w:line="240" w:lineRule="auto"/>
        <w:rPr>
          <w:rFonts w:cstheme="minorHAnsi"/>
        </w:rPr>
      </w:pPr>
      <w:r w:rsidRPr="00265650">
        <w:rPr>
          <w:rFonts w:cstheme="minorHAnsi"/>
        </w:rPr>
        <w:t>La monetizzazione dei dati rappresenta un ambito emergente e rilevante per le aziende di trasporto pubblico locale (TPL), contribuendo significativamente alla voce dei ricavi. La "Data Monetization" è il processo mediante il quale le aziende trasformano i dati, sia grezzi che elaborati, in asset economicamente vantaggiosi. In un contesto contemporaneo dove i dati sono spesso definiti come "il nuovo petrolio", questo processo è cruciale per generare valore aggiunto.</w:t>
      </w:r>
      <w:r>
        <w:rPr>
          <w:rFonts w:cstheme="minorHAnsi"/>
        </w:rPr>
        <w:tab/>
      </w:r>
    </w:p>
    <w:p w14:paraId="4517DF5B" w14:textId="77777777" w:rsidR="00FD2CBB" w:rsidRPr="00265650" w:rsidRDefault="00FD2CBB" w:rsidP="00FD2CBB">
      <w:pPr>
        <w:spacing w:before="120" w:after="0" w:line="240" w:lineRule="auto"/>
        <w:rPr>
          <w:rFonts w:cstheme="minorHAnsi"/>
        </w:rPr>
      </w:pPr>
      <w:r w:rsidRPr="00265650">
        <w:rPr>
          <w:rFonts w:cstheme="minorHAnsi"/>
        </w:rPr>
        <w:t>La monetizzazione dei dati è una scelta strategica che consente alle aziende di TPL di ottenere un vantaggio competitivo e acquisire quote di mercato nel settore della mobilità. Esistono diversi modelli attraverso i quali un'azienda può monetizzare i propri dati:</w:t>
      </w:r>
    </w:p>
    <w:p w14:paraId="3FE06EF7" w14:textId="77777777" w:rsidR="00FD2CBB" w:rsidRPr="00DD7089" w:rsidRDefault="00FD2CBB" w:rsidP="004B0DBE">
      <w:pPr>
        <w:pStyle w:val="Paragrafoelenco"/>
        <w:numPr>
          <w:ilvl w:val="0"/>
          <w:numId w:val="46"/>
        </w:numPr>
        <w:spacing w:before="120" w:after="0" w:line="240" w:lineRule="auto"/>
        <w:rPr>
          <w:rFonts w:cstheme="minorHAnsi"/>
        </w:rPr>
      </w:pPr>
      <w:r w:rsidRPr="00DD7089">
        <w:rPr>
          <w:rFonts w:cstheme="minorHAnsi"/>
        </w:rPr>
        <w:lastRenderedPageBreak/>
        <w:t>Vendita diretta: Questo modello prevede la vendita diretta di dati a terze parti. È fondamentale garantire la conformità alle normative sulla privacy e la protezione dei dati.</w:t>
      </w:r>
    </w:p>
    <w:p w14:paraId="200DC975" w14:textId="77777777" w:rsidR="00FD2CBB" w:rsidRPr="00DD7089" w:rsidRDefault="00FD2CBB" w:rsidP="004B0DBE">
      <w:pPr>
        <w:pStyle w:val="Paragrafoelenco"/>
        <w:numPr>
          <w:ilvl w:val="0"/>
          <w:numId w:val="46"/>
        </w:numPr>
        <w:spacing w:before="120" w:after="0" w:line="240" w:lineRule="auto"/>
        <w:rPr>
          <w:rFonts w:cstheme="minorHAnsi"/>
        </w:rPr>
      </w:pPr>
      <w:r w:rsidRPr="00DD7089">
        <w:rPr>
          <w:rFonts w:cstheme="minorHAnsi"/>
          <w:bCs/>
        </w:rPr>
        <w:t>Data as a Service (DaaS)</w:t>
      </w:r>
      <w:r w:rsidRPr="00DD7089">
        <w:rPr>
          <w:rFonts w:cstheme="minorHAnsi"/>
        </w:rPr>
        <w:t>: Offrire i dati come servizio, dove i clienti possono accedere ai dati grezzi o aggregati per le loro analisi. Questo modello è semplice e diretto</w:t>
      </w:r>
      <w:r>
        <w:rPr>
          <w:rFonts w:cstheme="minorHAnsi"/>
        </w:rPr>
        <w:t>.</w:t>
      </w:r>
    </w:p>
    <w:p w14:paraId="4BF64B2B" w14:textId="77777777" w:rsidR="00FD2CBB" w:rsidRPr="00DD7089" w:rsidRDefault="00FD2CBB" w:rsidP="004B0DBE">
      <w:pPr>
        <w:pStyle w:val="Paragrafoelenco"/>
        <w:numPr>
          <w:ilvl w:val="0"/>
          <w:numId w:val="46"/>
        </w:numPr>
        <w:spacing w:before="120" w:after="0" w:line="240" w:lineRule="auto"/>
        <w:rPr>
          <w:rFonts w:cstheme="minorHAnsi"/>
        </w:rPr>
      </w:pPr>
      <w:r w:rsidRPr="00DD7089">
        <w:rPr>
          <w:rFonts w:cstheme="minorHAnsi"/>
        </w:rPr>
        <w:t>Miglioramento delle operazioni: I dati vengono utilizzati internamente per migliorare l'efficienza operativa, ridurre i costi e aumentare i margini di profitto.</w:t>
      </w:r>
    </w:p>
    <w:p w14:paraId="42AE9D44" w14:textId="77777777" w:rsidR="00FD2CBB" w:rsidRPr="00DD7089" w:rsidRDefault="00FD2CBB" w:rsidP="004B0DBE">
      <w:pPr>
        <w:pStyle w:val="Paragrafoelenco"/>
        <w:numPr>
          <w:ilvl w:val="0"/>
          <w:numId w:val="46"/>
        </w:numPr>
        <w:spacing w:before="120" w:after="0" w:line="240" w:lineRule="auto"/>
        <w:rPr>
          <w:rFonts w:cstheme="minorHAnsi"/>
          <w:bCs/>
        </w:rPr>
      </w:pPr>
      <w:r w:rsidRPr="00DD7089">
        <w:rPr>
          <w:rFonts w:cstheme="minorHAnsi"/>
        </w:rPr>
        <w:t>Insight as a Service (IaaS)</w:t>
      </w:r>
      <w:r w:rsidRPr="00DD7089">
        <w:rPr>
          <w:rFonts w:cstheme="minorHAnsi"/>
          <w:bCs/>
        </w:rPr>
        <w:t>: Analizzare i dati raccolti per ricavare insight utili e venderli. Ad esempio, analisi sul comportamento dei conducenti, efficienza delle rotte, o manutenzione predittiva.</w:t>
      </w:r>
    </w:p>
    <w:p w14:paraId="3FD42214" w14:textId="77777777" w:rsidR="00FD2CBB" w:rsidRPr="00DD7089" w:rsidRDefault="00FD2CBB" w:rsidP="004B0DBE">
      <w:pPr>
        <w:pStyle w:val="Paragrafoelenco"/>
        <w:numPr>
          <w:ilvl w:val="0"/>
          <w:numId w:val="46"/>
        </w:numPr>
        <w:spacing w:before="120" w:after="0" w:line="240" w:lineRule="auto"/>
        <w:rPr>
          <w:rFonts w:cstheme="minorHAnsi"/>
        </w:rPr>
      </w:pPr>
      <w:r w:rsidRPr="00DD7089">
        <w:rPr>
          <w:rFonts w:cstheme="minorHAnsi"/>
        </w:rPr>
        <w:t>Prodotti e servizi basati sui dati: I dati vengono integrati in prodotti o servizi esistenti per aggiungere valore e differenziarsi dai concorrenti, come nei servizi assicurativi.</w:t>
      </w:r>
    </w:p>
    <w:p w14:paraId="482C3414" w14:textId="77777777" w:rsidR="00FD2CBB" w:rsidRPr="00265650" w:rsidRDefault="00FD2CBB" w:rsidP="00FD2CBB">
      <w:pPr>
        <w:spacing w:before="120" w:after="0" w:line="240" w:lineRule="auto"/>
        <w:rPr>
          <w:rFonts w:cstheme="minorHAnsi"/>
        </w:rPr>
      </w:pPr>
      <w:r w:rsidRPr="00265650">
        <w:rPr>
          <w:rFonts w:cstheme="minorHAnsi"/>
        </w:rPr>
        <w:t>Alcune aziende di trasporto pubblico che già utilizzano la monetizzazione dei dati per incrementare i loro profitti includono:</w:t>
      </w:r>
    </w:p>
    <w:p w14:paraId="62D6C2CC" w14:textId="77777777" w:rsidR="00FD2CBB" w:rsidRPr="00DD7089" w:rsidRDefault="00FD2CBB" w:rsidP="004B0DBE">
      <w:pPr>
        <w:pStyle w:val="Paragrafoelenco"/>
        <w:numPr>
          <w:ilvl w:val="0"/>
          <w:numId w:val="47"/>
        </w:numPr>
        <w:spacing w:before="120" w:after="0" w:line="240" w:lineRule="auto"/>
        <w:rPr>
          <w:rFonts w:cstheme="minorHAnsi"/>
        </w:rPr>
      </w:pPr>
      <w:r w:rsidRPr="00DD7089">
        <w:rPr>
          <w:rFonts w:cstheme="minorHAnsi"/>
        </w:rPr>
        <w:t>Transport for London (TfL): TfL ha iniziato a monetizzare i dati raccolti dai suoi sistemi di trasporto pubblico, utilizzandoli per migliorare l'efficienza operativa e vendendoli a terze parti per analisi di mercato e pianificazione urbana.</w:t>
      </w:r>
    </w:p>
    <w:p w14:paraId="63FBFCA6" w14:textId="77777777" w:rsidR="00FD2CBB" w:rsidRPr="00DD7089" w:rsidRDefault="00FD2CBB" w:rsidP="004B0DBE">
      <w:pPr>
        <w:pStyle w:val="Paragrafoelenco"/>
        <w:numPr>
          <w:ilvl w:val="0"/>
          <w:numId w:val="47"/>
        </w:numPr>
        <w:spacing w:before="120" w:after="0" w:line="240" w:lineRule="auto"/>
        <w:rPr>
          <w:rFonts w:cstheme="minorHAnsi"/>
        </w:rPr>
      </w:pPr>
      <w:r w:rsidRPr="00DD7089">
        <w:rPr>
          <w:rFonts w:cstheme="minorHAnsi"/>
        </w:rPr>
        <w:t>Metropolitan Transportation Authority (MTA) di New York: La MTA utilizza i dati raccolti dai suoi sistemi di trasporto per migliorare la gestione delle operazioni e venderli a terze parti per analisi di traffico, pianificazione urbana e miglioramento dei servizi.</w:t>
      </w:r>
    </w:p>
    <w:p w14:paraId="551865C3" w14:textId="77777777" w:rsidR="00FD2CBB" w:rsidRPr="00DD7089" w:rsidRDefault="00FD2CBB" w:rsidP="004B0DBE">
      <w:pPr>
        <w:pStyle w:val="Paragrafoelenco"/>
        <w:numPr>
          <w:ilvl w:val="0"/>
          <w:numId w:val="47"/>
        </w:numPr>
        <w:spacing w:before="120" w:after="0" w:line="240" w:lineRule="auto"/>
        <w:rPr>
          <w:rFonts w:cstheme="minorHAnsi"/>
        </w:rPr>
      </w:pPr>
      <w:r w:rsidRPr="00DD7089">
        <w:rPr>
          <w:rFonts w:cstheme="minorHAnsi"/>
        </w:rPr>
        <w:t>Régie Autonome des Transports Parisiens (RATP): La RATP utilizza i dati raccolti dai suoi sistemi di trasporto per migliorare l'efficienza operativa e venderli a terze parti per scopi di ricerca e analisi, ottimizzando le rotte e migliorando la qualità del servizio.</w:t>
      </w:r>
    </w:p>
    <w:p w14:paraId="2404D48A" w14:textId="77777777" w:rsidR="00FD2CBB" w:rsidRPr="00DD7089" w:rsidRDefault="00FD2CBB" w:rsidP="004B0DBE">
      <w:pPr>
        <w:pStyle w:val="Paragrafoelenco"/>
        <w:numPr>
          <w:ilvl w:val="0"/>
          <w:numId w:val="47"/>
        </w:numPr>
        <w:spacing w:before="120" w:after="0" w:line="240" w:lineRule="auto"/>
        <w:rPr>
          <w:rFonts w:cstheme="minorHAnsi"/>
        </w:rPr>
      </w:pPr>
      <w:r w:rsidRPr="00DD7089">
        <w:rPr>
          <w:rFonts w:cstheme="minorHAnsi"/>
        </w:rPr>
        <w:t>Azienda Trasporti Milanesi (ATM): In Italia, l'ATM di Milano esplora la monetizzazione dei dati raccolti dai suoi sistemi di trasporto pubblico, utilizzandoli per migliorare la gestione delle operazioni e vendendoli a terze parti per analisi di mercato e pianificazione urbana.</w:t>
      </w:r>
    </w:p>
    <w:p w14:paraId="685A7EC8" w14:textId="77777777" w:rsidR="00FD2CBB" w:rsidRPr="00265650" w:rsidRDefault="00FD2CBB" w:rsidP="00FD2CBB">
      <w:pPr>
        <w:spacing w:before="120" w:after="0" w:line="240" w:lineRule="auto"/>
        <w:rPr>
          <w:rFonts w:cstheme="minorHAnsi"/>
        </w:rPr>
      </w:pPr>
      <w:r w:rsidRPr="00265650">
        <w:rPr>
          <w:rFonts w:cstheme="minorHAnsi"/>
        </w:rPr>
        <w:t>Un ulteriore passo avanti si può ottenere con l’utilizzo di Intel</w:t>
      </w:r>
      <w:r>
        <w:rPr>
          <w:rFonts w:cstheme="minorHAnsi"/>
        </w:rPr>
        <w:t>lig</w:t>
      </w:r>
      <w:r w:rsidRPr="00265650">
        <w:rPr>
          <w:rFonts w:cstheme="minorHAnsi"/>
        </w:rPr>
        <w:t xml:space="preserve">enza </w:t>
      </w:r>
      <w:r>
        <w:rPr>
          <w:rFonts w:cstheme="minorHAnsi"/>
        </w:rPr>
        <w:t>A</w:t>
      </w:r>
      <w:r w:rsidRPr="00265650">
        <w:rPr>
          <w:rFonts w:cstheme="minorHAnsi"/>
        </w:rPr>
        <w:t xml:space="preserve">rtificiale </w:t>
      </w:r>
      <w:r>
        <w:rPr>
          <w:rFonts w:cstheme="minorHAnsi"/>
        </w:rPr>
        <w:t xml:space="preserve">AI </w:t>
      </w:r>
      <w:r w:rsidRPr="00265650">
        <w:rPr>
          <w:rFonts w:cstheme="minorHAnsi"/>
        </w:rPr>
        <w:t xml:space="preserve">e </w:t>
      </w:r>
      <w:r>
        <w:rPr>
          <w:rFonts w:cstheme="minorHAnsi"/>
        </w:rPr>
        <w:t>M</w:t>
      </w:r>
      <w:r w:rsidRPr="00265650">
        <w:rPr>
          <w:rFonts w:cstheme="minorHAnsi"/>
        </w:rPr>
        <w:t xml:space="preserve">achine </w:t>
      </w:r>
      <w:r>
        <w:rPr>
          <w:rFonts w:cstheme="minorHAnsi"/>
        </w:rPr>
        <w:t>L</w:t>
      </w:r>
      <w:r w:rsidRPr="00265650">
        <w:rPr>
          <w:rFonts w:cstheme="minorHAnsi"/>
        </w:rPr>
        <w:t>earning</w:t>
      </w:r>
      <w:r>
        <w:rPr>
          <w:rFonts w:cstheme="minorHAnsi"/>
        </w:rPr>
        <w:t xml:space="preserve"> ML che possono dare ulteriore valore aggiunto ai dati generati dalle aziende di TPL:</w:t>
      </w:r>
    </w:p>
    <w:p w14:paraId="72BEB7E3" w14:textId="77777777" w:rsidR="00FD2CBB" w:rsidRPr="00CA6030" w:rsidRDefault="00FD2CBB" w:rsidP="004B0DBE">
      <w:pPr>
        <w:pStyle w:val="Paragrafoelenco"/>
        <w:numPr>
          <w:ilvl w:val="0"/>
          <w:numId w:val="48"/>
        </w:numPr>
        <w:spacing w:before="120" w:after="0" w:line="240" w:lineRule="auto"/>
        <w:rPr>
          <w:rFonts w:cstheme="minorHAnsi"/>
        </w:rPr>
      </w:pPr>
      <w:r w:rsidRPr="00CA6030">
        <w:rPr>
          <w:rFonts w:cstheme="minorHAnsi"/>
        </w:rPr>
        <w:t>Aumento della domanda di dati di alta qualità</w:t>
      </w:r>
      <w:r>
        <w:rPr>
          <w:rFonts w:cstheme="minorHAnsi"/>
        </w:rPr>
        <w:t>:</w:t>
      </w:r>
      <w:r w:rsidRPr="00CA6030">
        <w:rPr>
          <w:rFonts w:cstheme="minorHAnsi"/>
        </w:rPr>
        <w:t xml:space="preserve"> AI e ML richiedono dati di alta qualità per l’addestramento dei modelli. Questo ha aumentato la domanda di dataset precisi e affidabili, creando nuove opportunità di monetizzazione per le aziende di trasporto pubblico e logistica. Ad esempio, le aziende di trasporto possono vendere dati di traffico e mobilità a sviluppatori di app di navigazione e pianificazione dei percorsi.</w:t>
      </w:r>
    </w:p>
    <w:p w14:paraId="19A17BA0" w14:textId="77777777" w:rsidR="00FD2CBB" w:rsidRPr="00265650" w:rsidRDefault="00FD2CBB" w:rsidP="004B0DBE">
      <w:pPr>
        <w:pStyle w:val="Paragrafoelenco"/>
        <w:numPr>
          <w:ilvl w:val="0"/>
          <w:numId w:val="48"/>
        </w:numPr>
        <w:spacing w:before="120" w:after="0" w:line="240" w:lineRule="auto"/>
        <w:rPr>
          <w:rFonts w:cstheme="minorHAnsi"/>
        </w:rPr>
      </w:pPr>
      <w:r w:rsidRPr="00CA6030">
        <w:rPr>
          <w:rFonts w:cstheme="minorHAnsi"/>
        </w:rPr>
        <w:t>Miglioramento dell'analisi dei dati</w:t>
      </w:r>
      <w:r w:rsidRPr="00265650">
        <w:rPr>
          <w:rFonts w:cstheme="minorHAnsi"/>
        </w:rPr>
        <w:t xml:space="preserve"> Le tecnologie di AI e ML permettono un’analisi più sofisticata e accurata dei dati. Le aziende di trasporto possono utilizzare questi strumenti per ottimizzare le rotte, ridurre i tempi di attesa e migliorare l’efficienza operativa. Ad esempio, i dati raccolti dai sensori sui veicoli possono essere analizzati per prevedere e prevenire guasti, miglior</w:t>
      </w:r>
      <w:r>
        <w:rPr>
          <w:rFonts w:cstheme="minorHAnsi"/>
        </w:rPr>
        <w:t>ando la manutenzione preventiva e stipulare accordi con i fornitori di autobus per monetizzare la propria esperienza.</w:t>
      </w:r>
    </w:p>
    <w:p w14:paraId="63105BDA" w14:textId="77777777" w:rsidR="00FD2CBB" w:rsidRPr="00265650" w:rsidRDefault="00FD2CBB" w:rsidP="004B0DBE">
      <w:pPr>
        <w:pStyle w:val="Paragrafoelenco"/>
        <w:numPr>
          <w:ilvl w:val="0"/>
          <w:numId w:val="48"/>
        </w:numPr>
        <w:spacing w:before="120" w:after="0" w:line="240" w:lineRule="auto"/>
        <w:rPr>
          <w:rFonts w:cstheme="minorHAnsi"/>
        </w:rPr>
      </w:pPr>
      <w:r w:rsidRPr="00CA6030">
        <w:rPr>
          <w:rFonts w:cstheme="minorHAnsi"/>
        </w:rPr>
        <w:t>Personalizzazione e segmentazione</w:t>
      </w:r>
      <w:r w:rsidRPr="00265650">
        <w:rPr>
          <w:rFonts w:cstheme="minorHAnsi"/>
        </w:rPr>
        <w:t xml:space="preserve"> AI e ML consentono una segmentazione e personalizzazione più accurate dei servizi. Nel settore della mobilità, questo significa poter offrire servizi su misura per diverse categorie di utenti. Ad esempio, le aziende di trasporto pubblico possono utilizzare i dati per creare abbonamenti personalizzati basati sui modelli di utilizzo dei singoli utenti.</w:t>
      </w:r>
    </w:p>
    <w:p w14:paraId="05A092EA" w14:textId="77777777" w:rsidR="00FD2CBB" w:rsidRDefault="00FD2CBB" w:rsidP="004B0DBE">
      <w:pPr>
        <w:pStyle w:val="Paragrafoelenco"/>
        <w:numPr>
          <w:ilvl w:val="0"/>
          <w:numId w:val="48"/>
        </w:numPr>
        <w:spacing w:before="120" w:after="0" w:line="240" w:lineRule="auto"/>
        <w:rPr>
          <w:rFonts w:cstheme="minorHAnsi"/>
        </w:rPr>
      </w:pPr>
      <w:r w:rsidRPr="00CA6030">
        <w:rPr>
          <w:rFonts w:cstheme="minorHAnsi"/>
        </w:rPr>
        <w:t>Sviluppo di nuovi modelli di business</w:t>
      </w:r>
      <w:r w:rsidRPr="00265650">
        <w:rPr>
          <w:rFonts w:cstheme="minorHAnsi"/>
        </w:rPr>
        <w:t xml:space="preserve"> AI e ML hanno contribuito allo sviluppo di nuovi modelli di business basati sui dati. Ad esempio, le piattaforme di ride-sharing utilizzano algoritmi di AI per ottimizzare l’allocazione dei veicoli e ridurre i tempi di attesa, migliorando l’esperienza dell’utente e aumentando i ricavi.</w:t>
      </w:r>
    </w:p>
    <w:p w14:paraId="7C30D0E1" w14:textId="77777777" w:rsidR="00FD2CBB" w:rsidRPr="00DD7089" w:rsidRDefault="00FD2CBB" w:rsidP="004B0DBE">
      <w:pPr>
        <w:pStyle w:val="Paragrafoelenco"/>
        <w:numPr>
          <w:ilvl w:val="0"/>
          <w:numId w:val="48"/>
        </w:numPr>
        <w:spacing w:before="120" w:after="0" w:line="240" w:lineRule="auto"/>
        <w:rPr>
          <w:rFonts w:cstheme="minorHAnsi"/>
        </w:rPr>
      </w:pPr>
      <w:r w:rsidRPr="00DD7089">
        <w:rPr>
          <w:rFonts w:cstheme="minorHAnsi"/>
        </w:rPr>
        <w:t>Le strategie per la raccolta di dati a più alto valore aggiunto possono essere così sintetizzate:</w:t>
      </w:r>
    </w:p>
    <w:p w14:paraId="77CA3894" w14:textId="77777777" w:rsidR="00FD2CBB" w:rsidRPr="00CA6030" w:rsidRDefault="00FD2CBB" w:rsidP="004B0DBE">
      <w:pPr>
        <w:pStyle w:val="Paragrafoelenco"/>
        <w:numPr>
          <w:ilvl w:val="0"/>
          <w:numId w:val="48"/>
        </w:numPr>
        <w:spacing w:before="120" w:after="0" w:line="240" w:lineRule="auto"/>
        <w:rPr>
          <w:rFonts w:cstheme="minorHAnsi"/>
        </w:rPr>
      </w:pPr>
      <w:r w:rsidRPr="00CA6030">
        <w:rPr>
          <w:rFonts w:cstheme="minorHAnsi"/>
          <w:bCs/>
        </w:rPr>
        <w:lastRenderedPageBreak/>
        <w:t>Remunerazione per la condivisione dei dati</w:t>
      </w:r>
      <w:r>
        <w:rPr>
          <w:rFonts w:cstheme="minorHAnsi"/>
          <w:bCs/>
        </w:rPr>
        <w:t>:</w:t>
      </w:r>
      <w:r w:rsidRPr="00CA6030">
        <w:rPr>
          <w:rFonts w:cstheme="minorHAnsi"/>
        </w:rPr>
        <w:t xml:space="preserve"> Le aziende possono offrire incentivi agli utenti per il consenso all’uso dei loro dati. Ad esempio, un'azienda di trasporto pubblico potrebbe offrire sconti sugli abbonamenti in cambio del consenso all’uso dei dati di viaggio per analisi di mercato.</w:t>
      </w:r>
    </w:p>
    <w:p w14:paraId="23E974E3" w14:textId="77777777" w:rsidR="00FD2CBB" w:rsidRPr="00CA6030" w:rsidRDefault="00FD2CBB" w:rsidP="004B0DBE">
      <w:pPr>
        <w:pStyle w:val="Paragrafoelenco"/>
        <w:numPr>
          <w:ilvl w:val="0"/>
          <w:numId w:val="48"/>
        </w:numPr>
        <w:spacing w:before="120" w:after="0" w:line="240" w:lineRule="auto"/>
        <w:rPr>
          <w:rFonts w:cstheme="minorHAnsi"/>
        </w:rPr>
      </w:pPr>
      <w:r w:rsidRPr="00CA6030">
        <w:rPr>
          <w:rFonts w:cstheme="minorHAnsi"/>
          <w:bCs/>
        </w:rPr>
        <w:t>Modello federativo e market</w:t>
      </w:r>
      <w:r>
        <w:rPr>
          <w:rFonts w:cstheme="minorHAnsi"/>
          <w:bCs/>
        </w:rPr>
        <w:t>-</w:t>
      </w:r>
      <w:r w:rsidRPr="00CA6030">
        <w:rPr>
          <w:rFonts w:cstheme="minorHAnsi"/>
          <w:bCs/>
        </w:rPr>
        <w:t>place dei dati</w:t>
      </w:r>
      <w:r>
        <w:rPr>
          <w:rFonts w:cstheme="minorHAnsi"/>
          <w:bCs/>
        </w:rPr>
        <w:t>:</w:t>
      </w:r>
      <w:r w:rsidRPr="00CA6030">
        <w:rPr>
          <w:rFonts w:cstheme="minorHAnsi"/>
        </w:rPr>
        <w:t xml:space="preserve"> Un market</w:t>
      </w:r>
      <w:r>
        <w:rPr>
          <w:rFonts w:cstheme="minorHAnsi"/>
        </w:rPr>
        <w:t>-</w:t>
      </w:r>
      <w:r w:rsidRPr="00CA6030">
        <w:rPr>
          <w:rFonts w:cstheme="minorHAnsi"/>
        </w:rPr>
        <w:t xml:space="preserve">place federativo dei dati consente a diverse organizzazioni di condividere e accedere ai dati in modo sicuro. Ad esempio, le aziende di logistica possono condividere </w:t>
      </w:r>
      <w:r>
        <w:rPr>
          <w:rFonts w:cstheme="minorHAnsi"/>
        </w:rPr>
        <w:t>i dati del tpl</w:t>
      </w:r>
      <w:r w:rsidRPr="00CA6030">
        <w:rPr>
          <w:rFonts w:cstheme="minorHAnsi"/>
        </w:rPr>
        <w:t xml:space="preserve"> per ottimizzare le rotte e ridurre i costi operativi, mantenendo il controllo sui propri dati.</w:t>
      </w:r>
    </w:p>
    <w:p w14:paraId="4E35EA54" w14:textId="77777777" w:rsidR="00FD2CBB" w:rsidRPr="00CA6030" w:rsidRDefault="00FD2CBB" w:rsidP="004B0DBE">
      <w:pPr>
        <w:pStyle w:val="Paragrafoelenco"/>
        <w:numPr>
          <w:ilvl w:val="0"/>
          <w:numId w:val="48"/>
        </w:numPr>
        <w:spacing w:before="120" w:after="0" w:line="240" w:lineRule="auto"/>
        <w:rPr>
          <w:rFonts w:cstheme="minorHAnsi"/>
        </w:rPr>
      </w:pPr>
      <w:r w:rsidRPr="00CA6030">
        <w:rPr>
          <w:rFonts w:cstheme="minorHAnsi"/>
          <w:bCs/>
        </w:rPr>
        <w:t>Mercato dei dati sintetici</w:t>
      </w:r>
      <w:r>
        <w:rPr>
          <w:rFonts w:cstheme="minorHAnsi"/>
          <w:bCs/>
        </w:rPr>
        <w:t>:</w:t>
      </w:r>
      <w:r w:rsidRPr="00CA6030">
        <w:rPr>
          <w:rFonts w:cstheme="minorHAnsi"/>
        </w:rPr>
        <w:t xml:space="preserve"> La generazione di dati sintetici permette di simulare dati reali per addestrare modelli di AI senza compromettere la privacy. Ad esempio, le aziende di trasporto possono utilizzare dati sintetici per simulare scenari di traffico e testare nuove strategie di gestione della mobilità.</w:t>
      </w:r>
    </w:p>
    <w:p w14:paraId="056B6565" w14:textId="77777777" w:rsidR="00FD2CBB" w:rsidRDefault="00FD2CBB" w:rsidP="00FD2CBB">
      <w:pPr>
        <w:spacing w:before="120" w:after="0" w:line="240" w:lineRule="auto"/>
        <w:rPr>
          <w:rFonts w:cstheme="minorHAnsi"/>
        </w:rPr>
      </w:pPr>
      <w:r w:rsidRPr="00265650">
        <w:rPr>
          <w:rFonts w:cstheme="minorHAnsi"/>
        </w:rPr>
        <w:t>Questi esempi dimostrano come le aziende di trasporto pubblico possano utilizzare i dati raccolti per migliorare l'efficienza operativa e generare ricavi aggiuntivi. La monetizzazione dei dati rappresenta una modalità di finanziamento del servizio che può incrementare i ricavi e ridurre la quota di finanziamento pubblico necessaria a garantire la sostenibilità dei servizi.</w:t>
      </w:r>
    </w:p>
    <w:p w14:paraId="041D951C" w14:textId="77777777" w:rsidR="00FD2CBB" w:rsidRPr="00A06F5A" w:rsidRDefault="00FD2CBB" w:rsidP="00FD2CBB">
      <w:pPr>
        <w:spacing w:before="120" w:after="0" w:line="240" w:lineRule="auto"/>
        <w:rPr>
          <w:rFonts w:cstheme="minorHAnsi"/>
        </w:rPr>
      </w:pPr>
      <w:r>
        <w:rPr>
          <w:rFonts w:cstheme="minorHAnsi"/>
        </w:rPr>
        <w:t>Ci sono ulteriori ambiti nei quali l’utilizzo dei dati generati dalle flotte di tpl possono fornire supporto alla gestione della cosa pubblica; ad esempio, i</w:t>
      </w:r>
      <w:r w:rsidRPr="00A06F5A">
        <w:rPr>
          <w:rFonts w:cstheme="minorHAnsi"/>
        </w:rPr>
        <w:t xml:space="preserve"> dati possono essere impiegati per osservare e analizzare vari aspetti della rete stradale e urbana:</w:t>
      </w:r>
    </w:p>
    <w:p w14:paraId="7DEDF63C" w14:textId="77777777" w:rsidR="00FD2CBB" w:rsidRPr="00A06F5A" w:rsidRDefault="00FD2CBB" w:rsidP="004B0DBE">
      <w:pPr>
        <w:pStyle w:val="Paragrafoelenco"/>
        <w:numPr>
          <w:ilvl w:val="0"/>
          <w:numId w:val="49"/>
        </w:numPr>
        <w:spacing w:before="120" w:after="0" w:line="240" w:lineRule="auto"/>
        <w:rPr>
          <w:rFonts w:cstheme="minorHAnsi"/>
          <w:bCs/>
        </w:rPr>
      </w:pPr>
      <w:r w:rsidRPr="00A06F5A">
        <w:rPr>
          <w:rFonts w:cstheme="minorHAnsi"/>
          <w:bCs/>
        </w:rPr>
        <w:t>Monitoraggio dello stato del manto stradale: I veicoli delle flotte di TPL possono essere equipaggiati con sensori che rilevano le condizioni del manto stradale. Questi dati possono essere utilizzati per identificare aree che necessitano di manutenzione, permettendo agli enti proprietari delle strade di intervenire tempestivamente e ridurre i costi di monitoraggio. Ad esempio, i sensori possono rilevare buche o deformazioni, segnalando la necessità di riparazioni.</w:t>
      </w:r>
    </w:p>
    <w:p w14:paraId="2D0C5C4D" w14:textId="77777777" w:rsidR="00FD2CBB" w:rsidRPr="00A06F5A" w:rsidRDefault="00FD2CBB" w:rsidP="004B0DBE">
      <w:pPr>
        <w:pStyle w:val="Paragrafoelenco"/>
        <w:numPr>
          <w:ilvl w:val="0"/>
          <w:numId w:val="49"/>
        </w:numPr>
        <w:spacing w:before="120" w:after="0" w:line="240" w:lineRule="auto"/>
        <w:rPr>
          <w:rFonts w:cstheme="minorHAnsi"/>
          <w:bCs/>
        </w:rPr>
      </w:pPr>
      <w:r w:rsidRPr="00A06F5A">
        <w:rPr>
          <w:rFonts w:cstheme="minorHAnsi"/>
          <w:bCs/>
        </w:rPr>
        <w:t>Analisi della segnaletica stradale: Le flotte di TPL possono raccogliere dati sulla segnaletica stradale, inclusa la presenza di segnaletica abusiva o danneggiata. Questi dati possono essere condivisi con le autorità locali per garantire che la segnaletica sia conforme alle normative e migliorare la sicurezza stradale. Ad esempio, la rilevazione di segnali stradali mancanti o illeggibili può aiutare a prevenire incidenti.</w:t>
      </w:r>
    </w:p>
    <w:p w14:paraId="4E3DBD3B" w14:textId="77777777" w:rsidR="00FD2CBB" w:rsidRPr="00A06F5A" w:rsidRDefault="00FD2CBB" w:rsidP="004B0DBE">
      <w:pPr>
        <w:pStyle w:val="Paragrafoelenco"/>
        <w:numPr>
          <w:ilvl w:val="0"/>
          <w:numId w:val="49"/>
        </w:numPr>
        <w:spacing w:before="120" w:after="0" w:line="240" w:lineRule="auto"/>
        <w:rPr>
          <w:rFonts w:cstheme="minorHAnsi"/>
          <w:bCs/>
        </w:rPr>
      </w:pPr>
      <w:r w:rsidRPr="00A06F5A">
        <w:rPr>
          <w:rFonts w:cstheme="minorHAnsi"/>
          <w:bCs/>
        </w:rPr>
        <w:t>Riduzione dei costi di monitoraggio</w:t>
      </w:r>
      <w:r>
        <w:rPr>
          <w:rFonts w:cstheme="minorHAnsi"/>
          <w:bCs/>
        </w:rPr>
        <w:t>: c</w:t>
      </w:r>
      <w:r w:rsidRPr="00A06F5A">
        <w:rPr>
          <w:rFonts w:cstheme="minorHAnsi"/>
          <w:bCs/>
        </w:rPr>
        <w:t>on l'uso dei dati delle flotte di TPL, gli enti proprietari delle strade possono ridurre i costi di monitoraggio e manutenzione. Le informazioni raccolte dai veicoli possono essere utilizzate per pianificare interventi mirati, evitando ispezioni manuali e riducendo i costi operativi. Ad esempio, la rilevazione automatica di problemi stradali può sostituire le tradizionali ispezioni periodiche.</w:t>
      </w:r>
    </w:p>
    <w:p w14:paraId="3191504F" w14:textId="77777777" w:rsidR="00FD2CBB" w:rsidRPr="00A06F5A" w:rsidRDefault="00FD2CBB" w:rsidP="004B0DBE">
      <w:pPr>
        <w:pStyle w:val="Paragrafoelenco"/>
        <w:numPr>
          <w:ilvl w:val="0"/>
          <w:numId w:val="49"/>
        </w:numPr>
        <w:spacing w:before="120" w:after="0" w:line="240" w:lineRule="auto"/>
        <w:rPr>
          <w:rFonts w:cstheme="minorHAnsi"/>
          <w:bCs/>
        </w:rPr>
      </w:pPr>
      <w:r w:rsidRPr="00A06F5A">
        <w:rPr>
          <w:rFonts w:cstheme="minorHAnsi"/>
          <w:bCs/>
        </w:rPr>
        <w:t>Miglioramento della sicurezza stradale: La rilevazione tempestiva di problemi stradali e segnaletica danneggiata contribuisce a prevenire incidenti e migliorare la sicurezza per tutti gli utenti della strada.</w:t>
      </w:r>
    </w:p>
    <w:p w14:paraId="2EC2B24E" w14:textId="77777777" w:rsidR="00FD2CBB" w:rsidRPr="00DD7089" w:rsidRDefault="00FD2CBB" w:rsidP="004B0DBE">
      <w:pPr>
        <w:pStyle w:val="Paragrafoelenco"/>
        <w:numPr>
          <w:ilvl w:val="0"/>
          <w:numId w:val="49"/>
        </w:numPr>
        <w:spacing w:before="120" w:after="0" w:line="240" w:lineRule="auto"/>
        <w:rPr>
          <w:rFonts w:cstheme="minorHAnsi"/>
          <w:bCs/>
        </w:rPr>
      </w:pPr>
      <w:r w:rsidRPr="00DD7089">
        <w:rPr>
          <w:rFonts w:cstheme="minorHAnsi"/>
          <w:bCs/>
        </w:rPr>
        <w:t>In questi ambiti, anche se non esiste un finanziamento diretto per il servizio di trasporto pubblico locale (TPL), esiste una fonte finanziaria pubblica che, attraverso i risparmi ottenuti, contribuisce alla sostenibilità economica complessiva del servizio pubblico. Questi risparmi potrebbero essere reinvestiti nel miglioramento e nella sostenibilità del servizio di trasporto pubblico, oppure potrebbero essere investiti in miglioramento delle condizioni della viabilità e/o dell’accessibilità ai servizi di TPL creando un circolo virtuoso di cui beneficia sia la gestione della cosa pubblica che la qualità dei servizi offerti alla collettività.</w:t>
      </w:r>
    </w:p>
    <w:p w14:paraId="7E3F1860" w14:textId="77777777" w:rsidR="00FD2CBB" w:rsidRPr="00EE17CC" w:rsidRDefault="00FD2CBB" w:rsidP="00FD2CBB">
      <w:pPr>
        <w:pStyle w:val="Titolo3"/>
        <w:ind w:left="720"/>
      </w:pPr>
      <w:bookmarkStart w:id="268" w:name="_Toc1965973437"/>
      <w:bookmarkStart w:id="269" w:name="_Toc197695696"/>
      <w:bookmarkStart w:id="270" w:name="_Toc204328737"/>
      <w:bookmarkStart w:id="271" w:name="_Toc213078377"/>
      <w:r>
        <w:lastRenderedPageBreak/>
        <w:t>Sintesi</w:t>
      </w:r>
      <w:bookmarkEnd w:id="268"/>
      <w:bookmarkEnd w:id="269"/>
      <w:bookmarkEnd w:id="270"/>
      <w:bookmarkEnd w:id="271"/>
    </w:p>
    <w:p w14:paraId="55970400" w14:textId="77777777" w:rsidR="00FD2CBB" w:rsidRDefault="00FD2CBB" w:rsidP="00FD2CBB">
      <w:pPr>
        <w:spacing w:before="120" w:after="0" w:line="240" w:lineRule="auto"/>
        <w:rPr>
          <w:rFonts w:cstheme="minorHAnsi"/>
        </w:rPr>
      </w:pPr>
      <w:r w:rsidRPr="005D2E24">
        <w:rPr>
          <w:rFonts w:cstheme="minorHAnsi"/>
        </w:rPr>
        <w:t xml:space="preserve">Le soluzioni </w:t>
      </w:r>
      <w:r>
        <w:rPr>
          <w:rFonts w:cstheme="minorHAnsi"/>
        </w:rPr>
        <w:t>di finanziamento analizzate</w:t>
      </w:r>
      <w:r w:rsidRPr="005D2E24">
        <w:rPr>
          <w:rFonts w:cstheme="minorHAnsi"/>
        </w:rPr>
        <w:t xml:space="preserve"> sono categorizza</w:t>
      </w:r>
      <w:r>
        <w:rPr>
          <w:rFonts w:cstheme="minorHAnsi"/>
        </w:rPr>
        <w:t>bili</w:t>
      </w:r>
      <w:r w:rsidRPr="005D2E24">
        <w:rPr>
          <w:rFonts w:cstheme="minorHAnsi"/>
        </w:rPr>
        <w:t xml:space="preserve"> secondo i criteri di innovazione, impatto e replicabilità.</w:t>
      </w:r>
    </w:p>
    <w:p w14:paraId="1D8147D9" w14:textId="77777777" w:rsidR="00FD2CBB" w:rsidRDefault="00FD2CBB" w:rsidP="00FD2CBB">
      <w:pPr>
        <w:spacing w:before="120" w:after="0" w:line="240" w:lineRule="auto"/>
        <w:rPr>
          <w:rFonts w:cstheme="minorHAnsi"/>
        </w:rPr>
      </w:pPr>
      <w:r w:rsidRPr="005D2E24">
        <w:rPr>
          <w:rFonts w:cstheme="minorHAnsi"/>
        </w:rPr>
        <w:t xml:space="preserve">L’indagine ha evidenziato che </w:t>
      </w:r>
      <w:r>
        <w:rPr>
          <w:rFonts w:cstheme="minorHAnsi"/>
        </w:rPr>
        <w:t>i vari stati</w:t>
      </w:r>
      <w:r w:rsidRPr="005D2E24">
        <w:rPr>
          <w:rFonts w:cstheme="minorHAnsi"/>
        </w:rPr>
        <w:t xml:space="preserve"> stanno adottando strategie sempre più diversificate per finanziare il trasporto pubblico, riducendo la dipendenza dalle tariffe e dai sussidi governativi. L’acquisizione di fondi, l’imposizione di tasse mirate e l’integrazione di nuovi modelli economici sono strumenti fondamentali per garantire la sostenibilità del settore nel lungo periodo. Tuttavia, l’efficacia di queste soluzioni dipende dal contesto normativo e politico di ogni </w:t>
      </w:r>
      <w:r>
        <w:rPr>
          <w:rFonts w:cstheme="minorHAnsi"/>
        </w:rPr>
        <w:t>realtà</w:t>
      </w:r>
      <w:r w:rsidRPr="005D2E24">
        <w:rPr>
          <w:rFonts w:cstheme="minorHAnsi"/>
        </w:rPr>
        <w:t>. Le autorità locali dovr</w:t>
      </w:r>
      <w:r>
        <w:rPr>
          <w:rFonts w:cstheme="minorHAnsi"/>
        </w:rPr>
        <w:t>ebbero</w:t>
      </w:r>
      <w:r w:rsidRPr="005D2E24">
        <w:rPr>
          <w:rFonts w:cstheme="minorHAnsi"/>
        </w:rPr>
        <w:t xml:space="preserve"> quindi adattare e sperimentare diverse strategie per trovare il giusto equilibrio tra finanziabilità e accettabilità delle misure adottate.</w:t>
      </w:r>
    </w:p>
    <w:p w14:paraId="03AE0D21" w14:textId="77777777" w:rsidR="00FD2CBB" w:rsidRPr="00C128A7" w:rsidRDefault="00FD2CBB" w:rsidP="00FD2CBB">
      <w:pPr>
        <w:spacing w:before="120" w:after="0" w:line="240" w:lineRule="auto"/>
        <w:rPr>
          <w:rFonts w:cstheme="minorHAnsi"/>
        </w:rPr>
      </w:pPr>
      <w:r w:rsidRPr="00C128A7">
        <w:rPr>
          <w:rFonts w:cstheme="minorHAnsi"/>
        </w:rPr>
        <w:t>Allo stato attuale non appare possibile prevedere tassazioni specifiche, sovrattasse legate alla valorizzazione immobiliare, l’utilizzo di fondi derivante dal pagamento di altri servizi pubblici o di riduzioni delle imposte sul valore aggiunto.</w:t>
      </w:r>
    </w:p>
    <w:p w14:paraId="473A4E6E" w14:textId="77777777" w:rsidR="00FD2CBB" w:rsidRPr="00C128A7" w:rsidRDefault="00FD2CBB" w:rsidP="00FD2CBB">
      <w:pPr>
        <w:spacing w:before="120" w:after="0" w:line="240" w:lineRule="auto"/>
        <w:rPr>
          <w:rFonts w:cstheme="minorHAnsi"/>
        </w:rPr>
      </w:pPr>
      <w:r w:rsidRPr="00C128A7">
        <w:rPr>
          <w:rFonts w:cstheme="minorHAnsi"/>
        </w:rPr>
        <w:t>Tuttavia si segnale che in regione Piemonte si è sempre costantemente attivato un tavolo di cooperazione con enti locali e operatori economici del territorio per ottenere finanziamenti del servizio su progettualità specifiche in particolare per le aree industriali.</w:t>
      </w:r>
    </w:p>
    <w:p w14:paraId="22DFA895" w14:textId="77777777" w:rsidR="00FD2CBB" w:rsidRDefault="00FD2CBB" w:rsidP="00FD2CBB">
      <w:pPr>
        <w:spacing w:before="120" w:after="0" w:line="240" w:lineRule="auto"/>
        <w:rPr>
          <w:rFonts w:cstheme="minorHAnsi"/>
        </w:rPr>
      </w:pPr>
      <w:r>
        <w:rPr>
          <w:rFonts w:cstheme="minorHAnsi"/>
        </w:rPr>
        <w:t>La Regione, l’Agenzia e gli enti</w:t>
      </w:r>
      <w:r w:rsidRPr="002E61ED">
        <w:rPr>
          <w:rFonts w:cstheme="minorHAnsi"/>
        </w:rPr>
        <w:t xml:space="preserve"> locali potranno in futuro adattare e</w:t>
      </w:r>
      <w:r>
        <w:rPr>
          <w:rFonts w:cstheme="minorHAnsi"/>
        </w:rPr>
        <w:t>/o</w:t>
      </w:r>
      <w:r w:rsidRPr="002E61ED">
        <w:rPr>
          <w:rFonts w:cstheme="minorHAnsi"/>
        </w:rPr>
        <w:t xml:space="preserve"> sperimentare diverse strategie, dalla quale trarre risorse per i servizi di trasporto, ricercando il giusto equilibrio tra finanziabilità e accettabilità sociale delle misure adottate.</w:t>
      </w:r>
    </w:p>
    <w:p w14:paraId="79530EB4" w14:textId="77777777" w:rsidR="00FD2CBB" w:rsidRDefault="00FD2CBB" w:rsidP="00FD2CBB">
      <w:pPr>
        <w:spacing w:before="120" w:after="0" w:line="240" w:lineRule="auto"/>
        <w:rPr>
          <w:rFonts w:cstheme="minorHAnsi"/>
        </w:rPr>
      </w:pPr>
      <w:r w:rsidRPr="002E61ED">
        <w:rPr>
          <w:rFonts w:cstheme="minorHAnsi"/>
        </w:rPr>
        <w:t>Questo implica che, mentre le soluzioni innovative possono essere promettenti, la loro applicabilità nel contesto piemontese richiede un'attenta valutazione delle specific</w:t>
      </w:r>
      <w:r>
        <w:rPr>
          <w:rFonts w:cstheme="minorHAnsi"/>
        </w:rPr>
        <w:t>he normative e politiche locali, nonché una necessaria condivisione territoriale; in tale senso non secondaria appare la corretta valorizzazione degli effetti su costi e ricavi dell’azione amministrativa degli Enti territoriali con particolare riguardo alle interruzioni e/o modifiche della viabilità che impattano sull’esercizio del TPL.</w:t>
      </w:r>
    </w:p>
    <w:p w14:paraId="02680089" w14:textId="77777777" w:rsidR="00FD2CBB" w:rsidRDefault="00FD2CBB" w:rsidP="00FD2CBB">
      <w:pPr>
        <w:pStyle w:val="Titolo2"/>
        <w:ind w:left="567"/>
      </w:pPr>
      <w:bookmarkStart w:id="272" w:name="_Toc204328738"/>
      <w:bookmarkStart w:id="273" w:name="_Toc213078378"/>
      <w:bookmarkStart w:id="274" w:name="_Toc193218190"/>
      <w:bookmarkStart w:id="275" w:name="_Toc891355355"/>
      <w:bookmarkStart w:id="276" w:name="_Ref193816441"/>
      <w:bookmarkStart w:id="277" w:name="_Toc197695698"/>
      <w:bookmarkStart w:id="278" w:name="_Toc204616508"/>
      <w:bookmarkEnd w:id="254"/>
      <w:bookmarkEnd w:id="255"/>
      <w:bookmarkEnd w:id="256"/>
      <w:bookmarkEnd w:id="257"/>
      <w:bookmarkEnd w:id="267"/>
      <w:r>
        <w:t>Esiti consultazione in materia di finanziamento</w:t>
      </w:r>
      <w:bookmarkEnd w:id="272"/>
      <w:bookmarkEnd w:id="273"/>
    </w:p>
    <w:p w14:paraId="6AE94608" w14:textId="77777777" w:rsidR="00FD2CBB" w:rsidRPr="00A75348" w:rsidRDefault="00FD2CBB" w:rsidP="00FD2CBB">
      <w:pPr>
        <w:spacing w:before="120" w:after="0" w:line="240" w:lineRule="auto"/>
        <w:rPr>
          <w:rFonts w:cstheme="minorHAnsi"/>
        </w:rPr>
      </w:pPr>
      <w:bookmarkStart w:id="279" w:name="_Hlk205065365"/>
      <w:r w:rsidRPr="00A75348">
        <w:rPr>
          <w:rFonts w:cstheme="minorHAnsi"/>
        </w:rPr>
        <w:t>La Delibera ART n. 48/2017 indica la fase di consultazione, prevista dalla delibera ART 154/2019, sia il contesto in cui condividere le opzioni ed effettuare una scelta sulle modalità di finanziamento degli obblighi di servizio pubblico e la conseguente individuazione dell’estensione del lotto da affidare.</w:t>
      </w:r>
    </w:p>
    <w:p w14:paraId="12309EF1" w14:textId="77777777" w:rsidR="00FD2CBB" w:rsidRPr="00A75348" w:rsidRDefault="00FD2CBB" w:rsidP="00FD2CBB">
      <w:pPr>
        <w:spacing w:before="120" w:after="0" w:line="240" w:lineRule="auto"/>
        <w:rPr>
          <w:rFonts w:cstheme="minorHAnsi"/>
        </w:rPr>
      </w:pPr>
      <w:r w:rsidRPr="00A75348">
        <w:rPr>
          <w:rFonts w:cstheme="minorHAnsi"/>
        </w:rPr>
        <w:t xml:space="preserve">Durante il processo di consultazione degli stakeholder del Bacino </w:t>
      </w:r>
      <w:r>
        <w:rPr>
          <w:rFonts w:cstheme="minorHAnsi"/>
        </w:rPr>
        <w:t xml:space="preserve">Metropolitano </w:t>
      </w:r>
      <w:r w:rsidRPr="00A75348">
        <w:rPr>
          <w:rFonts w:cstheme="minorHAnsi"/>
        </w:rPr>
        <w:t>(allegato 3) non sono emerse particolari indicazioni su nuove modalità di cofinanziamento, né sulla possibilità di accesso a nuove risorse, né sul modello di remunerazione (net cost o gross cost).</w:t>
      </w:r>
    </w:p>
    <w:p w14:paraId="6E4E3BAB" w14:textId="77777777" w:rsidR="00FD2CBB" w:rsidRDefault="00FD2CBB" w:rsidP="00FD2CBB">
      <w:pPr>
        <w:spacing w:before="120" w:after="0" w:line="240" w:lineRule="auto"/>
        <w:rPr>
          <w:rFonts w:cstheme="minorHAnsi"/>
        </w:rPr>
      </w:pPr>
      <w:r w:rsidRPr="00A75348">
        <w:rPr>
          <w:rFonts w:cstheme="minorHAnsi"/>
        </w:rPr>
        <w:t>Nell’ambito della consultazione sono stati predisposti 5 questionari</w:t>
      </w:r>
      <w:r>
        <w:rPr>
          <w:rFonts w:cstheme="minorHAnsi"/>
        </w:rPr>
        <w:t xml:space="preserve">, resi disponibili </w:t>
      </w:r>
      <w:r w:rsidRPr="00A75348">
        <w:rPr>
          <w:rFonts w:cstheme="minorHAnsi"/>
        </w:rPr>
        <w:t xml:space="preserve">sulla piattaforma di partecipazione “AMPartecipa” i cui esiti sono stati </w:t>
      </w:r>
      <w:r>
        <w:rPr>
          <w:rFonts w:cstheme="minorHAnsi"/>
        </w:rPr>
        <w:t>raccolti</w:t>
      </w:r>
      <w:r w:rsidRPr="00A75348">
        <w:rPr>
          <w:rFonts w:cstheme="minorHAnsi"/>
        </w:rPr>
        <w:t xml:space="preserve"> in una specifica relazione (allegato 2). In tale contesto è stata posta la seguente domanda aperta:</w:t>
      </w:r>
    </w:p>
    <w:p w14:paraId="4A541132" w14:textId="77777777" w:rsidR="00FD2CBB" w:rsidRPr="00A75348" w:rsidRDefault="00FD2CBB" w:rsidP="00FD2CBB">
      <w:pPr>
        <w:spacing w:before="120" w:after="0" w:line="240" w:lineRule="auto"/>
        <w:ind w:left="567"/>
        <w:rPr>
          <w:rFonts w:cstheme="minorHAnsi"/>
          <w:i/>
        </w:rPr>
      </w:pPr>
      <w:r w:rsidRPr="00A75348">
        <w:rPr>
          <w:rFonts w:cstheme="minorHAnsi"/>
          <w:i/>
        </w:rPr>
        <w:t>“Quali sono le azioni che i singoli territori possono adottare per favorire un’offerta di TPL adeguata alle esigenze di mobilità del proprio territorio?”.</w:t>
      </w:r>
    </w:p>
    <w:p w14:paraId="16249198" w14:textId="77777777" w:rsidR="00FD2CBB" w:rsidRPr="001B53FE" w:rsidRDefault="00FD2CBB" w:rsidP="00FD2CBB">
      <w:pPr>
        <w:spacing w:before="120" w:after="0" w:line="240" w:lineRule="auto"/>
        <w:rPr>
          <w:rFonts w:cstheme="minorHAnsi"/>
        </w:rPr>
      </w:pPr>
      <w:r w:rsidRPr="001B53FE">
        <w:rPr>
          <w:rFonts w:cstheme="minorHAnsi"/>
        </w:rPr>
        <w:t>Sebbene la domanda lasciasse spazio anche a considerazioni sulle fonti e modalità di finanziamento, dalle risposte pervenute non sono emersi suggerimenti specifici in merito da parte degli Enti Locali.</w:t>
      </w:r>
    </w:p>
    <w:p w14:paraId="13F23350" w14:textId="77777777" w:rsidR="00FD2CBB" w:rsidRPr="001B53FE" w:rsidRDefault="00FD2CBB" w:rsidP="00FD2CBB">
      <w:pPr>
        <w:spacing w:before="120" w:after="0" w:line="240" w:lineRule="auto"/>
        <w:rPr>
          <w:rFonts w:cstheme="minorHAnsi"/>
        </w:rPr>
      </w:pPr>
      <w:r w:rsidRPr="001B53FE">
        <w:rPr>
          <w:rFonts w:cstheme="minorHAnsi"/>
        </w:rPr>
        <w:t>In generale, i contributi degli Enti Locali si sono focalizzati su aspetti più operativi, tra cui:</w:t>
      </w:r>
    </w:p>
    <w:p w14:paraId="4DA7354A" w14:textId="77777777" w:rsidR="00FD2CBB" w:rsidRPr="006F366B" w:rsidRDefault="00FD2CBB" w:rsidP="004B0DBE">
      <w:pPr>
        <w:pStyle w:val="Paragrafoelenco"/>
        <w:numPr>
          <w:ilvl w:val="0"/>
          <w:numId w:val="50"/>
        </w:numPr>
        <w:shd w:val="clear" w:color="auto" w:fill="FFFFFF" w:themeFill="background1"/>
        <w:spacing w:before="120" w:after="0" w:line="240" w:lineRule="auto"/>
        <w:rPr>
          <w:rFonts w:cstheme="minorHAnsi"/>
        </w:rPr>
      </w:pPr>
      <w:r>
        <w:rPr>
          <w:rFonts w:cstheme="minorHAnsi"/>
        </w:rPr>
        <w:t>Incentivare la f</w:t>
      </w:r>
      <w:r w:rsidRPr="006F366B">
        <w:rPr>
          <w:rFonts w:cstheme="minorHAnsi"/>
        </w:rPr>
        <w:t xml:space="preserve">ormazione degli autisti </w:t>
      </w:r>
      <w:r>
        <w:rPr>
          <w:rFonts w:cstheme="minorHAnsi"/>
        </w:rPr>
        <w:t xml:space="preserve">funzionale all’erogazione del servizio e al rapporto con l’utenza, intensificare la </w:t>
      </w:r>
      <w:r w:rsidRPr="006F366B">
        <w:rPr>
          <w:rFonts w:cstheme="minorHAnsi"/>
        </w:rPr>
        <w:t>presenza di personale di controllo a bordo mezzi</w:t>
      </w:r>
      <w:r>
        <w:rPr>
          <w:rFonts w:cstheme="minorHAnsi"/>
        </w:rPr>
        <w:t>,</w:t>
      </w:r>
    </w:p>
    <w:p w14:paraId="22B43EB0" w14:textId="77777777" w:rsidR="00FD2CBB" w:rsidRPr="001B53FE" w:rsidRDefault="00FD2CBB" w:rsidP="004B0DBE">
      <w:pPr>
        <w:pStyle w:val="Paragrafoelenco"/>
        <w:numPr>
          <w:ilvl w:val="0"/>
          <w:numId w:val="50"/>
        </w:numPr>
        <w:spacing w:before="120" w:after="0" w:line="240" w:lineRule="auto"/>
        <w:rPr>
          <w:rFonts w:cstheme="minorHAnsi"/>
        </w:rPr>
      </w:pPr>
      <w:r>
        <w:rPr>
          <w:rFonts w:cstheme="minorHAnsi"/>
        </w:rPr>
        <w:t>Migliorare la</w:t>
      </w:r>
      <w:r w:rsidRPr="001B53FE">
        <w:rPr>
          <w:rFonts w:cstheme="minorHAnsi"/>
        </w:rPr>
        <w:t xml:space="preserve"> qualità dell’informazione</w:t>
      </w:r>
      <w:r>
        <w:rPr>
          <w:rFonts w:cstheme="minorHAnsi"/>
        </w:rPr>
        <w:t xml:space="preserve"> all’utenza, anche in versione multilingua,</w:t>
      </w:r>
    </w:p>
    <w:p w14:paraId="77D5A181" w14:textId="77777777" w:rsidR="00FD2CBB" w:rsidRDefault="00FD2CBB" w:rsidP="004B0DBE">
      <w:pPr>
        <w:pStyle w:val="Paragrafoelenco"/>
        <w:numPr>
          <w:ilvl w:val="0"/>
          <w:numId w:val="50"/>
        </w:numPr>
        <w:spacing w:before="120" w:after="0" w:line="240" w:lineRule="auto"/>
        <w:rPr>
          <w:rFonts w:cstheme="minorHAnsi"/>
        </w:rPr>
      </w:pPr>
      <w:r>
        <w:rPr>
          <w:rFonts w:cstheme="minorHAnsi"/>
        </w:rPr>
        <w:lastRenderedPageBreak/>
        <w:t>Somministrare</w:t>
      </w:r>
      <w:r w:rsidRPr="001B53FE">
        <w:rPr>
          <w:rFonts w:cstheme="minorHAnsi"/>
        </w:rPr>
        <w:t xml:space="preserve"> </w:t>
      </w:r>
      <w:r>
        <w:rPr>
          <w:rFonts w:cstheme="minorHAnsi"/>
        </w:rPr>
        <w:t xml:space="preserve">periodicamente </w:t>
      </w:r>
      <w:r w:rsidRPr="001B53FE">
        <w:rPr>
          <w:rFonts w:cstheme="minorHAnsi"/>
        </w:rPr>
        <w:t>questionari di custumer satisfaction</w:t>
      </w:r>
      <w:r>
        <w:rPr>
          <w:rFonts w:cstheme="minorHAnsi"/>
        </w:rPr>
        <w:t>,</w:t>
      </w:r>
    </w:p>
    <w:p w14:paraId="59A1BB36" w14:textId="77777777" w:rsidR="00FD2CBB" w:rsidRPr="001107C6" w:rsidRDefault="00FD2CBB" w:rsidP="004B0DBE">
      <w:pPr>
        <w:pStyle w:val="Paragrafoelenco"/>
        <w:numPr>
          <w:ilvl w:val="0"/>
          <w:numId w:val="50"/>
        </w:numPr>
        <w:spacing w:before="120" w:after="0" w:line="240" w:lineRule="auto"/>
        <w:rPr>
          <w:rFonts w:cstheme="minorHAnsi"/>
        </w:rPr>
      </w:pPr>
      <w:r>
        <w:rPr>
          <w:rFonts w:cstheme="minorHAnsi"/>
        </w:rPr>
        <w:t>Introdurre e testare soluzioni di fermata a chiamata.</w:t>
      </w:r>
    </w:p>
    <w:p w14:paraId="2C97EF72" w14:textId="77777777" w:rsidR="00FD2CBB" w:rsidRPr="00A75348" w:rsidRDefault="00FD2CBB" w:rsidP="00FD2CBB">
      <w:pPr>
        <w:spacing w:before="120" w:after="0" w:line="240" w:lineRule="auto"/>
        <w:rPr>
          <w:rFonts w:cstheme="minorHAnsi"/>
        </w:rPr>
      </w:pPr>
      <w:r w:rsidRPr="003611F9">
        <w:rPr>
          <w:rFonts w:cstheme="minorHAnsi"/>
        </w:rPr>
        <w:t>In sintesi, la fase di consultazione non ha fatto emergere proposte concrete in merito a nuove modalità di finanziamento o modelli di remunerazione alternativi, evidenziando che da parte degli stakeholder locali gli aspetti economici e strategici della sostenibilità del servizio non appaiono prioritari</w:t>
      </w:r>
      <w:r w:rsidRPr="001B53FE">
        <w:rPr>
          <w:rFonts w:cstheme="minorHAnsi"/>
        </w:rPr>
        <w:t>.</w:t>
      </w:r>
      <w:r w:rsidRPr="00A75348">
        <w:rPr>
          <w:rFonts w:cstheme="minorHAnsi"/>
        </w:rPr>
        <w:t xml:space="preserve"> </w:t>
      </w:r>
    </w:p>
    <w:p w14:paraId="5BC9A04F" w14:textId="77777777" w:rsidR="00FD2CBB" w:rsidRPr="005055FC" w:rsidRDefault="00FD2CBB" w:rsidP="00FD2CBB">
      <w:pPr>
        <w:pStyle w:val="Titolo2"/>
        <w:ind w:left="567"/>
      </w:pPr>
      <w:bookmarkStart w:id="280" w:name="_Toc204328739"/>
      <w:bookmarkStart w:id="281" w:name="_Ref212805284"/>
      <w:bookmarkStart w:id="282" w:name="_Toc213078379"/>
      <w:bookmarkStart w:id="283" w:name="_Toc900989428"/>
      <w:bookmarkStart w:id="284" w:name="_Toc197695699"/>
      <w:bookmarkStart w:id="285" w:name="_Toc204616509"/>
      <w:bookmarkEnd w:id="274"/>
      <w:bookmarkEnd w:id="275"/>
      <w:bookmarkEnd w:id="276"/>
      <w:bookmarkEnd w:id="277"/>
      <w:bookmarkEnd w:id="278"/>
      <w:bookmarkEnd w:id="279"/>
      <w:r>
        <w:t>Quadro delle risorse attuali e previsionali per le procedure di affidamento</w:t>
      </w:r>
      <w:bookmarkEnd w:id="280"/>
      <w:bookmarkEnd w:id="281"/>
      <w:bookmarkEnd w:id="282"/>
    </w:p>
    <w:p w14:paraId="6117E3DE" w14:textId="77777777" w:rsidR="00FD2CBB" w:rsidRPr="00600B67" w:rsidRDefault="00FD2CBB" w:rsidP="00FD2CBB">
      <w:pPr>
        <w:pStyle w:val="Titolo3"/>
        <w:ind w:left="720"/>
      </w:pPr>
      <w:bookmarkStart w:id="286" w:name="_Toc204328740"/>
      <w:bookmarkStart w:id="287" w:name="_Toc213078380"/>
      <w:bookmarkEnd w:id="283"/>
      <w:bookmarkEnd w:id="284"/>
      <w:bookmarkEnd w:id="285"/>
      <w:r>
        <w:t>Le risorse assegnate all’Agenzia della mobilità</w:t>
      </w:r>
      <w:bookmarkEnd w:id="286"/>
      <w:bookmarkEnd w:id="287"/>
    </w:p>
    <w:p w14:paraId="6C8DAE70" w14:textId="77777777" w:rsidR="00FD2CBB" w:rsidRPr="002E61ED" w:rsidRDefault="00FD2CBB" w:rsidP="00FD2CBB">
      <w:pPr>
        <w:pStyle w:val="NormaleWeb"/>
        <w:spacing w:before="120" w:after="0" w:line="240" w:lineRule="auto"/>
        <w:rPr>
          <w:rStyle w:val="Enfasigrassetto"/>
          <w:rFonts w:asciiTheme="minorHAnsi" w:hAnsiTheme="minorHAnsi" w:cstheme="minorHAnsi"/>
          <w:b w:val="0"/>
          <w:sz w:val="22"/>
          <w:szCs w:val="22"/>
        </w:rPr>
      </w:pPr>
      <w:bookmarkStart w:id="288" w:name="_Toc69311414"/>
      <w:bookmarkStart w:id="289" w:name="_Toc197695700"/>
      <w:bookmarkStart w:id="290" w:name="_Toc204616510"/>
      <w:r w:rsidRPr="002E61ED">
        <w:rPr>
          <w:rStyle w:val="Enfasigrassetto"/>
          <w:rFonts w:asciiTheme="minorHAnsi" w:hAnsiTheme="minorHAnsi" w:cstheme="minorHAnsi"/>
          <w:b w:val="0"/>
          <w:sz w:val="22"/>
          <w:szCs w:val="22"/>
        </w:rPr>
        <w:t xml:space="preserve">Nel contesto </w:t>
      </w:r>
      <w:r>
        <w:rPr>
          <w:rStyle w:val="Enfasigrassetto"/>
          <w:rFonts w:asciiTheme="minorHAnsi" w:hAnsiTheme="minorHAnsi" w:cstheme="minorHAnsi"/>
          <w:b w:val="0"/>
          <w:sz w:val="22"/>
          <w:szCs w:val="22"/>
        </w:rPr>
        <w:t>p</w:t>
      </w:r>
      <w:r w:rsidRPr="002E61ED">
        <w:rPr>
          <w:rStyle w:val="Enfasigrassetto"/>
          <w:rFonts w:asciiTheme="minorHAnsi" w:hAnsiTheme="minorHAnsi" w:cstheme="minorHAnsi"/>
          <w:b w:val="0"/>
          <w:sz w:val="22"/>
          <w:szCs w:val="22"/>
        </w:rPr>
        <w:t xml:space="preserve">iemontese </w:t>
      </w:r>
      <w:r>
        <w:rPr>
          <w:rStyle w:val="Enfasigrassetto"/>
          <w:rFonts w:asciiTheme="minorHAnsi" w:hAnsiTheme="minorHAnsi" w:cstheme="minorHAnsi"/>
          <w:b w:val="0"/>
          <w:sz w:val="22"/>
          <w:szCs w:val="22"/>
        </w:rPr>
        <w:t>i</w:t>
      </w:r>
      <w:r w:rsidRPr="002E61ED">
        <w:rPr>
          <w:rStyle w:val="Enfasigrassetto"/>
          <w:rFonts w:asciiTheme="minorHAnsi" w:hAnsiTheme="minorHAnsi" w:cstheme="minorHAnsi"/>
          <w:b w:val="0"/>
          <w:sz w:val="22"/>
          <w:szCs w:val="22"/>
        </w:rPr>
        <w:t>l finanziamento si basa su una combinazione di fiscalità generale, entrate tariffarie e sussidi pubblici locali e regionali.</w:t>
      </w:r>
    </w:p>
    <w:p w14:paraId="1269E305" w14:textId="77777777" w:rsidR="00FD2CBB" w:rsidRDefault="00FD2CBB" w:rsidP="00FD2CBB">
      <w:pPr>
        <w:spacing w:before="120" w:after="0" w:line="240" w:lineRule="auto"/>
        <w:rPr>
          <w:rFonts w:cstheme="minorHAnsi"/>
        </w:rPr>
      </w:pPr>
      <w:r w:rsidRPr="00A75348">
        <w:rPr>
          <w:rFonts w:cstheme="minorHAnsi"/>
        </w:rPr>
        <w:t>L’Agenzia non ha capacità impositiva da cui trarre gettito, né svolge attività di vendita di beni o servizi da cui trarre profitti con i quali coprire in parte il finanziamento degli obblighi di servizio.</w:t>
      </w:r>
    </w:p>
    <w:p w14:paraId="0336F2B0" w14:textId="77777777" w:rsidR="00FD2CBB" w:rsidRPr="0002134E" w:rsidRDefault="00FD2CBB" w:rsidP="00FD2CBB">
      <w:pPr>
        <w:pStyle w:val="NormaleWeb"/>
        <w:spacing w:before="120" w:after="0" w:line="240" w:lineRule="auto"/>
        <w:rPr>
          <w:rStyle w:val="Enfasigrassetto"/>
          <w:rFonts w:asciiTheme="minorHAnsi" w:hAnsiTheme="minorHAnsi" w:cstheme="minorHAnsi"/>
          <w:b w:val="0"/>
          <w:sz w:val="22"/>
          <w:szCs w:val="22"/>
        </w:rPr>
      </w:pPr>
      <w:r w:rsidRPr="0002134E">
        <w:rPr>
          <w:rStyle w:val="Enfasigrassetto"/>
          <w:rFonts w:asciiTheme="minorHAnsi" w:hAnsiTheme="minorHAnsi" w:cstheme="minorHAnsi"/>
          <w:b w:val="0"/>
          <w:sz w:val="22"/>
          <w:szCs w:val="22"/>
        </w:rPr>
        <w:t>La Regione utilizza risorse proprie per coprire una parte significativa delle compensazioni. Il governo centrale trasferisce la quota spettante del Fondo Nazionale Trasporti</w:t>
      </w:r>
      <w:r w:rsidRPr="0002134E">
        <w:rPr>
          <w:rStyle w:val="Enfasigrassetto"/>
          <w:rFonts w:asciiTheme="minorHAnsi" w:hAnsiTheme="minorHAnsi"/>
          <w:b w:val="0"/>
          <w:sz w:val="22"/>
          <w:szCs w:val="22"/>
          <w:vertAlign w:val="superscript"/>
        </w:rPr>
        <w:footnoteReference w:id="30"/>
      </w:r>
      <w:r w:rsidRPr="0002134E">
        <w:rPr>
          <w:rStyle w:val="Enfasigrassetto"/>
          <w:rFonts w:asciiTheme="minorHAnsi" w:hAnsiTheme="minorHAnsi"/>
          <w:b w:val="0"/>
          <w:sz w:val="22"/>
          <w:szCs w:val="22"/>
        </w:rPr>
        <w:t xml:space="preserve"> (FNT) </w:t>
      </w:r>
      <w:r w:rsidRPr="0002134E">
        <w:rPr>
          <w:rStyle w:val="Enfasigrassetto"/>
          <w:rFonts w:asciiTheme="minorHAnsi" w:hAnsiTheme="minorHAnsi" w:cstheme="minorHAnsi"/>
          <w:b w:val="0"/>
          <w:sz w:val="22"/>
          <w:szCs w:val="22"/>
        </w:rPr>
        <w:t>alla Regione. Le amministrazioni locali contribuiscono con risorse proprie per supportare i servizi o per sperimentare servizi aggiuntivi. Una altra quota è trasferita dal governo centrale quale contributo previsto dalla Legge 472/99.</w:t>
      </w:r>
    </w:p>
    <w:p w14:paraId="6E09026E" w14:textId="77777777" w:rsidR="00FD2CBB" w:rsidRDefault="00FD2CBB" w:rsidP="00FD2CBB">
      <w:pPr>
        <w:pStyle w:val="NormaleWeb"/>
        <w:spacing w:before="120" w:after="0" w:line="240" w:lineRule="auto"/>
        <w:rPr>
          <w:rStyle w:val="Enfasigrassetto"/>
          <w:rFonts w:asciiTheme="minorHAnsi" w:hAnsiTheme="minorHAnsi" w:cstheme="minorHAnsi"/>
          <w:b w:val="0"/>
          <w:sz w:val="22"/>
          <w:szCs w:val="22"/>
        </w:rPr>
      </w:pPr>
      <w:r w:rsidRPr="002E61ED">
        <w:rPr>
          <w:rStyle w:val="Enfasigrassetto"/>
          <w:rFonts w:asciiTheme="minorHAnsi" w:hAnsiTheme="minorHAnsi" w:cstheme="minorHAnsi"/>
          <w:b w:val="0"/>
          <w:sz w:val="22"/>
          <w:szCs w:val="22"/>
        </w:rPr>
        <w:t xml:space="preserve">A titolo esemplificativo si fornisce il quadro </w:t>
      </w:r>
      <w:r>
        <w:rPr>
          <w:rStyle w:val="Enfasigrassetto"/>
          <w:rFonts w:asciiTheme="minorHAnsi" w:hAnsiTheme="minorHAnsi" w:cstheme="minorHAnsi"/>
          <w:b w:val="0"/>
          <w:sz w:val="22"/>
          <w:szCs w:val="22"/>
        </w:rPr>
        <w:t xml:space="preserve">dei </w:t>
      </w:r>
      <w:r w:rsidRPr="002E61ED">
        <w:rPr>
          <w:rStyle w:val="Enfasigrassetto"/>
          <w:rFonts w:asciiTheme="minorHAnsi" w:hAnsiTheme="minorHAnsi" w:cstheme="minorHAnsi"/>
          <w:b w:val="0"/>
          <w:sz w:val="22"/>
          <w:szCs w:val="22"/>
        </w:rPr>
        <w:t>finanzia</w:t>
      </w:r>
      <w:r>
        <w:rPr>
          <w:rStyle w:val="Enfasigrassetto"/>
          <w:rFonts w:asciiTheme="minorHAnsi" w:hAnsiTheme="minorHAnsi" w:cstheme="minorHAnsi"/>
          <w:b w:val="0"/>
          <w:sz w:val="22"/>
          <w:szCs w:val="22"/>
        </w:rPr>
        <w:t>menti per l’Agenzia</w:t>
      </w:r>
      <w:r w:rsidRPr="002E61ED">
        <w:rPr>
          <w:rStyle w:val="Enfasigrassetto"/>
          <w:rFonts w:asciiTheme="minorHAnsi" w:hAnsiTheme="minorHAnsi" w:cstheme="minorHAnsi"/>
          <w:b w:val="0"/>
          <w:sz w:val="22"/>
          <w:szCs w:val="22"/>
        </w:rPr>
        <w:t xml:space="preserve"> nel</w:t>
      </w:r>
      <w:r>
        <w:rPr>
          <w:rStyle w:val="Enfasigrassetto"/>
          <w:rFonts w:asciiTheme="minorHAnsi" w:hAnsiTheme="minorHAnsi" w:cstheme="minorHAnsi"/>
          <w:b w:val="0"/>
          <w:sz w:val="22"/>
          <w:szCs w:val="22"/>
        </w:rPr>
        <w:t xml:space="preserve"> bilancio previsionale del</w:t>
      </w:r>
      <w:r w:rsidRPr="002E61ED">
        <w:rPr>
          <w:rStyle w:val="Enfasigrassetto"/>
          <w:rFonts w:asciiTheme="minorHAnsi" w:hAnsiTheme="minorHAnsi" w:cstheme="minorHAnsi"/>
          <w:b w:val="0"/>
          <w:sz w:val="22"/>
          <w:szCs w:val="22"/>
        </w:rPr>
        <w:t>l’annualità 202</w:t>
      </w:r>
      <w:r>
        <w:rPr>
          <w:rStyle w:val="Enfasigrassetto"/>
          <w:rFonts w:asciiTheme="minorHAnsi" w:hAnsiTheme="minorHAnsi" w:cstheme="minorHAnsi"/>
          <w:b w:val="0"/>
          <w:sz w:val="22"/>
          <w:szCs w:val="22"/>
        </w:rPr>
        <w:t>5:</w:t>
      </w:r>
    </w:p>
    <w:p w14:paraId="6AAF3484" w14:textId="77777777" w:rsidR="00FD2CBB" w:rsidRDefault="00FD2CBB" w:rsidP="004B0DBE">
      <w:pPr>
        <w:pStyle w:val="NormaleWeb"/>
        <w:numPr>
          <w:ilvl w:val="0"/>
          <w:numId w:val="51"/>
        </w:numPr>
        <w:tabs>
          <w:tab w:val="right" w:pos="7513"/>
        </w:tabs>
        <w:spacing w:before="120" w:after="0" w:line="240" w:lineRule="auto"/>
        <w:rPr>
          <w:rStyle w:val="Enfasigrassetto"/>
          <w:rFonts w:asciiTheme="minorHAnsi" w:hAnsiTheme="minorHAnsi" w:cstheme="minorHAnsi"/>
          <w:b w:val="0"/>
          <w:sz w:val="22"/>
          <w:szCs w:val="22"/>
        </w:rPr>
      </w:pPr>
      <w:r>
        <w:rPr>
          <w:rStyle w:val="Enfasigrassetto"/>
          <w:rFonts w:asciiTheme="minorHAnsi" w:hAnsiTheme="minorHAnsi" w:cstheme="minorHAnsi"/>
          <w:b w:val="0"/>
          <w:sz w:val="22"/>
          <w:szCs w:val="22"/>
        </w:rPr>
        <w:t>Trasferimenti da Regione:</w:t>
      </w:r>
      <w:r>
        <w:rPr>
          <w:rStyle w:val="Enfasigrassetto"/>
          <w:rFonts w:asciiTheme="minorHAnsi" w:hAnsiTheme="minorHAnsi" w:cstheme="minorHAnsi"/>
          <w:b w:val="0"/>
          <w:sz w:val="22"/>
          <w:szCs w:val="22"/>
        </w:rPr>
        <w:tab/>
        <w:t>552,77 milioni €</w:t>
      </w:r>
    </w:p>
    <w:p w14:paraId="5E7E94C7" w14:textId="77777777" w:rsidR="00FD2CBB" w:rsidRDefault="00FD2CBB" w:rsidP="004B0DBE">
      <w:pPr>
        <w:pStyle w:val="NormaleWeb"/>
        <w:numPr>
          <w:ilvl w:val="0"/>
          <w:numId w:val="51"/>
        </w:numPr>
        <w:tabs>
          <w:tab w:val="right" w:pos="7513"/>
        </w:tabs>
        <w:spacing w:before="120" w:after="0" w:line="240" w:lineRule="auto"/>
        <w:rPr>
          <w:rStyle w:val="Enfasigrassetto"/>
          <w:rFonts w:asciiTheme="minorHAnsi" w:hAnsiTheme="minorHAnsi" w:cstheme="minorHAnsi"/>
          <w:b w:val="0"/>
          <w:sz w:val="22"/>
          <w:szCs w:val="22"/>
        </w:rPr>
      </w:pPr>
      <w:r>
        <w:rPr>
          <w:rStyle w:val="Enfasigrassetto"/>
          <w:rFonts w:asciiTheme="minorHAnsi" w:hAnsiTheme="minorHAnsi" w:cstheme="minorHAnsi"/>
          <w:b w:val="0"/>
          <w:sz w:val="22"/>
          <w:szCs w:val="22"/>
        </w:rPr>
        <w:t>Trasferimenti da Stato per contributo Iva:</w:t>
      </w:r>
      <w:r>
        <w:rPr>
          <w:rStyle w:val="Enfasigrassetto"/>
          <w:rFonts w:asciiTheme="minorHAnsi" w:hAnsiTheme="minorHAnsi" w:cstheme="minorHAnsi"/>
          <w:b w:val="0"/>
          <w:sz w:val="22"/>
          <w:szCs w:val="22"/>
        </w:rPr>
        <w:tab/>
        <w:t>16,35 milioni €</w:t>
      </w:r>
    </w:p>
    <w:p w14:paraId="391E748E" w14:textId="77777777" w:rsidR="00FD2CBB" w:rsidRDefault="00FD2CBB" w:rsidP="004B0DBE">
      <w:pPr>
        <w:pStyle w:val="NormaleWeb"/>
        <w:numPr>
          <w:ilvl w:val="0"/>
          <w:numId w:val="51"/>
        </w:numPr>
        <w:tabs>
          <w:tab w:val="right" w:pos="7513"/>
        </w:tabs>
        <w:spacing w:before="120" w:after="0" w:line="240" w:lineRule="auto"/>
        <w:rPr>
          <w:rStyle w:val="Enfasigrassetto"/>
          <w:rFonts w:asciiTheme="minorHAnsi" w:hAnsiTheme="minorHAnsi" w:cstheme="minorHAnsi"/>
          <w:b w:val="0"/>
          <w:sz w:val="22"/>
          <w:szCs w:val="22"/>
        </w:rPr>
      </w:pPr>
      <w:r>
        <w:rPr>
          <w:rStyle w:val="Enfasigrassetto"/>
          <w:rFonts w:asciiTheme="minorHAnsi" w:hAnsiTheme="minorHAnsi" w:cstheme="minorHAnsi"/>
          <w:b w:val="0"/>
          <w:sz w:val="22"/>
          <w:szCs w:val="22"/>
        </w:rPr>
        <w:t>Trasferimenti da EE.LL.:</w:t>
      </w:r>
      <w:r>
        <w:rPr>
          <w:rStyle w:val="Enfasigrassetto"/>
          <w:rFonts w:asciiTheme="minorHAnsi" w:hAnsiTheme="minorHAnsi" w:cstheme="minorHAnsi"/>
          <w:b w:val="0"/>
          <w:sz w:val="22"/>
          <w:szCs w:val="22"/>
        </w:rPr>
        <w:tab/>
        <w:t>17,21 milioni €</w:t>
      </w:r>
    </w:p>
    <w:p w14:paraId="606A3264" w14:textId="77777777" w:rsidR="00FD2CBB" w:rsidRPr="002E61ED" w:rsidRDefault="00FD2CBB" w:rsidP="00FD2CBB">
      <w:pPr>
        <w:pStyle w:val="NormaleWeb"/>
        <w:spacing w:before="120" w:after="0" w:line="240" w:lineRule="auto"/>
        <w:rPr>
          <w:rStyle w:val="Enfasigrassetto"/>
          <w:rFonts w:asciiTheme="minorHAnsi" w:hAnsiTheme="minorHAnsi" w:cstheme="minorHAnsi"/>
          <w:b w:val="0"/>
          <w:sz w:val="22"/>
          <w:szCs w:val="22"/>
        </w:rPr>
      </w:pPr>
      <w:r>
        <w:rPr>
          <w:rStyle w:val="Enfasigrassetto"/>
          <w:rFonts w:asciiTheme="minorHAnsi" w:hAnsiTheme="minorHAnsi" w:cstheme="minorHAnsi"/>
          <w:b w:val="0"/>
          <w:sz w:val="22"/>
          <w:szCs w:val="22"/>
        </w:rPr>
        <w:t>Il complesso delle risorse comprende tutte quelle necessarie alla gestione dei Contratti di Servizio sia ferroviari, che automobilistici che di navigazione (compensazioni degli obblighi di servizio, iva sui contratti di servizio, contributi ccnl per i contratti automobilistici) nonché i trasferimenti ai comuni ed alle unioni di comuni che gestiscono direttamente servizi marginali e complementari al TPL.</w:t>
      </w:r>
    </w:p>
    <w:p w14:paraId="651C191E" w14:textId="77777777" w:rsidR="00FD2CBB" w:rsidRDefault="00FD2CBB" w:rsidP="00FD2CBB">
      <w:pPr>
        <w:pStyle w:val="NormaleWeb"/>
        <w:spacing w:before="120" w:after="0" w:line="240" w:lineRule="auto"/>
        <w:rPr>
          <w:rStyle w:val="Enfasigrassetto"/>
          <w:rFonts w:asciiTheme="minorHAnsi" w:hAnsiTheme="minorHAnsi" w:cstheme="minorHAnsi"/>
          <w:b w:val="0"/>
          <w:sz w:val="22"/>
          <w:szCs w:val="22"/>
        </w:rPr>
      </w:pPr>
      <w:r>
        <w:rPr>
          <w:rStyle w:val="Enfasigrassetto"/>
          <w:rFonts w:asciiTheme="minorHAnsi" w:hAnsiTheme="minorHAnsi" w:cstheme="minorHAnsi"/>
          <w:b w:val="0"/>
          <w:sz w:val="22"/>
          <w:szCs w:val="22"/>
        </w:rPr>
        <w:t>I trasferimenti da EE.LL. presentano una certa continuità negli anni e sono stabilmente consolidati sui valori sopra indicati; tuttavia esiste una differenziazione fra i vari bacini e, nel caso del bacino Metropolitano i valori provenienti dagli Enti sono abbastanza consistenti; di seguito sono riportati trasferimenti previsionali per l’annualità 2025:</w:t>
      </w:r>
    </w:p>
    <w:p w14:paraId="01FC783B" w14:textId="77777777" w:rsidR="00FD2CBB" w:rsidRDefault="00FD2CBB" w:rsidP="004B0DBE">
      <w:pPr>
        <w:pStyle w:val="NormaleWeb"/>
        <w:numPr>
          <w:ilvl w:val="0"/>
          <w:numId w:val="52"/>
        </w:numPr>
        <w:tabs>
          <w:tab w:val="right" w:pos="7513"/>
        </w:tabs>
        <w:spacing w:before="120" w:after="0" w:line="240" w:lineRule="auto"/>
        <w:rPr>
          <w:rStyle w:val="Enfasigrassetto"/>
          <w:rFonts w:asciiTheme="minorHAnsi" w:hAnsiTheme="minorHAnsi" w:cstheme="minorHAnsi"/>
          <w:b w:val="0"/>
          <w:sz w:val="22"/>
          <w:szCs w:val="22"/>
        </w:rPr>
      </w:pPr>
      <w:r>
        <w:rPr>
          <w:rStyle w:val="Enfasigrassetto"/>
          <w:rFonts w:asciiTheme="minorHAnsi" w:hAnsiTheme="minorHAnsi" w:cstheme="minorHAnsi"/>
          <w:b w:val="0"/>
          <w:sz w:val="22"/>
          <w:szCs w:val="22"/>
        </w:rPr>
        <w:t>Bacino Nord-Est:</w:t>
      </w:r>
      <w:r>
        <w:rPr>
          <w:rStyle w:val="Enfasigrassetto"/>
          <w:rFonts w:asciiTheme="minorHAnsi" w:hAnsiTheme="minorHAnsi" w:cstheme="minorHAnsi"/>
          <w:b w:val="0"/>
          <w:sz w:val="22"/>
          <w:szCs w:val="22"/>
        </w:rPr>
        <w:tab/>
        <w:t>3,06 milioni €</w:t>
      </w:r>
    </w:p>
    <w:p w14:paraId="4D9D2B3A" w14:textId="77777777" w:rsidR="00FD2CBB" w:rsidRDefault="00FD2CBB" w:rsidP="004B0DBE">
      <w:pPr>
        <w:pStyle w:val="NormaleWeb"/>
        <w:numPr>
          <w:ilvl w:val="0"/>
          <w:numId w:val="52"/>
        </w:numPr>
        <w:tabs>
          <w:tab w:val="right" w:pos="7513"/>
        </w:tabs>
        <w:spacing w:before="120" w:after="0" w:line="240" w:lineRule="auto"/>
        <w:rPr>
          <w:rStyle w:val="Enfasigrassetto"/>
          <w:rFonts w:asciiTheme="minorHAnsi" w:hAnsiTheme="minorHAnsi" w:cstheme="minorHAnsi"/>
          <w:b w:val="0"/>
          <w:sz w:val="22"/>
          <w:szCs w:val="22"/>
        </w:rPr>
      </w:pPr>
      <w:r>
        <w:rPr>
          <w:rStyle w:val="Enfasigrassetto"/>
          <w:rFonts w:asciiTheme="minorHAnsi" w:hAnsiTheme="minorHAnsi" w:cstheme="minorHAnsi"/>
          <w:b w:val="0"/>
          <w:sz w:val="22"/>
          <w:szCs w:val="22"/>
        </w:rPr>
        <w:t>Bacino Sud Est:</w:t>
      </w:r>
      <w:r>
        <w:rPr>
          <w:rStyle w:val="Enfasigrassetto"/>
          <w:rFonts w:asciiTheme="minorHAnsi" w:hAnsiTheme="minorHAnsi" w:cstheme="minorHAnsi"/>
          <w:b w:val="0"/>
          <w:sz w:val="22"/>
          <w:szCs w:val="22"/>
        </w:rPr>
        <w:tab/>
        <w:t>3,45 milioni €</w:t>
      </w:r>
    </w:p>
    <w:p w14:paraId="219027F7" w14:textId="77777777" w:rsidR="00FD2CBB" w:rsidRDefault="00FD2CBB" w:rsidP="004B0DBE">
      <w:pPr>
        <w:pStyle w:val="NormaleWeb"/>
        <w:numPr>
          <w:ilvl w:val="0"/>
          <w:numId w:val="52"/>
        </w:numPr>
        <w:tabs>
          <w:tab w:val="right" w:pos="7513"/>
        </w:tabs>
        <w:spacing w:before="120" w:after="0" w:line="240" w:lineRule="auto"/>
        <w:rPr>
          <w:rStyle w:val="Enfasigrassetto"/>
          <w:rFonts w:asciiTheme="minorHAnsi" w:hAnsiTheme="minorHAnsi" w:cstheme="minorHAnsi"/>
          <w:b w:val="0"/>
          <w:sz w:val="22"/>
          <w:szCs w:val="22"/>
        </w:rPr>
      </w:pPr>
      <w:r>
        <w:rPr>
          <w:rStyle w:val="Enfasigrassetto"/>
          <w:rFonts w:asciiTheme="minorHAnsi" w:hAnsiTheme="minorHAnsi" w:cstheme="minorHAnsi"/>
          <w:b w:val="0"/>
          <w:sz w:val="22"/>
          <w:szCs w:val="22"/>
        </w:rPr>
        <w:t>Bacino Sud:</w:t>
      </w:r>
      <w:r>
        <w:rPr>
          <w:rStyle w:val="Enfasigrassetto"/>
          <w:rFonts w:asciiTheme="minorHAnsi" w:hAnsiTheme="minorHAnsi" w:cstheme="minorHAnsi"/>
          <w:b w:val="0"/>
          <w:sz w:val="22"/>
          <w:szCs w:val="22"/>
        </w:rPr>
        <w:tab/>
        <w:t>0,12 milioni €</w:t>
      </w:r>
    </w:p>
    <w:p w14:paraId="3259FBAF" w14:textId="77777777" w:rsidR="00FD2CBB" w:rsidRDefault="00FD2CBB" w:rsidP="004B0DBE">
      <w:pPr>
        <w:pStyle w:val="NormaleWeb"/>
        <w:numPr>
          <w:ilvl w:val="0"/>
          <w:numId w:val="52"/>
        </w:numPr>
        <w:tabs>
          <w:tab w:val="right" w:pos="7513"/>
        </w:tabs>
        <w:spacing w:before="120" w:after="0" w:line="240" w:lineRule="auto"/>
        <w:rPr>
          <w:rStyle w:val="Enfasigrassetto"/>
          <w:rFonts w:asciiTheme="minorHAnsi" w:hAnsiTheme="minorHAnsi" w:cstheme="minorHAnsi"/>
          <w:b w:val="0"/>
          <w:sz w:val="22"/>
          <w:szCs w:val="22"/>
        </w:rPr>
      </w:pPr>
      <w:r>
        <w:rPr>
          <w:rStyle w:val="Enfasigrassetto"/>
          <w:rFonts w:asciiTheme="minorHAnsi" w:hAnsiTheme="minorHAnsi" w:cstheme="minorHAnsi"/>
          <w:b w:val="0"/>
          <w:sz w:val="22"/>
          <w:szCs w:val="22"/>
        </w:rPr>
        <w:t>Bacino Metropolitano:</w:t>
      </w:r>
      <w:r>
        <w:rPr>
          <w:rStyle w:val="Enfasigrassetto"/>
          <w:rFonts w:asciiTheme="minorHAnsi" w:hAnsiTheme="minorHAnsi" w:cstheme="minorHAnsi"/>
          <w:b w:val="0"/>
          <w:sz w:val="22"/>
          <w:szCs w:val="22"/>
        </w:rPr>
        <w:tab/>
        <w:t>10,58 milioni €</w:t>
      </w:r>
    </w:p>
    <w:p w14:paraId="411930F5" w14:textId="77777777" w:rsidR="00FD2CBB" w:rsidRPr="00600B67" w:rsidRDefault="00FD2CBB" w:rsidP="00FD2CBB">
      <w:pPr>
        <w:pStyle w:val="Titolo3"/>
        <w:ind w:left="720"/>
        <w:rPr>
          <w:bCs w:val="0"/>
        </w:rPr>
      </w:pPr>
      <w:bookmarkStart w:id="291" w:name="_Toc204328741"/>
      <w:bookmarkStart w:id="292" w:name="_Toc213078381"/>
      <w:bookmarkEnd w:id="288"/>
      <w:bookmarkEnd w:id="289"/>
      <w:bookmarkEnd w:id="290"/>
      <w:r>
        <w:rPr>
          <w:bCs w:val="0"/>
        </w:rPr>
        <w:lastRenderedPageBreak/>
        <w:t>I ricavi da traffico</w:t>
      </w:r>
      <w:bookmarkEnd w:id="291"/>
      <w:bookmarkEnd w:id="292"/>
    </w:p>
    <w:p w14:paraId="7E77EC4F" w14:textId="77777777" w:rsidR="00FD2CBB" w:rsidRDefault="00FD2CBB" w:rsidP="00FD2CBB">
      <w:pPr>
        <w:spacing w:before="120" w:after="0" w:line="240" w:lineRule="auto"/>
        <w:rPr>
          <w:rFonts w:cstheme="minorHAnsi"/>
        </w:rPr>
      </w:pPr>
      <w:bookmarkStart w:id="293" w:name="_Toc540211320"/>
      <w:bookmarkStart w:id="294" w:name="_Toc197695701"/>
      <w:bookmarkStart w:id="295" w:name="_Toc204616511"/>
      <w:r>
        <w:rPr>
          <w:rFonts w:cstheme="minorHAnsi"/>
        </w:rPr>
        <w:t>Come noto le risorse pubbliche intervengono per garantire l’equilibrio economico dei Contratti di Servizio tenendo in considerazione i costi complessivi, un ragionevole margine di utile e tutti i ricavi che provengono dai titoli di viaggio venduti.</w:t>
      </w:r>
    </w:p>
    <w:p w14:paraId="59B19393" w14:textId="77777777" w:rsidR="00FD2CBB" w:rsidRDefault="00FD2CBB" w:rsidP="00FD2CBB">
      <w:pPr>
        <w:spacing w:before="120" w:after="0" w:line="240" w:lineRule="auto"/>
        <w:rPr>
          <w:rFonts w:cstheme="minorHAnsi"/>
        </w:rPr>
      </w:pPr>
      <w:r w:rsidRPr="00A75348">
        <w:rPr>
          <w:rFonts w:cstheme="minorHAnsi"/>
        </w:rPr>
        <w:t xml:space="preserve">Le condizioni del contesto piemontese </w:t>
      </w:r>
      <w:r>
        <w:rPr>
          <w:rFonts w:cstheme="minorHAnsi"/>
        </w:rPr>
        <w:t>sono basate su</w:t>
      </w:r>
      <w:r w:rsidRPr="00A75348">
        <w:rPr>
          <w:rFonts w:cstheme="minorHAnsi"/>
        </w:rPr>
        <w:t xml:space="preserve"> contratti “net cost”, per tanto i ricavi tariffari sono risorse che afferiscono direttamente all’Affidatario</w:t>
      </w:r>
      <w:r>
        <w:rPr>
          <w:rFonts w:cstheme="minorHAnsi"/>
        </w:rPr>
        <w:t xml:space="preserve">; </w:t>
      </w:r>
      <w:r w:rsidRPr="00A75348">
        <w:rPr>
          <w:rFonts w:cstheme="minorHAnsi"/>
        </w:rPr>
        <w:t>mentre i corrispettivi a compensazione dei costi, al netto dei ricavi, sono trasferiti all’Affidatario per il tramite dell’Agenzia e sono finanziate dal Fondo Nazionale Trasporti</w:t>
      </w:r>
      <w:r>
        <w:rPr>
          <w:rFonts w:cstheme="minorHAnsi"/>
        </w:rPr>
        <w:t xml:space="preserve"> </w:t>
      </w:r>
      <w:r w:rsidRPr="00A75348">
        <w:rPr>
          <w:rFonts w:cstheme="minorHAnsi"/>
        </w:rPr>
        <w:t>e dalle contribuzioni dei singoli Enti.</w:t>
      </w:r>
    </w:p>
    <w:p w14:paraId="0C77586E" w14:textId="77777777" w:rsidR="00FD2CBB" w:rsidRDefault="00FD2CBB" w:rsidP="00FD2CBB">
      <w:pPr>
        <w:spacing w:before="120" w:after="0" w:line="240" w:lineRule="auto"/>
        <w:rPr>
          <w:rFonts w:cstheme="minorHAnsi"/>
        </w:rPr>
      </w:pPr>
      <w:r>
        <w:rPr>
          <w:rFonts w:cstheme="minorHAnsi"/>
        </w:rPr>
        <w:t>Si rimanda al capitolo delle tariffe per una illustrazione completa del sistema tariffario e delle evoluzioni perviste dalle politiche regionali e nazionali.</w:t>
      </w:r>
    </w:p>
    <w:p w14:paraId="59882842" w14:textId="77777777" w:rsidR="00FD2CBB" w:rsidRPr="007B78B6" w:rsidRDefault="00FD2CBB" w:rsidP="00FD2CBB">
      <w:pPr>
        <w:spacing w:before="120" w:after="0" w:line="240" w:lineRule="auto"/>
        <w:rPr>
          <w:rFonts w:cstheme="minorHAnsi"/>
        </w:rPr>
      </w:pPr>
      <w:r w:rsidRPr="007B78B6">
        <w:rPr>
          <w:rFonts w:cstheme="minorHAnsi"/>
        </w:rPr>
        <w:t>Alcuni Enti sostengono con risorse proprie anche agevolazioni tariffarie specifiche introdotte per i propri cittadini; tali risorse non sempre transitano attraverso il Contratto di Servizio ma spesso sono gestite direttamente dalle singole amministrazioni.</w:t>
      </w:r>
    </w:p>
    <w:p w14:paraId="577D63F0" w14:textId="77777777" w:rsidR="00FD2CBB" w:rsidRPr="00795449" w:rsidRDefault="00FD2CBB" w:rsidP="00FD2CBB">
      <w:pPr>
        <w:pStyle w:val="Titolo3"/>
        <w:ind w:left="720"/>
        <w:rPr>
          <w:bCs w:val="0"/>
        </w:rPr>
      </w:pPr>
      <w:bookmarkStart w:id="296" w:name="_Toc213078382"/>
      <w:bookmarkEnd w:id="293"/>
      <w:bookmarkEnd w:id="294"/>
      <w:bookmarkEnd w:id="295"/>
      <w:r w:rsidRPr="00795449">
        <w:rPr>
          <w:bCs w:val="0"/>
        </w:rPr>
        <w:t>Le risorse per il Bacino Metropolitano</w:t>
      </w:r>
      <w:bookmarkEnd w:id="296"/>
    </w:p>
    <w:p w14:paraId="006FC09D" w14:textId="77777777" w:rsidR="00FD2CBB" w:rsidRPr="002D5E2F" w:rsidRDefault="00FD2CBB" w:rsidP="00FD2CBB">
      <w:pPr>
        <w:spacing w:before="120" w:after="0" w:line="240" w:lineRule="auto"/>
      </w:pPr>
      <w:r w:rsidRPr="002D5E2F">
        <w:t xml:space="preserve">Delle risorse destinate al TPL oltre </w:t>
      </w:r>
      <w:r>
        <w:t>48</w:t>
      </w:r>
      <w:r w:rsidRPr="002D5E2F">
        <w:t xml:space="preserve"> milioni di euro (Iva inclusa) sono impegnati per i servizi automobilistici afferenti al Bacino </w:t>
      </w:r>
      <w:r>
        <w:t>Metropolitano con eccezione dei servizi urbani e suburbani di Torino</w:t>
      </w:r>
      <w:r w:rsidRPr="002D5E2F">
        <w:t xml:space="preserve">, tali risorse sono costituite per circa il </w:t>
      </w:r>
      <w:r>
        <w:t>78</w:t>
      </w:r>
      <w:r w:rsidRPr="002D5E2F">
        <w:t xml:space="preserve"> % dai trasferimenti del Fondo nazionale Trasporti e dalle risorse regionali, in quanto, come visto, gli Enti Locali del Bacino trasferiscono all’Agenzia a titolo di compensazione dei servizi circa </w:t>
      </w:r>
      <w:r>
        <w:t>10,58</w:t>
      </w:r>
      <w:r w:rsidRPr="002D5E2F">
        <w:t xml:space="preserve"> milioni di euro.</w:t>
      </w:r>
    </w:p>
    <w:p w14:paraId="5A3CF304" w14:textId="77777777" w:rsidR="00FD2CBB" w:rsidRPr="002D5E2F" w:rsidRDefault="00FD2CBB" w:rsidP="00FD2CBB">
      <w:pPr>
        <w:spacing w:before="120" w:after="0" w:line="240" w:lineRule="auto"/>
      </w:pPr>
      <w:r w:rsidRPr="002D5E2F">
        <w:t>La procedura di affidamento che AMP sta portando avanti sarà accompagnata da specifici accordi con gli Enti Locali relativamente agli impegni che saranno assunti a favore dei soggetti affidatari del Contratto di Servizio</w:t>
      </w:r>
    </w:p>
    <w:p w14:paraId="6F43D231" w14:textId="77777777" w:rsidR="00FD2CBB" w:rsidRPr="002D5E2F" w:rsidRDefault="00FD2CBB" w:rsidP="00FD2CBB">
      <w:pPr>
        <w:spacing w:before="120" w:after="0" w:line="240" w:lineRule="auto"/>
      </w:pPr>
      <w:r w:rsidRPr="002D5E2F">
        <w:t>Si riporta a titolo esemplificativo il valore riferito all’annualità 2023 che, in considerazione degli stanziamenti di bilancio della Regione Piemonte e dell’Agenzia sono da considerarsi sostanzialmente stabili anche per le annualità 2024-2025-2026-2027.</w:t>
      </w:r>
    </w:p>
    <w:p w14:paraId="17E3A321" w14:textId="77777777" w:rsidR="00FD2CBB" w:rsidRPr="002D5E2F" w:rsidRDefault="00FD2CBB" w:rsidP="00FD2CBB">
      <w:pPr>
        <w:spacing w:before="120" w:after="0" w:line="240" w:lineRule="auto"/>
      </w:pPr>
    </w:p>
    <w:tbl>
      <w:tblPr>
        <w:tblW w:w="5400" w:type="dxa"/>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left w:w="70" w:type="dxa"/>
          <w:right w:w="70" w:type="dxa"/>
        </w:tblCellMar>
        <w:tblLook w:val="04A0" w:firstRow="1" w:lastRow="0" w:firstColumn="1" w:lastColumn="0" w:noHBand="0" w:noVBand="1"/>
      </w:tblPr>
      <w:tblGrid>
        <w:gridCol w:w="2500"/>
        <w:gridCol w:w="2900"/>
      </w:tblGrid>
      <w:tr w:rsidR="00FD2CBB" w:rsidRPr="00A003E9" w14:paraId="4508B471" w14:textId="77777777" w:rsidTr="00FB3016">
        <w:trPr>
          <w:trHeight w:val="315"/>
          <w:jc w:val="center"/>
        </w:trPr>
        <w:tc>
          <w:tcPr>
            <w:tcW w:w="2500" w:type="dxa"/>
            <w:shd w:val="clear" w:color="000000" w:fill="EE3438"/>
            <w:noWrap/>
            <w:vAlign w:val="center"/>
            <w:hideMark/>
          </w:tcPr>
          <w:p w14:paraId="12F5F040" w14:textId="77777777" w:rsidR="00FD2CBB" w:rsidRPr="00A003E9" w:rsidRDefault="00FD2CBB">
            <w:pPr>
              <w:spacing w:after="0" w:line="240" w:lineRule="auto"/>
              <w:jc w:val="left"/>
              <w:rPr>
                <w:rFonts w:ascii="Aptos Narrow" w:eastAsia="Times New Roman" w:hAnsi="Aptos Narrow" w:cs="Times New Roman"/>
                <w:color w:val="FFFFFF"/>
              </w:rPr>
            </w:pPr>
            <w:r w:rsidRPr="00A003E9">
              <w:rPr>
                <w:rFonts w:ascii="Aptos Narrow" w:eastAsia="Times New Roman" w:hAnsi="Aptos Narrow" w:cs="Times New Roman"/>
                <w:color w:val="FFFFFF"/>
              </w:rPr>
              <w:t> </w:t>
            </w:r>
          </w:p>
        </w:tc>
        <w:tc>
          <w:tcPr>
            <w:tcW w:w="2900" w:type="dxa"/>
            <w:shd w:val="clear" w:color="000000" w:fill="EE3438"/>
            <w:noWrap/>
            <w:vAlign w:val="center"/>
            <w:hideMark/>
          </w:tcPr>
          <w:p w14:paraId="000E70C4" w14:textId="77777777" w:rsidR="00FD2CBB" w:rsidRPr="00A003E9" w:rsidRDefault="00FD2CBB">
            <w:pPr>
              <w:spacing w:after="0" w:line="240" w:lineRule="auto"/>
              <w:jc w:val="left"/>
              <w:rPr>
                <w:rFonts w:ascii="Aptos Narrow" w:eastAsia="Times New Roman" w:hAnsi="Aptos Narrow" w:cs="Times New Roman"/>
                <w:b/>
                <w:bCs/>
                <w:color w:val="FFFFFF"/>
              </w:rPr>
            </w:pPr>
            <w:r w:rsidRPr="00A003E9">
              <w:rPr>
                <w:rFonts w:ascii="Aptos Narrow" w:eastAsia="Times New Roman" w:hAnsi="Aptos Narrow" w:cs="Times New Roman"/>
                <w:b/>
                <w:bCs/>
                <w:color w:val="FFFFFF"/>
              </w:rPr>
              <w:t>Servizi urbani ed extraurbani</w:t>
            </w:r>
          </w:p>
        </w:tc>
      </w:tr>
      <w:tr w:rsidR="00FD2CBB" w:rsidRPr="00A003E9" w14:paraId="34429B03" w14:textId="77777777" w:rsidTr="00FB3016">
        <w:trPr>
          <w:trHeight w:val="300"/>
          <w:jc w:val="center"/>
        </w:trPr>
        <w:tc>
          <w:tcPr>
            <w:tcW w:w="2500" w:type="dxa"/>
            <w:noWrap/>
            <w:vAlign w:val="center"/>
            <w:hideMark/>
          </w:tcPr>
          <w:p w14:paraId="79FF3774" w14:textId="77777777" w:rsidR="00FD2CBB" w:rsidRPr="00A003E9" w:rsidRDefault="00FD2CBB">
            <w:pPr>
              <w:spacing w:after="0" w:line="240" w:lineRule="auto"/>
              <w:jc w:val="left"/>
              <w:rPr>
                <w:rFonts w:ascii="Aptos Narrow" w:eastAsia="Times New Roman" w:hAnsi="Aptos Narrow" w:cs="Times New Roman"/>
                <w:color w:val="000000"/>
              </w:rPr>
            </w:pPr>
            <w:r w:rsidRPr="00A003E9">
              <w:rPr>
                <w:rFonts w:ascii="Aptos Narrow" w:eastAsia="Times New Roman" w:hAnsi="Aptos Narrow" w:cs="Times New Roman"/>
                <w:color w:val="000000"/>
              </w:rPr>
              <w:t>Compensazioni</w:t>
            </w:r>
          </w:p>
        </w:tc>
        <w:tc>
          <w:tcPr>
            <w:tcW w:w="2900" w:type="dxa"/>
            <w:noWrap/>
            <w:vAlign w:val="center"/>
            <w:hideMark/>
          </w:tcPr>
          <w:p w14:paraId="4EFF53E7" w14:textId="77777777" w:rsidR="00FD2CBB" w:rsidRPr="00A003E9" w:rsidRDefault="00FD2CBB">
            <w:pPr>
              <w:spacing w:after="0" w:line="240" w:lineRule="auto"/>
              <w:jc w:val="right"/>
              <w:rPr>
                <w:rFonts w:eastAsia="Times New Roman" w:cs="Calibri"/>
                <w:color w:val="000000"/>
              </w:rPr>
            </w:pPr>
            <w:r w:rsidRPr="00A003E9">
              <w:rPr>
                <w:rFonts w:eastAsia="Times New Roman" w:cs="Calibri"/>
                <w:color w:val="000000"/>
              </w:rPr>
              <w:t>38.978.036</w:t>
            </w:r>
          </w:p>
        </w:tc>
      </w:tr>
      <w:tr w:rsidR="00FD2CBB" w:rsidRPr="00A003E9" w14:paraId="34803B54" w14:textId="77777777" w:rsidTr="00FB3016">
        <w:trPr>
          <w:trHeight w:val="300"/>
          <w:jc w:val="center"/>
        </w:trPr>
        <w:tc>
          <w:tcPr>
            <w:tcW w:w="2500" w:type="dxa"/>
            <w:noWrap/>
            <w:vAlign w:val="center"/>
            <w:hideMark/>
          </w:tcPr>
          <w:p w14:paraId="7A41909D" w14:textId="77777777" w:rsidR="00FD2CBB" w:rsidRPr="00A003E9" w:rsidRDefault="00FD2CBB">
            <w:pPr>
              <w:spacing w:after="0" w:line="240" w:lineRule="auto"/>
              <w:jc w:val="left"/>
              <w:rPr>
                <w:rFonts w:ascii="Aptos Narrow" w:eastAsia="Times New Roman" w:hAnsi="Aptos Narrow" w:cs="Times New Roman"/>
                <w:color w:val="000000"/>
              </w:rPr>
            </w:pPr>
            <w:r w:rsidRPr="00A003E9">
              <w:rPr>
                <w:rFonts w:ascii="Aptos Narrow" w:eastAsia="Times New Roman" w:hAnsi="Aptos Narrow" w:cs="Times New Roman"/>
                <w:color w:val="000000"/>
              </w:rPr>
              <w:t>CCNL</w:t>
            </w:r>
          </w:p>
        </w:tc>
        <w:tc>
          <w:tcPr>
            <w:tcW w:w="2900" w:type="dxa"/>
            <w:noWrap/>
            <w:vAlign w:val="center"/>
            <w:hideMark/>
          </w:tcPr>
          <w:p w14:paraId="4055BEA9" w14:textId="77777777" w:rsidR="00FD2CBB" w:rsidRPr="00A003E9" w:rsidRDefault="00FD2CBB">
            <w:pPr>
              <w:spacing w:after="0" w:line="240" w:lineRule="auto"/>
              <w:jc w:val="right"/>
              <w:rPr>
                <w:rFonts w:ascii="Aptos Narrow" w:eastAsia="Times New Roman" w:hAnsi="Aptos Narrow" w:cs="Times New Roman"/>
                <w:color w:val="000000"/>
              </w:rPr>
            </w:pPr>
            <w:r w:rsidRPr="00A003E9">
              <w:rPr>
                <w:rFonts w:ascii="Aptos Narrow" w:eastAsia="Times New Roman" w:hAnsi="Aptos Narrow" w:cs="Times New Roman"/>
                <w:color w:val="000000"/>
              </w:rPr>
              <w:t>4.973.769</w:t>
            </w:r>
          </w:p>
        </w:tc>
      </w:tr>
      <w:tr w:rsidR="00FD2CBB" w:rsidRPr="00A003E9" w14:paraId="735AF1AB" w14:textId="77777777" w:rsidTr="00FB3016">
        <w:trPr>
          <w:trHeight w:val="315"/>
          <w:jc w:val="center"/>
        </w:trPr>
        <w:tc>
          <w:tcPr>
            <w:tcW w:w="2500" w:type="dxa"/>
            <w:noWrap/>
            <w:vAlign w:val="center"/>
            <w:hideMark/>
          </w:tcPr>
          <w:p w14:paraId="3670C881" w14:textId="77777777" w:rsidR="00FD2CBB" w:rsidRPr="00A003E9" w:rsidRDefault="00FD2CBB">
            <w:pPr>
              <w:spacing w:after="0" w:line="240" w:lineRule="auto"/>
              <w:jc w:val="left"/>
              <w:rPr>
                <w:rFonts w:ascii="Aptos Narrow" w:eastAsia="Times New Roman" w:hAnsi="Aptos Narrow" w:cs="Times New Roman"/>
                <w:b/>
                <w:bCs/>
                <w:color w:val="000000"/>
              </w:rPr>
            </w:pPr>
            <w:r w:rsidRPr="00A003E9">
              <w:rPr>
                <w:rFonts w:ascii="Aptos Narrow" w:eastAsia="Times New Roman" w:hAnsi="Aptos Narrow" w:cs="Times New Roman"/>
                <w:b/>
                <w:bCs/>
                <w:color w:val="000000"/>
              </w:rPr>
              <w:t>Totale risorse impegnate</w:t>
            </w:r>
          </w:p>
        </w:tc>
        <w:tc>
          <w:tcPr>
            <w:tcW w:w="2900" w:type="dxa"/>
            <w:noWrap/>
            <w:vAlign w:val="center"/>
            <w:hideMark/>
          </w:tcPr>
          <w:p w14:paraId="1FC8BF2D" w14:textId="77777777" w:rsidR="00FD2CBB" w:rsidRPr="00A003E9" w:rsidRDefault="00FD2CBB">
            <w:pPr>
              <w:spacing w:after="0" w:line="240" w:lineRule="auto"/>
              <w:jc w:val="right"/>
              <w:rPr>
                <w:rFonts w:ascii="Aptos Narrow" w:eastAsia="Times New Roman" w:hAnsi="Aptos Narrow" w:cs="Times New Roman"/>
                <w:b/>
                <w:bCs/>
                <w:color w:val="000000"/>
              </w:rPr>
            </w:pPr>
            <w:r w:rsidRPr="00A003E9">
              <w:rPr>
                <w:rFonts w:ascii="Aptos Narrow" w:eastAsia="Times New Roman" w:hAnsi="Aptos Narrow" w:cs="Times New Roman"/>
                <w:b/>
                <w:bCs/>
                <w:color w:val="000000"/>
              </w:rPr>
              <w:t>43.951.805</w:t>
            </w:r>
          </w:p>
        </w:tc>
      </w:tr>
    </w:tbl>
    <w:p w14:paraId="02F6228A" w14:textId="7AC27103" w:rsidR="00FD2CBB" w:rsidRPr="002D5E2F" w:rsidRDefault="00FD2CBB" w:rsidP="00FD2CBB">
      <w:pPr>
        <w:pStyle w:val="Didascalia"/>
        <w:spacing w:after="0"/>
        <w:jc w:val="center"/>
        <w:rPr>
          <w:iCs w:val="0"/>
          <w:color w:val="auto"/>
        </w:rPr>
      </w:pPr>
      <w:r w:rsidRPr="001D5603">
        <w:rPr>
          <w:color w:val="003366"/>
        </w:rPr>
        <w:t xml:space="preserve">Tabella </w:t>
      </w:r>
      <w:r w:rsidRPr="001D5603">
        <w:rPr>
          <w:color w:val="003366"/>
        </w:rPr>
        <w:fldChar w:fldCharType="begin"/>
      </w:r>
      <w:r w:rsidRPr="001D5603">
        <w:rPr>
          <w:color w:val="003366"/>
        </w:rPr>
        <w:instrText xml:space="preserve"> SEQ Tabella \* ARABIC </w:instrText>
      </w:r>
      <w:r w:rsidRPr="001D5603">
        <w:rPr>
          <w:color w:val="003366"/>
        </w:rPr>
        <w:fldChar w:fldCharType="separate"/>
      </w:r>
      <w:r w:rsidR="00073B6D">
        <w:rPr>
          <w:noProof/>
          <w:color w:val="003366"/>
        </w:rPr>
        <w:t>37</w:t>
      </w:r>
      <w:r w:rsidRPr="001D5603">
        <w:rPr>
          <w:noProof/>
          <w:color w:val="003366"/>
        </w:rPr>
        <w:fldChar w:fldCharType="end"/>
      </w:r>
      <w:r w:rsidRPr="001D5603">
        <w:rPr>
          <w:i w:val="0"/>
          <w:color w:val="003366"/>
        </w:rPr>
        <w:t xml:space="preserve"> </w:t>
      </w:r>
      <w:r w:rsidRPr="001D5603">
        <w:rPr>
          <w:iCs w:val="0"/>
          <w:color w:val="003366"/>
        </w:rPr>
        <w:t xml:space="preserve">– Quadro risorse 2023 per i servizi del Bacino </w:t>
      </w:r>
      <w:r>
        <w:rPr>
          <w:iCs w:val="0"/>
          <w:color w:val="003366"/>
        </w:rPr>
        <w:t>Metropolitano</w:t>
      </w:r>
    </w:p>
    <w:p w14:paraId="3797AD86" w14:textId="77777777" w:rsidR="00FD2CBB" w:rsidRPr="002510CB" w:rsidRDefault="00FD2CBB" w:rsidP="00FD2CBB">
      <w:pPr>
        <w:spacing w:before="120" w:after="0" w:line="240" w:lineRule="auto"/>
      </w:pPr>
      <w:r w:rsidRPr="002510CB">
        <w:t>Si rimanda al capitolo sull’identificazione dei lotti per un confronto tra le compensazioni attuali e le compensazioni stimate per i servizi oggetto di affidamento. Si ricorda che gli importi indicati in tabella sono al netto dell’iva 10%.</w:t>
      </w:r>
    </w:p>
    <w:p w14:paraId="50E8B9A9" w14:textId="77777777" w:rsidR="00FD2CBB" w:rsidRPr="002510CB" w:rsidRDefault="00FD2CBB" w:rsidP="00FD2CBB">
      <w:pPr>
        <w:spacing w:before="120" w:after="0" w:line="240" w:lineRule="auto"/>
      </w:pPr>
      <w:r w:rsidRPr="002510CB">
        <w:t>Come noto, le compensazioni per obblighi di servizio garantiscono la copertura dei costi al netto dei ricavi dall’attività di vendita dei titoli di viaggio, delle compensazioni per le agevolazioni tariffarie e altre fonti strettamente connesse al TLP (es. pubblicità, sanzioni, ecc.), nonché degli effetti di rete e di ulteriori fonti che dovessero essere individuate.</w:t>
      </w:r>
    </w:p>
    <w:p w14:paraId="0B2759EC" w14:textId="77777777" w:rsidR="00FD2CBB" w:rsidRPr="002D5E2F" w:rsidRDefault="00FD2CBB" w:rsidP="00FD2CBB">
      <w:pPr>
        <w:spacing w:before="120" w:after="0" w:line="240" w:lineRule="auto"/>
      </w:pPr>
      <w:r w:rsidRPr="002510CB">
        <w:t>I valori riportati nel presente paragrafo sono estratti dalle banche dati del Ministero delle Infrastrutture e dei Trasporti (MIT) sono al netto dell’IVA, la suddivisione per classi di titoli dovendo uniformare a livello nazionale il dato, comporta che ogni azienda inserisca il numero dei titoli di viaggio venduti per categoria a cui viene assegnato un valore unitario medio per ottenere i ricavi.</w:t>
      </w:r>
    </w:p>
    <w:p w14:paraId="7FB157D2" w14:textId="5D018BFF" w:rsidR="00FD2CBB" w:rsidRDefault="00FD2CBB" w:rsidP="00FD2CBB">
      <w:pPr>
        <w:spacing w:before="120" w:after="0" w:line="240" w:lineRule="auto"/>
      </w:pPr>
      <w:r w:rsidRPr="002D5E2F">
        <w:lastRenderedPageBreak/>
        <w:t xml:space="preserve">Nella </w:t>
      </w:r>
      <w:r w:rsidRPr="002D5E2F">
        <w:fldChar w:fldCharType="begin"/>
      </w:r>
      <w:r w:rsidRPr="002D5E2F">
        <w:instrText xml:space="preserve"> REF _Ref191544858 \h </w:instrText>
      </w:r>
      <w:r>
        <w:instrText xml:space="preserve"> \* MERGEFORMAT </w:instrText>
      </w:r>
      <w:r w:rsidRPr="002D5E2F">
        <w:fldChar w:fldCharType="separate"/>
      </w:r>
      <w:r w:rsidR="00073B6D" w:rsidRPr="008F32D0">
        <w:t xml:space="preserve">Tabella </w:t>
      </w:r>
      <w:r w:rsidR="00073B6D">
        <w:rPr>
          <w:noProof/>
        </w:rPr>
        <w:t>38</w:t>
      </w:r>
      <w:r w:rsidRPr="002D5E2F">
        <w:fldChar w:fldCharType="end"/>
      </w:r>
      <w:r w:rsidRPr="002D5E2F">
        <w:t xml:space="preserve"> sono riportati i ricavi da traffico per tipologia di titolo di viaggio del contratto relativo ai servizi urbani ed extraurbani, mentre i ricavi relativi ai servizi erogati attraverso gli accordi di programma sono accorpati in un’unica voce.</w:t>
      </w:r>
    </w:p>
    <w:p w14:paraId="5183101E" w14:textId="77777777" w:rsidR="00FD2CBB" w:rsidRDefault="00FD2CBB" w:rsidP="00FD2CBB">
      <w:pPr>
        <w:spacing w:before="120" w:after="0" w:line="240" w:lineRule="auto"/>
      </w:pPr>
      <w:r w:rsidRPr="0042163A">
        <w:t>Si evidenzia che in questa tabella, la parte relativa ai Contratti di servizio è tratta dalla contabilità regolatoria ART</w:t>
      </w:r>
      <w:r>
        <w:t xml:space="preserve"> 2023</w:t>
      </w:r>
      <w:r w:rsidRPr="0042163A">
        <w:t xml:space="preserve"> mentre per quanto riguarda i servizi regolati da Accordi di programma i valori sono tratti dalla Rilevazione Titoli di viaggio 2023 dell’Osservatorio Nazionale TPL. La fonte Art è stata scelta in quanto solo in essa sono riportati anche i proventi da tariffazione integrata che, nel bacino Metropolitano, derivano dall’adesione degli attuali Concessionari al sistema tariffario Formula. Gli importi indicati sono IVA esclusa.</w:t>
      </w:r>
    </w:p>
    <w:p w14:paraId="2C0E406B" w14:textId="77777777" w:rsidR="00FD2CBB" w:rsidRDefault="00FD2CBB" w:rsidP="00FD2CBB">
      <w:pPr>
        <w:spacing w:before="120" w:after="0" w:line="240" w:lineRule="auto"/>
      </w:pPr>
    </w:p>
    <w:tbl>
      <w:tblPr>
        <w:tblW w:w="9067" w:type="dxa"/>
        <w:jc w:val="center"/>
        <w:tblCellMar>
          <w:left w:w="70" w:type="dxa"/>
          <w:right w:w="70" w:type="dxa"/>
        </w:tblCellMar>
        <w:tblLook w:val="04A0" w:firstRow="1" w:lastRow="0" w:firstColumn="1" w:lastColumn="0" w:noHBand="0" w:noVBand="1"/>
      </w:tblPr>
      <w:tblGrid>
        <w:gridCol w:w="4537"/>
        <w:gridCol w:w="1701"/>
        <w:gridCol w:w="2829"/>
      </w:tblGrid>
      <w:tr w:rsidR="00FD2CBB" w:rsidRPr="00C06DF9" w14:paraId="26F1749A" w14:textId="77777777">
        <w:trPr>
          <w:trHeight w:val="330"/>
          <w:jc w:val="center"/>
        </w:trPr>
        <w:tc>
          <w:tcPr>
            <w:tcW w:w="4537" w:type="dxa"/>
            <w:tcBorders>
              <w:top w:val="single" w:sz="4" w:space="0" w:color="A6A6A6"/>
              <w:left w:val="single" w:sz="4" w:space="0" w:color="A6A6A6"/>
              <w:bottom w:val="single" w:sz="4" w:space="0" w:color="A6A6A6"/>
              <w:right w:val="single" w:sz="4" w:space="0" w:color="A6A6A6"/>
            </w:tcBorders>
            <w:shd w:val="clear" w:color="000000" w:fill="EE3438"/>
            <w:vAlign w:val="center"/>
            <w:hideMark/>
          </w:tcPr>
          <w:p w14:paraId="39CA0377" w14:textId="77777777" w:rsidR="00FD2CBB" w:rsidRPr="000B19EE" w:rsidRDefault="00FD2CBB">
            <w:pPr>
              <w:spacing w:after="0" w:line="240" w:lineRule="auto"/>
              <w:jc w:val="left"/>
              <w:rPr>
                <w:rFonts w:asciiTheme="majorHAnsi" w:eastAsia="Times New Roman" w:hAnsiTheme="majorHAnsi" w:cstheme="majorHAnsi"/>
                <w:b/>
                <w:color w:val="FFFFFF"/>
                <w:sz w:val="20"/>
                <w:szCs w:val="20"/>
              </w:rPr>
            </w:pPr>
            <w:r w:rsidRPr="000B19EE">
              <w:rPr>
                <w:rFonts w:asciiTheme="majorHAnsi" w:eastAsia="Times New Roman" w:hAnsiTheme="majorHAnsi" w:cstheme="majorHAnsi"/>
                <w:b/>
                <w:color w:val="FFFFFF"/>
                <w:sz w:val="20"/>
                <w:szCs w:val="20"/>
              </w:rPr>
              <w:t>Titoli di viaggio</w:t>
            </w:r>
          </w:p>
        </w:tc>
        <w:tc>
          <w:tcPr>
            <w:tcW w:w="1701" w:type="dxa"/>
            <w:tcBorders>
              <w:top w:val="single" w:sz="4" w:space="0" w:color="A6A6A6"/>
              <w:left w:val="nil"/>
              <w:bottom w:val="single" w:sz="4" w:space="0" w:color="A6A6A6"/>
              <w:right w:val="single" w:sz="4" w:space="0" w:color="A6A6A6"/>
            </w:tcBorders>
            <w:shd w:val="clear" w:color="000000" w:fill="EE3438"/>
            <w:vAlign w:val="center"/>
            <w:hideMark/>
          </w:tcPr>
          <w:p w14:paraId="15F3C7B9" w14:textId="77777777" w:rsidR="00FD2CBB" w:rsidRPr="000B19EE" w:rsidRDefault="00FD2CBB">
            <w:pPr>
              <w:spacing w:after="0" w:line="240" w:lineRule="auto"/>
              <w:jc w:val="center"/>
              <w:rPr>
                <w:rFonts w:asciiTheme="majorHAnsi" w:eastAsia="Times New Roman" w:hAnsiTheme="majorHAnsi" w:cstheme="majorHAnsi"/>
                <w:b/>
                <w:color w:val="FFFFFF"/>
                <w:sz w:val="20"/>
                <w:szCs w:val="20"/>
              </w:rPr>
            </w:pPr>
            <w:r w:rsidRPr="000B19EE">
              <w:rPr>
                <w:rFonts w:asciiTheme="majorHAnsi" w:eastAsia="Times New Roman" w:hAnsiTheme="majorHAnsi" w:cstheme="majorHAnsi"/>
                <w:b/>
                <w:color w:val="FFFFFF"/>
                <w:sz w:val="20"/>
                <w:szCs w:val="20"/>
              </w:rPr>
              <w:t>€/anno 2023</w:t>
            </w:r>
          </w:p>
        </w:tc>
        <w:tc>
          <w:tcPr>
            <w:tcW w:w="2829" w:type="dxa"/>
            <w:tcBorders>
              <w:top w:val="single" w:sz="4" w:space="0" w:color="A6A6A6"/>
              <w:left w:val="nil"/>
              <w:bottom w:val="single" w:sz="4" w:space="0" w:color="A6A6A6"/>
              <w:right w:val="single" w:sz="4" w:space="0" w:color="A6A6A6"/>
            </w:tcBorders>
            <w:shd w:val="clear" w:color="000000" w:fill="EE3438"/>
            <w:vAlign w:val="center"/>
            <w:hideMark/>
          </w:tcPr>
          <w:p w14:paraId="4441AF5E" w14:textId="77777777" w:rsidR="00FD2CBB" w:rsidRPr="000B19EE" w:rsidRDefault="00FD2CBB">
            <w:pPr>
              <w:spacing w:after="0" w:line="240" w:lineRule="auto"/>
              <w:jc w:val="center"/>
              <w:rPr>
                <w:rFonts w:asciiTheme="majorHAnsi" w:eastAsia="Times New Roman" w:hAnsiTheme="majorHAnsi" w:cstheme="majorHAnsi"/>
                <w:b/>
                <w:color w:val="FFFFFF"/>
                <w:sz w:val="20"/>
                <w:szCs w:val="20"/>
              </w:rPr>
            </w:pPr>
            <w:r w:rsidRPr="000B19EE">
              <w:rPr>
                <w:rFonts w:asciiTheme="majorHAnsi" w:eastAsia="Times New Roman" w:hAnsiTheme="majorHAnsi" w:cstheme="majorHAnsi"/>
                <w:b/>
                <w:color w:val="FFFFFF"/>
                <w:sz w:val="20"/>
                <w:szCs w:val="20"/>
              </w:rPr>
              <w:t>Fonte</w:t>
            </w:r>
          </w:p>
        </w:tc>
      </w:tr>
      <w:tr w:rsidR="00FD2CBB" w:rsidRPr="00C06DF9" w14:paraId="34B28367" w14:textId="77777777">
        <w:trPr>
          <w:trHeight w:val="315"/>
          <w:jc w:val="center"/>
        </w:trPr>
        <w:tc>
          <w:tcPr>
            <w:tcW w:w="4537" w:type="dxa"/>
            <w:tcBorders>
              <w:top w:val="nil"/>
              <w:left w:val="single" w:sz="4" w:space="0" w:color="A6A6A6"/>
              <w:bottom w:val="single" w:sz="4" w:space="0" w:color="A6A6A6"/>
              <w:right w:val="single" w:sz="4" w:space="0" w:color="A6A6A6"/>
            </w:tcBorders>
            <w:noWrap/>
            <w:vAlign w:val="center"/>
            <w:hideMark/>
          </w:tcPr>
          <w:p w14:paraId="18130E6A" w14:textId="77777777" w:rsidR="00FD2CBB" w:rsidRPr="00C06DF9" w:rsidRDefault="00FD2CBB">
            <w:pPr>
              <w:spacing w:after="0" w:line="240" w:lineRule="auto"/>
              <w:jc w:val="left"/>
              <w:rPr>
                <w:rFonts w:asciiTheme="majorHAnsi" w:eastAsia="Times New Roman" w:hAnsiTheme="majorHAnsi" w:cstheme="majorHAnsi"/>
                <w:color w:val="000000"/>
                <w:sz w:val="20"/>
                <w:szCs w:val="20"/>
              </w:rPr>
            </w:pPr>
            <w:r w:rsidRPr="00C06DF9">
              <w:rPr>
                <w:rFonts w:asciiTheme="majorHAnsi" w:eastAsia="Times New Roman" w:hAnsiTheme="majorHAnsi" w:cstheme="majorHAnsi"/>
                <w:color w:val="000000"/>
                <w:sz w:val="20"/>
                <w:szCs w:val="20"/>
              </w:rPr>
              <w:t>Vendita Biglietti Aziendali</w:t>
            </w:r>
          </w:p>
        </w:tc>
        <w:tc>
          <w:tcPr>
            <w:tcW w:w="1701" w:type="dxa"/>
            <w:tcBorders>
              <w:top w:val="nil"/>
              <w:left w:val="nil"/>
              <w:bottom w:val="single" w:sz="4" w:space="0" w:color="A6A6A6"/>
              <w:right w:val="single" w:sz="4" w:space="0" w:color="A6A6A6"/>
            </w:tcBorders>
            <w:noWrap/>
            <w:vAlign w:val="center"/>
            <w:hideMark/>
          </w:tcPr>
          <w:p w14:paraId="2E1CC383" w14:textId="77777777" w:rsidR="00FD2CBB" w:rsidRPr="00C06DF9" w:rsidRDefault="00FD2CBB">
            <w:pPr>
              <w:spacing w:after="0" w:line="240" w:lineRule="auto"/>
              <w:jc w:val="right"/>
              <w:rPr>
                <w:rFonts w:asciiTheme="majorHAnsi" w:eastAsia="Times New Roman" w:hAnsiTheme="majorHAnsi" w:cstheme="majorHAnsi"/>
                <w:color w:val="000000"/>
                <w:sz w:val="20"/>
                <w:szCs w:val="20"/>
              </w:rPr>
            </w:pPr>
            <w:r w:rsidRPr="00C06DF9">
              <w:rPr>
                <w:rFonts w:asciiTheme="majorHAnsi" w:eastAsia="Times New Roman" w:hAnsiTheme="majorHAnsi" w:cstheme="majorHAnsi"/>
                <w:color w:val="000000"/>
                <w:sz w:val="20"/>
                <w:szCs w:val="20"/>
              </w:rPr>
              <w:t xml:space="preserve">8.700.774,28 € </w:t>
            </w:r>
          </w:p>
        </w:tc>
        <w:tc>
          <w:tcPr>
            <w:tcW w:w="2829" w:type="dxa"/>
            <w:vMerge w:val="restart"/>
            <w:tcBorders>
              <w:top w:val="nil"/>
              <w:left w:val="single" w:sz="4" w:space="0" w:color="A6A6A6"/>
              <w:bottom w:val="single" w:sz="4" w:space="0" w:color="A6A6A6"/>
              <w:right w:val="single" w:sz="4" w:space="0" w:color="A6A6A6"/>
            </w:tcBorders>
            <w:vAlign w:val="center"/>
            <w:hideMark/>
          </w:tcPr>
          <w:p w14:paraId="20854B9D" w14:textId="77777777" w:rsidR="00FD2CBB" w:rsidRPr="00C06DF9" w:rsidRDefault="00FD2CBB">
            <w:pPr>
              <w:spacing w:after="0" w:line="240" w:lineRule="auto"/>
              <w:jc w:val="center"/>
              <w:rPr>
                <w:rFonts w:asciiTheme="majorHAnsi" w:eastAsia="Times New Roman" w:hAnsiTheme="majorHAnsi" w:cstheme="majorHAnsi"/>
                <w:color w:val="000000"/>
                <w:sz w:val="20"/>
                <w:szCs w:val="20"/>
              </w:rPr>
            </w:pPr>
            <w:r w:rsidRPr="00C06DF9">
              <w:rPr>
                <w:rFonts w:asciiTheme="majorHAnsi" w:eastAsia="Times New Roman" w:hAnsiTheme="majorHAnsi" w:cstheme="majorHAnsi"/>
                <w:color w:val="000000"/>
                <w:sz w:val="20"/>
                <w:szCs w:val="20"/>
              </w:rPr>
              <w:t>Contabilità regolatoria ART 2023</w:t>
            </w:r>
          </w:p>
        </w:tc>
      </w:tr>
      <w:tr w:rsidR="00FD2CBB" w:rsidRPr="00C06DF9" w14:paraId="19BC445B" w14:textId="77777777">
        <w:trPr>
          <w:trHeight w:val="315"/>
          <w:jc w:val="center"/>
        </w:trPr>
        <w:tc>
          <w:tcPr>
            <w:tcW w:w="4537" w:type="dxa"/>
            <w:tcBorders>
              <w:top w:val="nil"/>
              <w:left w:val="single" w:sz="4" w:space="0" w:color="A6A6A6"/>
              <w:bottom w:val="single" w:sz="4" w:space="0" w:color="A6A6A6"/>
              <w:right w:val="single" w:sz="4" w:space="0" w:color="A6A6A6"/>
            </w:tcBorders>
            <w:noWrap/>
            <w:vAlign w:val="center"/>
            <w:hideMark/>
          </w:tcPr>
          <w:p w14:paraId="3F67D731" w14:textId="77777777" w:rsidR="00FD2CBB" w:rsidRPr="00C06DF9" w:rsidRDefault="00FD2CBB">
            <w:pPr>
              <w:spacing w:after="0" w:line="240" w:lineRule="auto"/>
              <w:jc w:val="left"/>
              <w:rPr>
                <w:rFonts w:asciiTheme="majorHAnsi" w:eastAsia="Times New Roman" w:hAnsiTheme="majorHAnsi" w:cstheme="majorHAnsi"/>
                <w:color w:val="000000"/>
                <w:sz w:val="20"/>
                <w:szCs w:val="20"/>
              </w:rPr>
            </w:pPr>
            <w:r w:rsidRPr="00C06DF9">
              <w:rPr>
                <w:rFonts w:asciiTheme="majorHAnsi" w:eastAsia="Times New Roman" w:hAnsiTheme="majorHAnsi" w:cstheme="majorHAnsi"/>
                <w:color w:val="000000"/>
                <w:sz w:val="20"/>
                <w:szCs w:val="20"/>
              </w:rPr>
              <w:t>Vendita Abbonamenti Aziendali</w:t>
            </w:r>
          </w:p>
        </w:tc>
        <w:tc>
          <w:tcPr>
            <w:tcW w:w="1701" w:type="dxa"/>
            <w:tcBorders>
              <w:top w:val="nil"/>
              <w:left w:val="nil"/>
              <w:bottom w:val="single" w:sz="4" w:space="0" w:color="A6A6A6"/>
              <w:right w:val="single" w:sz="4" w:space="0" w:color="A6A6A6"/>
            </w:tcBorders>
            <w:noWrap/>
            <w:vAlign w:val="center"/>
            <w:hideMark/>
          </w:tcPr>
          <w:p w14:paraId="0DB7454D" w14:textId="77777777" w:rsidR="00FD2CBB" w:rsidRPr="00C06DF9" w:rsidRDefault="00FD2CBB">
            <w:pPr>
              <w:spacing w:after="0" w:line="240" w:lineRule="auto"/>
              <w:jc w:val="right"/>
              <w:rPr>
                <w:rFonts w:asciiTheme="majorHAnsi" w:eastAsia="Times New Roman" w:hAnsiTheme="majorHAnsi" w:cstheme="majorHAnsi"/>
                <w:color w:val="000000"/>
                <w:sz w:val="20"/>
                <w:szCs w:val="20"/>
              </w:rPr>
            </w:pPr>
            <w:r w:rsidRPr="00C06DF9">
              <w:rPr>
                <w:rFonts w:asciiTheme="majorHAnsi" w:eastAsia="Times New Roman" w:hAnsiTheme="majorHAnsi" w:cstheme="majorHAnsi"/>
                <w:color w:val="000000"/>
                <w:sz w:val="20"/>
                <w:szCs w:val="20"/>
              </w:rPr>
              <w:t xml:space="preserve">3.368.133,60 € </w:t>
            </w:r>
          </w:p>
        </w:tc>
        <w:tc>
          <w:tcPr>
            <w:tcW w:w="2829" w:type="dxa"/>
            <w:vMerge/>
            <w:tcBorders>
              <w:top w:val="nil"/>
              <w:left w:val="single" w:sz="4" w:space="0" w:color="A6A6A6"/>
              <w:bottom w:val="single" w:sz="4" w:space="0" w:color="A6A6A6"/>
              <w:right w:val="single" w:sz="4" w:space="0" w:color="A6A6A6"/>
            </w:tcBorders>
            <w:vAlign w:val="center"/>
            <w:hideMark/>
          </w:tcPr>
          <w:p w14:paraId="4AEA4DEC" w14:textId="77777777" w:rsidR="00FD2CBB" w:rsidRPr="00C06DF9" w:rsidRDefault="00FD2CBB">
            <w:pPr>
              <w:spacing w:after="0" w:line="240" w:lineRule="auto"/>
              <w:jc w:val="center"/>
              <w:rPr>
                <w:rFonts w:asciiTheme="majorHAnsi" w:eastAsia="Times New Roman" w:hAnsiTheme="majorHAnsi" w:cstheme="majorHAnsi"/>
                <w:color w:val="000000"/>
                <w:sz w:val="20"/>
                <w:szCs w:val="20"/>
              </w:rPr>
            </w:pPr>
          </w:p>
        </w:tc>
      </w:tr>
      <w:tr w:rsidR="00FD2CBB" w:rsidRPr="00C06DF9" w14:paraId="54413520" w14:textId="77777777">
        <w:trPr>
          <w:trHeight w:val="315"/>
          <w:jc w:val="center"/>
        </w:trPr>
        <w:tc>
          <w:tcPr>
            <w:tcW w:w="4537" w:type="dxa"/>
            <w:tcBorders>
              <w:top w:val="nil"/>
              <w:left w:val="single" w:sz="4" w:space="0" w:color="A6A6A6"/>
              <w:bottom w:val="single" w:sz="4" w:space="0" w:color="A6A6A6"/>
              <w:right w:val="single" w:sz="4" w:space="0" w:color="A6A6A6"/>
            </w:tcBorders>
            <w:noWrap/>
            <w:vAlign w:val="center"/>
            <w:hideMark/>
          </w:tcPr>
          <w:p w14:paraId="669726EE" w14:textId="77777777" w:rsidR="00FD2CBB" w:rsidRPr="00C06DF9" w:rsidRDefault="00FD2CBB">
            <w:pPr>
              <w:spacing w:after="0" w:line="240" w:lineRule="auto"/>
              <w:jc w:val="left"/>
              <w:rPr>
                <w:rFonts w:asciiTheme="majorHAnsi" w:eastAsia="Times New Roman" w:hAnsiTheme="majorHAnsi" w:cstheme="majorHAnsi"/>
                <w:color w:val="000000"/>
                <w:sz w:val="20"/>
                <w:szCs w:val="20"/>
              </w:rPr>
            </w:pPr>
            <w:r w:rsidRPr="00C06DF9">
              <w:rPr>
                <w:rFonts w:asciiTheme="majorHAnsi" w:eastAsia="Times New Roman" w:hAnsiTheme="majorHAnsi" w:cstheme="majorHAnsi"/>
                <w:color w:val="000000"/>
                <w:sz w:val="20"/>
                <w:szCs w:val="20"/>
              </w:rPr>
              <w:t>Vendita Titoli Viaggio Integrati</w:t>
            </w:r>
          </w:p>
        </w:tc>
        <w:tc>
          <w:tcPr>
            <w:tcW w:w="1701" w:type="dxa"/>
            <w:tcBorders>
              <w:top w:val="nil"/>
              <w:left w:val="nil"/>
              <w:bottom w:val="single" w:sz="4" w:space="0" w:color="A6A6A6"/>
              <w:right w:val="single" w:sz="4" w:space="0" w:color="A6A6A6"/>
            </w:tcBorders>
            <w:noWrap/>
            <w:vAlign w:val="center"/>
            <w:hideMark/>
          </w:tcPr>
          <w:p w14:paraId="4FBD6A6D" w14:textId="77777777" w:rsidR="00FD2CBB" w:rsidRPr="00C06DF9" w:rsidRDefault="00FD2CBB">
            <w:pPr>
              <w:spacing w:after="0" w:line="240" w:lineRule="auto"/>
              <w:jc w:val="right"/>
              <w:rPr>
                <w:rFonts w:asciiTheme="majorHAnsi" w:eastAsia="Times New Roman" w:hAnsiTheme="majorHAnsi" w:cstheme="majorHAnsi"/>
                <w:color w:val="000000"/>
                <w:sz w:val="20"/>
                <w:szCs w:val="20"/>
              </w:rPr>
            </w:pPr>
            <w:r w:rsidRPr="00C06DF9">
              <w:rPr>
                <w:rFonts w:asciiTheme="majorHAnsi" w:eastAsia="Times New Roman" w:hAnsiTheme="majorHAnsi" w:cstheme="majorHAnsi"/>
                <w:color w:val="000000"/>
                <w:sz w:val="20"/>
                <w:szCs w:val="20"/>
              </w:rPr>
              <w:t xml:space="preserve">7.165.271,45 € </w:t>
            </w:r>
          </w:p>
        </w:tc>
        <w:tc>
          <w:tcPr>
            <w:tcW w:w="2829" w:type="dxa"/>
            <w:vMerge/>
            <w:tcBorders>
              <w:top w:val="nil"/>
              <w:left w:val="single" w:sz="4" w:space="0" w:color="A6A6A6"/>
              <w:bottom w:val="single" w:sz="4" w:space="0" w:color="A6A6A6"/>
              <w:right w:val="single" w:sz="4" w:space="0" w:color="A6A6A6"/>
            </w:tcBorders>
            <w:vAlign w:val="center"/>
            <w:hideMark/>
          </w:tcPr>
          <w:p w14:paraId="30A8BC01" w14:textId="77777777" w:rsidR="00FD2CBB" w:rsidRPr="00C06DF9" w:rsidRDefault="00FD2CBB">
            <w:pPr>
              <w:spacing w:after="0" w:line="240" w:lineRule="auto"/>
              <w:jc w:val="center"/>
              <w:rPr>
                <w:rFonts w:asciiTheme="majorHAnsi" w:eastAsia="Times New Roman" w:hAnsiTheme="majorHAnsi" w:cstheme="majorHAnsi"/>
                <w:color w:val="000000"/>
                <w:sz w:val="20"/>
                <w:szCs w:val="20"/>
              </w:rPr>
            </w:pPr>
          </w:p>
        </w:tc>
      </w:tr>
      <w:tr w:rsidR="00FD2CBB" w:rsidRPr="00C06DF9" w14:paraId="36495380" w14:textId="77777777">
        <w:trPr>
          <w:trHeight w:val="315"/>
          <w:jc w:val="center"/>
        </w:trPr>
        <w:tc>
          <w:tcPr>
            <w:tcW w:w="4537" w:type="dxa"/>
            <w:tcBorders>
              <w:top w:val="nil"/>
              <w:left w:val="single" w:sz="4" w:space="0" w:color="A6A6A6"/>
              <w:bottom w:val="single" w:sz="4" w:space="0" w:color="A6A6A6"/>
              <w:right w:val="single" w:sz="4" w:space="0" w:color="A6A6A6"/>
            </w:tcBorders>
            <w:noWrap/>
            <w:vAlign w:val="center"/>
            <w:hideMark/>
          </w:tcPr>
          <w:p w14:paraId="649FE065" w14:textId="77777777" w:rsidR="00FD2CBB" w:rsidRPr="00C06DF9" w:rsidRDefault="00FD2CBB">
            <w:pPr>
              <w:spacing w:after="0" w:line="240" w:lineRule="auto"/>
              <w:jc w:val="left"/>
              <w:rPr>
                <w:rFonts w:asciiTheme="majorHAnsi" w:eastAsia="Times New Roman" w:hAnsiTheme="majorHAnsi" w:cstheme="majorHAnsi"/>
                <w:color w:val="000000"/>
                <w:sz w:val="20"/>
                <w:szCs w:val="20"/>
              </w:rPr>
            </w:pPr>
            <w:r w:rsidRPr="00C06DF9">
              <w:rPr>
                <w:rFonts w:asciiTheme="majorHAnsi" w:eastAsia="Times New Roman" w:hAnsiTheme="majorHAnsi" w:cstheme="majorHAnsi"/>
                <w:color w:val="000000"/>
                <w:sz w:val="20"/>
                <w:szCs w:val="20"/>
              </w:rPr>
              <w:t>Compensazioni Agevolazioni Esenzioni Tariffarie</w:t>
            </w:r>
          </w:p>
        </w:tc>
        <w:tc>
          <w:tcPr>
            <w:tcW w:w="1701" w:type="dxa"/>
            <w:tcBorders>
              <w:top w:val="nil"/>
              <w:left w:val="nil"/>
              <w:bottom w:val="single" w:sz="4" w:space="0" w:color="A6A6A6"/>
              <w:right w:val="single" w:sz="4" w:space="0" w:color="A6A6A6"/>
            </w:tcBorders>
            <w:noWrap/>
            <w:vAlign w:val="center"/>
            <w:hideMark/>
          </w:tcPr>
          <w:p w14:paraId="64705F60" w14:textId="77777777" w:rsidR="00FD2CBB" w:rsidRPr="00C06DF9" w:rsidRDefault="00FD2CBB">
            <w:pPr>
              <w:spacing w:after="0" w:line="240" w:lineRule="auto"/>
              <w:jc w:val="right"/>
              <w:rPr>
                <w:rFonts w:asciiTheme="majorHAnsi" w:eastAsia="Times New Roman" w:hAnsiTheme="majorHAnsi" w:cstheme="majorHAnsi"/>
                <w:color w:val="000000"/>
                <w:sz w:val="20"/>
                <w:szCs w:val="20"/>
              </w:rPr>
            </w:pPr>
            <w:r w:rsidRPr="00C06DF9">
              <w:rPr>
                <w:rFonts w:asciiTheme="majorHAnsi" w:eastAsia="Times New Roman" w:hAnsiTheme="majorHAnsi" w:cstheme="majorHAnsi"/>
                <w:color w:val="000000"/>
                <w:sz w:val="20"/>
                <w:szCs w:val="20"/>
              </w:rPr>
              <w:t xml:space="preserve">-   € </w:t>
            </w:r>
          </w:p>
        </w:tc>
        <w:tc>
          <w:tcPr>
            <w:tcW w:w="2829" w:type="dxa"/>
            <w:vMerge/>
            <w:tcBorders>
              <w:top w:val="nil"/>
              <w:left w:val="single" w:sz="4" w:space="0" w:color="A6A6A6"/>
              <w:bottom w:val="single" w:sz="4" w:space="0" w:color="A6A6A6"/>
              <w:right w:val="single" w:sz="4" w:space="0" w:color="A6A6A6"/>
            </w:tcBorders>
            <w:vAlign w:val="center"/>
            <w:hideMark/>
          </w:tcPr>
          <w:p w14:paraId="4607DA2A" w14:textId="77777777" w:rsidR="00FD2CBB" w:rsidRPr="00C06DF9" w:rsidRDefault="00FD2CBB">
            <w:pPr>
              <w:spacing w:after="0" w:line="240" w:lineRule="auto"/>
              <w:jc w:val="center"/>
              <w:rPr>
                <w:rFonts w:asciiTheme="majorHAnsi" w:eastAsia="Times New Roman" w:hAnsiTheme="majorHAnsi" w:cstheme="majorHAnsi"/>
                <w:color w:val="000000"/>
                <w:sz w:val="20"/>
                <w:szCs w:val="20"/>
              </w:rPr>
            </w:pPr>
          </w:p>
        </w:tc>
      </w:tr>
      <w:tr w:rsidR="00FD2CBB" w:rsidRPr="00C06DF9" w14:paraId="7DB71765" w14:textId="77777777">
        <w:trPr>
          <w:trHeight w:val="315"/>
          <w:jc w:val="center"/>
        </w:trPr>
        <w:tc>
          <w:tcPr>
            <w:tcW w:w="4537" w:type="dxa"/>
            <w:tcBorders>
              <w:top w:val="nil"/>
              <w:left w:val="single" w:sz="4" w:space="0" w:color="A6A6A6"/>
              <w:bottom w:val="single" w:sz="4" w:space="0" w:color="A6A6A6"/>
              <w:right w:val="single" w:sz="4" w:space="0" w:color="A6A6A6"/>
            </w:tcBorders>
            <w:noWrap/>
            <w:vAlign w:val="center"/>
            <w:hideMark/>
          </w:tcPr>
          <w:p w14:paraId="361531F6" w14:textId="77777777" w:rsidR="00FD2CBB" w:rsidRPr="00C06DF9" w:rsidRDefault="00FD2CBB">
            <w:pPr>
              <w:spacing w:after="0" w:line="240" w:lineRule="auto"/>
              <w:jc w:val="left"/>
              <w:rPr>
                <w:rFonts w:asciiTheme="majorHAnsi" w:eastAsia="Times New Roman" w:hAnsiTheme="majorHAnsi" w:cstheme="majorHAnsi"/>
                <w:color w:val="000000"/>
                <w:sz w:val="20"/>
                <w:szCs w:val="20"/>
              </w:rPr>
            </w:pPr>
            <w:r w:rsidRPr="00C06DF9">
              <w:rPr>
                <w:rFonts w:asciiTheme="majorHAnsi" w:eastAsia="Times New Roman" w:hAnsiTheme="majorHAnsi" w:cstheme="majorHAnsi"/>
                <w:color w:val="000000"/>
                <w:sz w:val="20"/>
                <w:szCs w:val="20"/>
              </w:rPr>
              <w:t>Altro</w:t>
            </w:r>
          </w:p>
        </w:tc>
        <w:tc>
          <w:tcPr>
            <w:tcW w:w="1701" w:type="dxa"/>
            <w:tcBorders>
              <w:top w:val="nil"/>
              <w:left w:val="nil"/>
              <w:bottom w:val="single" w:sz="4" w:space="0" w:color="A6A6A6"/>
              <w:right w:val="single" w:sz="4" w:space="0" w:color="A6A6A6"/>
            </w:tcBorders>
            <w:noWrap/>
            <w:vAlign w:val="center"/>
            <w:hideMark/>
          </w:tcPr>
          <w:p w14:paraId="662A89C0" w14:textId="77777777" w:rsidR="00FD2CBB" w:rsidRPr="00C06DF9" w:rsidRDefault="00FD2CBB">
            <w:pPr>
              <w:spacing w:after="0" w:line="240" w:lineRule="auto"/>
              <w:jc w:val="right"/>
              <w:rPr>
                <w:rFonts w:asciiTheme="majorHAnsi" w:eastAsia="Times New Roman" w:hAnsiTheme="majorHAnsi" w:cstheme="majorHAnsi"/>
                <w:color w:val="000000"/>
                <w:sz w:val="20"/>
                <w:szCs w:val="20"/>
              </w:rPr>
            </w:pPr>
            <w:r w:rsidRPr="00C06DF9">
              <w:rPr>
                <w:rFonts w:asciiTheme="majorHAnsi" w:eastAsia="Times New Roman" w:hAnsiTheme="majorHAnsi" w:cstheme="majorHAnsi"/>
                <w:color w:val="000000"/>
                <w:sz w:val="20"/>
                <w:szCs w:val="20"/>
              </w:rPr>
              <w:t xml:space="preserve">863.964,30 € </w:t>
            </w:r>
          </w:p>
        </w:tc>
        <w:tc>
          <w:tcPr>
            <w:tcW w:w="2829" w:type="dxa"/>
            <w:vMerge/>
            <w:tcBorders>
              <w:top w:val="nil"/>
              <w:left w:val="single" w:sz="4" w:space="0" w:color="A6A6A6"/>
              <w:bottom w:val="single" w:sz="4" w:space="0" w:color="A6A6A6"/>
              <w:right w:val="single" w:sz="4" w:space="0" w:color="A6A6A6"/>
            </w:tcBorders>
            <w:vAlign w:val="center"/>
            <w:hideMark/>
          </w:tcPr>
          <w:p w14:paraId="08F36D5C" w14:textId="77777777" w:rsidR="00FD2CBB" w:rsidRPr="00C06DF9" w:rsidRDefault="00FD2CBB">
            <w:pPr>
              <w:spacing w:after="0" w:line="240" w:lineRule="auto"/>
              <w:jc w:val="center"/>
              <w:rPr>
                <w:rFonts w:asciiTheme="majorHAnsi" w:eastAsia="Times New Roman" w:hAnsiTheme="majorHAnsi" w:cstheme="majorHAnsi"/>
                <w:color w:val="000000"/>
                <w:sz w:val="20"/>
                <w:szCs w:val="20"/>
              </w:rPr>
            </w:pPr>
          </w:p>
        </w:tc>
      </w:tr>
      <w:tr w:rsidR="00FD2CBB" w:rsidRPr="00C06DF9" w14:paraId="0D7D4082" w14:textId="77777777">
        <w:trPr>
          <w:trHeight w:val="315"/>
          <w:jc w:val="center"/>
        </w:trPr>
        <w:tc>
          <w:tcPr>
            <w:tcW w:w="4537" w:type="dxa"/>
            <w:tcBorders>
              <w:top w:val="nil"/>
              <w:left w:val="single" w:sz="4" w:space="0" w:color="A6A6A6"/>
              <w:bottom w:val="single" w:sz="4" w:space="0" w:color="A6A6A6"/>
              <w:right w:val="single" w:sz="4" w:space="0" w:color="A6A6A6"/>
            </w:tcBorders>
            <w:shd w:val="clear" w:color="000000" w:fill="EE3438"/>
            <w:vAlign w:val="center"/>
            <w:hideMark/>
          </w:tcPr>
          <w:p w14:paraId="740967A3" w14:textId="77777777" w:rsidR="00FD2CBB" w:rsidRPr="000B19EE" w:rsidRDefault="00FD2CBB">
            <w:pPr>
              <w:spacing w:after="0" w:line="240" w:lineRule="auto"/>
              <w:jc w:val="left"/>
              <w:rPr>
                <w:rFonts w:asciiTheme="majorHAnsi" w:eastAsia="Times New Roman" w:hAnsiTheme="majorHAnsi" w:cstheme="majorHAnsi"/>
                <w:b/>
                <w:color w:val="FFFFFF"/>
                <w:sz w:val="20"/>
                <w:szCs w:val="20"/>
              </w:rPr>
            </w:pPr>
            <w:r w:rsidRPr="000B19EE">
              <w:rPr>
                <w:rFonts w:asciiTheme="majorHAnsi" w:eastAsia="Times New Roman" w:hAnsiTheme="majorHAnsi" w:cstheme="majorHAnsi"/>
                <w:b/>
                <w:color w:val="FFFFFF"/>
                <w:sz w:val="20"/>
                <w:szCs w:val="20"/>
              </w:rPr>
              <w:t>Totale CdS</w:t>
            </w:r>
          </w:p>
        </w:tc>
        <w:tc>
          <w:tcPr>
            <w:tcW w:w="1701" w:type="dxa"/>
            <w:tcBorders>
              <w:top w:val="nil"/>
              <w:left w:val="nil"/>
              <w:bottom w:val="single" w:sz="4" w:space="0" w:color="A6A6A6"/>
              <w:right w:val="single" w:sz="4" w:space="0" w:color="A6A6A6"/>
            </w:tcBorders>
            <w:shd w:val="clear" w:color="000000" w:fill="EE3438"/>
            <w:vAlign w:val="center"/>
            <w:hideMark/>
          </w:tcPr>
          <w:p w14:paraId="27D9D26D" w14:textId="77777777" w:rsidR="00FD2CBB" w:rsidRPr="000B19EE" w:rsidRDefault="00FD2CBB">
            <w:pPr>
              <w:spacing w:after="0" w:line="240" w:lineRule="auto"/>
              <w:jc w:val="right"/>
              <w:rPr>
                <w:rFonts w:asciiTheme="majorHAnsi" w:eastAsia="Times New Roman" w:hAnsiTheme="majorHAnsi" w:cstheme="majorHAnsi"/>
                <w:b/>
                <w:color w:val="FFFFFF"/>
                <w:sz w:val="20"/>
                <w:szCs w:val="20"/>
              </w:rPr>
            </w:pPr>
            <w:r w:rsidRPr="000B19EE">
              <w:rPr>
                <w:rFonts w:asciiTheme="majorHAnsi" w:eastAsia="Times New Roman" w:hAnsiTheme="majorHAnsi" w:cstheme="majorHAnsi"/>
                <w:b/>
                <w:color w:val="FFFFFF"/>
                <w:sz w:val="20"/>
                <w:szCs w:val="20"/>
              </w:rPr>
              <w:t xml:space="preserve">20.098.143,63 € </w:t>
            </w:r>
          </w:p>
        </w:tc>
        <w:tc>
          <w:tcPr>
            <w:tcW w:w="2829" w:type="dxa"/>
            <w:tcBorders>
              <w:top w:val="nil"/>
              <w:left w:val="nil"/>
              <w:bottom w:val="single" w:sz="4" w:space="0" w:color="A6A6A6"/>
              <w:right w:val="single" w:sz="4" w:space="0" w:color="A6A6A6"/>
            </w:tcBorders>
            <w:shd w:val="clear" w:color="000000" w:fill="EE3438"/>
            <w:vAlign w:val="center"/>
            <w:hideMark/>
          </w:tcPr>
          <w:p w14:paraId="6A6A5CF6" w14:textId="77777777" w:rsidR="00FD2CBB" w:rsidRPr="000B19EE" w:rsidRDefault="00FD2CBB">
            <w:pPr>
              <w:spacing w:after="0" w:line="240" w:lineRule="auto"/>
              <w:jc w:val="center"/>
              <w:rPr>
                <w:rFonts w:asciiTheme="majorHAnsi" w:eastAsia="Times New Roman" w:hAnsiTheme="majorHAnsi" w:cstheme="majorHAnsi"/>
                <w:b/>
                <w:color w:val="FFFFFF"/>
                <w:sz w:val="20"/>
                <w:szCs w:val="20"/>
              </w:rPr>
            </w:pPr>
          </w:p>
        </w:tc>
      </w:tr>
      <w:tr w:rsidR="00FD2CBB" w:rsidRPr="00C06DF9" w14:paraId="1571513F" w14:textId="77777777">
        <w:trPr>
          <w:trHeight w:val="330"/>
          <w:jc w:val="center"/>
        </w:trPr>
        <w:tc>
          <w:tcPr>
            <w:tcW w:w="4537" w:type="dxa"/>
            <w:tcBorders>
              <w:top w:val="nil"/>
              <w:left w:val="single" w:sz="4" w:space="0" w:color="A6A6A6"/>
              <w:bottom w:val="single" w:sz="4" w:space="0" w:color="A6A6A6"/>
              <w:right w:val="single" w:sz="4" w:space="0" w:color="A6A6A6"/>
            </w:tcBorders>
            <w:noWrap/>
            <w:vAlign w:val="center"/>
            <w:hideMark/>
          </w:tcPr>
          <w:p w14:paraId="1920675D" w14:textId="77777777" w:rsidR="00FD2CBB" w:rsidRPr="00C06DF9" w:rsidRDefault="00FD2CBB">
            <w:pPr>
              <w:spacing w:after="0" w:line="240" w:lineRule="auto"/>
              <w:jc w:val="left"/>
              <w:rPr>
                <w:rFonts w:asciiTheme="majorHAnsi" w:eastAsia="Times New Roman" w:hAnsiTheme="majorHAnsi" w:cstheme="majorHAnsi"/>
                <w:color w:val="000000"/>
                <w:sz w:val="20"/>
                <w:szCs w:val="20"/>
              </w:rPr>
            </w:pPr>
            <w:r w:rsidRPr="00C06DF9">
              <w:rPr>
                <w:rFonts w:asciiTheme="majorHAnsi" w:eastAsia="Times New Roman" w:hAnsiTheme="majorHAnsi" w:cstheme="majorHAnsi"/>
                <w:color w:val="000000"/>
                <w:sz w:val="20"/>
                <w:szCs w:val="20"/>
              </w:rPr>
              <w:t>TdV venduti per i servizi erogati con AdP</w:t>
            </w:r>
          </w:p>
        </w:tc>
        <w:tc>
          <w:tcPr>
            <w:tcW w:w="1701" w:type="dxa"/>
            <w:tcBorders>
              <w:top w:val="nil"/>
              <w:left w:val="nil"/>
              <w:bottom w:val="single" w:sz="4" w:space="0" w:color="A6A6A6"/>
              <w:right w:val="single" w:sz="4" w:space="0" w:color="A6A6A6"/>
            </w:tcBorders>
            <w:noWrap/>
            <w:vAlign w:val="center"/>
            <w:hideMark/>
          </w:tcPr>
          <w:p w14:paraId="0B2A0DBD" w14:textId="77777777" w:rsidR="00FD2CBB" w:rsidRPr="00C06DF9" w:rsidRDefault="00FD2CBB">
            <w:pPr>
              <w:spacing w:after="0" w:line="240" w:lineRule="auto"/>
              <w:jc w:val="right"/>
              <w:rPr>
                <w:rFonts w:asciiTheme="majorHAnsi" w:eastAsia="Times New Roman" w:hAnsiTheme="majorHAnsi" w:cstheme="majorHAnsi"/>
                <w:color w:val="000000"/>
                <w:sz w:val="20"/>
                <w:szCs w:val="20"/>
              </w:rPr>
            </w:pPr>
            <w:r w:rsidRPr="00C06DF9">
              <w:rPr>
                <w:rFonts w:asciiTheme="majorHAnsi" w:eastAsia="Times New Roman" w:hAnsiTheme="majorHAnsi" w:cstheme="majorHAnsi"/>
                <w:color w:val="000000"/>
                <w:sz w:val="20"/>
                <w:szCs w:val="20"/>
              </w:rPr>
              <w:t xml:space="preserve">40.329,39 € </w:t>
            </w:r>
          </w:p>
        </w:tc>
        <w:tc>
          <w:tcPr>
            <w:tcW w:w="2829" w:type="dxa"/>
            <w:vMerge w:val="restart"/>
            <w:tcBorders>
              <w:top w:val="nil"/>
              <w:left w:val="single" w:sz="4" w:space="0" w:color="A6A6A6"/>
              <w:bottom w:val="single" w:sz="4" w:space="0" w:color="A6A6A6"/>
              <w:right w:val="single" w:sz="4" w:space="0" w:color="A6A6A6"/>
            </w:tcBorders>
            <w:vAlign w:val="center"/>
            <w:hideMark/>
          </w:tcPr>
          <w:p w14:paraId="675DD2EA" w14:textId="77777777" w:rsidR="00FD2CBB" w:rsidRPr="00C06DF9" w:rsidRDefault="00FD2CBB">
            <w:pPr>
              <w:spacing w:after="0" w:line="240" w:lineRule="auto"/>
              <w:jc w:val="center"/>
              <w:rPr>
                <w:rFonts w:asciiTheme="majorHAnsi" w:eastAsia="Times New Roman" w:hAnsiTheme="majorHAnsi" w:cstheme="majorHAnsi"/>
                <w:color w:val="000000"/>
                <w:sz w:val="20"/>
                <w:szCs w:val="20"/>
              </w:rPr>
            </w:pPr>
            <w:r w:rsidRPr="00C06DF9">
              <w:rPr>
                <w:rFonts w:asciiTheme="majorHAnsi" w:eastAsia="Times New Roman" w:hAnsiTheme="majorHAnsi" w:cstheme="majorHAnsi"/>
                <w:color w:val="000000"/>
                <w:sz w:val="20"/>
                <w:szCs w:val="20"/>
              </w:rPr>
              <w:t>Osservatorio nazionale TPL - rilevazione Titoli di Viaggio 2023</w:t>
            </w:r>
          </w:p>
        </w:tc>
      </w:tr>
      <w:tr w:rsidR="00FD2CBB" w:rsidRPr="00C06DF9" w14:paraId="5DC29BB5" w14:textId="77777777">
        <w:trPr>
          <w:trHeight w:val="265"/>
          <w:jc w:val="center"/>
        </w:trPr>
        <w:tc>
          <w:tcPr>
            <w:tcW w:w="4537" w:type="dxa"/>
            <w:tcBorders>
              <w:top w:val="nil"/>
              <w:left w:val="single" w:sz="4" w:space="0" w:color="A6A6A6"/>
              <w:bottom w:val="single" w:sz="4" w:space="0" w:color="A6A6A6"/>
              <w:right w:val="single" w:sz="4" w:space="0" w:color="A6A6A6"/>
            </w:tcBorders>
            <w:noWrap/>
            <w:vAlign w:val="center"/>
            <w:hideMark/>
          </w:tcPr>
          <w:p w14:paraId="3746A97D" w14:textId="77777777" w:rsidR="00FD2CBB" w:rsidRPr="00C06DF9" w:rsidRDefault="00FD2CBB">
            <w:pPr>
              <w:spacing w:after="0" w:line="240" w:lineRule="auto"/>
              <w:jc w:val="left"/>
              <w:rPr>
                <w:rFonts w:asciiTheme="majorHAnsi" w:eastAsia="Times New Roman" w:hAnsiTheme="majorHAnsi" w:cstheme="majorHAnsi"/>
                <w:color w:val="000000"/>
                <w:sz w:val="20"/>
                <w:szCs w:val="20"/>
              </w:rPr>
            </w:pPr>
            <w:r w:rsidRPr="00C06DF9">
              <w:rPr>
                <w:rFonts w:asciiTheme="majorHAnsi" w:eastAsia="Times New Roman" w:hAnsiTheme="majorHAnsi" w:cstheme="majorHAnsi"/>
                <w:color w:val="000000"/>
                <w:sz w:val="20"/>
                <w:szCs w:val="20"/>
              </w:rPr>
              <w:t>Agevolazioni ed altri ricavi AdP</w:t>
            </w:r>
          </w:p>
        </w:tc>
        <w:tc>
          <w:tcPr>
            <w:tcW w:w="1701" w:type="dxa"/>
            <w:tcBorders>
              <w:top w:val="nil"/>
              <w:left w:val="nil"/>
              <w:bottom w:val="single" w:sz="4" w:space="0" w:color="A6A6A6"/>
              <w:right w:val="single" w:sz="4" w:space="0" w:color="A6A6A6"/>
            </w:tcBorders>
            <w:noWrap/>
            <w:vAlign w:val="center"/>
            <w:hideMark/>
          </w:tcPr>
          <w:p w14:paraId="2CE104D1" w14:textId="77777777" w:rsidR="00FD2CBB" w:rsidRPr="00C06DF9" w:rsidRDefault="00FD2CBB">
            <w:pPr>
              <w:spacing w:after="0" w:line="240" w:lineRule="auto"/>
              <w:jc w:val="right"/>
              <w:rPr>
                <w:rFonts w:asciiTheme="majorHAnsi" w:eastAsia="Times New Roman" w:hAnsiTheme="majorHAnsi" w:cstheme="majorHAnsi"/>
                <w:color w:val="000000"/>
                <w:sz w:val="20"/>
                <w:szCs w:val="20"/>
              </w:rPr>
            </w:pPr>
            <w:r w:rsidRPr="00C06DF9">
              <w:rPr>
                <w:rFonts w:asciiTheme="majorHAnsi" w:eastAsia="Times New Roman" w:hAnsiTheme="majorHAnsi" w:cstheme="majorHAnsi"/>
                <w:color w:val="000000"/>
                <w:sz w:val="20"/>
                <w:szCs w:val="20"/>
              </w:rPr>
              <w:t xml:space="preserve">27.484,77 € </w:t>
            </w:r>
          </w:p>
        </w:tc>
        <w:tc>
          <w:tcPr>
            <w:tcW w:w="2829" w:type="dxa"/>
            <w:vMerge/>
            <w:tcBorders>
              <w:top w:val="nil"/>
              <w:left w:val="single" w:sz="4" w:space="0" w:color="A6A6A6"/>
              <w:bottom w:val="single" w:sz="4" w:space="0" w:color="A6A6A6"/>
              <w:right w:val="single" w:sz="4" w:space="0" w:color="A6A6A6"/>
            </w:tcBorders>
            <w:vAlign w:val="center"/>
            <w:hideMark/>
          </w:tcPr>
          <w:p w14:paraId="4F8288B0" w14:textId="77777777" w:rsidR="00FD2CBB" w:rsidRPr="00C06DF9" w:rsidRDefault="00FD2CBB">
            <w:pPr>
              <w:spacing w:after="0" w:line="240" w:lineRule="auto"/>
              <w:jc w:val="center"/>
              <w:rPr>
                <w:rFonts w:asciiTheme="majorHAnsi" w:eastAsia="Times New Roman" w:hAnsiTheme="majorHAnsi" w:cstheme="majorHAnsi"/>
                <w:color w:val="000000"/>
                <w:sz w:val="20"/>
                <w:szCs w:val="20"/>
              </w:rPr>
            </w:pPr>
          </w:p>
        </w:tc>
      </w:tr>
      <w:tr w:rsidR="00FD2CBB" w:rsidRPr="00C06DF9" w14:paraId="26CD4E47" w14:textId="77777777">
        <w:trPr>
          <w:trHeight w:val="330"/>
          <w:jc w:val="center"/>
        </w:trPr>
        <w:tc>
          <w:tcPr>
            <w:tcW w:w="4537" w:type="dxa"/>
            <w:tcBorders>
              <w:top w:val="nil"/>
              <w:left w:val="single" w:sz="4" w:space="0" w:color="A6A6A6"/>
              <w:bottom w:val="single" w:sz="4" w:space="0" w:color="A6A6A6"/>
              <w:right w:val="single" w:sz="4" w:space="0" w:color="A6A6A6"/>
            </w:tcBorders>
            <w:shd w:val="clear" w:color="000000" w:fill="EE3438"/>
            <w:vAlign w:val="center"/>
            <w:hideMark/>
          </w:tcPr>
          <w:p w14:paraId="0DDC4B72" w14:textId="77777777" w:rsidR="00FD2CBB" w:rsidRPr="000B19EE" w:rsidRDefault="00FD2CBB">
            <w:pPr>
              <w:spacing w:after="0" w:line="240" w:lineRule="auto"/>
              <w:jc w:val="left"/>
              <w:rPr>
                <w:rFonts w:asciiTheme="majorHAnsi" w:eastAsia="Times New Roman" w:hAnsiTheme="majorHAnsi" w:cstheme="majorHAnsi"/>
                <w:b/>
                <w:color w:val="FFFFFF"/>
                <w:sz w:val="20"/>
                <w:szCs w:val="20"/>
              </w:rPr>
            </w:pPr>
            <w:r w:rsidRPr="000B19EE">
              <w:rPr>
                <w:rFonts w:asciiTheme="majorHAnsi" w:eastAsia="Times New Roman" w:hAnsiTheme="majorHAnsi" w:cstheme="majorHAnsi"/>
                <w:b/>
                <w:color w:val="FFFFFF"/>
                <w:sz w:val="20"/>
                <w:szCs w:val="20"/>
              </w:rPr>
              <w:t>Totale AdP</w:t>
            </w:r>
          </w:p>
        </w:tc>
        <w:tc>
          <w:tcPr>
            <w:tcW w:w="1701" w:type="dxa"/>
            <w:tcBorders>
              <w:top w:val="nil"/>
              <w:left w:val="nil"/>
              <w:bottom w:val="single" w:sz="4" w:space="0" w:color="A6A6A6"/>
              <w:right w:val="single" w:sz="4" w:space="0" w:color="A6A6A6"/>
            </w:tcBorders>
            <w:shd w:val="clear" w:color="000000" w:fill="EE3438"/>
            <w:vAlign w:val="center"/>
            <w:hideMark/>
          </w:tcPr>
          <w:p w14:paraId="5746FBFA" w14:textId="77777777" w:rsidR="00FD2CBB" w:rsidRPr="000B19EE" w:rsidRDefault="00FD2CBB">
            <w:pPr>
              <w:spacing w:after="0" w:line="240" w:lineRule="auto"/>
              <w:jc w:val="right"/>
              <w:rPr>
                <w:rFonts w:asciiTheme="majorHAnsi" w:eastAsia="Times New Roman" w:hAnsiTheme="majorHAnsi" w:cstheme="majorHAnsi"/>
                <w:b/>
                <w:color w:val="FFFFFF"/>
                <w:sz w:val="20"/>
                <w:szCs w:val="20"/>
              </w:rPr>
            </w:pPr>
            <w:r w:rsidRPr="000B19EE">
              <w:rPr>
                <w:rFonts w:asciiTheme="majorHAnsi" w:eastAsia="Times New Roman" w:hAnsiTheme="majorHAnsi" w:cstheme="majorHAnsi"/>
                <w:b/>
                <w:color w:val="FFFFFF"/>
                <w:sz w:val="20"/>
                <w:szCs w:val="20"/>
              </w:rPr>
              <w:t xml:space="preserve">67.814,16 € </w:t>
            </w:r>
          </w:p>
        </w:tc>
        <w:tc>
          <w:tcPr>
            <w:tcW w:w="2829" w:type="dxa"/>
            <w:tcBorders>
              <w:top w:val="nil"/>
              <w:left w:val="nil"/>
              <w:bottom w:val="single" w:sz="4" w:space="0" w:color="A6A6A6"/>
              <w:right w:val="single" w:sz="4" w:space="0" w:color="A6A6A6"/>
            </w:tcBorders>
            <w:shd w:val="clear" w:color="000000" w:fill="EE3438"/>
            <w:vAlign w:val="center"/>
            <w:hideMark/>
          </w:tcPr>
          <w:p w14:paraId="593D7C10" w14:textId="77777777" w:rsidR="00FD2CBB" w:rsidRPr="000B19EE" w:rsidRDefault="00FD2CBB">
            <w:pPr>
              <w:spacing w:after="0" w:line="240" w:lineRule="auto"/>
              <w:jc w:val="center"/>
              <w:rPr>
                <w:rFonts w:asciiTheme="majorHAnsi" w:eastAsia="Times New Roman" w:hAnsiTheme="majorHAnsi" w:cstheme="majorHAnsi"/>
                <w:b/>
                <w:color w:val="FFFFFF"/>
                <w:sz w:val="20"/>
                <w:szCs w:val="20"/>
              </w:rPr>
            </w:pPr>
          </w:p>
        </w:tc>
      </w:tr>
    </w:tbl>
    <w:p w14:paraId="2618B82C" w14:textId="61355F49" w:rsidR="00FD2CBB" w:rsidRDefault="00FD2CBB" w:rsidP="00FD2CBB">
      <w:pPr>
        <w:pStyle w:val="Didascalia"/>
        <w:jc w:val="center"/>
        <w:rPr>
          <w:iCs w:val="0"/>
        </w:rPr>
      </w:pPr>
      <w:bookmarkStart w:id="297" w:name="_Ref191544858"/>
      <w:bookmarkStart w:id="298" w:name="_Toc193218191"/>
      <w:bookmarkStart w:id="299" w:name="_Toc1886160692"/>
      <w:bookmarkStart w:id="300" w:name="_Ref193882650"/>
      <w:bookmarkStart w:id="301" w:name="_Ref193882675"/>
      <w:bookmarkStart w:id="302" w:name="_Toc197695702"/>
      <w:bookmarkStart w:id="303" w:name="_Ref204248938"/>
      <w:bookmarkStart w:id="304" w:name="_Ref204249032"/>
      <w:bookmarkStart w:id="305" w:name="_Ref204249057"/>
      <w:bookmarkStart w:id="306" w:name="_Toc204616512"/>
      <w:r w:rsidRPr="008F32D0">
        <w:t xml:space="preserve">Tabella </w:t>
      </w:r>
      <w:r w:rsidR="00FD7EE5">
        <w:fldChar w:fldCharType="begin"/>
      </w:r>
      <w:r w:rsidR="00FD7EE5">
        <w:instrText xml:space="preserve"> SEQ Tabella \* ARABIC </w:instrText>
      </w:r>
      <w:r w:rsidR="00FD7EE5">
        <w:fldChar w:fldCharType="separate"/>
      </w:r>
      <w:r w:rsidR="00073B6D">
        <w:rPr>
          <w:noProof/>
        </w:rPr>
        <w:t>38</w:t>
      </w:r>
      <w:r w:rsidR="00FD7EE5">
        <w:rPr>
          <w:noProof/>
        </w:rPr>
        <w:fldChar w:fldCharType="end"/>
      </w:r>
      <w:bookmarkEnd w:id="297"/>
      <w:r w:rsidRPr="008F32D0">
        <w:rPr>
          <w:i w:val="0"/>
        </w:rPr>
        <w:t xml:space="preserve"> </w:t>
      </w:r>
      <w:r w:rsidRPr="00677A61">
        <w:rPr>
          <w:iCs w:val="0"/>
        </w:rPr>
        <w:t>– Ripartizione dei ricavi da traffico 2023 (elaborazione fonte MIT</w:t>
      </w:r>
      <w:r>
        <w:rPr>
          <w:iCs w:val="0"/>
        </w:rPr>
        <w:t xml:space="preserve"> e ART</w:t>
      </w:r>
      <w:r w:rsidRPr="00677A61">
        <w:rPr>
          <w:iCs w:val="0"/>
        </w:rPr>
        <w:t>)</w:t>
      </w:r>
    </w:p>
    <w:p w14:paraId="1D5E24F6" w14:textId="77777777" w:rsidR="00FD2CBB" w:rsidRDefault="00FD2CBB" w:rsidP="00FD2CBB">
      <w:pPr>
        <w:pStyle w:val="Titolo3"/>
        <w:ind w:left="720"/>
      </w:pPr>
      <w:bookmarkStart w:id="307" w:name="_Toc204328743"/>
      <w:bookmarkStart w:id="308" w:name="_Ref212805079"/>
      <w:bookmarkStart w:id="309" w:name="_Toc213078383"/>
      <w:bookmarkEnd w:id="298"/>
      <w:bookmarkEnd w:id="299"/>
      <w:bookmarkEnd w:id="300"/>
      <w:bookmarkEnd w:id="301"/>
      <w:bookmarkEnd w:id="302"/>
      <w:bookmarkEnd w:id="303"/>
      <w:bookmarkEnd w:id="304"/>
      <w:bookmarkEnd w:id="305"/>
      <w:bookmarkEnd w:id="306"/>
      <w:r w:rsidRPr="008D4AB1">
        <w:rPr>
          <w:bCs w:val="0"/>
        </w:rPr>
        <w:t>Ricognizione</w:t>
      </w:r>
      <w:r>
        <w:t xml:space="preserve"> risorse periodo 2027 – 2032</w:t>
      </w:r>
      <w:bookmarkEnd w:id="307"/>
      <w:bookmarkEnd w:id="308"/>
      <w:bookmarkEnd w:id="309"/>
      <w:r>
        <w:t xml:space="preserve"> </w:t>
      </w:r>
    </w:p>
    <w:p w14:paraId="3FBCB4F4" w14:textId="77777777" w:rsidR="00FD2CBB" w:rsidRPr="002D5E2F" w:rsidRDefault="00FD2CBB" w:rsidP="00FD2CBB">
      <w:pPr>
        <w:spacing w:before="120" w:after="0" w:line="240" w:lineRule="auto"/>
      </w:pPr>
      <w:r w:rsidRPr="002D5E2F">
        <w:t xml:space="preserve">Come anticipato precedentemente, le risorse pubbliche a coperture dei servizi di TPL disponibili da parte dell’Agenzia sono legate ai trasferimenti del FNT, della regione Piemonte e degli Enti Locali che si stima possa mantenersi invariato per il 2027. </w:t>
      </w:r>
    </w:p>
    <w:p w14:paraId="4576C856" w14:textId="77777777" w:rsidR="00FD2CBB" w:rsidRPr="002D5E2F" w:rsidRDefault="00FD2CBB" w:rsidP="00FD2CBB">
      <w:pPr>
        <w:spacing w:before="120" w:after="0" w:line="240" w:lineRule="auto"/>
      </w:pPr>
      <w:r w:rsidRPr="002D5E2F">
        <w:t xml:space="preserve">Occorre precisare che nel corso delle consultazioni degli Enti territoriali del Bacino è emersa la richiesta di inserire all’interno delle future gare oltre al servizio TPL anche la gestione di infrastrutture e servizi complementari al servizio di trasporto pubblico, quali </w:t>
      </w:r>
      <w:r>
        <w:t xml:space="preserve">i </w:t>
      </w:r>
      <w:r w:rsidRPr="002D5E2F">
        <w:t>nodi d’interscambio.</w:t>
      </w:r>
    </w:p>
    <w:p w14:paraId="78F060F5" w14:textId="77777777" w:rsidR="00FD2CBB" w:rsidRPr="006E260A" w:rsidRDefault="00FD2CBB" w:rsidP="00FD2CBB">
      <w:pPr>
        <w:spacing w:before="120" w:after="0" w:line="240" w:lineRule="auto"/>
        <w:rPr>
          <w:rFonts w:eastAsia="Times New Roman" w:cstheme="minorHAnsi"/>
          <w:color w:val="242424"/>
        </w:rPr>
      </w:pPr>
      <w:r w:rsidRPr="006E260A">
        <w:rPr>
          <w:rFonts w:eastAsia="Times New Roman" w:cstheme="minorHAnsi"/>
          <w:color w:val="242424"/>
        </w:rPr>
        <w:t>La gestione unitaria ed integrata del servizio di Trasporto Pubblico Locale (TPL) con infrastrutture e servizi complementari come i nodi d’interscambio rappresenta un approccio strategico per migliorare l'efficienza e l'esperienza dell'utente. Tuttavia, questa integrazione comporta un aumento dei costi operativi e di gestione, che non può essere sostenuto dalle risorse attualmente destinate al TPL senza compromettere l’offerta complessiva e/o la qualità del servizio.</w:t>
      </w:r>
    </w:p>
    <w:p w14:paraId="38C48F6A" w14:textId="77777777" w:rsidR="00FD2CBB" w:rsidRPr="006E260A" w:rsidRDefault="00FD2CBB" w:rsidP="00FD2CBB">
      <w:pPr>
        <w:spacing w:before="120" w:after="0" w:line="240" w:lineRule="auto"/>
        <w:rPr>
          <w:rFonts w:eastAsia="Times New Roman" w:cstheme="minorHAnsi"/>
          <w:color w:val="242424"/>
        </w:rPr>
      </w:pPr>
      <w:r w:rsidRPr="006E260A">
        <w:rPr>
          <w:rFonts w:eastAsia="Times New Roman" w:cstheme="minorHAnsi"/>
          <w:color w:val="242424"/>
        </w:rPr>
        <w:t>Per affrontare questa sfida, è necessario un processo di ricognizione sulla disponibilità degli Enti Locali, d’intesa con la Regione Piemonte, a compartecipare economicamente.</w:t>
      </w:r>
    </w:p>
    <w:p w14:paraId="67BEAB73" w14:textId="77777777" w:rsidR="00FD2CBB" w:rsidRPr="006E260A" w:rsidRDefault="00FD2CBB" w:rsidP="00FD2CBB">
      <w:pPr>
        <w:spacing w:before="120" w:after="0" w:line="240" w:lineRule="auto"/>
        <w:rPr>
          <w:rFonts w:eastAsia="Times New Roman" w:cstheme="minorHAnsi"/>
          <w:color w:val="242424"/>
        </w:rPr>
      </w:pPr>
      <w:r w:rsidRPr="006E260A">
        <w:rPr>
          <w:rFonts w:eastAsia="Times New Roman" w:cstheme="minorHAnsi"/>
          <w:color w:val="242424"/>
        </w:rPr>
        <w:t>Questo processo implica:</w:t>
      </w:r>
    </w:p>
    <w:p w14:paraId="18C441BB" w14:textId="77777777" w:rsidR="00FD2CBB" w:rsidRPr="006E260A" w:rsidRDefault="00FD2CBB" w:rsidP="004B0DBE">
      <w:pPr>
        <w:numPr>
          <w:ilvl w:val="0"/>
          <w:numId w:val="43"/>
        </w:numPr>
        <w:spacing w:before="120" w:after="0" w:line="240" w:lineRule="auto"/>
        <w:ind w:left="960"/>
        <w:rPr>
          <w:rFonts w:eastAsia="Times New Roman" w:cstheme="minorHAnsi"/>
          <w:color w:val="242424"/>
        </w:rPr>
      </w:pPr>
      <w:r w:rsidRPr="006E260A">
        <w:rPr>
          <w:rFonts w:eastAsia="Times New Roman" w:cstheme="minorHAnsi"/>
          <w:b/>
          <w:bCs/>
          <w:color w:val="242424"/>
        </w:rPr>
        <w:t>Ricognizione dei Costi ed analisi dei Benefici</w:t>
      </w:r>
      <w:r w:rsidRPr="006E260A">
        <w:rPr>
          <w:rFonts w:eastAsia="Times New Roman" w:cstheme="minorHAnsi"/>
          <w:color w:val="242424"/>
        </w:rPr>
        <w:t>: Una valutazione dettagliata dei costi aggiuntivi associati alla gestione delle infrastrutture e dei servizi complementari, confrontata con i benefici attesi in termini di miglioramento del servizio e aumento della soddisfazione degli utenti.</w:t>
      </w:r>
    </w:p>
    <w:p w14:paraId="3C1A6C70" w14:textId="77777777" w:rsidR="00FD2CBB" w:rsidRPr="006E260A" w:rsidRDefault="00FD2CBB" w:rsidP="004B0DBE">
      <w:pPr>
        <w:numPr>
          <w:ilvl w:val="0"/>
          <w:numId w:val="43"/>
        </w:numPr>
        <w:spacing w:before="120" w:after="0" w:line="240" w:lineRule="auto"/>
        <w:ind w:left="960"/>
        <w:rPr>
          <w:rFonts w:eastAsia="Times New Roman" w:cstheme="minorHAnsi"/>
          <w:color w:val="242424"/>
        </w:rPr>
      </w:pPr>
      <w:r w:rsidRPr="006E260A">
        <w:rPr>
          <w:rFonts w:eastAsia="Times New Roman" w:cstheme="minorHAnsi"/>
          <w:b/>
          <w:bCs/>
          <w:color w:val="242424"/>
        </w:rPr>
        <w:t>Modelli di Finanziamento</w:t>
      </w:r>
      <w:r w:rsidRPr="006E260A">
        <w:rPr>
          <w:rFonts w:eastAsia="Times New Roman" w:cstheme="minorHAnsi"/>
          <w:color w:val="242424"/>
        </w:rPr>
        <w:t xml:space="preserve">: Identificazione di modelli di finanziamento sostenibili che coinvolgano gli Enti Locali, la Regione Piemonte e altri soggetti pubblici interessati. Questo </w:t>
      </w:r>
      <w:r w:rsidRPr="006E260A">
        <w:rPr>
          <w:rFonts w:eastAsia="Times New Roman" w:cstheme="minorHAnsi"/>
          <w:color w:val="242424"/>
        </w:rPr>
        <w:lastRenderedPageBreak/>
        <w:t>potrebbe includere contributi diretti, partenariati pubblico-privato, e l'utilizzo di fondi europei o nazionali destinati allo sviluppo delle infrastrutture di trasporto.</w:t>
      </w:r>
    </w:p>
    <w:p w14:paraId="5CBEE5CB" w14:textId="77777777" w:rsidR="00FD2CBB" w:rsidRPr="006E260A" w:rsidRDefault="00FD2CBB" w:rsidP="004B0DBE">
      <w:pPr>
        <w:numPr>
          <w:ilvl w:val="0"/>
          <w:numId w:val="43"/>
        </w:numPr>
        <w:spacing w:before="120" w:after="0" w:line="240" w:lineRule="auto"/>
        <w:ind w:left="960"/>
        <w:rPr>
          <w:rFonts w:eastAsia="Times New Roman" w:cstheme="minorHAnsi"/>
          <w:color w:val="242424"/>
        </w:rPr>
      </w:pPr>
      <w:r w:rsidRPr="006E260A">
        <w:rPr>
          <w:rFonts w:eastAsia="Times New Roman" w:cstheme="minorHAnsi"/>
          <w:b/>
          <w:bCs/>
          <w:color w:val="242424"/>
        </w:rPr>
        <w:t>Monitoraggio e Valutazione</w:t>
      </w:r>
      <w:r w:rsidRPr="006E260A">
        <w:rPr>
          <w:rFonts w:eastAsia="Times New Roman" w:cstheme="minorHAnsi"/>
          <w:color w:val="242424"/>
        </w:rPr>
        <w:t>: Implementazione di sistemi di monitoraggio e valutazione per garantire che gli obiettivi di integrazione e miglioramento del servizio siano raggiunti, e per adattare le strategie di gestione in base ai risultati ottenuti.</w:t>
      </w:r>
    </w:p>
    <w:p w14:paraId="2282862C" w14:textId="77777777" w:rsidR="00FD2CBB" w:rsidRPr="006E260A" w:rsidRDefault="00FD2CBB" w:rsidP="00FD2CBB">
      <w:pPr>
        <w:spacing w:before="120" w:after="0" w:line="240" w:lineRule="auto"/>
        <w:rPr>
          <w:rFonts w:eastAsia="Times New Roman" w:cstheme="minorHAnsi"/>
          <w:color w:val="242424"/>
        </w:rPr>
      </w:pPr>
      <w:r w:rsidRPr="006E260A">
        <w:rPr>
          <w:rFonts w:eastAsia="Times New Roman" w:cstheme="minorHAnsi"/>
          <w:color w:val="242424"/>
        </w:rPr>
        <w:t>Questo approccio tecnico mira a creare un sistema di trasporto pubblico più efficiente e integrato, che possa rispondere alle esigenze degli utenti senza gravare eccessivamente sulle risorse finanziarie disponibili.</w:t>
      </w:r>
    </w:p>
    <w:p w14:paraId="04620F45" w14:textId="77777777" w:rsidR="00FD2CBB" w:rsidRPr="00D411AF" w:rsidRDefault="00FD2CBB" w:rsidP="00FD2CBB">
      <w:pPr>
        <w:spacing w:before="120" w:after="0" w:line="240" w:lineRule="auto"/>
        <w:rPr>
          <w:rFonts w:eastAsia="Times New Roman" w:cstheme="minorHAnsi"/>
          <w:color w:val="242424"/>
        </w:rPr>
      </w:pPr>
      <w:r w:rsidRPr="00D411AF">
        <w:rPr>
          <w:rFonts w:eastAsia="Times New Roman" w:cstheme="minorHAnsi"/>
          <w:color w:val="242424"/>
        </w:rPr>
        <w:t>A valle della valutazione il tema sarà inserito nelle procedure di Gara che includano specifiche tecniche e requisiti per la gestione integrata del TPL e delle infrastrutture complementari, alla luce delle risorse individuate allo scopo con la partecipazione economica degli Enti Locali e della Regione Piemonte, assicurando così la sostenibilità finanziaria del progetto.</w:t>
      </w:r>
    </w:p>
    <w:p w14:paraId="40F06FE8" w14:textId="77777777" w:rsidR="00FD2CBB" w:rsidRPr="00825B1C" w:rsidRDefault="00FD2CBB" w:rsidP="00FD2CBB">
      <w:pPr>
        <w:pStyle w:val="NormaleWeb"/>
        <w:spacing w:before="120" w:after="0" w:line="240" w:lineRule="auto"/>
      </w:pPr>
      <w:r w:rsidRPr="00D411AF">
        <w:rPr>
          <w:rFonts w:asciiTheme="minorHAnsi" w:eastAsia="Times New Roman" w:hAnsiTheme="minorHAnsi" w:cstheme="minorHAnsi"/>
          <w:color w:val="242424"/>
          <w:sz w:val="22"/>
          <w:szCs w:val="22"/>
        </w:rPr>
        <w:t>I Piani economici finanziari affronteranno gli specifici temi e valuteranno l’efficienza, l’efficacia e l’economicità della gestione integrata del sistema.</w:t>
      </w:r>
    </w:p>
    <w:p w14:paraId="01C9797B" w14:textId="77777777" w:rsidR="00FD2CBB" w:rsidRDefault="00FD2CBB" w:rsidP="002E0EA3">
      <w:pPr>
        <w:tabs>
          <w:tab w:val="left" w:pos="2685"/>
        </w:tabs>
        <w:sectPr w:rsidR="00FD2CBB" w:rsidSect="00F41C4B">
          <w:footerReference w:type="default" r:id="rId77"/>
          <w:pgSz w:w="11906" w:h="16838"/>
          <w:pgMar w:top="1418" w:right="1418" w:bottom="1418" w:left="1418" w:header="709" w:footer="709" w:gutter="0"/>
          <w:pgBorders w:offsetFrom="page">
            <w:right w:val="single" w:sz="48" w:space="24" w:color="EE3438"/>
          </w:pgBorders>
          <w:cols w:space="708"/>
          <w:docGrid w:linePitch="360"/>
        </w:sectPr>
      </w:pPr>
    </w:p>
    <w:p w14:paraId="457EE387" w14:textId="77777777" w:rsidR="00FD2CBB" w:rsidRDefault="00FD2CBB" w:rsidP="00FD2CBB">
      <w:pPr>
        <w:pStyle w:val="Titolo1"/>
      </w:pPr>
      <w:bookmarkStart w:id="310" w:name="_Toc204328744"/>
      <w:bookmarkStart w:id="311" w:name="_Toc213078384"/>
      <w:bookmarkStart w:id="312" w:name="_Hlk211940678"/>
      <w:r>
        <w:lastRenderedPageBreak/>
        <w:t>Determinazione e modalità di aggiornamento delle tariffe</w:t>
      </w:r>
      <w:bookmarkEnd w:id="310"/>
      <w:bookmarkEnd w:id="311"/>
    </w:p>
    <w:p w14:paraId="2FEB7DA6" w14:textId="77777777" w:rsidR="00FD2CBB" w:rsidRDefault="00FD2CBB" w:rsidP="00FD2CBB">
      <w:pPr>
        <w:spacing w:before="120" w:after="0" w:line="240" w:lineRule="auto"/>
      </w:pPr>
      <w:bookmarkStart w:id="313" w:name="_Toc191378244"/>
      <w:bookmarkStart w:id="314" w:name="_Ref193205654"/>
      <w:bookmarkStart w:id="315" w:name="_Toc889782535"/>
      <w:bookmarkStart w:id="316" w:name="_Toc197695704"/>
      <w:bookmarkStart w:id="317" w:name="_Toc204616514"/>
      <w:bookmarkEnd w:id="312"/>
      <w:r w:rsidRPr="005053DF">
        <w:t>L’art. 12 della L.R. 1/2000 stabilisce che la Giunta regionale definisca, d'intesa con gli Enti</w:t>
      </w:r>
      <w:r>
        <w:t xml:space="preserve"> </w:t>
      </w:r>
      <w:r w:rsidRPr="005053DF">
        <w:t xml:space="preserve">locali delegati, la politica tariffaria e le sue modalità di applicazione </w:t>
      </w:r>
      <w:r w:rsidRPr="005053DF">
        <w:rPr>
          <w:i/>
        </w:rPr>
        <w:t>“…in coerenza con i principi di integrazione ed uniformità tra i diversi sistemi, modi e tipi di trasporto, in coerenza con gli obiettivi in materia di rapporto tra ricavi e costi dei servizi fissati dalla stessa L.R. 1/2000 e nel rispetto dei parametri dell'inflazione programmata.</w:t>
      </w:r>
      <w:r w:rsidRPr="005053DF">
        <w:t>”</w:t>
      </w:r>
    </w:p>
    <w:p w14:paraId="78400758" w14:textId="77777777" w:rsidR="00FD2CBB" w:rsidRDefault="00FD2CBB" w:rsidP="00FD2CBB">
      <w:pPr>
        <w:spacing w:before="120" w:after="0" w:line="240" w:lineRule="auto"/>
      </w:pPr>
      <w:r w:rsidRPr="005053DF">
        <w:t xml:space="preserve">Con la Deliberazione </w:t>
      </w:r>
      <w:r>
        <w:t xml:space="preserve">D.G.R. </w:t>
      </w:r>
      <w:r w:rsidRPr="005053DF">
        <w:t>n. 13-6608/2013 la Giunta Regionale del Piemonte ha fissato le tariffe per tutti i servizi di TPL, riportate per esteso nell’allegato A alla Deliberazione stessa.</w:t>
      </w:r>
      <w:r>
        <w:t xml:space="preserve"> </w:t>
      </w:r>
      <w:r w:rsidRPr="005053DF">
        <w:t xml:space="preserve">Con la stessa Deliberazione la Giunta Regionale stabiliva che </w:t>
      </w:r>
      <w:r>
        <w:t>“</w:t>
      </w:r>
      <w:r w:rsidRPr="005053DF">
        <w:rPr>
          <w:i/>
        </w:rPr>
        <w:t>A partire dal 2015, sarà ristabilito l'adeguamento automatico delle tariffe dei servizi di trasporto pubblico locale per cui, a decorrere dal 1° gennaio di ogni anno sarà autorizzato un incremento tariffario percentualmente quantificabile nel 100% dell’inflazione programmata dal Governo nell’anno precedente...</w:t>
      </w:r>
      <w:r>
        <w:t>”</w:t>
      </w:r>
    </w:p>
    <w:p w14:paraId="4B66A418" w14:textId="77777777" w:rsidR="00FD2CBB" w:rsidRDefault="00FD2CBB" w:rsidP="00FD2CBB">
      <w:pPr>
        <w:spacing w:before="120" w:after="0" w:line="240" w:lineRule="auto"/>
      </w:pPr>
      <w:r>
        <w:t>Si richiama l’attenzione sui due principi che ispirano la politica tariffaria piemontese:</w:t>
      </w:r>
    </w:p>
    <w:p w14:paraId="3BB20090" w14:textId="77777777" w:rsidR="00FD2CBB" w:rsidRDefault="00FD2CBB" w:rsidP="004B0DBE">
      <w:pPr>
        <w:pStyle w:val="Paragrafoelenco"/>
        <w:numPr>
          <w:ilvl w:val="0"/>
          <w:numId w:val="54"/>
        </w:numPr>
        <w:spacing w:before="120" w:after="0" w:line="240" w:lineRule="auto"/>
      </w:pPr>
      <w:r>
        <w:t>uniformità tariffaria tra i diversi sistemi, modi e tipi di trasporto pubblico;</w:t>
      </w:r>
    </w:p>
    <w:p w14:paraId="36CC77F8" w14:textId="77777777" w:rsidR="00FD2CBB" w:rsidRPr="00C44C6B" w:rsidRDefault="00FD2CBB" w:rsidP="004B0DBE">
      <w:pPr>
        <w:pStyle w:val="Paragrafoelenco"/>
        <w:numPr>
          <w:ilvl w:val="0"/>
          <w:numId w:val="54"/>
        </w:numPr>
        <w:spacing w:before="120" w:after="0" w:line="240" w:lineRule="auto"/>
      </w:pPr>
      <w:r>
        <w:t>adeguamento automatico delle tariffe all’inflazione programmata.</w:t>
      </w:r>
    </w:p>
    <w:p w14:paraId="5D232EE6" w14:textId="77777777" w:rsidR="00FD2CBB" w:rsidRDefault="00FD2CBB" w:rsidP="00FD2CBB">
      <w:pPr>
        <w:spacing w:before="120" w:after="0" w:line="240" w:lineRule="auto"/>
      </w:pPr>
      <w:r>
        <w:t>La medesima D.G.R. n. 13-6608, nel prevedere l’adeguamento tariffario, limita il suo intervento di adeguamento alla parte inflattiva, in coerenza con il dettato della l.r. 1/2000 e con le politiche tariffarie regionali.</w:t>
      </w:r>
    </w:p>
    <w:p w14:paraId="29CB042C" w14:textId="77777777" w:rsidR="00FD2CBB" w:rsidRDefault="00FD2CBB" w:rsidP="00FD2CBB">
      <w:pPr>
        <w:spacing w:before="120" w:after="0" w:line="240" w:lineRule="auto"/>
      </w:pPr>
      <w:r>
        <w:t xml:space="preserve">L’adozione di un metodo di adeguamento pesato non solo sull’inflazione ma anche su indicatori di qualità effettiva del servizio, in presenza di molteplici contratti di servizio porterebbe nel tempo a disallineamenti nei livelli tariffari dei diversi contratti, pregiudicando </w:t>
      </w:r>
      <w:r w:rsidRPr="00164178">
        <w:t>l’omogeneità</w:t>
      </w:r>
      <w:r>
        <w:t xml:space="preserve"> delle tariffe tra servizi ferroviari e servizi di autolinea e tra i servizi di autolinea afferenti a contratti diversi vanificando il percorso di armonizzazione dei livelli tariffari perseguito dalla Regione Piemonte con la legge regionale e i successivi provvedimenti attuativi.</w:t>
      </w:r>
    </w:p>
    <w:p w14:paraId="6C6BE4EC" w14:textId="77777777" w:rsidR="00FD2CBB" w:rsidRPr="005053DF" w:rsidRDefault="00FD2CBB" w:rsidP="00FD2CBB">
      <w:pPr>
        <w:spacing w:before="120" w:after="0" w:line="240" w:lineRule="auto"/>
      </w:pPr>
      <w:r>
        <w:t>L’armonizzazione delle tariffe e l’integrazione tariffaria sono due principi irrinunciabili per la Regione Piemonte e per l’Agenzia; senza di essi sarebbe vanificato ogni sforzo di pianificazione delle reti e di programmazione dei servizi in ottica di aumento dell’integrazione e cooperazione dei servizi e riduzione delle sovrapposizioni non cooperative (e quindi dei costi per l’amministrazione pubblica).</w:t>
      </w:r>
    </w:p>
    <w:p w14:paraId="023A22E1" w14:textId="77777777" w:rsidR="00FD2CBB" w:rsidRDefault="00FD2CBB" w:rsidP="00FD2CBB">
      <w:pPr>
        <w:pStyle w:val="Titolo2"/>
        <w:ind w:left="567"/>
      </w:pPr>
      <w:bookmarkStart w:id="318" w:name="_Toc204328745"/>
      <w:bookmarkStart w:id="319" w:name="_Toc213078385"/>
      <w:bookmarkEnd w:id="313"/>
      <w:bookmarkEnd w:id="314"/>
      <w:bookmarkEnd w:id="315"/>
      <w:bookmarkEnd w:id="316"/>
      <w:bookmarkEnd w:id="317"/>
      <w:r>
        <w:t>Determinazione delle tariffe</w:t>
      </w:r>
      <w:bookmarkEnd w:id="318"/>
      <w:bookmarkEnd w:id="319"/>
    </w:p>
    <w:p w14:paraId="0B58D002" w14:textId="77777777" w:rsidR="00FD2CBB" w:rsidRPr="004467A7" w:rsidRDefault="00FD2CBB" w:rsidP="00FD2CBB">
      <w:pPr>
        <w:pStyle w:val="Titolo3"/>
        <w:ind w:left="720"/>
      </w:pPr>
      <w:bookmarkStart w:id="320" w:name="_Toc191378245"/>
      <w:bookmarkStart w:id="321" w:name="_Toc1113029794"/>
      <w:bookmarkStart w:id="322" w:name="_Toc197695705"/>
      <w:bookmarkStart w:id="323" w:name="_Toc204616515"/>
      <w:bookmarkStart w:id="324" w:name="_Toc213078386"/>
      <w:r>
        <w:t>Tariffe servizi extraurbani</w:t>
      </w:r>
      <w:bookmarkEnd w:id="320"/>
      <w:bookmarkEnd w:id="321"/>
      <w:bookmarkEnd w:id="322"/>
      <w:bookmarkEnd w:id="323"/>
      <w:bookmarkEnd w:id="324"/>
    </w:p>
    <w:p w14:paraId="69308E08" w14:textId="77777777" w:rsidR="00FD2CBB" w:rsidRDefault="00FD2CBB" w:rsidP="00FD2CBB">
      <w:pPr>
        <w:spacing w:before="120" w:after="0" w:line="240" w:lineRule="auto"/>
      </w:pPr>
      <w:r>
        <w:t>La struttura tariffaria, per i servizi di TPL extraurbani e ferroviari prevista dalla DGR n. 13-6608/2013 è stata adeguata secondo il tasso d’inflazione programmato.</w:t>
      </w:r>
    </w:p>
    <w:p w14:paraId="06C5A74F" w14:textId="77777777" w:rsidR="00FD2CBB" w:rsidRDefault="00FD2CBB" w:rsidP="00FD2CBB">
      <w:pPr>
        <w:spacing w:before="120" w:after="0" w:line="240" w:lineRule="auto"/>
      </w:pPr>
      <w:r>
        <w:t>Gli aumenti tariffari che si sono susseguiti sono stati deliberati dall’Agenzia e sono evidenziati nella tabella riportata nella pagina seguente.</w:t>
      </w:r>
    </w:p>
    <w:p w14:paraId="67B04728" w14:textId="77777777" w:rsidR="00FD2CBB" w:rsidRDefault="00FD2CBB" w:rsidP="00FD2CBB">
      <w:pPr>
        <w:spacing w:before="120" w:after="0" w:line="240" w:lineRule="auto"/>
      </w:pPr>
      <w:r w:rsidRPr="00C44C6B">
        <w:t>L’ultimo adeguamento è stato approvato con la deliberazione del CdA dell’Agenzia in data 19 febbraio 2025</w:t>
      </w:r>
      <w:r>
        <w:rPr>
          <w:rStyle w:val="Rimandonotaapidipagina"/>
        </w:rPr>
        <w:footnoteReference w:id="31"/>
      </w:r>
      <w:r w:rsidRPr="00C44C6B">
        <w:t xml:space="preserve"> e prevede, come ogni anno, che l’aumento delle tariffe sia applicato a valere dal 1 Luglio 2025. </w:t>
      </w:r>
      <w:r w:rsidRPr="00C44C6B">
        <w:lastRenderedPageBreak/>
        <w:t>Le tariffe approvate sono dettagliate nelle tabelle allegate alla deliberazione (Allegato A punti 1, 2, 3, 4, 4bis, 5, 6a, 6b, 6c, 7).</w:t>
      </w:r>
    </w:p>
    <w:p w14:paraId="70A6B1FB" w14:textId="77777777" w:rsidR="00FD2CBB" w:rsidRDefault="00FD2CBB" w:rsidP="00FD2CBB">
      <w:pPr>
        <w:spacing w:before="120" w:after="0" w:line="240" w:lineRule="auto"/>
      </w:pPr>
    </w:p>
    <w:p w14:paraId="4606CBF7" w14:textId="77777777" w:rsidR="00FD2CBB" w:rsidRPr="00450BAF" w:rsidRDefault="00FD2CBB" w:rsidP="00FD2CBB">
      <w:pPr>
        <w:spacing w:before="120" w:after="0" w:line="240" w:lineRule="auto"/>
        <w:rPr>
          <w:color w:val="EE0000"/>
        </w:rPr>
      </w:pPr>
      <w:r w:rsidRPr="00450BAF">
        <w:rPr>
          <w:noProof/>
          <w:color w:val="EE0000"/>
        </w:rPr>
        <w:drawing>
          <wp:inline distT="0" distB="0" distL="0" distR="0" wp14:anchorId="47A68553" wp14:editId="5A559DFD">
            <wp:extent cx="5759450" cy="5898801"/>
            <wp:effectExtent l="0" t="0" r="0" b="6985"/>
            <wp:docPr id="2001010468" name="Immagine 2001010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759450" cy="5898801"/>
                    </a:xfrm>
                    <a:prstGeom prst="rect">
                      <a:avLst/>
                    </a:prstGeom>
                    <a:noFill/>
                    <a:ln>
                      <a:noFill/>
                    </a:ln>
                  </pic:spPr>
                </pic:pic>
              </a:graphicData>
            </a:graphic>
          </wp:inline>
        </w:drawing>
      </w:r>
    </w:p>
    <w:p w14:paraId="0DCB9E39" w14:textId="525A960C" w:rsidR="00FD2CBB" w:rsidRPr="002E2843" w:rsidRDefault="00FD2CBB" w:rsidP="00FD2CBB">
      <w:pPr>
        <w:pStyle w:val="Didascalia"/>
        <w:spacing w:after="0"/>
        <w:jc w:val="center"/>
        <w:rPr>
          <w:iCs w:val="0"/>
        </w:rPr>
      </w:pPr>
      <w:r>
        <w:t xml:space="preserve">Tabella </w:t>
      </w:r>
      <w:r w:rsidR="00FD7EE5">
        <w:fldChar w:fldCharType="begin"/>
      </w:r>
      <w:r w:rsidR="00FD7EE5">
        <w:instrText xml:space="preserve"> SEQ Tabella \* ARABIC </w:instrText>
      </w:r>
      <w:r w:rsidR="00FD7EE5">
        <w:fldChar w:fldCharType="separate"/>
      </w:r>
      <w:r w:rsidR="00073B6D">
        <w:rPr>
          <w:noProof/>
        </w:rPr>
        <w:t>39</w:t>
      </w:r>
      <w:r w:rsidR="00FD7EE5">
        <w:rPr>
          <w:noProof/>
        </w:rPr>
        <w:fldChar w:fldCharType="end"/>
      </w:r>
      <w:r>
        <w:rPr>
          <w:i w:val="0"/>
        </w:rPr>
        <w:t xml:space="preserve"> – </w:t>
      </w:r>
      <w:r w:rsidRPr="002E2843">
        <w:rPr>
          <w:iCs w:val="0"/>
        </w:rPr>
        <w:t>Serie degli adeguamenti tariffari</w:t>
      </w:r>
    </w:p>
    <w:p w14:paraId="57819BDD" w14:textId="77777777" w:rsidR="00FD2CBB" w:rsidRPr="008A6CE3" w:rsidRDefault="00FD2CBB" w:rsidP="00FD2CBB">
      <w:pPr>
        <w:spacing w:before="120" w:after="0" w:line="240" w:lineRule="auto"/>
      </w:pPr>
      <w:r w:rsidRPr="008A6CE3">
        <w:t>Le tariffe riguardano svariate tipologie di Titoli di Viaggio (TdV). Le tipologie possono comprendere sia TdV aziendali, validi solo sui servizi afferenti al CdS sottoscritto dall’OE, sia TdV integrati, validi anche su servizi afferenti ad altri CdS, eventualmente sottoscritti da altri OE. Tali altri servizi possono essere espletati con una pluralità di modalità di trasporto.</w:t>
      </w:r>
    </w:p>
    <w:p w14:paraId="22455F1A" w14:textId="77777777" w:rsidR="00FD2CBB" w:rsidRPr="008A6CE3" w:rsidRDefault="00FD2CBB" w:rsidP="00FD2CBB">
      <w:pPr>
        <w:spacing w:before="120" w:after="0" w:line="240" w:lineRule="auto"/>
      </w:pPr>
      <w:r w:rsidRPr="008A6CE3">
        <w:t>Le tipologie di TdV, sia aziendali sia integrati comprendono</w:t>
      </w:r>
    </w:p>
    <w:p w14:paraId="5A5E3EE9" w14:textId="77777777" w:rsidR="00FD2CBB" w:rsidRPr="008A6CE3" w:rsidRDefault="00FD2CBB" w:rsidP="004B0DBE">
      <w:pPr>
        <w:pStyle w:val="Paragrafoelenco"/>
        <w:numPr>
          <w:ilvl w:val="0"/>
          <w:numId w:val="55"/>
        </w:numPr>
        <w:spacing w:before="120" w:after="0" w:line="240" w:lineRule="auto"/>
      </w:pPr>
      <w:r w:rsidRPr="008A6CE3">
        <w:t>biglietti singoli a corsa o a tempo</w:t>
      </w:r>
    </w:p>
    <w:p w14:paraId="6CA06202" w14:textId="77777777" w:rsidR="00FD2CBB" w:rsidRPr="008A6CE3" w:rsidRDefault="00FD2CBB" w:rsidP="004B0DBE">
      <w:pPr>
        <w:pStyle w:val="Paragrafoelenco"/>
        <w:numPr>
          <w:ilvl w:val="0"/>
          <w:numId w:val="55"/>
        </w:numPr>
        <w:spacing w:before="120" w:after="0" w:line="240" w:lineRule="auto"/>
      </w:pPr>
      <w:r w:rsidRPr="008A6CE3">
        <w:t>carnet di biglietti singoli</w:t>
      </w:r>
    </w:p>
    <w:p w14:paraId="5FDCE01C" w14:textId="77777777" w:rsidR="00FD2CBB" w:rsidRPr="008A6CE3" w:rsidRDefault="00FD2CBB" w:rsidP="004B0DBE">
      <w:pPr>
        <w:pStyle w:val="Paragrafoelenco"/>
        <w:numPr>
          <w:ilvl w:val="0"/>
          <w:numId w:val="55"/>
        </w:numPr>
        <w:spacing w:before="120" w:after="0" w:line="240" w:lineRule="auto"/>
      </w:pPr>
      <w:r w:rsidRPr="008A6CE3">
        <w:t>abbonamenti settimanali, mensili, plurimensili, annuali</w:t>
      </w:r>
    </w:p>
    <w:p w14:paraId="378E75E7" w14:textId="77777777" w:rsidR="00FD2CBB" w:rsidRPr="008A6CE3" w:rsidRDefault="00FD2CBB" w:rsidP="004B0DBE">
      <w:pPr>
        <w:pStyle w:val="Paragrafoelenco"/>
        <w:numPr>
          <w:ilvl w:val="0"/>
          <w:numId w:val="55"/>
        </w:numPr>
        <w:spacing w:before="120" w:after="0" w:line="240" w:lineRule="auto"/>
      </w:pPr>
      <w:r w:rsidRPr="008A6CE3">
        <w:t>titoli prepagati a consumo (credito trasporti)</w:t>
      </w:r>
    </w:p>
    <w:p w14:paraId="6F4DEFB0" w14:textId="77777777" w:rsidR="00FD2CBB" w:rsidRDefault="00FD2CBB" w:rsidP="00FD2CBB">
      <w:pPr>
        <w:spacing w:before="120" w:after="0" w:line="240" w:lineRule="auto"/>
      </w:pPr>
      <w:r>
        <w:lastRenderedPageBreak/>
        <w:t>A livello regionale lo schema tariffario si basa su fasce chilometriche con scaglioni ogni 5 km di seguito riportate per titolo di viaggio</w:t>
      </w:r>
    </w:p>
    <w:p w14:paraId="1BF12BCD" w14:textId="77777777" w:rsidR="00FD2CBB" w:rsidRDefault="00FD2CBB" w:rsidP="00FD2CBB">
      <w:pPr>
        <w:spacing w:before="120" w:after="0" w:line="240" w:lineRule="auto"/>
      </w:pPr>
    </w:p>
    <w:tbl>
      <w:tblPr>
        <w:tblStyle w:val="Tabellasemplice-1"/>
        <w:tblW w:w="0" w:type="auto"/>
        <w:jc w:val="center"/>
        <w:tblInd w:w="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831"/>
        <w:gridCol w:w="1252"/>
        <w:gridCol w:w="1914"/>
        <w:gridCol w:w="1944"/>
      </w:tblGrid>
      <w:tr w:rsidR="00FD2CBB" w:rsidRPr="00C63E3A" w14:paraId="132CD7BF" w14:textId="77777777" w:rsidTr="000B19EE">
        <w:trPr>
          <w:cnfStyle w:val="100000000000" w:firstRow="1" w:lastRow="0" w:firstColumn="0" w:lastColumn="0" w:oddVBand="0" w:evenVBand="0" w:oddHBand="0"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EE3438"/>
            <w:vAlign w:val="center"/>
            <w:hideMark/>
          </w:tcPr>
          <w:p w14:paraId="0E2A0A81" w14:textId="77777777" w:rsidR="00FD2CBB" w:rsidRPr="000B19EE" w:rsidRDefault="00FD2CBB">
            <w:pPr>
              <w:spacing w:before="20" w:after="20" w:line="240" w:lineRule="auto"/>
              <w:jc w:val="left"/>
              <w:rPr>
                <w:color w:val="FFFFFF" w:themeColor="background1"/>
                <w:sz w:val="20"/>
                <w:szCs w:val="20"/>
              </w:rPr>
            </w:pPr>
            <w:r w:rsidRPr="000B19EE">
              <w:rPr>
                <w:color w:val="FFFFFF" w:themeColor="background1"/>
                <w:sz w:val="20"/>
                <w:szCs w:val="20"/>
              </w:rPr>
              <w:t>Fascia Km</w:t>
            </w:r>
          </w:p>
        </w:tc>
        <w:tc>
          <w:tcPr>
            <w:tcW w:w="0" w:type="auto"/>
            <w:shd w:val="clear" w:color="auto" w:fill="EE3438"/>
            <w:vAlign w:val="center"/>
            <w:hideMark/>
          </w:tcPr>
          <w:p w14:paraId="7DE19EB9" w14:textId="77777777" w:rsidR="00FD2CBB" w:rsidRPr="000B19EE" w:rsidRDefault="00FD2CBB">
            <w:pPr>
              <w:spacing w:before="20" w:after="20" w:line="240" w:lineRule="auto"/>
              <w:jc w:val="center"/>
              <w:cnfStyle w:val="100000000000" w:firstRow="1" w:lastRow="0" w:firstColumn="0" w:lastColumn="0" w:oddVBand="0" w:evenVBand="0" w:oddHBand="0" w:evenHBand="0" w:firstRowFirstColumn="0" w:firstRowLastColumn="0" w:lastRowFirstColumn="0" w:lastRowLastColumn="0"/>
              <w:rPr>
                <w:color w:val="FFFFFF" w:themeColor="background1"/>
                <w:sz w:val="20"/>
                <w:szCs w:val="20"/>
              </w:rPr>
            </w:pPr>
            <w:r w:rsidRPr="000B19EE">
              <w:rPr>
                <w:color w:val="FFFFFF" w:themeColor="background1"/>
                <w:sz w:val="20"/>
                <w:szCs w:val="20"/>
              </w:rPr>
              <w:t>Corsa semplice</w:t>
            </w:r>
          </w:p>
        </w:tc>
        <w:tc>
          <w:tcPr>
            <w:tcW w:w="0" w:type="auto"/>
            <w:shd w:val="clear" w:color="auto" w:fill="EE3438"/>
            <w:vAlign w:val="center"/>
          </w:tcPr>
          <w:p w14:paraId="53931152" w14:textId="77777777" w:rsidR="00FD2CBB" w:rsidRPr="000B19EE" w:rsidRDefault="00FD2CBB">
            <w:pPr>
              <w:spacing w:before="20" w:after="20" w:line="240" w:lineRule="auto"/>
              <w:jc w:val="center"/>
              <w:cnfStyle w:val="100000000000" w:firstRow="1" w:lastRow="0" w:firstColumn="0" w:lastColumn="0" w:oddVBand="0" w:evenVBand="0" w:oddHBand="0" w:evenHBand="0" w:firstRowFirstColumn="0" w:firstRowLastColumn="0" w:lastRowFirstColumn="0" w:lastRowLastColumn="0"/>
              <w:rPr>
                <w:color w:val="FFFFFF" w:themeColor="background1"/>
                <w:sz w:val="20"/>
                <w:szCs w:val="20"/>
              </w:rPr>
            </w:pPr>
            <w:r w:rsidRPr="000B19EE">
              <w:rPr>
                <w:color w:val="FFFFFF" w:themeColor="background1"/>
                <w:sz w:val="20"/>
                <w:szCs w:val="20"/>
              </w:rPr>
              <w:t>Abbonamento Mensile</w:t>
            </w:r>
          </w:p>
        </w:tc>
        <w:tc>
          <w:tcPr>
            <w:tcW w:w="0" w:type="auto"/>
            <w:shd w:val="clear" w:color="auto" w:fill="EE3438"/>
            <w:vAlign w:val="center"/>
          </w:tcPr>
          <w:p w14:paraId="4C0C6934" w14:textId="77777777" w:rsidR="00FD2CBB" w:rsidRPr="000B19EE" w:rsidRDefault="00FD2CBB">
            <w:pPr>
              <w:spacing w:before="20" w:after="20" w:line="240" w:lineRule="auto"/>
              <w:jc w:val="center"/>
              <w:cnfStyle w:val="100000000000" w:firstRow="1" w:lastRow="0" w:firstColumn="0" w:lastColumn="0" w:oddVBand="0" w:evenVBand="0" w:oddHBand="0" w:evenHBand="0" w:firstRowFirstColumn="0" w:firstRowLastColumn="0" w:lastRowFirstColumn="0" w:lastRowLastColumn="0"/>
              <w:rPr>
                <w:color w:val="FFFFFF" w:themeColor="background1"/>
                <w:sz w:val="20"/>
                <w:szCs w:val="20"/>
              </w:rPr>
            </w:pPr>
            <w:r w:rsidRPr="000B19EE">
              <w:rPr>
                <w:color w:val="FFFFFF" w:themeColor="background1"/>
                <w:sz w:val="20"/>
                <w:szCs w:val="20"/>
              </w:rPr>
              <w:t>Abbonamento Annuale</w:t>
            </w:r>
          </w:p>
        </w:tc>
      </w:tr>
      <w:tr w:rsidR="00FD2CBB" w:rsidRPr="00C63E3A" w14:paraId="7CC4EAA0" w14:textId="77777777" w:rsidTr="000B19EE">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A5D646C" w14:textId="77777777" w:rsidR="00FD2CBB" w:rsidRPr="00F917CC" w:rsidRDefault="00FD2CBB">
            <w:pPr>
              <w:spacing w:before="20" w:after="20" w:line="240" w:lineRule="auto"/>
              <w:rPr>
                <w:b w:val="0"/>
                <w:sz w:val="20"/>
                <w:szCs w:val="20"/>
              </w:rPr>
            </w:pPr>
            <w:r w:rsidRPr="00F917CC">
              <w:rPr>
                <w:b w:val="0"/>
                <w:sz w:val="20"/>
                <w:szCs w:val="20"/>
              </w:rPr>
              <w:t xml:space="preserve">0-5 </w:t>
            </w:r>
          </w:p>
        </w:tc>
        <w:tc>
          <w:tcPr>
            <w:tcW w:w="0" w:type="auto"/>
            <w:vAlign w:val="center"/>
            <w:hideMark/>
          </w:tcPr>
          <w:p w14:paraId="2BE25941"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1,80 </w:t>
            </w:r>
          </w:p>
        </w:tc>
        <w:tc>
          <w:tcPr>
            <w:tcW w:w="0" w:type="auto"/>
            <w:vAlign w:val="center"/>
          </w:tcPr>
          <w:p w14:paraId="2586DA2C"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rPr>
            </w:pPr>
            <w:r w:rsidRPr="00C63E3A">
              <w:rPr>
                <w:rFonts w:cs="Calibri"/>
                <w:sz w:val="20"/>
                <w:szCs w:val="20"/>
              </w:rPr>
              <w:t xml:space="preserve">37,00 </w:t>
            </w:r>
          </w:p>
        </w:tc>
        <w:tc>
          <w:tcPr>
            <w:tcW w:w="0" w:type="auto"/>
            <w:vAlign w:val="center"/>
          </w:tcPr>
          <w:p w14:paraId="416C8F5E"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rPr>
            </w:pPr>
            <w:r w:rsidRPr="00C63E3A">
              <w:rPr>
                <w:rFonts w:cs="Calibri"/>
                <w:sz w:val="20"/>
                <w:szCs w:val="20"/>
              </w:rPr>
              <w:t xml:space="preserve">333,00 </w:t>
            </w:r>
          </w:p>
        </w:tc>
      </w:tr>
      <w:tr w:rsidR="00FD2CBB" w:rsidRPr="00C63E3A" w14:paraId="54088DAF" w14:textId="77777777" w:rsidTr="000B19EE">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96A0864" w14:textId="77777777" w:rsidR="00FD2CBB" w:rsidRPr="00F917CC" w:rsidRDefault="00FD2CBB">
            <w:pPr>
              <w:spacing w:before="20" w:after="20" w:line="240" w:lineRule="auto"/>
              <w:rPr>
                <w:b w:val="0"/>
                <w:sz w:val="20"/>
                <w:szCs w:val="20"/>
              </w:rPr>
            </w:pPr>
            <w:r w:rsidRPr="00F917CC">
              <w:rPr>
                <w:b w:val="0"/>
                <w:sz w:val="20"/>
                <w:szCs w:val="20"/>
              </w:rPr>
              <w:t>5,1-10</w:t>
            </w:r>
          </w:p>
        </w:tc>
        <w:tc>
          <w:tcPr>
            <w:tcW w:w="0" w:type="auto"/>
            <w:vAlign w:val="center"/>
            <w:hideMark/>
          </w:tcPr>
          <w:p w14:paraId="63D0BF5D"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2,30 </w:t>
            </w:r>
          </w:p>
        </w:tc>
        <w:tc>
          <w:tcPr>
            <w:tcW w:w="0" w:type="auto"/>
            <w:vAlign w:val="center"/>
          </w:tcPr>
          <w:p w14:paraId="5A4A4739"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rPr>
            </w:pPr>
            <w:r w:rsidRPr="00C63E3A">
              <w:rPr>
                <w:rFonts w:cs="Calibri"/>
                <w:sz w:val="20"/>
                <w:szCs w:val="20"/>
              </w:rPr>
              <w:t xml:space="preserve">46,00 </w:t>
            </w:r>
          </w:p>
        </w:tc>
        <w:tc>
          <w:tcPr>
            <w:tcW w:w="0" w:type="auto"/>
            <w:vAlign w:val="center"/>
          </w:tcPr>
          <w:p w14:paraId="6E9B39E2"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rPr>
            </w:pPr>
            <w:r w:rsidRPr="00C63E3A">
              <w:rPr>
                <w:rFonts w:cs="Calibri"/>
                <w:sz w:val="20"/>
                <w:szCs w:val="20"/>
              </w:rPr>
              <w:t xml:space="preserve">419,00 </w:t>
            </w:r>
          </w:p>
        </w:tc>
      </w:tr>
      <w:tr w:rsidR="00FD2CBB" w:rsidRPr="00C63E3A" w14:paraId="2C88023C" w14:textId="77777777" w:rsidTr="000B19EE">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73052B5" w14:textId="77777777" w:rsidR="00FD2CBB" w:rsidRPr="00F917CC" w:rsidRDefault="00FD2CBB">
            <w:pPr>
              <w:spacing w:before="20" w:after="20" w:line="240" w:lineRule="auto"/>
              <w:rPr>
                <w:b w:val="0"/>
                <w:sz w:val="20"/>
                <w:szCs w:val="20"/>
              </w:rPr>
            </w:pPr>
            <w:r w:rsidRPr="00F917CC">
              <w:rPr>
                <w:b w:val="0"/>
                <w:sz w:val="20"/>
                <w:szCs w:val="20"/>
              </w:rPr>
              <w:t>10,1-15</w:t>
            </w:r>
          </w:p>
        </w:tc>
        <w:tc>
          <w:tcPr>
            <w:tcW w:w="0" w:type="auto"/>
            <w:vAlign w:val="center"/>
            <w:hideMark/>
          </w:tcPr>
          <w:p w14:paraId="43E1C551"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2,60 </w:t>
            </w:r>
          </w:p>
        </w:tc>
        <w:tc>
          <w:tcPr>
            <w:tcW w:w="0" w:type="auto"/>
            <w:vAlign w:val="center"/>
          </w:tcPr>
          <w:p w14:paraId="475B8CEA"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rPr>
            </w:pPr>
            <w:r w:rsidRPr="00C63E3A">
              <w:rPr>
                <w:rFonts w:cs="Calibri"/>
                <w:sz w:val="20"/>
                <w:szCs w:val="20"/>
              </w:rPr>
              <w:t xml:space="preserve">56,50 </w:t>
            </w:r>
          </w:p>
        </w:tc>
        <w:tc>
          <w:tcPr>
            <w:tcW w:w="0" w:type="auto"/>
            <w:vAlign w:val="center"/>
          </w:tcPr>
          <w:p w14:paraId="1E39DAB5"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rPr>
            </w:pPr>
            <w:r w:rsidRPr="00C63E3A">
              <w:rPr>
                <w:rFonts w:cs="Calibri"/>
                <w:sz w:val="20"/>
                <w:szCs w:val="20"/>
              </w:rPr>
              <w:t xml:space="preserve">505,50 </w:t>
            </w:r>
          </w:p>
        </w:tc>
      </w:tr>
      <w:tr w:rsidR="00FD2CBB" w:rsidRPr="00C63E3A" w14:paraId="22861643" w14:textId="77777777" w:rsidTr="000B19EE">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8CA7F46" w14:textId="77777777" w:rsidR="00FD2CBB" w:rsidRPr="00F917CC" w:rsidRDefault="00FD2CBB">
            <w:pPr>
              <w:spacing w:before="20" w:after="20" w:line="240" w:lineRule="auto"/>
              <w:rPr>
                <w:b w:val="0"/>
                <w:sz w:val="20"/>
                <w:szCs w:val="20"/>
              </w:rPr>
            </w:pPr>
            <w:r w:rsidRPr="00F917CC">
              <w:rPr>
                <w:b w:val="0"/>
                <w:sz w:val="20"/>
                <w:szCs w:val="20"/>
              </w:rPr>
              <w:t>15,1-20</w:t>
            </w:r>
          </w:p>
        </w:tc>
        <w:tc>
          <w:tcPr>
            <w:tcW w:w="0" w:type="auto"/>
            <w:vAlign w:val="center"/>
            <w:hideMark/>
          </w:tcPr>
          <w:p w14:paraId="0B81AB93"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3,30 </w:t>
            </w:r>
          </w:p>
        </w:tc>
        <w:tc>
          <w:tcPr>
            <w:tcW w:w="0" w:type="auto"/>
            <w:vAlign w:val="center"/>
          </w:tcPr>
          <w:p w14:paraId="089FE5B8"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rPr>
            </w:pPr>
            <w:r w:rsidRPr="00C63E3A">
              <w:rPr>
                <w:rFonts w:cs="Calibri"/>
                <w:sz w:val="20"/>
                <w:szCs w:val="20"/>
              </w:rPr>
              <w:t xml:space="preserve">71,00 </w:t>
            </w:r>
          </w:p>
        </w:tc>
        <w:tc>
          <w:tcPr>
            <w:tcW w:w="0" w:type="auto"/>
            <w:vAlign w:val="center"/>
          </w:tcPr>
          <w:p w14:paraId="793C89F9"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rPr>
            </w:pPr>
            <w:r w:rsidRPr="00C63E3A">
              <w:rPr>
                <w:rFonts w:cs="Calibri"/>
                <w:sz w:val="20"/>
                <w:szCs w:val="20"/>
              </w:rPr>
              <w:t xml:space="preserve">636,50 </w:t>
            </w:r>
          </w:p>
        </w:tc>
      </w:tr>
      <w:tr w:rsidR="00FD2CBB" w:rsidRPr="00C63E3A" w14:paraId="37170D15" w14:textId="77777777" w:rsidTr="000B19EE">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D10C51C" w14:textId="77777777" w:rsidR="00FD2CBB" w:rsidRPr="00F917CC" w:rsidRDefault="00FD2CBB">
            <w:pPr>
              <w:spacing w:before="20" w:after="20" w:line="240" w:lineRule="auto"/>
              <w:rPr>
                <w:b w:val="0"/>
                <w:sz w:val="20"/>
                <w:szCs w:val="20"/>
              </w:rPr>
            </w:pPr>
            <w:r w:rsidRPr="00F917CC">
              <w:rPr>
                <w:b w:val="0"/>
                <w:sz w:val="20"/>
                <w:szCs w:val="20"/>
              </w:rPr>
              <w:t>20,1-25</w:t>
            </w:r>
          </w:p>
        </w:tc>
        <w:tc>
          <w:tcPr>
            <w:tcW w:w="0" w:type="auto"/>
            <w:vAlign w:val="center"/>
            <w:hideMark/>
          </w:tcPr>
          <w:p w14:paraId="5766828F"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3,70 </w:t>
            </w:r>
          </w:p>
        </w:tc>
        <w:tc>
          <w:tcPr>
            <w:tcW w:w="0" w:type="auto"/>
            <w:vAlign w:val="center"/>
          </w:tcPr>
          <w:p w14:paraId="12AB9B6B"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rPr>
            </w:pPr>
            <w:r w:rsidRPr="00C63E3A">
              <w:rPr>
                <w:rFonts w:cs="Calibri"/>
                <w:sz w:val="20"/>
                <w:szCs w:val="20"/>
              </w:rPr>
              <w:t xml:space="preserve">79,50 </w:t>
            </w:r>
          </w:p>
        </w:tc>
        <w:tc>
          <w:tcPr>
            <w:tcW w:w="0" w:type="auto"/>
            <w:vAlign w:val="center"/>
          </w:tcPr>
          <w:p w14:paraId="5C7607D3"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rPr>
            </w:pPr>
            <w:r w:rsidRPr="00C63E3A">
              <w:rPr>
                <w:rFonts w:cs="Calibri"/>
                <w:sz w:val="20"/>
                <w:szCs w:val="20"/>
              </w:rPr>
              <w:t xml:space="preserve">716,00 </w:t>
            </w:r>
          </w:p>
        </w:tc>
      </w:tr>
      <w:tr w:rsidR="00FD2CBB" w:rsidRPr="00C63E3A" w14:paraId="55002CAD" w14:textId="77777777" w:rsidTr="000B19EE">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A5DB9E5" w14:textId="77777777" w:rsidR="00FD2CBB" w:rsidRPr="00F917CC" w:rsidRDefault="00FD2CBB">
            <w:pPr>
              <w:spacing w:before="20" w:after="20" w:line="240" w:lineRule="auto"/>
              <w:rPr>
                <w:b w:val="0"/>
                <w:sz w:val="20"/>
                <w:szCs w:val="20"/>
              </w:rPr>
            </w:pPr>
            <w:r w:rsidRPr="00F917CC">
              <w:rPr>
                <w:b w:val="0"/>
                <w:sz w:val="20"/>
                <w:szCs w:val="20"/>
              </w:rPr>
              <w:t>25,1-30</w:t>
            </w:r>
          </w:p>
        </w:tc>
        <w:tc>
          <w:tcPr>
            <w:tcW w:w="0" w:type="auto"/>
            <w:vAlign w:val="center"/>
            <w:hideMark/>
          </w:tcPr>
          <w:p w14:paraId="48B142CF"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4,30 </w:t>
            </w:r>
          </w:p>
        </w:tc>
        <w:tc>
          <w:tcPr>
            <w:tcW w:w="0" w:type="auto"/>
            <w:vAlign w:val="center"/>
          </w:tcPr>
          <w:p w14:paraId="535CD704"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rPr>
            </w:pPr>
            <w:r w:rsidRPr="00C63E3A">
              <w:rPr>
                <w:rFonts w:cs="Calibri"/>
                <w:sz w:val="20"/>
                <w:szCs w:val="20"/>
              </w:rPr>
              <w:t xml:space="preserve">88,00 </w:t>
            </w:r>
          </w:p>
        </w:tc>
        <w:tc>
          <w:tcPr>
            <w:tcW w:w="0" w:type="auto"/>
            <w:vAlign w:val="center"/>
          </w:tcPr>
          <w:p w14:paraId="2BB189CC"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rPr>
            </w:pPr>
            <w:r w:rsidRPr="00C63E3A">
              <w:rPr>
                <w:rFonts w:cs="Calibri"/>
                <w:sz w:val="20"/>
                <w:szCs w:val="20"/>
              </w:rPr>
              <w:t xml:space="preserve">787,00 </w:t>
            </w:r>
          </w:p>
        </w:tc>
      </w:tr>
      <w:tr w:rsidR="00FD2CBB" w:rsidRPr="00C63E3A" w14:paraId="0F534C9A" w14:textId="77777777" w:rsidTr="000B19EE">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2BED353" w14:textId="77777777" w:rsidR="00FD2CBB" w:rsidRPr="00F917CC" w:rsidRDefault="00FD2CBB">
            <w:pPr>
              <w:spacing w:before="20" w:after="20" w:line="240" w:lineRule="auto"/>
              <w:rPr>
                <w:b w:val="0"/>
                <w:sz w:val="20"/>
                <w:szCs w:val="20"/>
              </w:rPr>
            </w:pPr>
            <w:r w:rsidRPr="00F917CC">
              <w:rPr>
                <w:b w:val="0"/>
                <w:sz w:val="20"/>
                <w:szCs w:val="20"/>
              </w:rPr>
              <w:t>30,1-35</w:t>
            </w:r>
          </w:p>
        </w:tc>
        <w:tc>
          <w:tcPr>
            <w:tcW w:w="0" w:type="auto"/>
            <w:vAlign w:val="center"/>
            <w:hideMark/>
          </w:tcPr>
          <w:p w14:paraId="6DBDCEE6"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4,60 </w:t>
            </w:r>
          </w:p>
        </w:tc>
        <w:tc>
          <w:tcPr>
            <w:tcW w:w="0" w:type="auto"/>
            <w:vAlign w:val="center"/>
          </w:tcPr>
          <w:p w14:paraId="25B72CCB"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rPr>
            </w:pPr>
            <w:r w:rsidRPr="00C63E3A">
              <w:rPr>
                <w:rFonts w:cs="Calibri"/>
                <w:sz w:val="20"/>
                <w:szCs w:val="20"/>
              </w:rPr>
              <w:t xml:space="preserve">93,50 </w:t>
            </w:r>
          </w:p>
        </w:tc>
        <w:tc>
          <w:tcPr>
            <w:tcW w:w="0" w:type="auto"/>
            <w:vAlign w:val="center"/>
          </w:tcPr>
          <w:p w14:paraId="7F3E2D0D"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rPr>
            </w:pPr>
            <w:r w:rsidRPr="00C63E3A">
              <w:rPr>
                <w:rFonts w:cs="Calibri"/>
                <w:sz w:val="20"/>
                <w:szCs w:val="20"/>
              </w:rPr>
              <w:t xml:space="preserve">843,50 </w:t>
            </w:r>
          </w:p>
        </w:tc>
      </w:tr>
      <w:tr w:rsidR="00FD2CBB" w:rsidRPr="00C63E3A" w14:paraId="0CE9A594" w14:textId="77777777" w:rsidTr="000B19EE">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9AE739C" w14:textId="77777777" w:rsidR="00FD2CBB" w:rsidRPr="00F917CC" w:rsidRDefault="00FD2CBB">
            <w:pPr>
              <w:spacing w:before="20" w:after="20" w:line="240" w:lineRule="auto"/>
              <w:rPr>
                <w:b w:val="0"/>
                <w:sz w:val="20"/>
                <w:szCs w:val="20"/>
              </w:rPr>
            </w:pPr>
            <w:r>
              <w:rPr>
                <w:b w:val="0"/>
                <w:sz w:val="20"/>
                <w:szCs w:val="20"/>
              </w:rPr>
              <w:t>35,1-40</w:t>
            </w:r>
          </w:p>
        </w:tc>
        <w:tc>
          <w:tcPr>
            <w:tcW w:w="0" w:type="auto"/>
            <w:vAlign w:val="center"/>
            <w:hideMark/>
          </w:tcPr>
          <w:p w14:paraId="0495DBFA"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5,00 </w:t>
            </w:r>
          </w:p>
        </w:tc>
        <w:tc>
          <w:tcPr>
            <w:tcW w:w="0" w:type="auto"/>
            <w:vAlign w:val="center"/>
          </w:tcPr>
          <w:p w14:paraId="0424B10F"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rPr>
            </w:pPr>
            <w:r w:rsidRPr="00C63E3A">
              <w:rPr>
                <w:rFonts w:cs="Calibri"/>
                <w:sz w:val="20"/>
                <w:szCs w:val="20"/>
              </w:rPr>
              <w:t xml:space="preserve">101,50 </w:t>
            </w:r>
          </w:p>
        </w:tc>
        <w:tc>
          <w:tcPr>
            <w:tcW w:w="0" w:type="auto"/>
            <w:vAlign w:val="center"/>
          </w:tcPr>
          <w:p w14:paraId="0EA93883"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rPr>
            </w:pPr>
            <w:r w:rsidRPr="00C63E3A">
              <w:rPr>
                <w:rFonts w:cs="Calibri"/>
                <w:sz w:val="20"/>
                <w:szCs w:val="20"/>
              </w:rPr>
              <w:t xml:space="preserve">907,50 </w:t>
            </w:r>
          </w:p>
        </w:tc>
      </w:tr>
      <w:tr w:rsidR="00FD2CBB" w:rsidRPr="00C63E3A" w14:paraId="05ABF0FE" w14:textId="77777777" w:rsidTr="000B19EE">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A81C3C7" w14:textId="77777777" w:rsidR="00FD2CBB" w:rsidRPr="00F917CC" w:rsidRDefault="00FD2CBB">
            <w:pPr>
              <w:spacing w:before="20" w:after="20" w:line="240" w:lineRule="auto"/>
              <w:rPr>
                <w:b w:val="0"/>
                <w:sz w:val="20"/>
                <w:szCs w:val="20"/>
              </w:rPr>
            </w:pPr>
            <w:r>
              <w:rPr>
                <w:b w:val="0"/>
                <w:sz w:val="20"/>
                <w:szCs w:val="20"/>
              </w:rPr>
              <w:t>40,1-45</w:t>
            </w:r>
          </w:p>
        </w:tc>
        <w:tc>
          <w:tcPr>
            <w:tcW w:w="0" w:type="auto"/>
            <w:vAlign w:val="center"/>
            <w:hideMark/>
          </w:tcPr>
          <w:p w14:paraId="5F409F27"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5,30 </w:t>
            </w:r>
          </w:p>
        </w:tc>
        <w:tc>
          <w:tcPr>
            <w:tcW w:w="0" w:type="auto"/>
            <w:vAlign w:val="center"/>
          </w:tcPr>
          <w:p w14:paraId="4D2690BB"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rPr>
            </w:pPr>
            <w:r w:rsidRPr="00C63E3A">
              <w:rPr>
                <w:rFonts w:cs="Calibri"/>
                <w:sz w:val="20"/>
                <w:szCs w:val="20"/>
              </w:rPr>
              <w:t xml:space="preserve">108,50 </w:t>
            </w:r>
          </w:p>
        </w:tc>
        <w:tc>
          <w:tcPr>
            <w:tcW w:w="0" w:type="auto"/>
            <w:vAlign w:val="center"/>
          </w:tcPr>
          <w:p w14:paraId="5B8B2F8C"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rPr>
            </w:pPr>
            <w:r w:rsidRPr="00C63E3A">
              <w:rPr>
                <w:rFonts w:cs="Calibri"/>
                <w:sz w:val="20"/>
                <w:szCs w:val="20"/>
              </w:rPr>
              <w:t xml:space="preserve">978,50 </w:t>
            </w:r>
          </w:p>
        </w:tc>
      </w:tr>
      <w:tr w:rsidR="00FD2CBB" w:rsidRPr="00C63E3A" w14:paraId="5BDB521E" w14:textId="77777777" w:rsidTr="000B19EE">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048FFAA" w14:textId="77777777" w:rsidR="00FD2CBB" w:rsidRPr="00F917CC" w:rsidRDefault="00FD2CBB">
            <w:pPr>
              <w:spacing w:before="20" w:after="20" w:line="240" w:lineRule="auto"/>
              <w:rPr>
                <w:b w:val="0"/>
                <w:sz w:val="20"/>
                <w:szCs w:val="20"/>
              </w:rPr>
            </w:pPr>
            <w:r>
              <w:rPr>
                <w:b w:val="0"/>
                <w:sz w:val="20"/>
                <w:szCs w:val="20"/>
              </w:rPr>
              <w:t>45,1-50</w:t>
            </w:r>
          </w:p>
        </w:tc>
        <w:tc>
          <w:tcPr>
            <w:tcW w:w="0" w:type="auto"/>
            <w:vAlign w:val="center"/>
            <w:hideMark/>
          </w:tcPr>
          <w:p w14:paraId="7B84E9DB"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5,60 </w:t>
            </w:r>
          </w:p>
        </w:tc>
        <w:tc>
          <w:tcPr>
            <w:tcW w:w="0" w:type="auto"/>
            <w:vAlign w:val="center"/>
          </w:tcPr>
          <w:p w14:paraId="350C733E"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rPr>
            </w:pPr>
            <w:r w:rsidRPr="00C63E3A">
              <w:rPr>
                <w:rFonts w:cs="Calibri"/>
                <w:sz w:val="20"/>
                <w:szCs w:val="20"/>
              </w:rPr>
              <w:t xml:space="preserve">113,50 </w:t>
            </w:r>
          </w:p>
        </w:tc>
        <w:tc>
          <w:tcPr>
            <w:tcW w:w="0" w:type="auto"/>
            <w:vAlign w:val="center"/>
          </w:tcPr>
          <w:p w14:paraId="39ADCE97"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rPr>
            </w:pPr>
            <w:r w:rsidRPr="00C63E3A">
              <w:rPr>
                <w:rFonts w:cs="Calibri"/>
                <w:sz w:val="20"/>
                <w:szCs w:val="20"/>
              </w:rPr>
              <w:t xml:space="preserve">1.021,00 </w:t>
            </w:r>
          </w:p>
        </w:tc>
      </w:tr>
      <w:tr w:rsidR="00FD2CBB" w:rsidRPr="00C63E3A" w14:paraId="613B5904" w14:textId="77777777" w:rsidTr="000B19EE">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7EA2BE2" w14:textId="77777777" w:rsidR="00FD2CBB" w:rsidRPr="00F917CC" w:rsidRDefault="00FD2CBB">
            <w:pPr>
              <w:spacing w:before="20" w:after="20" w:line="240" w:lineRule="auto"/>
              <w:rPr>
                <w:b w:val="0"/>
                <w:sz w:val="20"/>
                <w:szCs w:val="20"/>
              </w:rPr>
            </w:pPr>
            <w:r>
              <w:rPr>
                <w:b w:val="0"/>
                <w:sz w:val="20"/>
                <w:szCs w:val="20"/>
              </w:rPr>
              <w:t>50,1-60</w:t>
            </w:r>
          </w:p>
        </w:tc>
        <w:tc>
          <w:tcPr>
            <w:tcW w:w="0" w:type="auto"/>
            <w:vAlign w:val="center"/>
            <w:hideMark/>
          </w:tcPr>
          <w:p w14:paraId="3DA22E8E"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6,40 </w:t>
            </w:r>
          </w:p>
        </w:tc>
        <w:tc>
          <w:tcPr>
            <w:tcW w:w="0" w:type="auto"/>
            <w:vAlign w:val="center"/>
          </w:tcPr>
          <w:p w14:paraId="11E0D2EF"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rPr>
            </w:pPr>
            <w:r w:rsidRPr="00C63E3A">
              <w:rPr>
                <w:rFonts w:cs="Calibri"/>
                <w:sz w:val="20"/>
                <w:szCs w:val="20"/>
              </w:rPr>
              <w:t xml:space="preserve">122,00 </w:t>
            </w:r>
          </w:p>
        </w:tc>
        <w:tc>
          <w:tcPr>
            <w:tcW w:w="0" w:type="auto"/>
            <w:vAlign w:val="center"/>
          </w:tcPr>
          <w:p w14:paraId="7908CA07"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rPr>
            </w:pPr>
            <w:r w:rsidRPr="00C63E3A">
              <w:rPr>
                <w:rFonts w:cs="Calibri"/>
                <w:sz w:val="20"/>
                <w:szCs w:val="20"/>
              </w:rPr>
              <w:t xml:space="preserve">1.102,50 </w:t>
            </w:r>
          </w:p>
        </w:tc>
      </w:tr>
      <w:tr w:rsidR="00FD2CBB" w:rsidRPr="00C63E3A" w14:paraId="4E53AC33" w14:textId="77777777" w:rsidTr="000B19EE">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CD2CCA3" w14:textId="77777777" w:rsidR="00FD2CBB" w:rsidRPr="00F917CC" w:rsidRDefault="00FD2CBB">
            <w:pPr>
              <w:spacing w:before="20" w:after="20" w:line="240" w:lineRule="auto"/>
              <w:rPr>
                <w:b w:val="0"/>
                <w:sz w:val="20"/>
                <w:szCs w:val="20"/>
              </w:rPr>
            </w:pPr>
            <w:r w:rsidRPr="00F917CC">
              <w:rPr>
                <w:b w:val="0"/>
                <w:sz w:val="20"/>
                <w:szCs w:val="20"/>
              </w:rPr>
              <w:t>6</w:t>
            </w:r>
            <w:r>
              <w:rPr>
                <w:b w:val="0"/>
                <w:sz w:val="20"/>
                <w:szCs w:val="20"/>
              </w:rPr>
              <w:t>0,1-70</w:t>
            </w:r>
          </w:p>
        </w:tc>
        <w:tc>
          <w:tcPr>
            <w:tcW w:w="0" w:type="auto"/>
            <w:vAlign w:val="center"/>
            <w:hideMark/>
          </w:tcPr>
          <w:p w14:paraId="7E016F6A"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7,00 </w:t>
            </w:r>
          </w:p>
        </w:tc>
        <w:tc>
          <w:tcPr>
            <w:tcW w:w="0" w:type="auto"/>
            <w:vAlign w:val="center"/>
          </w:tcPr>
          <w:p w14:paraId="181C2C6C"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rPr>
            </w:pPr>
            <w:r w:rsidRPr="00C63E3A">
              <w:rPr>
                <w:rFonts w:cs="Calibri"/>
                <w:sz w:val="20"/>
                <w:szCs w:val="20"/>
              </w:rPr>
              <w:t xml:space="preserve">126,50 </w:t>
            </w:r>
          </w:p>
        </w:tc>
        <w:tc>
          <w:tcPr>
            <w:tcW w:w="0" w:type="auto"/>
            <w:vAlign w:val="center"/>
          </w:tcPr>
          <w:p w14:paraId="0BE0E8E7"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rPr>
            </w:pPr>
            <w:r w:rsidRPr="00C63E3A">
              <w:rPr>
                <w:rFonts w:cs="Calibri"/>
                <w:sz w:val="20"/>
                <w:szCs w:val="20"/>
              </w:rPr>
              <w:t xml:space="preserve">1.142,50 </w:t>
            </w:r>
          </w:p>
        </w:tc>
      </w:tr>
      <w:tr w:rsidR="00FD2CBB" w:rsidRPr="00C63E3A" w14:paraId="2950BD07" w14:textId="77777777" w:rsidTr="000B19EE">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B0208E6" w14:textId="77777777" w:rsidR="00FD2CBB" w:rsidRPr="00F917CC" w:rsidRDefault="00FD2CBB">
            <w:pPr>
              <w:spacing w:before="20" w:after="20" w:line="240" w:lineRule="auto"/>
              <w:rPr>
                <w:b w:val="0"/>
                <w:sz w:val="20"/>
                <w:szCs w:val="20"/>
              </w:rPr>
            </w:pPr>
            <w:r>
              <w:rPr>
                <w:b w:val="0"/>
                <w:sz w:val="20"/>
                <w:szCs w:val="20"/>
              </w:rPr>
              <w:t>70,1-80</w:t>
            </w:r>
          </w:p>
        </w:tc>
        <w:tc>
          <w:tcPr>
            <w:tcW w:w="0" w:type="auto"/>
            <w:vAlign w:val="center"/>
            <w:hideMark/>
          </w:tcPr>
          <w:p w14:paraId="181C60BC"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7,70 </w:t>
            </w:r>
          </w:p>
        </w:tc>
        <w:tc>
          <w:tcPr>
            <w:tcW w:w="0" w:type="auto"/>
            <w:vAlign w:val="center"/>
          </w:tcPr>
          <w:p w14:paraId="13B7C578"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rPr>
            </w:pPr>
            <w:r w:rsidRPr="00C63E3A">
              <w:rPr>
                <w:rFonts w:cs="Calibri"/>
                <w:sz w:val="20"/>
                <w:szCs w:val="20"/>
              </w:rPr>
              <w:t xml:space="preserve">130,50 </w:t>
            </w:r>
          </w:p>
        </w:tc>
        <w:tc>
          <w:tcPr>
            <w:tcW w:w="0" w:type="auto"/>
            <w:vAlign w:val="center"/>
          </w:tcPr>
          <w:p w14:paraId="0C1F56C7"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rPr>
            </w:pPr>
            <w:r w:rsidRPr="00C63E3A">
              <w:rPr>
                <w:rFonts w:cs="Calibri"/>
                <w:sz w:val="20"/>
                <w:szCs w:val="20"/>
              </w:rPr>
              <w:t xml:space="preserve">1.179,00 </w:t>
            </w:r>
          </w:p>
        </w:tc>
      </w:tr>
      <w:tr w:rsidR="00FD2CBB" w:rsidRPr="00C63E3A" w14:paraId="0DD858CF" w14:textId="77777777" w:rsidTr="000B19EE">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97079E1" w14:textId="77777777" w:rsidR="00FD2CBB" w:rsidRPr="00F917CC" w:rsidRDefault="00FD2CBB">
            <w:pPr>
              <w:spacing w:before="20" w:after="20" w:line="240" w:lineRule="auto"/>
              <w:rPr>
                <w:b w:val="0"/>
                <w:sz w:val="20"/>
                <w:szCs w:val="20"/>
              </w:rPr>
            </w:pPr>
            <w:r>
              <w:rPr>
                <w:b w:val="0"/>
                <w:sz w:val="20"/>
                <w:szCs w:val="20"/>
              </w:rPr>
              <w:t>80,1-90</w:t>
            </w:r>
          </w:p>
        </w:tc>
        <w:tc>
          <w:tcPr>
            <w:tcW w:w="0" w:type="auto"/>
            <w:vAlign w:val="center"/>
            <w:hideMark/>
          </w:tcPr>
          <w:p w14:paraId="0B007965"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8,50 </w:t>
            </w:r>
          </w:p>
        </w:tc>
        <w:tc>
          <w:tcPr>
            <w:tcW w:w="0" w:type="auto"/>
            <w:vAlign w:val="center"/>
          </w:tcPr>
          <w:p w14:paraId="2C3DC433"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rPr>
            </w:pPr>
            <w:r w:rsidRPr="00C63E3A">
              <w:rPr>
                <w:rFonts w:cs="Calibri"/>
                <w:sz w:val="20"/>
                <w:szCs w:val="20"/>
              </w:rPr>
              <w:t xml:space="preserve">134,00 </w:t>
            </w:r>
          </w:p>
        </w:tc>
        <w:tc>
          <w:tcPr>
            <w:tcW w:w="0" w:type="auto"/>
            <w:vAlign w:val="center"/>
          </w:tcPr>
          <w:p w14:paraId="589CAE52"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rPr>
            </w:pPr>
            <w:r w:rsidRPr="00C63E3A">
              <w:rPr>
                <w:rFonts w:cs="Calibri"/>
                <w:sz w:val="20"/>
                <w:szCs w:val="20"/>
              </w:rPr>
              <w:t xml:space="preserve">1.213,00 </w:t>
            </w:r>
          </w:p>
        </w:tc>
      </w:tr>
      <w:tr w:rsidR="00FD2CBB" w:rsidRPr="00C63E3A" w14:paraId="40824B16" w14:textId="77777777" w:rsidTr="000B19EE">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FD3A895" w14:textId="77777777" w:rsidR="00FD2CBB" w:rsidRPr="00F917CC" w:rsidRDefault="00FD2CBB">
            <w:pPr>
              <w:spacing w:before="20" w:after="20" w:line="240" w:lineRule="auto"/>
              <w:rPr>
                <w:b w:val="0"/>
                <w:sz w:val="20"/>
                <w:szCs w:val="20"/>
              </w:rPr>
            </w:pPr>
            <w:r>
              <w:rPr>
                <w:b w:val="0"/>
                <w:sz w:val="20"/>
                <w:szCs w:val="20"/>
              </w:rPr>
              <w:t>90,1-100</w:t>
            </w:r>
          </w:p>
        </w:tc>
        <w:tc>
          <w:tcPr>
            <w:tcW w:w="0" w:type="auto"/>
            <w:vAlign w:val="center"/>
            <w:hideMark/>
          </w:tcPr>
          <w:p w14:paraId="35F73C7D"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9,50 </w:t>
            </w:r>
          </w:p>
        </w:tc>
        <w:tc>
          <w:tcPr>
            <w:tcW w:w="0" w:type="auto"/>
            <w:vAlign w:val="center"/>
          </w:tcPr>
          <w:p w14:paraId="68D85183"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rPr>
            </w:pPr>
            <w:r w:rsidRPr="00C63E3A">
              <w:rPr>
                <w:rFonts w:cs="Calibri"/>
                <w:sz w:val="20"/>
                <w:szCs w:val="20"/>
              </w:rPr>
              <w:t xml:space="preserve">138,00 </w:t>
            </w:r>
          </w:p>
        </w:tc>
        <w:tc>
          <w:tcPr>
            <w:tcW w:w="0" w:type="auto"/>
            <w:vAlign w:val="center"/>
          </w:tcPr>
          <w:p w14:paraId="4DBC0114"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rPr>
            </w:pPr>
            <w:r w:rsidRPr="00C63E3A">
              <w:rPr>
                <w:rFonts w:cs="Calibri"/>
                <w:sz w:val="20"/>
                <w:szCs w:val="20"/>
              </w:rPr>
              <w:t xml:space="preserve">1.245,50 </w:t>
            </w:r>
          </w:p>
        </w:tc>
      </w:tr>
      <w:tr w:rsidR="00FD2CBB" w:rsidRPr="00C63E3A" w14:paraId="06D70DCF" w14:textId="77777777" w:rsidTr="000B19EE">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1875744" w14:textId="77777777" w:rsidR="00FD2CBB" w:rsidRPr="00F917CC" w:rsidRDefault="00FD2CBB">
            <w:pPr>
              <w:spacing w:before="20" w:after="20" w:line="240" w:lineRule="auto"/>
              <w:rPr>
                <w:b w:val="0"/>
                <w:sz w:val="20"/>
                <w:szCs w:val="20"/>
              </w:rPr>
            </w:pPr>
            <w:r>
              <w:rPr>
                <w:b w:val="0"/>
                <w:sz w:val="20"/>
                <w:szCs w:val="20"/>
              </w:rPr>
              <w:t>100,1-125</w:t>
            </w:r>
          </w:p>
        </w:tc>
        <w:tc>
          <w:tcPr>
            <w:tcW w:w="0" w:type="auto"/>
            <w:vAlign w:val="center"/>
            <w:hideMark/>
          </w:tcPr>
          <w:p w14:paraId="202BC876"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10,60 </w:t>
            </w:r>
          </w:p>
        </w:tc>
        <w:tc>
          <w:tcPr>
            <w:tcW w:w="0" w:type="auto"/>
            <w:vAlign w:val="center"/>
          </w:tcPr>
          <w:p w14:paraId="4AB61AE7"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rPr>
            </w:pPr>
            <w:r w:rsidRPr="00C63E3A">
              <w:rPr>
                <w:rFonts w:cs="Calibri"/>
                <w:sz w:val="20"/>
                <w:szCs w:val="20"/>
              </w:rPr>
              <w:t xml:space="preserve">141,00 </w:t>
            </w:r>
          </w:p>
        </w:tc>
        <w:tc>
          <w:tcPr>
            <w:tcW w:w="0" w:type="auto"/>
            <w:vAlign w:val="center"/>
          </w:tcPr>
          <w:p w14:paraId="4732E70F"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rPr>
            </w:pPr>
            <w:r w:rsidRPr="00C63E3A">
              <w:rPr>
                <w:rFonts w:cs="Calibri"/>
                <w:sz w:val="20"/>
                <w:szCs w:val="20"/>
              </w:rPr>
              <w:t xml:space="preserve">1.275,00 </w:t>
            </w:r>
          </w:p>
        </w:tc>
      </w:tr>
      <w:tr w:rsidR="00FD2CBB" w:rsidRPr="00C63E3A" w14:paraId="3C0AEEEE" w14:textId="77777777" w:rsidTr="000B19EE">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3396C22" w14:textId="77777777" w:rsidR="00FD2CBB" w:rsidRPr="00F917CC" w:rsidRDefault="00FD2CBB">
            <w:pPr>
              <w:spacing w:before="20" w:after="20" w:line="240" w:lineRule="auto"/>
              <w:rPr>
                <w:b w:val="0"/>
                <w:sz w:val="20"/>
                <w:szCs w:val="20"/>
              </w:rPr>
            </w:pPr>
            <w:r>
              <w:rPr>
                <w:b w:val="0"/>
                <w:sz w:val="20"/>
                <w:szCs w:val="20"/>
              </w:rPr>
              <w:t>125,1-150</w:t>
            </w:r>
          </w:p>
        </w:tc>
        <w:tc>
          <w:tcPr>
            <w:tcW w:w="0" w:type="auto"/>
            <w:vAlign w:val="center"/>
            <w:hideMark/>
          </w:tcPr>
          <w:p w14:paraId="4CF61517"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11,20 </w:t>
            </w:r>
          </w:p>
        </w:tc>
        <w:tc>
          <w:tcPr>
            <w:tcW w:w="0" w:type="auto"/>
            <w:vAlign w:val="center"/>
          </w:tcPr>
          <w:p w14:paraId="1793EACD"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rPr>
            </w:pPr>
            <w:r w:rsidRPr="00C63E3A">
              <w:rPr>
                <w:rFonts w:cs="Calibri"/>
                <w:sz w:val="20"/>
                <w:szCs w:val="20"/>
              </w:rPr>
              <w:t xml:space="preserve">155,50 </w:t>
            </w:r>
          </w:p>
        </w:tc>
        <w:tc>
          <w:tcPr>
            <w:tcW w:w="0" w:type="auto"/>
            <w:vAlign w:val="center"/>
          </w:tcPr>
          <w:p w14:paraId="20A383FB"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rPr>
            </w:pPr>
            <w:r w:rsidRPr="00C63E3A">
              <w:rPr>
                <w:rFonts w:cs="Calibri"/>
                <w:sz w:val="20"/>
                <w:szCs w:val="20"/>
              </w:rPr>
              <w:t xml:space="preserve">1.399,50 </w:t>
            </w:r>
          </w:p>
        </w:tc>
      </w:tr>
    </w:tbl>
    <w:p w14:paraId="0A7CE386" w14:textId="2167180C" w:rsidR="00FD2CBB" w:rsidRDefault="00FD2CBB" w:rsidP="00FD2CBB">
      <w:pPr>
        <w:pStyle w:val="Didascalia"/>
        <w:spacing w:before="120" w:after="0"/>
        <w:jc w:val="center"/>
        <w:rPr>
          <w:i w:val="0"/>
        </w:rPr>
      </w:pPr>
      <w:r>
        <w:t xml:space="preserve">Tabella </w:t>
      </w:r>
      <w:r w:rsidR="00FD7EE5">
        <w:fldChar w:fldCharType="begin"/>
      </w:r>
      <w:r w:rsidR="00FD7EE5">
        <w:instrText xml:space="preserve"> SEQ Tabella \* ARABIC </w:instrText>
      </w:r>
      <w:r w:rsidR="00FD7EE5">
        <w:fldChar w:fldCharType="separate"/>
      </w:r>
      <w:r w:rsidR="00073B6D">
        <w:rPr>
          <w:noProof/>
        </w:rPr>
        <w:t>40</w:t>
      </w:r>
      <w:r w:rsidR="00FD7EE5">
        <w:rPr>
          <w:noProof/>
        </w:rPr>
        <w:fldChar w:fldCharType="end"/>
      </w:r>
      <w:r>
        <w:rPr>
          <w:i w:val="0"/>
        </w:rPr>
        <w:t xml:space="preserve"> – </w:t>
      </w:r>
      <w:r w:rsidRPr="002E2843">
        <w:rPr>
          <w:iCs w:val="0"/>
        </w:rPr>
        <w:t>Principali Tariffe a fasce chilometriche</w:t>
      </w:r>
    </w:p>
    <w:p w14:paraId="743154F5" w14:textId="77777777" w:rsidR="00FD2CBB" w:rsidRPr="00F917CC" w:rsidRDefault="00FD2CBB" w:rsidP="00FD2CBB"/>
    <w:tbl>
      <w:tblPr>
        <w:tblStyle w:val="Tabellasemplice-1"/>
        <w:tblW w:w="9209" w:type="dxa"/>
        <w:tblInd w:w="-1"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129"/>
        <w:gridCol w:w="1276"/>
        <w:gridCol w:w="1418"/>
        <w:gridCol w:w="1559"/>
        <w:gridCol w:w="1559"/>
        <w:gridCol w:w="1276"/>
        <w:gridCol w:w="992"/>
      </w:tblGrid>
      <w:tr w:rsidR="00072059" w:rsidRPr="00F917CC" w14:paraId="6472E78E" w14:textId="77777777" w:rsidTr="000B19E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shd w:val="clear" w:color="auto" w:fill="EE3438"/>
            <w:vAlign w:val="center"/>
          </w:tcPr>
          <w:p w14:paraId="23952D92" w14:textId="77777777" w:rsidR="00FD2CBB" w:rsidRPr="000B19EE" w:rsidRDefault="00FD2CBB">
            <w:pPr>
              <w:spacing w:before="20" w:after="20" w:line="240" w:lineRule="auto"/>
              <w:jc w:val="left"/>
              <w:rPr>
                <w:color w:val="FFFFFF" w:themeColor="background1"/>
                <w:sz w:val="20"/>
                <w:szCs w:val="20"/>
              </w:rPr>
            </w:pPr>
            <w:r w:rsidRPr="000B19EE">
              <w:rPr>
                <w:color w:val="FFFFFF" w:themeColor="background1"/>
                <w:sz w:val="20"/>
                <w:szCs w:val="20"/>
              </w:rPr>
              <w:t>Fascia km</w:t>
            </w:r>
          </w:p>
        </w:tc>
        <w:tc>
          <w:tcPr>
            <w:tcW w:w="1276" w:type="dxa"/>
            <w:shd w:val="clear" w:color="auto" w:fill="EE3438"/>
            <w:vAlign w:val="center"/>
          </w:tcPr>
          <w:p w14:paraId="2D02098A" w14:textId="77777777" w:rsidR="00FD2CBB" w:rsidRPr="000B19EE" w:rsidRDefault="00FD2CBB">
            <w:pPr>
              <w:spacing w:before="20" w:after="20" w:line="240" w:lineRule="auto"/>
              <w:jc w:val="center"/>
              <w:cnfStyle w:val="100000000000" w:firstRow="1" w:lastRow="0" w:firstColumn="0" w:lastColumn="0" w:oddVBand="0" w:evenVBand="0" w:oddHBand="0" w:evenHBand="0" w:firstRowFirstColumn="0" w:firstRowLastColumn="0" w:lastRowFirstColumn="0" w:lastRowLastColumn="0"/>
              <w:rPr>
                <w:color w:val="FFFFFF" w:themeColor="background1"/>
                <w:sz w:val="20"/>
                <w:szCs w:val="20"/>
              </w:rPr>
            </w:pPr>
            <w:r w:rsidRPr="000B19EE">
              <w:rPr>
                <w:color w:val="FFFFFF" w:themeColor="background1"/>
                <w:sz w:val="20"/>
                <w:szCs w:val="20"/>
              </w:rPr>
              <w:t>Settimanale</w:t>
            </w:r>
          </w:p>
        </w:tc>
        <w:tc>
          <w:tcPr>
            <w:tcW w:w="1418" w:type="dxa"/>
            <w:shd w:val="clear" w:color="auto" w:fill="EE3438"/>
            <w:vAlign w:val="center"/>
          </w:tcPr>
          <w:p w14:paraId="4234C242" w14:textId="77777777" w:rsidR="00FD2CBB" w:rsidRPr="000B19EE" w:rsidRDefault="00FD2CBB">
            <w:pPr>
              <w:spacing w:before="20" w:after="20" w:line="240" w:lineRule="auto"/>
              <w:jc w:val="center"/>
              <w:cnfStyle w:val="100000000000" w:firstRow="1" w:lastRow="0" w:firstColumn="0" w:lastColumn="0" w:oddVBand="0" w:evenVBand="0" w:oddHBand="0" w:evenHBand="0" w:firstRowFirstColumn="0" w:firstRowLastColumn="0" w:lastRowFirstColumn="0" w:lastRowLastColumn="0"/>
              <w:rPr>
                <w:color w:val="FFFFFF" w:themeColor="background1"/>
                <w:sz w:val="20"/>
                <w:szCs w:val="20"/>
              </w:rPr>
            </w:pPr>
            <w:r w:rsidRPr="000B19EE">
              <w:rPr>
                <w:color w:val="FFFFFF" w:themeColor="background1"/>
                <w:sz w:val="20"/>
                <w:szCs w:val="20"/>
              </w:rPr>
              <w:t>Annuale 10 mesi studenti</w:t>
            </w:r>
          </w:p>
        </w:tc>
        <w:tc>
          <w:tcPr>
            <w:tcW w:w="1559" w:type="dxa"/>
            <w:shd w:val="clear" w:color="auto" w:fill="EE3438"/>
            <w:vAlign w:val="center"/>
          </w:tcPr>
          <w:p w14:paraId="7D0D309E" w14:textId="77777777" w:rsidR="00FD2CBB" w:rsidRPr="000B19EE" w:rsidRDefault="00FD2CBB">
            <w:pPr>
              <w:spacing w:before="20" w:after="20" w:line="240" w:lineRule="auto"/>
              <w:jc w:val="center"/>
              <w:cnfStyle w:val="100000000000" w:firstRow="1" w:lastRow="0" w:firstColumn="0" w:lastColumn="0" w:oddVBand="0" w:evenVBand="0" w:oddHBand="0" w:evenHBand="0" w:firstRowFirstColumn="0" w:firstRowLastColumn="0" w:lastRowFirstColumn="0" w:lastRowLastColumn="0"/>
              <w:rPr>
                <w:color w:val="FFFFFF" w:themeColor="background1"/>
                <w:sz w:val="20"/>
                <w:szCs w:val="20"/>
              </w:rPr>
            </w:pPr>
            <w:r w:rsidRPr="000B19EE">
              <w:rPr>
                <w:color w:val="FFFFFF" w:themeColor="background1"/>
                <w:sz w:val="20"/>
                <w:szCs w:val="20"/>
              </w:rPr>
              <w:t>Mensile fer 5gg 42 corse</w:t>
            </w:r>
          </w:p>
        </w:tc>
        <w:tc>
          <w:tcPr>
            <w:tcW w:w="1559" w:type="dxa"/>
            <w:shd w:val="clear" w:color="auto" w:fill="EE3438"/>
            <w:vAlign w:val="center"/>
          </w:tcPr>
          <w:p w14:paraId="7E0F2B02" w14:textId="77777777" w:rsidR="00FD2CBB" w:rsidRPr="000B19EE" w:rsidRDefault="00FD2CBB">
            <w:pPr>
              <w:spacing w:before="20" w:after="20" w:line="240" w:lineRule="auto"/>
              <w:jc w:val="center"/>
              <w:cnfStyle w:val="100000000000" w:firstRow="1" w:lastRow="0" w:firstColumn="0" w:lastColumn="0" w:oddVBand="0" w:evenVBand="0" w:oddHBand="0" w:evenHBand="0" w:firstRowFirstColumn="0" w:firstRowLastColumn="0" w:lastRowFirstColumn="0" w:lastRowLastColumn="0"/>
              <w:rPr>
                <w:color w:val="FFFFFF" w:themeColor="background1"/>
                <w:sz w:val="20"/>
                <w:szCs w:val="20"/>
              </w:rPr>
            </w:pPr>
            <w:r w:rsidRPr="000B19EE">
              <w:rPr>
                <w:color w:val="FFFFFF" w:themeColor="background1"/>
                <w:sz w:val="20"/>
                <w:szCs w:val="20"/>
              </w:rPr>
              <w:t>Trimestrale fer 5gg 126 corse</w:t>
            </w:r>
          </w:p>
        </w:tc>
        <w:tc>
          <w:tcPr>
            <w:tcW w:w="1276" w:type="dxa"/>
            <w:shd w:val="clear" w:color="auto" w:fill="EE3438"/>
            <w:vAlign w:val="center"/>
          </w:tcPr>
          <w:p w14:paraId="26F1F79F" w14:textId="77777777" w:rsidR="00FD2CBB" w:rsidRPr="000B19EE" w:rsidRDefault="00FD2CBB">
            <w:pPr>
              <w:spacing w:before="20" w:after="20" w:line="240" w:lineRule="auto"/>
              <w:jc w:val="center"/>
              <w:cnfStyle w:val="100000000000" w:firstRow="1" w:lastRow="0" w:firstColumn="0" w:lastColumn="0" w:oddVBand="0" w:evenVBand="0" w:oddHBand="0" w:evenHBand="0" w:firstRowFirstColumn="0" w:firstRowLastColumn="0" w:lastRowFirstColumn="0" w:lastRowLastColumn="0"/>
              <w:rPr>
                <w:color w:val="FFFFFF" w:themeColor="background1"/>
                <w:sz w:val="20"/>
                <w:szCs w:val="20"/>
              </w:rPr>
            </w:pPr>
            <w:r w:rsidRPr="000B19EE">
              <w:rPr>
                <w:color w:val="FFFFFF" w:themeColor="background1"/>
                <w:sz w:val="20"/>
                <w:szCs w:val="20"/>
              </w:rPr>
              <w:t>Trimestrale illimitato</w:t>
            </w:r>
          </w:p>
        </w:tc>
        <w:tc>
          <w:tcPr>
            <w:tcW w:w="992" w:type="dxa"/>
            <w:shd w:val="clear" w:color="auto" w:fill="EE3438"/>
            <w:vAlign w:val="center"/>
          </w:tcPr>
          <w:p w14:paraId="2BB54709" w14:textId="77777777" w:rsidR="00FD2CBB" w:rsidRPr="000B19EE" w:rsidRDefault="00FD2CBB">
            <w:pPr>
              <w:spacing w:before="20" w:after="20" w:line="240" w:lineRule="auto"/>
              <w:jc w:val="center"/>
              <w:cnfStyle w:val="100000000000" w:firstRow="1" w:lastRow="0" w:firstColumn="0" w:lastColumn="0" w:oddVBand="0" w:evenVBand="0" w:oddHBand="0" w:evenHBand="0" w:firstRowFirstColumn="0" w:firstRowLastColumn="0" w:lastRowFirstColumn="0" w:lastRowLastColumn="0"/>
              <w:rPr>
                <w:color w:val="FFFFFF" w:themeColor="background1"/>
                <w:sz w:val="20"/>
                <w:szCs w:val="20"/>
              </w:rPr>
            </w:pPr>
            <w:r w:rsidRPr="000B19EE">
              <w:rPr>
                <w:color w:val="FFFFFF" w:themeColor="background1"/>
                <w:sz w:val="20"/>
                <w:szCs w:val="20"/>
              </w:rPr>
              <w:t>Tessera 20 corse</w:t>
            </w:r>
          </w:p>
        </w:tc>
      </w:tr>
      <w:tr w:rsidR="00FD2CBB" w:rsidRPr="00C63E3A" w14:paraId="67EE3D94" w14:textId="77777777" w:rsidTr="000B19EE">
        <w:tc>
          <w:tcPr>
            <w:cnfStyle w:val="001000000000" w:firstRow="0" w:lastRow="0" w:firstColumn="1" w:lastColumn="0" w:oddVBand="0" w:evenVBand="0" w:oddHBand="0" w:evenHBand="0" w:firstRowFirstColumn="0" w:firstRowLastColumn="0" w:lastRowFirstColumn="0" w:lastRowLastColumn="0"/>
            <w:tcW w:w="1129" w:type="dxa"/>
          </w:tcPr>
          <w:p w14:paraId="272A10C6" w14:textId="77777777" w:rsidR="00FD2CBB" w:rsidRPr="00C63E3A" w:rsidRDefault="00FD2CBB">
            <w:pPr>
              <w:spacing w:before="20" w:after="20" w:line="240" w:lineRule="auto"/>
              <w:rPr>
                <w:b w:val="0"/>
                <w:sz w:val="20"/>
                <w:szCs w:val="20"/>
              </w:rPr>
            </w:pPr>
            <w:r w:rsidRPr="00C63E3A">
              <w:rPr>
                <w:b w:val="0"/>
                <w:sz w:val="20"/>
                <w:szCs w:val="20"/>
              </w:rPr>
              <w:t>0-5</w:t>
            </w:r>
          </w:p>
        </w:tc>
        <w:tc>
          <w:tcPr>
            <w:tcW w:w="1276" w:type="dxa"/>
          </w:tcPr>
          <w:p w14:paraId="13D23BC6"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sz w:val="20"/>
                <w:szCs w:val="20"/>
              </w:rPr>
              <w:t xml:space="preserve">10,40 </w:t>
            </w:r>
          </w:p>
        </w:tc>
        <w:tc>
          <w:tcPr>
            <w:tcW w:w="1418" w:type="dxa"/>
            <w:vAlign w:val="center"/>
          </w:tcPr>
          <w:p w14:paraId="034BC51E"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296,00 </w:t>
            </w:r>
          </w:p>
        </w:tc>
        <w:tc>
          <w:tcPr>
            <w:tcW w:w="1559" w:type="dxa"/>
            <w:vAlign w:val="center"/>
          </w:tcPr>
          <w:p w14:paraId="0CD5CD7E"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35,00 </w:t>
            </w:r>
          </w:p>
        </w:tc>
        <w:tc>
          <w:tcPr>
            <w:tcW w:w="1559" w:type="dxa"/>
            <w:vAlign w:val="center"/>
          </w:tcPr>
          <w:p w14:paraId="01391A18"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95,00 </w:t>
            </w:r>
          </w:p>
        </w:tc>
        <w:tc>
          <w:tcPr>
            <w:tcW w:w="1276" w:type="dxa"/>
            <w:vAlign w:val="center"/>
          </w:tcPr>
          <w:p w14:paraId="06AAC17C"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99,50 </w:t>
            </w:r>
          </w:p>
        </w:tc>
        <w:tc>
          <w:tcPr>
            <w:tcW w:w="992" w:type="dxa"/>
            <w:vAlign w:val="center"/>
          </w:tcPr>
          <w:p w14:paraId="5FCD7429"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25,50 </w:t>
            </w:r>
          </w:p>
        </w:tc>
      </w:tr>
      <w:tr w:rsidR="00FD2CBB" w:rsidRPr="00C63E3A" w14:paraId="712DC695" w14:textId="77777777" w:rsidTr="000B19EE">
        <w:tc>
          <w:tcPr>
            <w:cnfStyle w:val="001000000000" w:firstRow="0" w:lastRow="0" w:firstColumn="1" w:lastColumn="0" w:oddVBand="0" w:evenVBand="0" w:oddHBand="0" w:evenHBand="0" w:firstRowFirstColumn="0" w:firstRowLastColumn="0" w:lastRowFirstColumn="0" w:lastRowLastColumn="0"/>
            <w:tcW w:w="1129" w:type="dxa"/>
          </w:tcPr>
          <w:p w14:paraId="39BD4FA0" w14:textId="77777777" w:rsidR="00FD2CBB" w:rsidRPr="00C63E3A" w:rsidRDefault="00FD2CBB">
            <w:pPr>
              <w:spacing w:before="20" w:after="20" w:line="240" w:lineRule="auto"/>
              <w:rPr>
                <w:b w:val="0"/>
                <w:sz w:val="20"/>
                <w:szCs w:val="20"/>
              </w:rPr>
            </w:pPr>
            <w:r w:rsidRPr="00C63E3A">
              <w:rPr>
                <w:b w:val="0"/>
                <w:sz w:val="20"/>
                <w:szCs w:val="20"/>
              </w:rPr>
              <w:t>5,1-10</w:t>
            </w:r>
          </w:p>
        </w:tc>
        <w:tc>
          <w:tcPr>
            <w:tcW w:w="1276" w:type="dxa"/>
          </w:tcPr>
          <w:p w14:paraId="2EA48671"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sz w:val="20"/>
                <w:szCs w:val="20"/>
              </w:rPr>
              <w:t xml:space="preserve">12,90 </w:t>
            </w:r>
          </w:p>
        </w:tc>
        <w:tc>
          <w:tcPr>
            <w:tcW w:w="1418" w:type="dxa"/>
            <w:vAlign w:val="center"/>
          </w:tcPr>
          <w:p w14:paraId="78C6644E"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368,00 </w:t>
            </w:r>
          </w:p>
        </w:tc>
        <w:tc>
          <w:tcPr>
            <w:tcW w:w="1559" w:type="dxa"/>
            <w:vAlign w:val="center"/>
          </w:tcPr>
          <w:p w14:paraId="6E02FA92"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43,50 </w:t>
            </w:r>
          </w:p>
        </w:tc>
        <w:tc>
          <w:tcPr>
            <w:tcW w:w="1559" w:type="dxa"/>
            <w:vAlign w:val="center"/>
          </w:tcPr>
          <w:p w14:paraId="0353A529"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118,00 </w:t>
            </w:r>
          </w:p>
        </w:tc>
        <w:tc>
          <w:tcPr>
            <w:tcW w:w="1276" w:type="dxa"/>
            <w:vAlign w:val="center"/>
          </w:tcPr>
          <w:p w14:paraId="3AF3BB96"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124,50 </w:t>
            </w:r>
          </w:p>
        </w:tc>
        <w:tc>
          <w:tcPr>
            <w:tcW w:w="992" w:type="dxa"/>
            <w:vAlign w:val="center"/>
          </w:tcPr>
          <w:p w14:paraId="33702AFC"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32,50 </w:t>
            </w:r>
          </w:p>
        </w:tc>
      </w:tr>
      <w:tr w:rsidR="00FD2CBB" w:rsidRPr="00C63E3A" w14:paraId="71C26AC2" w14:textId="77777777" w:rsidTr="000B19EE">
        <w:tc>
          <w:tcPr>
            <w:cnfStyle w:val="001000000000" w:firstRow="0" w:lastRow="0" w:firstColumn="1" w:lastColumn="0" w:oddVBand="0" w:evenVBand="0" w:oddHBand="0" w:evenHBand="0" w:firstRowFirstColumn="0" w:firstRowLastColumn="0" w:lastRowFirstColumn="0" w:lastRowLastColumn="0"/>
            <w:tcW w:w="1129" w:type="dxa"/>
          </w:tcPr>
          <w:p w14:paraId="04283573" w14:textId="77777777" w:rsidR="00FD2CBB" w:rsidRPr="00C63E3A" w:rsidRDefault="00FD2CBB">
            <w:pPr>
              <w:spacing w:before="20" w:after="20" w:line="240" w:lineRule="auto"/>
              <w:rPr>
                <w:b w:val="0"/>
                <w:sz w:val="20"/>
                <w:szCs w:val="20"/>
              </w:rPr>
            </w:pPr>
            <w:r w:rsidRPr="00C63E3A">
              <w:rPr>
                <w:b w:val="0"/>
                <w:sz w:val="20"/>
                <w:szCs w:val="20"/>
              </w:rPr>
              <w:t>10,1-15</w:t>
            </w:r>
          </w:p>
        </w:tc>
        <w:tc>
          <w:tcPr>
            <w:tcW w:w="1276" w:type="dxa"/>
          </w:tcPr>
          <w:p w14:paraId="15971EDF"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sz w:val="20"/>
                <w:szCs w:val="20"/>
              </w:rPr>
              <w:t xml:space="preserve">15,70 </w:t>
            </w:r>
          </w:p>
        </w:tc>
        <w:tc>
          <w:tcPr>
            <w:tcW w:w="1418" w:type="dxa"/>
            <w:vAlign w:val="center"/>
          </w:tcPr>
          <w:p w14:paraId="61881D49"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450,00 </w:t>
            </w:r>
          </w:p>
        </w:tc>
        <w:tc>
          <w:tcPr>
            <w:tcW w:w="1559" w:type="dxa"/>
            <w:vAlign w:val="center"/>
          </w:tcPr>
          <w:p w14:paraId="3DD87647"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53,50 </w:t>
            </w:r>
          </w:p>
        </w:tc>
        <w:tc>
          <w:tcPr>
            <w:tcW w:w="1559" w:type="dxa"/>
            <w:vAlign w:val="center"/>
          </w:tcPr>
          <w:p w14:paraId="343E45D4"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146,00 </w:t>
            </w:r>
          </w:p>
        </w:tc>
        <w:tc>
          <w:tcPr>
            <w:tcW w:w="1276" w:type="dxa"/>
            <w:vAlign w:val="center"/>
          </w:tcPr>
          <w:p w14:paraId="5409AD28"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153,50 </w:t>
            </w:r>
          </w:p>
        </w:tc>
        <w:tc>
          <w:tcPr>
            <w:tcW w:w="992" w:type="dxa"/>
            <w:vAlign w:val="center"/>
          </w:tcPr>
          <w:p w14:paraId="1244BAE4"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35,00 </w:t>
            </w:r>
          </w:p>
        </w:tc>
      </w:tr>
      <w:tr w:rsidR="00FD2CBB" w:rsidRPr="00C63E3A" w14:paraId="7A58C870" w14:textId="77777777" w:rsidTr="000B19EE">
        <w:tc>
          <w:tcPr>
            <w:cnfStyle w:val="001000000000" w:firstRow="0" w:lastRow="0" w:firstColumn="1" w:lastColumn="0" w:oddVBand="0" w:evenVBand="0" w:oddHBand="0" w:evenHBand="0" w:firstRowFirstColumn="0" w:firstRowLastColumn="0" w:lastRowFirstColumn="0" w:lastRowLastColumn="0"/>
            <w:tcW w:w="1129" w:type="dxa"/>
          </w:tcPr>
          <w:p w14:paraId="4A867B94" w14:textId="77777777" w:rsidR="00FD2CBB" w:rsidRPr="00C63E3A" w:rsidRDefault="00FD2CBB">
            <w:pPr>
              <w:spacing w:before="20" w:after="20" w:line="240" w:lineRule="auto"/>
              <w:rPr>
                <w:b w:val="0"/>
                <w:sz w:val="20"/>
                <w:szCs w:val="20"/>
              </w:rPr>
            </w:pPr>
            <w:r w:rsidRPr="00C63E3A">
              <w:rPr>
                <w:b w:val="0"/>
                <w:sz w:val="20"/>
                <w:szCs w:val="20"/>
              </w:rPr>
              <w:t>15,1-20</w:t>
            </w:r>
          </w:p>
        </w:tc>
        <w:tc>
          <w:tcPr>
            <w:tcW w:w="1276" w:type="dxa"/>
          </w:tcPr>
          <w:p w14:paraId="243FB435"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sz w:val="20"/>
                <w:szCs w:val="20"/>
              </w:rPr>
              <w:t xml:space="preserve">19,70 </w:t>
            </w:r>
          </w:p>
        </w:tc>
        <w:tc>
          <w:tcPr>
            <w:tcW w:w="1418" w:type="dxa"/>
            <w:vAlign w:val="center"/>
          </w:tcPr>
          <w:p w14:paraId="3AF12E1F"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566,00 </w:t>
            </w:r>
          </w:p>
        </w:tc>
        <w:tc>
          <w:tcPr>
            <w:tcW w:w="1559" w:type="dxa"/>
            <w:vAlign w:val="center"/>
          </w:tcPr>
          <w:p w14:paraId="51831F12"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67,50 </w:t>
            </w:r>
          </w:p>
        </w:tc>
        <w:tc>
          <w:tcPr>
            <w:tcW w:w="1559" w:type="dxa"/>
            <w:vAlign w:val="center"/>
          </w:tcPr>
          <w:p w14:paraId="2E4BDE24"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181,00 </w:t>
            </w:r>
          </w:p>
        </w:tc>
        <w:tc>
          <w:tcPr>
            <w:tcW w:w="1276" w:type="dxa"/>
            <w:vAlign w:val="center"/>
          </w:tcPr>
          <w:p w14:paraId="2F95D46F"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190,50 </w:t>
            </w:r>
          </w:p>
        </w:tc>
        <w:tc>
          <w:tcPr>
            <w:tcW w:w="992" w:type="dxa"/>
            <w:vAlign w:val="center"/>
          </w:tcPr>
          <w:p w14:paraId="2203797F"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45,50 </w:t>
            </w:r>
          </w:p>
        </w:tc>
      </w:tr>
      <w:tr w:rsidR="00FD2CBB" w:rsidRPr="00C63E3A" w14:paraId="61D0C305" w14:textId="77777777" w:rsidTr="000B19EE">
        <w:tc>
          <w:tcPr>
            <w:cnfStyle w:val="001000000000" w:firstRow="0" w:lastRow="0" w:firstColumn="1" w:lastColumn="0" w:oddVBand="0" w:evenVBand="0" w:oddHBand="0" w:evenHBand="0" w:firstRowFirstColumn="0" w:firstRowLastColumn="0" w:lastRowFirstColumn="0" w:lastRowLastColumn="0"/>
            <w:tcW w:w="1129" w:type="dxa"/>
          </w:tcPr>
          <w:p w14:paraId="3B0E5F95" w14:textId="77777777" w:rsidR="00FD2CBB" w:rsidRPr="00C63E3A" w:rsidRDefault="00FD2CBB">
            <w:pPr>
              <w:spacing w:before="20" w:after="20" w:line="240" w:lineRule="auto"/>
              <w:rPr>
                <w:b w:val="0"/>
                <w:sz w:val="20"/>
                <w:szCs w:val="20"/>
              </w:rPr>
            </w:pPr>
            <w:r w:rsidRPr="00C63E3A">
              <w:rPr>
                <w:b w:val="0"/>
                <w:sz w:val="20"/>
                <w:szCs w:val="20"/>
              </w:rPr>
              <w:t>20,1-25</w:t>
            </w:r>
          </w:p>
        </w:tc>
        <w:tc>
          <w:tcPr>
            <w:tcW w:w="1276" w:type="dxa"/>
          </w:tcPr>
          <w:p w14:paraId="3175AA60"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sz w:val="20"/>
                <w:szCs w:val="20"/>
              </w:rPr>
              <w:t xml:space="preserve">22,40 </w:t>
            </w:r>
          </w:p>
        </w:tc>
        <w:tc>
          <w:tcPr>
            <w:tcW w:w="1418" w:type="dxa"/>
            <w:vAlign w:val="center"/>
          </w:tcPr>
          <w:p w14:paraId="0A15F726"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634,00 </w:t>
            </w:r>
          </w:p>
        </w:tc>
        <w:tc>
          <w:tcPr>
            <w:tcW w:w="1559" w:type="dxa"/>
            <w:vAlign w:val="center"/>
          </w:tcPr>
          <w:p w14:paraId="07B73138"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75,50 </w:t>
            </w:r>
          </w:p>
        </w:tc>
        <w:tc>
          <w:tcPr>
            <w:tcW w:w="1559" w:type="dxa"/>
            <w:vAlign w:val="center"/>
          </w:tcPr>
          <w:p w14:paraId="19E7DE9A"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204,00 </w:t>
            </w:r>
          </w:p>
        </w:tc>
        <w:tc>
          <w:tcPr>
            <w:tcW w:w="1276" w:type="dxa"/>
            <w:vAlign w:val="center"/>
          </w:tcPr>
          <w:p w14:paraId="6F5388B1"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215,00 </w:t>
            </w:r>
          </w:p>
        </w:tc>
        <w:tc>
          <w:tcPr>
            <w:tcW w:w="992" w:type="dxa"/>
            <w:vAlign w:val="center"/>
          </w:tcPr>
          <w:p w14:paraId="72AFEAD4"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51,00 </w:t>
            </w:r>
          </w:p>
        </w:tc>
      </w:tr>
      <w:tr w:rsidR="00FD2CBB" w:rsidRPr="00C63E3A" w14:paraId="1BA4B6E4" w14:textId="77777777" w:rsidTr="000B19EE">
        <w:tc>
          <w:tcPr>
            <w:cnfStyle w:val="001000000000" w:firstRow="0" w:lastRow="0" w:firstColumn="1" w:lastColumn="0" w:oddVBand="0" w:evenVBand="0" w:oddHBand="0" w:evenHBand="0" w:firstRowFirstColumn="0" w:firstRowLastColumn="0" w:lastRowFirstColumn="0" w:lastRowLastColumn="0"/>
            <w:tcW w:w="1129" w:type="dxa"/>
          </w:tcPr>
          <w:p w14:paraId="20D68856" w14:textId="77777777" w:rsidR="00FD2CBB" w:rsidRPr="00C63E3A" w:rsidRDefault="00FD2CBB">
            <w:pPr>
              <w:spacing w:before="20" w:after="20" w:line="240" w:lineRule="auto"/>
              <w:rPr>
                <w:b w:val="0"/>
                <w:sz w:val="20"/>
                <w:szCs w:val="20"/>
              </w:rPr>
            </w:pPr>
            <w:r w:rsidRPr="00C63E3A">
              <w:rPr>
                <w:b w:val="0"/>
                <w:sz w:val="20"/>
                <w:szCs w:val="20"/>
              </w:rPr>
              <w:t>25,1-30</w:t>
            </w:r>
          </w:p>
        </w:tc>
        <w:tc>
          <w:tcPr>
            <w:tcW w:w="1276" w:type="dxa"/>
          </w:tcPr>
          <w:p w14:paraId="613905D6"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sz w:val="20"/>
                <w:szCs w:val="20"/>
              </w:rPr>
              <w:t xml:space="preserve">24,40 </w:t>
            </w:r>
          </w:p>
        </w:tc>
        <w:tc>
          <w:tcPr>
            <w:tcW w:w="1418" w:type="dxa"/>
            <w:vAlign w:val="center"/>
          </w:tcPr>
          <w:p w14:paraId="63A1BE3A"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701,50 </w:t>
            </w:r>
          </w:p>
        </w:tc>
        <w:tc>
          <w:tcPr>
            <w:tcW w:w="1559" w:type="dxa"/>
            <w:vAlign w:val="center"/>
          </w:tcPr>
          <w:p w14:paraId="4F0BAEF4"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83,00 </w:t>
            </w:r>
          </w:p>
        </w:tc>
        <w:tc>
          <w:tcPr>
            <w:tcW w:w="1559" w:type="dxa"/>
            <w:vAlign w:val="center"/>
          </w:tcPr>
          <w:p w14:paraId="0E43B876"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225,00 </w:t>
            </w:r>
          </w:p>
        </w:tc>
        <w:tc>
          <w:tcPr>
            <w:tcW w:w="1276" w:type="dxa"/>
            <w:vAlign w:val="center"/>
          </w:tcPr>
          <w:p w14:paraId="570836F8"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237,00 </w:t>
            </w:r>
          </w:p>
        </w:tc>
        <w:tc>
          <w:tcPr>
            <w:tcW w:w="992" w:type="dxa"/>
            <w:vAlign w:val="center"/>
          </w:tcPr>
          <w:p w14:paraId="7131B975"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60,50 </w:t>
            </w:r>
          </w:p>
        </w:tc>
      </w:tr>
      <w:tr w:rsidR="00FD2CBB" w:rsidRPr="00C63E3A" w14:paraId="069E1BA8" w14:textId="77777777" w:rsidTr="000B19EE">
        <w:tc>
          <w:tcPr>
            <w:cnfStyle w:val="001000000000" w:firstRow="0" w:lastRow="0" w:firstColumn="1" w:lastColumn="0" w:oddVBand="0" w:evenVBand="0" w:oddHBand="0" w:evenHBand="0" w:firstRowFirstColumn="0" w:firstRowLastColumn="0" w:lastRowFirstColumn="0" w:lastRowLastColumn="0"/>
            <w:tcW w:w="1129" w:type="dxa"/>
          </w:tcPr>
          <w:p w14:paraId="19090632" w14:textId="77777777" w:rsidR="00FD2CBB" w:rsidRPr="00C63E3A" w:rsidRDefault="00FD2CBB">
            <w:pPr>
              <w:spacing w:before="20" w:after="20" w:line="240" w:lineRule="auto"/>
              <w:rPr>
                <w:b w:val="0"/>
                <w:sz w:val="20"/>
                <w:szCs w:val="20"/>
              </w:rPr>
            </w:pPr>
            <w:r w:rsidRPr="00C63E3A">
              <w:rPr>
                <w:b w:val="0"/>
                <w:sz w:val="20"/>
                <w:szCs w:val="20"/>
              </w:rPr>
              <w:t>30,1-35</w:t>
            </w:r>
          </w:p>
        </w:tc>
        <w:tc>
          <w:tcPr>
            <w:tcW w:w="1276" w:type="dxa"/>
          </w:tcPr>
          <w:p w14:paraId="0A3F7CF1"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sz w:val="20"/>
                <w:szCs w:val="20"/>
              </w:rPr>
              <w:t xml:space="preserve">25,90 </w:t>
            </w:r>
          </w:p>
        </w:tc>
        <w:tc>
          <w:tcPr>
            <w:tcW w:w="1418" w:type="dxa"/>
            <w:vAlign w:val="center"/>
          </w:tcPr>
          <w:p w14:paraId="40A8D5AF"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745,50 </w:t>
            </w:r>
          </w:p>
        </w:tc>
        <w:tc>
          <w:tcPr>
            <w:tcW w:w="1559" w:type="dxa"/>
            <w:vAlign w:val="center"/>
          </w:tcPr>
          <w:p w14:paraId="281A73E4"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88,50 </w:t>
            </w:r>
          </w:p>
        </w:tc>
        <w:tc>
          <w:tcPr>
            <w:tcW w:w="1559" w:type="dxa"/>
            <w:vAlign w:val="center"/>
          </w:tcPr>
          <w:p w14:paraId="19DCB916"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240,00 </w:t>
            </w:r>
          </w:p>
        </w:tc>
        <w:tc>
          <w:tcPr>
            <w:tcW w:w="1276" w:type="dxa"/>
            <w:vAlign w:val="center"/>
          </w:tcPr>
          <w:p w14:paraId="43B550DE"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252,50 </w:t>
            </w:r>
          </w:p>
        </w:tc>
        <w:tc>
          <w:tcPr>
            <w:tcW w:w="992" w:type="dxa"/>
            <w:vAlign w:val="center"/>
          </w:tcPr>
          <w:p w14:paraId="1DEC2041"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64,00 </w:t>
            </w:r>
          </w:p>
        </w:tc>
      </w:tr>
      <w:tr w:rsidR="00FD2CBB" w:rsidRPr="00C63E3A" w14:paraId="326DA39A" w14:textId="77777777" w:rsidTr="000B19EE">
        <w:tc>
          <w:tcPr>
            <w:cnfStyle w:val="001000000000" w:firstRow="0" w:lastRow="0" w:firstColumn="1" w:lastColumn="0" w:oddVBand="0" w:evenVBand="0" w:oddHBand="0" w:evenHBand="0" w:firstRowFirstColumn="0" w:firstRowLastColumn="0" w:lastRowFirstColumn="0" w:lastRowLastColumn="0"/>
            <w:tcW w:w="1129" w:type="dxa"/>
          </w:tcPr>
          <w:p w14:paraId="7A97BECA" w14:textId="77777777" w:rsidR="00FD2CBB" w:rsidRPr="00C63E3A" w:rsidRDefault="00FD2CBB">
            <w:pPr>
              <w:spacing w:before="20" w:after="20" w:line="240" w:lineRule="auto"/>
              <w:rPr>
                <w:b w:val="0"/>
                <w:sz w:val="20"/>
                <w:szCs w:val="20"/>
              </w:rPr>
            </w:pPr>
            <w:r w:rsidRPr="00C63E3A">
              <w:rPr>
                <w:b w:val="0"/>
                <w:sz w:val="20"/>
                <w:szCs w:val="20"/>
              </w:rPr>
              <w:t>35,1-40</w:t>
            </w:r>
          </w:p>
        </w:tc>
        <w:tc>
          <w:tcPr>
            <w:tcW w:w="1276" w:type="dxa"/>
          </w:tcPr>
          <w:p w14:paraId="2A7F4585"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sz w:val="20"/>
                <w:szCs w:val="20"/>
              </w:rPr>
              <w:t xml:space="preserve">27,80 </w:t>
            </w:r>
          </w:p>
        </w:tc>
        <w:tc>
          <w:tcPr>
            <w:tcW w:w="1418" w:type="dxa"/>
            <w:vAlign w:val="center"/>
          </w:tcPr>
          <w:p w14:paraId="6F9AB5C9"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808,50 </w:t>
            </w:r>
          </w:p>
        </w:tc>
        <w:tc>
          <w:tcPr>
            <w:tcW w:w="1559" w:type="dxa"/>
            <w:vAlign w:val="center"/>
          </w:tcPr>
          <w:p w14:paraId="1D3CE23F"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96,00 </w:t>
            </w:r>
          </w:p>
        </w:tc>
        <w:tc>
          <w:tcPr>
            <w:tcW w:w="1559" w:type="dxa"/>
            <w:vAlign w:val="center"/>
          </w:tcPr>
          <w:p w14:paraId="43C05909"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260,00 </w:t>
            </w:r>
          </w:p>
        </w:tc>
        <w:tc>
          <w:tcPr>
            <w:tcW w:w="1276" w:type="dxa"/>
            <w:vAlign w:val="center"/>
          </w:tcPr>
          <w:p w14:paraId="4524996B"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274,00 </w:t>
            </w:r>
          </w:p>
        </w:tc>
        <w:tc>
          <w:tcPr>
            <w:tcW w:w="992" w:type="dxa"/>
            <w:vAlign w:val="center"/>
          </w:tcPr>
          <w:p w14:paraId="281E6DF9"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70,50 </w:t>
            </w:r>
          </w:p>
        </w:tc>
      </w:tr>
      <w:tr w:rsidR="00FD2CBB" w:rsidRPr="00C63E3A" w14:paraId="2067DA1C" w14:textId="77777777" w:rsidTr="000B19EE">
        <w:tc>
          <w:tcPr>
            <w:cnfStyle w:val="001000000000" w:firstRow="0" w:lastRow="0" w:firstColumn="1" w:lastColumn="0" w:oddVBand="0" w:evenVBand="0" w:oddHBand="0" w:evenHBand="0" w:firstRowFirstColumn="0" w:firstRowLastColumn="0" w:lastRowFirstColumn="0" w:lastRowLastColumn="0"/>
            <w:tcW w:w="1129" w:type="dxa"/>
          </w:tcPr>
          <w:p w14:paraId="332A22FD" w14:textId="77777777" w:rsidR="00FD2CBB" w:rsidRPr="00C63E3A" w:rsidRDefault="00FD2CBB">
            <w:pPr>
              <w:spacing w:before="20" w:after="20" w:line="240" w:lineRule="auto"/>
              <w:rPr>
                <w:b w:val="0"/>
                <w:sz w:val="20"/>
                <w:szCs w:val="20"/>
              </w:rPr>
            </w:pPr>
            <w:r w:rsidRPr="00C63E3A">
              <w:rPr>
                <w:b w:val="0"/>
                <w:sz w:val="20"/>
                <w:szCs w:val="20"/>
              </w:rPr>
              <w:t>40,1-45</w:t>
            </w:r>
          </w:p>
        </w:tc>
        <w:tc>
          <w:tcPr>
            <w:tcW w:w="1276" w:type="dxa"/>
          </w:tcPr>
          <w:p w14:paraId="728D07CB"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sz w:val="20"/>
                <w:szCs w:val="20"/>
              </w:rPr>
              <w:t xml:space="preserve">30,60 </w:t>
            </w:r>
          </w:p>
        </w:tc>
        <w:tc>
          <w:tcPr>
            <w:tcW w:w="1418" w:type="dxa"/>
            <w:vAlign w:val="center"/>
          </w:tcPr>
          <w:p w14:paraId="2770E651"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866,00 </w:t>
            </w:r>
          </w:p>
        </w:tc>
        <w:tc>
          <w:tcPr>
            <w:tcW w:w="1559" w:type="dxa"/>
            <w:vAlign w:val="center"/>
          </w:tcPr>
          <w:p w14:paraId="314076BC"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102,50 </w:t>
            </w:r>
          </w:p>
        </w:tc>
        <w:tc>
          <w:tcPr>
            <w:tcW w:w="1559" w:type="dxa"/>
            <w:vAlign w:val="center"/>
          </w:tcPr>
          <w:p w14:paraId="1117E4D0"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277,50 </w:t>
            </w:r>
          </w:p>
        </w:tc>
        <w:tc>
          <w:tcPr>
            <w:tcW w:w="1276" w:type="dxa"/>
            <w:vAlign w:val="center"/>
          </w:tcPr>
          <w:p w14:paraId="5CB1C339"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293,00 </w:t>
            </w:r>
          </w:p>
        </w:tc>
        <w:tc>
          <w:tcPr>
            <w:tcW w:w="992" w:type="dxa"/>
            <w:vAlign w:val="center"/>
          </w:tcPr>
          <w:p w14:paraId="2A9B3C5F"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74,50 </w:t>
            </w:r>
          </w:p>
        </w:tc>
      </w:tr>
      <w:tr w:rsidR="00FD2CBB" w:rsidRPr="00C63E3A" w14:paraId="074E0B5D" w14:textId="77777777" w:rsidTr="000B19EE">
        <w:tc>
          <w:tcPr>
            <w:cnfStyle w:val="001000000000" w:firstRow="0" w:lastRow="0" w:firstColumn="1" w:lastColumn="0" w:oddVBand="0" w:evenVBand="0" w:oddHBand="0" w:evenHBand="0" w:firstRowFirstColumn="0" w:firstRowLastColumn="0" w:lastRowFirstColumn="0" w:lastRowLastColumn="0"/>
            <w:tcW w:w="1129" w:type="dxa"/>
          </w:tcPr>
          <w:p w14:paraId="4B273698" w14:textId="77777777" w:rsidR="00FD2CBB" w:rsidRPr="00C63E3A" w:rsidRDefault="00FD2CBB">
            <w:pPr>
              <w:spacing w:before="20" w:after="20" w:line="240" w:lineRule="auto"/>
              <w:rPr>
                <w:b w:val="0"/>
                <w:sz w:val="20"/>
                <w:szCs w:val="20"/>
              </w:rPr>
            </w:pPr>
            <w:r w:rsidRPr="00C63E3A">
              <w:rPr>
                <w:b w:val="0"/>
                <w:sz w:val="20"/>
                <w:szCs w:val="20"/>
              </w:rPr>
              <w:t>45,1-50</w:t>
            </w:r>
          </w:p>
        </w:tc>
        <w:tc>
          <w:tcPr>
            <w:tcW w:w="1276" w:type="dxa"/>
          </w:tcPr>
          <w:p w14:paraId="3A663791"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sz w:val="20"/>
                <w:szCs w:val="20"/>
              </w:rPr>
              <w:t xml:space="preserve">32,20 </w:t>
            </w:r>
          </w:p>
        </w:tc>
        <w:tc>
          <w:tcPr>
            <w:tcW w:w="1418" w:type="dxa"/>
            <w:vAlign w:val="center"/>
          </w:tcPr>
          <w:p w14:paraId="7E6E810D"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905,00 </w:t>
            </w:r>
          </w:p>
        </w:tc>
        <w:tc>
          <w:tcPr>
            <w:tcW w:w="1559" w:type="dxa"/>
            <w:vAlign w:val="center"/>
          </w:tcPr>
          <w:p w14:paraId="7059C595"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107,50 </w:t>
            </w:r>
          </w:p>
        </w:tc>
        <w:tc>
          <w:tcPr>
            <w:tcW w:w="1559" w:type="dxa"/>
            <w:vAlign w:val="center"/>
          </w:tcPr>
          <w:p w14:paraId="3EFDDAB1"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292,00 </w:t>
            </w:r>
          </w:p>
        </w:tc>
        <w:tc>
          <w:tcPr>
            <w:tcW w:w="1276" w:type="dxa"/>
            <w:vAlign w:val="center"/>
          </w:tcPr>
          <w:p w14:paraId="2BBB91FE"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308,00 </w:t>
            </w:r>
          </w:p>
        </w:tc>
        <w:tc>
          <w:tcPr>
            <w:tcW w:w="992" w:type="dxa"/>
            <w:vAlign w:val="center"/>
          </w:tcPr>
          <w:p w14:paraId="55DC8102"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78,50 </w:t>
            </w:r>
          </w:p>
        </w:tc>
      </w:tr>
      <w:tr w:rsidR="00FD2CBB" w:rsidRPr="00C63E3A" w14:paraId="619F68C0" w14:textId="77777777" w:rsidTr="000B19EE">
        <w:tc>
          <w:tcPr>
            <w:cnfStyle w:val="001000000000" w:firstRow="0" w:lastRow="0" w:firstColumn="1" w:lastColumn="0" w:oddVBand="0" w:evenVBand="0" w:oddHBand="0" w:evenHBand="0" w:firstRowFirstColumn="0" w:firstRowLastColumn="0" w:lastRowFirstColumn="0" w:lastRowLastColumn="0"/>
            <w:tcW w:w="1129" w:type="dxa"/>
          </w:tcPr>
          <w:p w14:paraId="581695E6" w14:textId="77777777" w:rsidR="00FD2CBB" w:rsidRPr="00C63E3A" w:rsidRDefault="00FD2CBB">
            <w:pPr>
              <w:spacing w:before="20" w:after="20" w:line="240" w:lineRule="auto"/>
              <w:rPr>
                <w:b w:val="0"/>
                <w:sz w:val="20"/>
                <w:szCs w:val="20"/>
              </w:rPr>
            </w:pPr>
            <w:r w:rsidRPr="00C63E3A">
              <w:rPr>
                <w:b w:val="0"/>
                <w:sz w:val="20"/>
                <w:szCs w:val="20"/>
              </w:rPr>
              <w:t>50,1-60</w:t>
            </w:r>
          </w:p>
        </w:tc>
        <w:tc>
          <w:tcPr>
            <w:tcW w:w="1276" w:type="dxa"/>
          </w:tcPr>
          <w:p w14:paraId="75816B59"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sz w:val="20"/>
                <w:szCs w:val="20"/>
              </w:rPr>
              <w:t xml:space="preserve">33,70 </w:t>
            </w:r>
          </w:p>
        </w:tc>
        <w:tc>
          <w:tcPr>
            <w:tcW w:w="1418" w:type="dxa"/>
            <w:vAlign w:val="center"/>
          </w:tcPr>
          <w:p w14:paraId="01002A86"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973,00 </w:t>
            </w:r>
          </w:p>
        </w:tc>
        <w:tc>
          <w:tcPr>
            <w:tcW w:w="1559" w:type="dxa"/>
            <w:vAlign w:val="center"/>
          </w:tcPr>
          <w:p w14:paraId="7E6C0D73"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115,50 </w:t>
            </w:r>
          </w:p>
        </w:tc>
        <w:tc>
          <w:tcPr>
            <w:tcW w:w="1559" w:type="dxa"/>
            <w:vAlign w:val="center"/>
          </w:tcPr>
          <w:p w14:paraId="124CEC84"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311,50 </w:t>
            </w:r>
          </w:p>
        </w:tc>
        <w:tc>
          <w:tcPr>
            <w:tcW w:w="1276" w:type="dxa"/>
            <w:vAlign w:val="center"/>
          </w:tcPr>
          <w:p w14:paraId="2C1A4D02"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328,50 </w:t>
            </w:r>
          </w:p>
        </w:tc>
        <w:tc>
          <w:tcPr>
            <w:tcW w:w="992" w:type="dxa"/>
            <w:vAlign w:val="center"/>
          </w:tcPr>
          <w:p w14:paraId="08092364"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89,50 </w:t>
            </w:r>
          </w:p>
        </w:tc>
      </w:tr>
      <w:tr w:rsidR="00FD2CBB" w:rsidRPr="00C63E3A" w14:paraId="2FE4FDBB" w14:textId="77777777" w:rsidTr="000B19EE">
        <w:tc>
          <w:tcPr>
            <w:cnfStyle w:val="001000000000" w:firstRow="0" w:lastRow="0" w:firstColumn="1" w:lastColumn="0" w:oddVBand="0" w:evenVBand="0" w:oddHBand="0" w:evenHBand="0" w:firstRowFirstColumn="0" w:firstRowLastColumn="0" w:lastRowFirstColumn="0" w:lastRowLastColumn="0"/>
            <w:tcW w:w="1129" w:type="dxa"/>
          </w:tcPr>
          <w:p w14:paraId="3B827B25" w14:textId="77777777" w:rsidR="00FD2CBB" w:rsidRPr="00C63E3A" w:rsidRDefault="00FD2CBB">
            <w:pPr>
              <w:spacing w:before="20" w:after="20" w:line="240" w:lineRule="auto"/>
              <w:rPr>
                <w:b w:val="0"/>
                <w:sz w:val="20"/>
                <w:szCs w:val="20"/>
              </w:rPr>
            </w:pPr>
            <w:r w:rsidRPr="00C63E3A">
              <w:rPr>
                <w:b w:val="0"/>
                <w:sz w:val="20"/>
                <w:szCs w:val="20"/>
              </w:rPr>
              <w:t>60,1-70</w:t>
            </w:r>
          </w:p>
        </w:tc>
        <w:tc>
          <w:tcPr>
            <w:tcW w:w="1276" w:type="dxa"/>
          </w:tcPr>
          <w:p w14:paraId="17BB1BC7"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sz w:val="20"/>
                <w:szCs w:val="20"/>
              </w:rPr>
              <w:t xml:space="preserve">34,90 </w:t>
            </w:r>
          </w:p>
        </w:tc>
        <w:tc>
          <w:tcPr>
            <w:tcW w:w="1418" w:type="dxa"/>
            <w:vAlign w:val="center"/>
          </w:tcPr>
          <w:p w14:paraId="002552E6"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1.006,50 </w:t>
            </w:r>
          </w:p>
        </w:tc>
        <w:tc>
          <w:tcPr>
            <w:tcW w:w="1559" w:type="dxa"/>
            <w:vAlign w:val="center"/>
          </w:tcPr>
          <w:p w14:paraId="32E9FE79"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119,50 </w:t>
            </w:r>
          </w:p>
        </w:tc>
        <w:tc>
          <w:tcPr>
            <w:tcW w:w="1559" w:type="dxa"/>
            <w:vAlign w:val="center"/>
          </w:tcPr>
          <w:p w14:paraId="55D43549"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323,00 </w:t>
            </w:r>
          </w:p>
        </w:tc>
        <w:tc>
          <w:tcPr>
            <w:tcW w:w="1276" w:type="dxa"/>
            <w:vAlign w:val="center"/>
          </w:tcPr>
          <w:p w14:paraId="490D04C4"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341,00 </w:t>
            </w:r>
          </w:p>
        </w:tc>
        <w:tc>
          <w:tcPr>
            <w:tcW w:w="992" w:type="dxa"/>
            <w:vAlign w:val="center"/>
          </w:tcPr>
          <w:p w14:paraId="137CA57A"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98,00 </w:t>
            </w:r>
          </w:p>
        </w:tc>
      </w:tr>
      <w:tr w:rsidR="00FD2CBB" w:rsidRPr="00C63E3A" w14:paraId="0CC5C94F" w14:textId="77777777" w:rsidTr="000B19EE">
        <w:tc>
          <w:tcPr>
            <w:cnfStyle w:val="001000000000" w:firstRow="0" w:lastRow="0" w:firstColumn="1" w:lastColumn="0" w:oddVBand="0" w:evenVBand="0" w:oddHBand="0" w:evenHBand="0" w:firstRowFirstColumn="0" w:firstRowLastColumn="0" w:lastRowFirstColumn="0" w:lastRowLastColumn="0"/>
            <w:tcW w:w="1129" w:type="dxa"/>
          </w:tcPr>
          <w:p w14:paraId="7EE6C28D" w14:textId="77777777" w:rsidR="00FD2CBB" w:rsidRPr="00C63E3A" w:rsidRDefault="00FD2CBB">
            <w:pPr>
              <w:spacing w:before="20" w:after="20" w:line="240" w:lineRule="auto"/>
              <w:rPr>
                <w:b w:val="0"/>
                <w:sz w:val="20"/>
                <w:szCs w:val="20"/>
              </w:rPr>
            </w:pPr>
            <w:r w:rsidRPr="00C63E3A">
              <w:rPr>
                <w:b w:val="0"/>
                <w:sz w:val="20"/>
                <w:szCs w:val="20"/>
              </w:rPr>
              <w:t>70,1-80</w:t>
            </w:r>
          </w:p>
        </w:tc>
        <w:tc>
          <w:tcPr>
            <w:tcW w:w="1276" w:type="dxa"/>
          </w:tcPr>
          <w:p w14:paraId="75C29055"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sz w:val="20"/>
                <w:szCs w:val="20"/>
              </w:rPr>
              <w:t xml:space="preserve">36,00 </w:t>
            </w:r>
          </w:p>
        </w:tc>
        <w:tc>
          <w:tcPr>
            <w:tcW w:w="1418" w:type="dxa"/>
            <w:vAlign w:val="center"/>
          </w:tcPr>
          <w:p w14:paraId="4428097C"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1.040,50 </w:t>
            </w:r>
          </w:p>
        </w:tc>
        <w:tc>
          <w:tcPr>
            <w:tcW w:w="1559" w:type="dxa"/>
            <w:vAlign w:val="center"/>
          </w:tcPr>
          <w:p w14:paraId="4F00B695"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123,50 </w:t>
            </w:r>
          </w:p>
        </w:tc>
        <w:tc>
          <w:tcPr>
            <w:tcW w:w="1559" w:type="dxa"/>
            <w:vAlign w:val="center"/>
          </w:tcPr>
          <w:p w14:paraId="6969587B"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334,00 </w:t>
            </w:r>
          </w:p>
        </w:tc>
        <w:tc>
          <w:tcPr>
            <w:tcW w:w="1276" w:type="dxa"/>
            <w:vAlign w:val="center"/>
          </w:tcPr>
          <w:p w14:paraId="0974452C"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352,50 </w:t>
            </w:r>
          </w:p>
        </w:tc>
        <w:tc>
          <w:tcPr>
            <w:tcW w:w="992" w:type="dxa"/>
            <w:vAlign w:val="center"/>
          </w:tcPr>
          <w:p w14:paraId="4C8E5E55"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107,50 </w:t>
            </w:r>
          </w:p>
        </w:tc>
      </w:tr>
      <w:tr w:rsidR="00FD2CBB" w:rsidRPr="00C63E3A" w14:paraId="2E90822E" w14:textId="77777777" w:rsidTr="000B19EE">
        <w:tc>
          <w:tcPr>
            <w:cnfStyle w:val="001000000000" w:firstRow="0" w:lastRow="0" w:firstColumn="1" w:lastColumn="0" w:oddVBand="0" w:evenVBand="0" w:oddHBand="0" w:evenHBand="0" w:firstRowFirstColumn="0" w:firstRowLastColumn="0" w:lastRowFirstColumn="0" w:lastRowLastColumn="0"/>
            <w:tcW w:w="1129" w:type="dxa"/>
          </w:tcPr>
          <w:p w14:paraId="1AC89ACB" w14:textId="77777777" w:rsidR="00FD2CBB" w:rsidRPr="00C63E3A" w:rsidRDefault="00FD2CBB">
            <w:pPr>
              <w:spacing w:before="20" w:after="20" w:line="240" w:lineRule="auto"/>
              <w:rPr>
                <w:b w:val="0"/>
                <w:sz w:val="20"/>
                <w:szCs w:val="20"/>
              </w:rPr>
            </w:pPr>
            <w:r w:rsidRPr="00C63E3A">
              <w:rPr>
                <w:b w:val="0"/>
                <w:sz w:val="20"/>
                <w:szCs w:val="20"/>
              </w:rPr>
              <w:t>80,1-90</w:t>
            </w:r>
          </w:p>
        </w:tc>
        <w:tc>
          <w:tcPr>
            <w:tcW w:w="1276" w:type="dxa"/>
          </w:tcPr>
          <w:p w14:paraId="1CE70EFA"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sz w:val="20"/>
                <w:szCs w:val="20"/>
              </w:rPr>
              <w:t xml:space="preserve">37,10 </w:t>
            </w:r>
          </w:p>
        </w:tc>
        <w:tc>
          <w:tcPr>
            <w:tcW w:w="1418" w:type="dxa"/>
            <w:vAlign w:val="center"/>
          </w:tcPr>
          <w:p w14:paraId="67364D42"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1.069,50 </w:t>
            </w:r>
          </w:p>
        </w:tc>
        <w:tc>
          <w:tcPr>
            <w:tcW w:w="1559" w:type="dxa"/>
            <w:vAlign w:val="center"/>
          </w:tcPr>
          <w:p w14:paraId="293EBEE9"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127,00 </w:t>
            </w:r>
          </w:p>
        </w:tc>
        <w:tc>
          <w:tcPr>
            <w:tcW w:w="1559" w:type="dxa"/>
            <w:vAlign w:val="center"/>
          </w:tcPr>
          <w:p w14:paraId="672EB3A1"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342,50 </w:t>
            </w:r>
          </w:p>
        </w:tc>
        <w:tc>
          <w:tcPr>
            <w:tcW w:w="1276" w:type="dxa"/>
            <w:vAlign w:val="center"/>
          </w:tcPr>
          <w:p w14:paraId="05AE102B"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361,00 </w:t>
            </w:r>
          </w:p>
        </w:tc>
        <w:tc>
          <w:tcPr>
            <w:tcW w:w="992" w:type="dxa"/>
            <w:vAlign w:val="center"/>
          </w:tcPr>
          <w:p w14:paraId="01AEEB96"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118,50 </w:t>
            </w:r>
          </w:p>
        </w:tc>
      </w:tr>
      <w:tr w:rsidR="00FD2CBB" w:rsidRPr="00C63E3A" w14:paraId="1DBDD8ED" w14:textId="77777777" w:rsidTr="000B19EE">
        <w:tc>
          <w:tcPr>
            <w:cnfStyle w:val="001000000000" w:firstRow="0" w:lastRow="0" w:firstColumn="1" w:lastColumn="0" w:oddVBand="0" w:evenVBand="0" w:oddHBand="0" w:evenHBand="0" w:firstRowFirstColumn="0" w:firstRowLastColumn="0" w:lastRowFirstColumn="0" w:lastRowLastColumn="0"/>
            <w:tcW w:w="1129" w:type="dxa"/>
          </w:tcPr>
          <w:p w14:paraId="78DEEA63" w14:textId="77777777" w:rsidR="00FD2CBB" w:rsidRPr="00C63E3A" w:rsidRDefault="00FD2CBB">
            <w:pPr>
              <w:spacing w:before="20" w:after="20" w:line="240" w:lineRule="auto"/>
              <w:rPr>
                <w:b w:val="0"/>
                <w:sz w:val="20"/>
                <w:szCs w:val="20"/>
              </w:rPr>
            </w:pPr>
            <w:r w:rsidRPr="00C63E3A">
              <w:rPr>
                <w:b w:val="0"/>
                <w:sz w:val="20"/>
                <w:szCs w:val="20"/>
              </w:rPr>
              <w:t>90,1-100</w:t>
            </w:r>
          </w:p>
        </w:tc>
        <w:tc>
          <w:tcPr>
            <w:tcW w:w="1276" w:type="dxa"/>
          </w:tcPr>
          <w:p w14:paraId="1AD2DA58"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sz w:val="20"/>
                <w:szCs w:val="20"/>
              </w:rPr>
              <w:t xml:space="preserve">38,00 </w:t>
            </w:r>
          </w:p>
        </w:tc>
        <w:tc>
          <w:tcPr>
            <w:tcW w:w="1418" w:type="dxa"/>
            <w:vAlign w:val="center"/>
          </w:tcPr>
          <w:p w14:paraId="260F178B"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1.099,00 </w:t>
            </w:r>
          </w:p>
        </w:tc>
        <w:tc>
          <w:tcPr>
            <w:tcW w:w="1559" w:type="dxa"/>
            <w:vAlign w:val="center"/>
          </w:tcPr>
          <w:p w14:paraId="2C070477"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130,00 </w:t>
            </w:r>
          </w:p>
        </w:tc>
        <w:tc>
          <w:tcPr>
            <w:tcW w:w="1559" w:type="dxa"/>
            <w:vAlign w:val="center"/>
          </w:tcPr>
          <w:p w14:paraId="24432252"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353,50 </w:t>
            </w:r>
          </w:p>
        </w:tc>
        <w:tc>
          <w:tcPr>
            <w:tcW w:w="1276" w:type="dxa"/>
            <w:vAlign w:val="center"/>
          </w:tcPr>
          <w:p w14:paraId="3E887C81"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373,00 </w:t>
            </w:r>
          </w:p>
        </w:tc>
        <w:tc>
          <w:tcPr>
            <w:tcW w:w="992" w:type="dxa"/>
            <w:vAlign w:val="center"/>
          </w:tcPr>
          <w:p w14:paraId="151D3D1A"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132,00 </w:t>
            </w:r>
          </w:p>
        </w:tc>
      </w:tr>
      <w:tr w:rsidR="00FD2CBB" w:rsidRPr="00C63E3A" w14:paraId="74746DC7" w14:textId="77777777" w:rsidTr="000B19EE">
        <w:tc>
          <w:tcPr>
            <w:cnfStyle w:val="001000000000" w:firstRow="0" w:lastRow="0" w:firstColumn="1" w:lastColumn="0" w:oddVBand="0" w:evenVBand="0" w:oddHBand="0" w:evenHBand="0" w:firstRowFirstColumn="0" w:firstRowLastColumn="0" w:lastRowFirstColumn="0" w:lastRowLastColumn="0"/>
            <w:tcW w:w="1129" w:type="dxa"/>
          </w:tcPr>
          <w:p w14:paraId="1737C4B5" w14:textId="77777777" w:rsidR="00FD2CBB" w:rsidRPr="00C63E3A" w:rsidRDefault="00FD2CBB">
            <w:pPr>
              <w:spacing w:before="20" w:after="20" w:line="240" w:lineRule="auto"/>
              <w:rPr>
                <w:b w:val="0"/>
                <w:sz w:val="20"/>
                <w:szCs w:val="20"/>
              </w:rPr>
            </w:pPr>
            <w:r w:rsidRPr="00C63E3A">
              <w:rPr>
                <w:b w:val="0"/>
                <w:sz w:val="20"/>
                <w:szCs w:val="20"/>
              </w:rPr>
              <w:t>100,1-125</w:t>
            </w:r>
          </w:p>
        </w:tc>
        <w:tc>
          <w:tcPr>
            <w:tcW w:w="1276" w:type="dxa"/>
          </w:tcPr>
          <w:p w14:paraId="5182079B"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sz w:val="20"/>
                <w:szCs w:val="20"/>
              </w:rPr>
              <w:t xml:space="preserve">38,90 </w:t>
            </w:r>
          </w:p>
        </w:tc>
        <w:tc>
          <w:tcPr>
            <w:tcW w:w="1418" w:type="dxa"/>
            <w:vAlign w:val="center"/>
          </w:tcPr>
          <w:p w14:paraId="046A9376"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1.123,00 </w:t>
            </w:r>
          </w:p>
        </w:tc>
        <w:tc>
          <w:tcPr>
            <w:tcW w:w="1559" w:type="dxa"/>
            <w:vAlign w:val="center"/>
          </w:tcPr>
          <w:p w14:paraId="07A7DAA8"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133,00 </w:t>
            </w:r>
          </w:p>
        </w:tc>
        <w:tc>
          <w:tcPr>
            <w:tcW w:w="1559" w:type="dxa"/>
            <w:vAlign w:val="center"/>
          </w:tcPr>
          <w:p w14:paraId="4D7C08C4"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360,00 </w:t>
            </w:r>
          </w:p>
        </w:tc>
        <w:tc>
          <w:tcPr>
            <w:tcW w:w="1276" w:type="dxa"/>
            <w:vAlign w:val="center"/>
          </w:tcPr>
          <w:p w14:paraId="2A6927B6"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379,50 </w:t>
            </w:r>
          </w:p>
        </w:tc>
        <w:tc>
          <w:tcPr>
            <w:tcW w:w="992" w:type="dxa"/>
            <w:vAlign w:val="center"/>
          </w:tcPr>
          <w:p w14:paraId="1F254929"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148,00 </w:t>
            </w:r>
          </w:p>
        </w:tc>
      </w:tr>
      <w:tr w:rsidR="00FD2CBB" w:rsidRPr="00C63E3A" w14:paraId="2395FB0D" w14:textId="77777777" w:rsidTr="000B19EE">
        <w:tc>
          <w:tcPr>
            <w:cnfStyle w:val="001000000000" w:firstRow="0" w:lastRow="0" w:firstColumn="1" w:lastColumn="0" w:oddVBand="0" w:evenVBand="0" w:oddHBand="0" w:evenHBand="0" w:firstRowFirstColumn="0" w:firstRowLastColumn="0" w:lastRowFirstColumn="0" w:lastRowLastColumn="0"/>
            <w:tcW w:w="1129" w:type="dxa"/>
          </w:tcPr>
          <w:p w14:paraId="31A45ADD" w14:textId="77777777" w:rsidR="00FD2CBB" w:rsidRPr="00C63E3A" w:rsidRDefault="00FD2CBB">
            <w:pPr>
              <w:spacing w:before="20" w:after="20" w:line="240" w:lineRule="auto"/>
              <w:rPr>
                <w:b w:val="0"/>
                <w:sz w:val="20"/>
                <w:szCs w:val="20"/>
              </w:rPr>
            </w:pPr>
            <w:r w:rsidRPr="00C63E3A">
              <w:rPr>
                <w:b w:val="0"/>
                <w:sz w:val="20"/>
                <w:szCs w:val="20"/>
              </w:rPr>
              <w:t>125,1-150</w:t>
            </w:r>
          </w:p>
        </w:tc>
        <w:tc>
          <w:tcPr>
            <w:tcW w:w="1276" w:type="dxa"/>
          </w:tcPr>
          <w:p w14:paraId="093E9599"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sz w:val="20"/>
                <w:szCs w:val="20"/>
              </w:rPr>
              <w:t xml:space="preserve">40,60 </w:t>
            </w:r>
          </w:p>
        </w:tc>
        <w:tc>
          <w:tcPr>
            <w:tcW w:w="1418" w:type="dxa"/>
            <w:vAlign w:val="center"/>
          </w:tcPr>
          <w:p w14:paraId="40FDC2BB"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1.239,00 </w:t>
            </w:r>
          </w:p>
        </w:tc>
        <w:tc>
          <w:tcPr>
            <w:tcW w:w="1559" w:type="dxa"/>
            <w:vAlign w:val="center"/>
          </w:tcPr>
          <w:p w14:paraId="622469F5"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147,00 </w:t>
            </w:r>
          </w:p>
        </w:tc>
        <w:tc>
          <w:tcPr>
            <w:tcW w:w="1559" w:type="dxa"/>
            <w:vAlign w:val="center"/>
          </w:tcPr>
          <w:p w14:paraId="2A01B6AB"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395,00 </w:t>
            </w:r>
          </w:p>
        </w:tc>
        <w:tc>
          <w:tcPr>
            <w:tcW w:w="1276" w:type="dxa"/>
            <w:vAlign w:val="center"/>
          </w:tcPr>
          <w:p w14:paraId="1EC98FB8"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416,00 </w:t>
            </w:r>
          </w:p>
        </w:tc>
        <w:tc>
          <w:tcPr>
            <w:tcW w:w="992" w:type="dxa"/>
            <w:vAlign w:val="center"/>
          </w:tcPr>
          <w:p w14:paraId="359B5844" w14:textId="77777777" w:rsidR="00FD2CBB" w:rsidRPr="00C63E3A" w:rsidRDefault="00FD2CBB">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157,00 </w:t>
            </w:r>
          </w:p>
        </w:tc>
      </w:tr>
    </w:tbl>
    <w:p w14:paraId="4BCCED1A" w14:textId="57C9F298" w:rsidR="00FD2CBB" w:rsidRPr="002D5CA8" w:rsidRDefault="00FD2CBB" w:rsidP="00FD2CBB">
      <w:pPr>
        <w:pStyle w:val="Didascalia"/>
        <w:spacing w:before="120" w:after="0"/>
        <w:jc w:val="center"/>
        <w:rPr>
          <w:i w:val="0"/>
        </w:rPr>
      </w:pPr>
      <w:r>
        <w:t xml:space="preserve">Tabella </w:t>
      </w:r>
      <w:r w:rsidR="00FD7EE5">
        <w:fldChar w:fldCharType="begin"/>
      </w:r>
      <w:r w:rsidR="00FD7EE5">
        <w:instrText xml:space="preserve"> SEQ Tabella \* ARABIC </w:instrText>
      </w:r>
      <w:r w:rsidR="00FD7EE5">
        <w:fldChar w:fldCharType="separate"/>
      </w:r>
      <w:r w:rsidR="00073B6D">
        <w:rPr>
          <w:noProof/>
        </w:rPr>
        <w:t>41</w:t>
      </w:r>
      <w:r w:rsidR="00FD7EE5">
        <w:rPr>
          <w:noProof/>
        </w:rPr>
        <w:fldChar w:fldCharType="end"/>
      </w:r>
      <w:r>
        <w:rPr>
          <w:i w:val="0"/>
        </w:rPr>
        <w:t xml:space="preserve"> – </w:t>
      </w:r>
      <w:r w:rsidRPr="002E2843">
        <w:rPr>
          <w:iCs w:val="0"/>
        </w:rPr>
        <w:t>Altre Tariffe di abbonamento a fasce chilometriche</w:t>
      </w:r>
    </w:p>
    <w:p w14:paraId="0FB0CDF3" w14:textId="77777777" w:rsidR="00FD2CBB" w:rsidRDefault="00FD2CBB" w:rsidP="00FD2CBB">
      <w:pPr>
        <w:spacing w:before="120" w:after="0" w:line="240" w:lineRule="auto"/>
      </w:pPr>
    </w:p>
    <w:p w14:paraId="0CD98C0B" w14:textId="77777777" w:rsidR="00FD2CBB" w:rsidRPr="00450BAF" w:rsidRDefault="00FD2CBB" w:rsidP="00FD2CBB">
      <w:pPr>
        <w:pStyle w:val="Titolo3"/>
        <w:ind w:left="720"/>
      </w:pPr>
      <w:bookmarkStart w:id="325" w:name="_Toc726638733"/>
      <w:bookmarkStart w:id="326" w:name="_Toc197695706"/>
      <w:bookmarkStart w:id="327" w:name="_Ref204263227"/>
      <w:bookmarkStart w:id="328" w:name="_Ref204263236"/>
      <w:bookmarkStart w:id="329" w:name="_Toc204616516"/>
      <w:bookmarkStart w:id="330" w:name="_Toc213078387"/>
      <w:r w:rsidRPr="00450BAF">
        <w:lastRenderedPageBreak/>
        <w:t>Tariffe servizi urbani</w:t>
      </w:r>
      <w:bookmarkEnd w:id="325"/>
      <w:bookmarkEnd w:id="326"/>
      <w:bookmarkEnd w:id="327"/>
      <w:bookmarkEnd w:id="328"/>
      <w:bookmarkEnd w:id="329"/>
      <w:bookmarkEnd w:id="330"/>
    </w:p>
    <w:p w14:paraId="10DE2E48" w14:textId="77777777" w:rsidR="00FD2CBB" w:rsidRPr="00DD660D" w:rsidRDefault="00FD2CBB" w:rsidP="00FD2CBB">
      <w:pPr>
        <w:spacing w:before="120" w:after="0" w:line="240" w:lineRule="auto"/>
        <w:rPr>
          <w:color w:val="000000"/>
        </w:rPr>
      </w:pPr>
      <w:r w:rsidRPr="00DD660D">
        <w:rPr>
          <w:color w:val="000000"/>
        </w:rPr>
        <w:t xml:space="preserve">La citata </w:t>
      </w:r>
      <w:r w:rsidRPr="00DD660D">
        <w:t xml:space="preserve">DGR n. 13-6608/2013 con riferimento ai servizi urbani e suburbani esprime il seguente principio </w:t>
      </w:r>
      <w:r w:rsidRPr="00DD660D">
        <w:rPr>
          <w:i/>
        </w:rPr>
        <w:t>“... A partire dal biglietto ordinario di corsa semplice, di euro 1,50</w:t>
      </w:r>
      <w:r w:rsidRPr="00DD660D">
        <w:rPr>
          <w:rStyle w:val="Rimandonotaapidipagina"/>
          <w:i/>
        </w:rPr>
        <w:footnoteReference w:id="32"/>
      </w:r>
      <w:r w:rsidRPr="00DD660D">
        <w:rPr>
          <w:i/>
        </w:rPr>
        <w:t>, gli Enti soggetti di delega potranno definire i livelli tariffari di biglietti ed abbonamenti, che pur tenendo conto delle specificità territoriali e di esigenze particolari, siano coerenti ai rapporti tra tipologie tariffarie adottati per i servizi automobilistici di linea extraurbani approvati con la presente (tariffe penta-chilometriche) …</w:t>
      </w:r>
      <w:r w:rsidRPr="00DD660D">
        <w:t>”.</w:t>
      </w:r>
    </w:p>
    <w:p w14:paraId="224CD543" w14:textId="789E26AE" w:rsidR="00532AE5" w:rsidRDefault="00FD2CBB" w:rsidP="00FD2CBB">
      <w:pPr>
        <w:spacing w:before="120" w:line="240" w:lineRule="auto"/>
        <w:rPr>
          <w:color w:val="000000"/>
        </w:rPr>
      </w:pPr>
      <w:r w:rsidRPr="00DD660D">
        <w:rPr>
          <w:color w:val="000000"/>
        </w:rPr>
        <w:t xml:space="preserve">Le tariffe dei servizi urbani sono determinate dai singoli comuni, di seguito si riporta il quadro complessivo dei servizi urbani per il Bacino </w:t>
      </w:r>
      <w:r>
        <w:rPr>
          <w:color w:val="000000"/>
        </w:rPr>
        <w:t xml:space="preserve">Metropolitano </w:t>
      </w:r>
      <w:r w:rsidRPr="00DD660D">
        <w:rPr>
          <w:color w:val="000000"/>
        </w:rPr>
        <w:t xml:space="preserve">con i relativi atti di definizione tariffaria: </w:t>
      </w:r>
    </w:p>
    <w:tbl>
      <w:tblPr>
        <w:tblStyle w:val="Grigliatabella"/>
        <w:tblW w:w="9351" w:type="dxa"/>
        <w:tblInd w:w="-1"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413"/>
        <w:gridCol w:w="1276"/>
        <w:gridCol w:w="2551"/>
        <w:gridCol w:w="1134"/>
        <w:gridCol w:w="992"/>
        <w:gridCol w:w="993"/>
        <w:gridCol w:w="992"/>
      </w:tblGrid>
      <w:tr w:rsidR="00FD2CBB" w14:paraId="690D823B" w14:textId="77777777" w:rsidTr="000B19EE">
        <w:trPr>
          <w:trHeight w:val="246"/>
        </w:trPr>
        <w:tc>
          <w:tcPr>
            <w:tcW w:w="1413" w:type="dxa"/>
            <w:vMerge w:val="restart"/>
            <w:shd w:val="clear" w:color="auto" w:fill="EE3438"/>
            <w:vAlign w:val="center"/>
            <w:hideMark/>
          </w:tcPr>
          <w:p w14:paraId="09A62861" w14:textId="77777777" w:rsidR="00FD2CBB" w:rsidRPr="000B19EE" w:rsidRDefault="00FD2CBB" w:rsidP="000B19EE">
            <w:pPr>
              <w:spacing w:after="0"/>
              <w:ind w:left="142"/>
              <w:rPr>
                <w:rFonts w:cs="Calibri"/>
                <w:b/>
                <w:color w:val="FFFFFF" w:themeColor="background1"/>
                <w:sz w:val="20"/>
                <w:szCs w:val="20"/>
              </w:rPr>
            </w:pPr>
            <w:r w:rsidRPr="000B19EE">
              <w:rPr>
                <w:rFonts w:cs="Calibri"/>
                <w:b/>
                <w:color w:val="FFFFFF" w:themeColor="background1"/>
                <w:sz w:val="20"/>
                <w:szCs w:val="20"/>
              </w:rPr>
              <w:t>Comune</w:t>
            </w:r>
          </w:p>
        </w:tc>
        <w:tc>
          <w:tcPr>
            <w:tcW w:w="1276" w:type="dxa"/>
            <w:vMerge w:val="restart"/>
            <w:shd w:val="clear" w:color="auto" w:fill="EE3438"/>
            <w:vAlign w:val="center"/>
            <w:hideMark/>
          </w:tcPr>
          <w:p w14:paraId="4667BB7F" w14:textId="77777777" w:rsidR="00FD2CBB" w:rsidRPr="000B19EE" w:rsidRDefault="00FD2CBB" w:rsidP="000B19EE">
            <w:pPr>
              <w:spacing w:after="0"/>
              <w:ind w:left="136"/>
              <w:rPr>
                <w:rFonts w:cs="Calibri"/>
                <w:b/>
                <w:color w:val="FFFFFF" w:themeColor="background1"/>
                <w:sz w:val="20"/>
                <w:szCs w:val="20"/>
              </w:rPr>
            </w:pPr>
            <w:r w:rsidRPr="000B19EE">
              <w:rPr>
                <w:rFonts w:cs="Calibri"/>
                <w:b/>
                <w:color w:val="FFFFFF" w:themeColor="background1"/>
                <w:sz w:val="20"/>
                <w:szCs w:val="20"/>
              </w:rPr>
              <w:t>Atto</w:t>
            </w:r>
          </w:p>
        </w:tc>
        <w:tc>
          <w:tcPr>
            <w:tcW w:w="2551" w:type="dxa"/>
            <w:vMerge w:val="restart"/>
            <w:shd w:val="clear" w:color="auto" w:fill="EE3438"/>
            <w:vAlign w:val="center"/>
            <w:hideMark/>
          </w:tcPr>
          <w:p w14:paraId="1490E210" w14:textId="77777777" w:rsidR="00FD2CBB" w:rsidRPr="000B19EE" w:rsidRDefault="00FD2CBB" w:rsidP="000B19EE">
            <w:pPr>
              <w:spacing w:after="0"/>
              <w:ind w:left="133"/>
              <w:rPr>
                <w:rFonts w:cs="Calibri"/>
                <w:b/>
                <w:color w:val="FFFFFF" w:themeColor="background1"/>
                <w:sz w:val="20"/>
                <w:szCs w:val="20"/>
              </w:rPr>
            </w:pPr>
            <w:r w:rsidRPr="000B19EE">
              <w:rPr>
                <w:rFonts w:cs="Calibri"/>
                <w:b/>
                <w:color w:val="FFFFFF" w:themeColor="background1"/>
                <w:sz w:val="20"/>
                <w:szCs w:val="20"/>
              </w:rPr>
              <w:t>Descrizione</w:t>
            </w:r>
          </w:p>
        </w:tc>
        <w:tc>
          <w:tcPr>
            <w:tcW w:w="4111" w:type="dxa"/>
            <w:gridSpan w:val="4"/>
            <w:shd w:val="clear" w:color="auto" w:fill="EE3438"/>
            <w:vAlign w:val="center"/>
            <w:hideMark/>
          </w:tcPr>
          <w:p w14:paraId="153D3B02" w14:textId="77777777" w:rsidR="00FD2CBB" w:rsidRPr="000B19EE" w:rsidRDefault="00FD2CBB">
            <w:pPr>
              <w:spacing w:after="0"/>
              <w:jc w:val="center"/>
              <w:rPr>
                <w:rFonts w:cs="Calibri"/>
                <w:b/>
                <w:color w:val="FFFFFF" w:themeColor="background1"/>
                <w:sz w:val="20"/>
                <w:szCs w:val="20"/>
              </w:rPr>
            </w:pPr>
            <w:r w:rsidRPr="000B19EE">
              <w:rPr>
                <w:rFonts w:cs="Calibri"/>
                <w:b/>
                <w:color w:val="FFFFFF" w:themeColor="background1"/>
                <w:sz w:val="20"/>
                <w:szCs w:val="20"/>
              </w:rPr>
              <w:t>Principali titoli di viaggio</w:t>
            </w:r>
          </w:p>
        </w:tc>
      </w:tr>
      <w:tr w:rsidR="00FD2CBB" w14:paraId="769194C6" w14:textId="77777777" w:rsidTr="000B19EE">
        <w:trPr>
          <w:trHeight w:val="246"/>
        </w:trPr>
        <w:tc>
          <w:tcPr>
            <w:tcW w:w="1413" w:type="dxa"/>
            <w:vMerge/>
            <w:shd w:val="clear" w:color="auto" w:fill="EE3438"/>
            <w:vAlign w:val="center"/>
            <w:hideMark/>
          </w:tcPr>
          <w:p w14:paraId="464A0EB7" w14:textId="77777777" w:rsidR="00FD2CBB" w:rsidRDefault="00FD2CBB">
            <w:pPr>
              <w:spacing w:after="0"/>
              <w:jc w:val="left"/>
              <w:rPr>
                <w:rFonts w:cs="Calibri"/>
                <w:b/>
                <w:color w:val="000000"/>
                <w:sz w:val="20"/>
                <w:szCs w:val="20"/>
              </w:rPr>
            </w:pPr>
          </w:p>
        </w:tc>
        <w:tc>
          <w:tcPr>
            <w:tcW w:w="1276" w:type="dxa"/>
            <w:vMerge/>
            <w:shd w:val="clear" w:color="auto" w:fill="EE3438"/>
            <w:vAlign w:val="center"/>
            <w:hideMark/>
          </w:tcPr>
          <w:p w14:paraId="222350EF" w14:textId="77777777" w:rsidR="00FD2CBB" w:rsidRDefault="00FD2CBB">
            <w:pPr>
              <w:spacing w:after="0"/>
              <w:jc w:val="left"/>
              <w:rPr>
                <w:rFonts w:cs="Calibri"/>
                <w:b/>
                <w:color w:val="000000"/>
                <w:sz w:val="20"/>
                <w:szCs w:val="20"/>
              </w:rPr>
            </w:pPr>
          </w:p>
        </w:tc>
        <w:tc>
          <w:tcPr>
            <w:tcW w:w="2551" w:type="dxa"/>
            <w:vMerge/>
            <w:shd w:val="clear" w:color="auto" w:fill="EE3438"/>
            <w:vAlign w:val="center"/>
            <w:hideMark/>
          </w:tcPr>
          <w:p w14:paraId="3FE49B1E" w14:textId="77777777" w:rsidR="00FD2CBB" w:rsidRDefault="00FD2CBB">
            <w:pPr>
              <w:spacing w:after="0"/>
              <w:jc w:val="left"/>
              <w:rPr>
                <w:rFonts w:cs="Calibri"/>
                <w:b/>
                <w:color w:val="000000"/>
                <w:sz w:val="20"/>
                <w:szCs w:val="20"/>
              </w:rPr>
            </w:pPr>
          </w:p>
        </w:tc>
        <w:tc>
          <w:tcPr>
            <w:tcW w:w="1134" w:type="dxa"/>
            <w:shd w:val="clear" w:color="auto" w:fill="EE3438"/>
            <w:vAlign w:val="center"/>
            <w:hideMark/>
          </w:tcPr>
          <w:p w14:paraId="401FB3E0" w14:textId="77777777" w:rsidR="00FD2CBB" w:rsidRPr="000B19EE" w:rsidRDefault="00FD2CBB" w:rsidP="000B19EE">
            <w:pPr>
              <w:spacing w:after="0"/>
              <w:ind w:left="145"/>
              <w:rPr>
                <w:rFonts w:cs="Calibri"/>
                <w:b/>
                <w:color w:val="FFFFFF" w:themeColor="background1"/>
                <w:sz w:val="20"/>
                <w:szCs w:val="20"/>
              </w:rPr>
            </w:pPr>
            <w:r w:rsidRPr="000B19EE">
              <w:rPr>
                <w:rFonts w:cs="Calibri"/>
                <w:b/>
                <w:color w:val="FFFFFF" w:themeColor="background1"/>
                <w:sz w:val="20"/>
                <w:szCs w:val="20"/>
              </w:rPr>
              <w:t>Corsa semplice</w:t>
            </w:r>
          </w:p>
        </w:tc>
        <w:tc>
          <w:tcPr>
            <w:tcW w:w="992" w:type="dxa"/>
            <w:shd w:val="clear" w:color="auto" w:fill="EE3438"/>
            <w:vAlign w:val="center"/>
            <w:hideMark/>
          </w:tcPr>
          <w:p w14:paraId="1B447A62" w14:textId="77777777" w:rsidR="00FD2CBB" w:rsidRPr="000B19EE" w:rsidRDefault="00FD2CBB" w:rsidP="000B19EE">
            <w:pPr>
              <w:spacing w:after="0"/>
              <w:ind w:left="146"/>
              <w:rPr>
                <w:rFonts w:cs="Calibri"/>
                <w:b/>
                <w:color w:val="FFFFFF" w:themeColor="background1"/>
                <w:sz w:val="20"/>
                <w:szCs w:val="20"/>
              </w:rPr>
            </w:pPr>
            <w:r w:rsidRPr="000B19EE">
              <w:rPr>
                <w:rFonts w:cs="Calibri"/>
                <w:b/>
                <w:color w:val="FFFFFF" w:themeColor="background1"/>
                <w:sz w:val="20"/>
                <w:szCs w:val="20"/>
              </w:rPr>
              <w:t>Mensile</w:t>
            </w:r>
          </w:p>
        </w:tc>
        <w:tc>
          <w:tcPr>
            <w:tcW w:w="993" w:type="dxa"/>
            <w:shd w:val="clear" w:color="auto" w:fill="EE3438"/>
            <w:vAlign w:val="center"/>
            <w:hideMark/>
          </w:tcPr>
          <w:p w14:paraId="2D17CB8F" w14:textId="77777777" w:rsidR="00FD2CBB" w:rsidRPr="000B19EE" w:rsidRDefault="00FD2CBB" w:rsidP="000B19EE">
            <w:pPr>
              <w:spacing w:after="0"/>
              <w:ind w:left="135"/>
              <w:rPr>
                <w:rFonts w:cs="Calibri"/>
                <w:b/>
                <w:color w:val="FFFFFF" w:themeColor="background1"/>
                <w:sz w:val="20"/>
                <w:szCs w:val="20"/>
              </w:rPr>
            </w:pPr>
            <w:r w:rsidRPr="000B19EE">
              <w:rPr>
                <w:rFonts w:cs="Calibri"/>
                <w:b/>
                <w:color w:val="FFFFFF" w:themeColor="background1"/>
                <w:sz w:val="20"/>
                <w:szCs w:val="20"/>
              </w:rPr>
              <w:t>Annuale studenti</w:t>
            </w:r>
          </w:p>
        </w:tc>
        <w:tc>
          <w:tcPr>
            <w:tcW w:w="992" w:type="dxa"/>
            <w:shd w:val="clear" w:color="auto" w:fill="EE3438"/>
            <w:vAlign w:val="center"/>
            <w:hideMark/>
          </w:tcPr>
          <w:p w14:paraId="04E8EB25" w14:textId="77777777" w:rsidR="00FD2CBB" w:rsidRPr="000B19EE" w:rsidRDefault="00FD2CBB" w:rsidP="000B19EE">
            <w:pPr>
              <w:spacing w:after="0"/>
              <w:ind w:left="140"/>
              <w:rPr>
                <w:rFonts w:cs="Calibri"/>
                <w:b/>
                <w:color w:val="FFFFFF" w:themeColor="background1"/>
                <w:sz w:val="20"/>
                <w:szCs w:val="20"/>
              </w:rPr>
            </w:pPr>
            <w:r w:rsidRPr="000B19EE">
              <w:rPr>
                <w:rFonts w:cs="Calibri"/>
                <w:b/>
                <w:color w:val="FFFFFF" w:themeColor="background1"/>
                <w:sz w:val="20"/>
                <w:szCs w:val="20"/>
              </w:rPr>
              <w:t>Annuale</w:t>
            </w:r>
          </w:p>
        </w:tc>
      </w:tr>
      <w:tr w:rsidR="00FD2CBB" w14:paraId="1C4AD9E2" w14:textId="77777777" w:rsidTr="000B19EE">
        <w:trPr>
          <w:trHeight w:val="767"/>
        </w:trPr>
        <w:tc>
          <w:tcPr>
            <w:tcW w:w="1413" w:type="dxa"/>
            <w:vAlign w:val="center"/>
            <w:hideMark/>
          </w:tcPr>
          <w:p w14:paraId="4A0561D2" w14:textId="77777777" w:rsidR="00FD2CBB" w:rsidRDefault="00FD2CBB">
            <w:pPr>
              <w:spacing w:after="0"/>
              <w:rPr>
                <w:rFonts w:cs="Calibri"/>
                <w:color w:val="000000"/>
                <w:sz w:val="20"/>
                <w:szCs w:val="20"/>
              </w:rPr>
            </w:pPr>
            <w:r>
              <w:rPr>
                <w:rFonts w:cs="Calibri"/>
                <w:color w:val="000000"/>
                <w:sz w:val="20"/>
                <w:szCs w:val="20"/>
              </w:rPr>
              <w:t>Bardonecchia</w:t>
            </w:r>
          </w:p>
        </w:tc>
        <w:tc>
          <w:tcPr>
            <w:tcW w:w="1276" w:type="dxa"/>
            <w:vAlign w:val="center"/>
            <w:hideMark/>
          </w:tcPr>
          <w:p w14:paraId="4B8692B9" w14:textId="77777777" w:rsidR="00FD2CBB" w:rsidRDefault="00FD2CBB">
            <w:pPr>
              <w:spacing w:after="0"/>
              <w:rPr>
                <w:rFonts w:cs="Calibri"/>
                <w:color w:val="000000"/>
                <w:sz w:val="20"/>
                <w:szCs w:val="20"/>
              </w:rPr>
            </w:pPr>
            <w:r>
              <w:rPr>
                <w:rFonts w:cs="Calibri"/>
                <w:color w:val="000000"/>
                <w:sz w:val="20"/>
                <w:szCs w:val="20"/>
              </w:rPr>
              <w:t>D.G.C. n. 65 del 26/06/2013</w:t>
            </w:r>
          </w:p>
        </w:tc>
        <w:tc>
          <w:tcPr>
            <w:tcW w:w="2551" w:type="dxa"/>
            <w:vAlign w:val="center"/>
            <w:hideMark/>
          </w:tcPr>
          <w:p w14:paraId="04B7B075" w14:textId="77777777" w:rsidR="00FD2CBB" w:rsidRDefault="00FD2CBB">
            <w:pPr>
              <w:spacing w:after="0"/>
              <w:jc w:val="left"/>
              <w:rPr>
                <w:rFonts w:cs="Calibri"/>
                <w:color w:val="000000"/>
                <w:sz w:val="20"/>
                <w:szCs w:val="20"/>
              </w:rPr>
            </w:pPr>
            <w:r>
              <w:rPr>
                <w:rFonts w:cs="Calibri"/>
                <w:color w:val="000000"/>
                <w:sz w:val="20"/>
                <w:szCs w:val="20"/>
              </w:rPr>
              <w:t>Biglietti e abbonamenti gratuiti per l’utenza</w:t>
            </w:r>
          </w:p>
        </w:tc>
        <w:tc>
          <w:tcPr>
            <w:tcW w:w="1134" w:type="dxa"/>
            <w:vAlign w:val="center"/>
          </w:tcPr>
          <w:p w14:paraId="15F9258A" w14:textId="77777777" w:rsidR="00FD2CBB" w:rsidRDefault="00FD2CBB">
            <w:pPr>
              <w:spacing w:after="0"/>
              <w:rPr>
                <w:rFonts w:cs="Calibri"/>
                <w:color w:val="000000"/>
                <w:sz w:val="20"/>
                <w:szCs w:val="20"/>
              </w:rPr>
            </w:pPr>
            <w:r>
              <w:rPr>
                <w:rFonts w:cs="Calibri"/>
                <w:color w:val="000000"/>
                <w:sz w:val="20"/>
                <w:szCs w:val="20"/>
              </w:rPr>
              <w:t>-</w:t>
            </w:r>
          </w:p>
        </w:tc>
        <w:tc>
          <w:tcPr>
            <w:tcW w:w="992" w:type="dxa"/>
            <w:vAlign w:val="center"/>
          </w:tcPr>
          <w:p w14:paraId="1221D8FB" w14:textId="77777777" w:rsidR="00FD2CBB" w:rsidRDefault="00FD2CBB">
            <w:pPr>
              <w:spacing w:after="0"/>
              <w:rPr>
                <w:rFonts w:cs="Calibri"/>
                <w:color w:val="000000"/>
                <w:sz w:val="20"/>
                <w:szCs w:val="20"/>
              </w:rPr>
            </w:pPr>
            <w:r>
              <w:rPr>
                <w:rFonts w:cs="Calibri"/>
                <w:color w:val="000000"/>
                <w:sz w:val="20"/>
                <w:szCs w:val="20"/>
              </w:rPr>
              <w:t>-</w:t>
            </w:r>
          </w:p>
        </w:tc>
        <w:tc>
          <w:tcPr>
            <w:tcW w:w="993" w:type="dxa"/>
            <w:vAlign w:val="center"/>
          </w:tcPr>
          <w:p w14:paraId="378DD15A" w14:textId="77777777" w:rsidR="00FD2CBB" w:rsidRDefault="00FD2CBB">
            <w:pPr>
              <w:spacing w:after="0"/>
              <w:rPr>
                <w:rFonts w:cs="Calibri"/>
                <w:color w:val="000000"/>
                <w:sz w:val="20"/>
                <w:szCs w:val="20"/>
              </w:rPr>
            </w:pPr>
            <w:r>
              <w:rPr>
                <w:rFonts w:cs="Calibri"/>
                <w:color w:val="000000"/>
                <w:sz w:val="20"/>
                <w:szCs w:val="20"/>
              </w:rPr>
              <w:t>-</w:t>
            </w:r>
          </w:p>
        </w:tc>
        <w:tc>
          <w:tcPr>
            <w:tcW w:w="992" w:type="dxa"/>
            <w:vAlign w:val="center"/>
          </w:tcPr>
          <w:p w14:paraId="56A53E10" w14:textId="77777777" w:rsidR="00FD2CBB" w:rsidRDefault="00FD2CBB">
            <w:pPr>
              <w:spacing w:after="0"/>
              <w:rPr>
                <w:rFonts w:cs="Calibri"/>
                <w:color w:val="000000"/>
                <w:sz w:val="20"/>
                <w:szCs w:val="20"/>
              </w:rPr>
            </w:pPr>
            <w:r>
              <w:rPr>
                <w:rFonts w:cs="Calibri"/>
                <w:color w:val="000000"/>
                <w:sz w:val="20"/>
                <w:szCs w:val="20"/>
              </w:rPr>
              <w:t>-</w:t>
            </w:r>
          </w:p>
        </w:tc>
      </w:tr>
      <w:tr w:rsidR="00FD2CBB" w14:paraId="288C130D" w14:textId="77777777" w:rsidTr="000B19EE">
        <w:trPr>
          <w:trHeight w:val="1033"/>
        </w:trPr>
        <w:tc>
          <w:tcPr>
            <w:tcW w:w="1413" w:type="dxa"/>
            <w:vAlign w:val="center"/>
          </w:tcPr>
          <w:p w14:paraId="7E95866B" w14:textId="77777777" w:rsidR="00FD2CBB" w:rsidRDefault="00FD2CBB">
            <w:pPr>
              <w:spacing w:after="0"/>
              <w:rPr>
                <w:rFonts w:cs="Calibri"/>
                <w:color w:val="000000"/>
                <w:sz w:val="20"/>
                <w:szCs w:val="20"/>
              </w:rPr>
            </w:pPr>
            <w:r>
              <w:rPr>
                <w:rFonts w:cs="Calibri"/>
                <w:color w:val="000000"/>
                <w:sz w:val="20"/>
                <w:szCs w:val="20"/>
              </w:rPr>
              <w:t>Carmagnola</w:t>
            </w:r>
          </w:p>
        </w:tc>
        <w:tc>
          <w:tcPr>
            <w:tcW w:w="1276" w:type="dxa"/>
            <w:vAlign w:val="center"/>
          </w:tcPr>
          <w:p w14:paraId="4952B679" w14:textId="77777777" w:rsidR="00FD2CBB" w:rsidRPr="000B38C5" w:rsidRDefault="00FD2CBB">
            <w:pPr>
              <w:spacing w:after="0"/>
              <w:rPr>
                <w:rFonts w:cs="Calibri"/>
                <w:color w:val="000000"/>
                <w:sz w:val="20"/>
                <w:szCs w:val="20"/>
              </w:rPr>
            </w:pPr>
            <w:r w:rsidRPr="000B38C5">
              <w:rPr>
                <w:rFonts w:cs="Calibri"/>
                <w:color w:val="000000"/>
                <w:sz w:val="20"/>
                <w:szCs w:val="20"/>
              </w:rPr>
              <w:t>D.G.C. n. 124 del 09/06/2023</w:t>
            </w:r>
          </w:p>
        </w:tc>
        <w:tc>
          <w:tcPr>
            <w:tcW w:w="2551" w:type="dxa"/>
            <w:vAlign w:val="center"/>
          </w:tcPr>
          <w:p w14:paraId="052F26B0" w14:textId="77777777" w:rsidR="00FD2CBB" w:rsidRDefault="00FD2CBB">
            <w:pPr>
              <w:spacing w:after="0"/>
              <w:jc w:val="left"/>
              <w:rPr>
                <w:rFonts w:cs="Calibri"/>
                <w:color w:val="000000"/>
                <w:sz w:val="20"/>
                <w:szCs w:val="20"/>
              </w:rPr>
            </w:pPr>
            <w:r>
              <w:rPr>
                <w:rFonts w:cs="Calibri"/>
                <w:color w:val="000000"/>
                <w:sz w:val="20"/>
                <w:szCs w:val="20"/>
              </w:rPr>
              <w:t>Biglietti di corsa semplice, abbonamenti: settimanale illimitato, mensile illimitato, annuale illimitato, 10 mesi studenti illimitato</w:t>
            </w:r>
          </w:p>
        </w:tc>
        <w:tc>
          <w:tcPr>
            <w:tcW w:w="1134" w:type="dxa"/>
            <w:vAlign w:val="center"/>
          </w:tcPr>
          <w:p w14:paraId="7CEBE289" w14:textId="77777777" w:rsidR="00FD2CBB" w:rsidRDefault="00FD2CBB">
            <w:pPr>
              <w:spacing w:after="0"/>
              <w:rPr>
                <w:rFonts w:cs="Calibri"/>
                <w:color w:val="000000"/>
                <w:sz w:val="20"/>
                <w:szCs w:val="20"/>
              </w:rPr>
            </w:pPr>
            <w:r>
              <w:rPr>
                <w:rFonts w:cs="Calibri"/>
                <w:color w:val="000000"/>
                <w:sz w:val="20"/>
                <w:szCs w:val="20"/>
              </w:rPr>
              <w:t>1,7 €</w:t>
            </w:r>
          </w:p>
        </w:tc>
        <w:tc>
          <w:tcPr>
            <w:tcW w:w="992" w:type="dxa"/>
            <w:vAlign w:val="center"/>
          </w:tcPr>
          <w:p w14:paraId="005E8F3E" w14:textId="77777777" w:rsidR="00FD2CBB" w:rsidRDefault="00FD2CBB">
            <w:pPr>
              <w:spacing w:after="0"/>
              <w:rPr>
                <w:rFonts w:cs="Calibri"/>
                <w:color w:val="000000"/>
                <w:sz w:val="20"/>
                <w:szCs w:val="20"/>
              </w:rPr>
            </w:pPr>
            <w:r>
              <w:rPr>
                <w:rFonts w:cs="Calibri"/>
                <w:color w:val="000000"/>
                <w:sz w:val="20"/>
                <w:szCs w:val="20"/>
              </w:rPr>
              <w:t>35,5 €</w:t>
            </w:r>
          </w:p>
        </w:tc>
        <w:tc>
          <w:tcPr>
            <w:tcW w:w="993" w:type="dxa"/>
            <w:vAlign w:val="center"/>
          </w:tcPr>
          <w:p w14:paraId="46A9FF89" w14:textId="77777777" w:rsidR="00FD2CBB" w:rsidRDefault="00FD2CBB">
            <w:pPr>
              <w:spacing w:after="0"/>
              <w:rPr>
                <w:rFonts w:cs="Calibri"/>
                <w:color w:val="000000"/>
                <w:sz w:val="20"/>
                <w:szCs w:val="20"/>
              </w:rPr>
            </w:pPr>
            <w:r>
              <w:rPr>
                <w:rFonts w:cs="Calibri"/>
                <w:color w:val="000000"/>
                <w:sz w:val="20"/>
                <w:szCs w:val="20"/>
              </w:rPr>
              <w:t>284 €</w:t>
            </w:r>
          </w:p>
        </w:tc>
        <w:tc>
          <w:tcPr>
            <w:tcW w:w="992" w:type="dxa"/>
            <w:vAlign w:val="center"/>
          </w:tcPr>
          <w:p w14:paraId="02BD0597" w14:textId="77777777" w:rsidR="00FD2CBB" w:rsidRDefault="00FD2CBB">
            <w:pPr>
              <w:spacing w:after="0"/>
              <w:rPr>
                <w:rFonts w:cs="Calibri"/>
                <w:color w:val="000000"/>
                <w:sz w:val="20"/>
                <w:szCs w:val="20"/>
              </w:rPr>
            </w:pPr>
            <w:r>
              <w:rPr>
                <w:rFonts w:cs="Calibri"/>
                <w:color w:val="000000"/>
                <w:sz w:val="20"/>
                <w:szCs w:val="20"/>
              </w:rPr>
              <w:t>318,5 €</w:t>
            </w:r>
          </w:p>
        </w:tc>
      </w:tr>
      <w:tr w:rsidR="00FD2CBB" w14:paraId="54925FA1" w14:textId="77777777" w:rsidTr="000B19EE">
        <w:trPr>
          <w:trHeight w:val="782"/>
        </w:trPr>
        <w:tc>
          <w:tcPr>
            <w:tcW w:w="1413" w:type="dxa"/>
            <w:vAlign w:val="center"/>
            <w:hideMark/>
          </w:tcPr>
          <w:p w14:paraId="20C39F1C" w14:textId="77777777" w:rsidR="00FD2CBB" w:rsidRDefault="00FD2CBB">
            <w:pPr>
              <w:spacing w:after="0"/>
              <w:rPr>
                <w:rFonts w:cs="Calibri"/>
                <w:color w:val="000000"/>
                <w:sz w:val="20"/>
                <w:szCs w:val="20"/>
              </w:rPr>
            </w:pPr>
            <w:r>
              <w:rPr>
                <w:rFonts w:cs="Calibri"/>
                <w:color w:val="000000"/>
                <w:sz w:val="20"/>
                <w:szCs w:val="20"/>
              </w:rPr>
              <w:t>Chivasso</w:t>
            </w:r>
          </w:p>
        </w:tc>
        <w:tc>
          <w:tcPr>
            <w:tcW w:w="1276" w:type="dxa"/>
            <w:vAlign w:val="center"/>
          </w:tcPr>
          <w:p w14:paraId="0BBBC74C" w14:textId="45CA2252" w:rsidR="00FD2CBB" w:rsidRDefault="00073B6D">
            <w:pPr>
              <w:spacing w:after="0"/>
              <w:rPr>
                <w:rFonts w:cs="Calibri"/>
                <w:color w:val="000000"/>
                <w:sz w:val="20"/>
                <w:szCs w:val="20"/>
              </w:rPr>
            </w:pPr>
            <w:hyperlink r:id="rId79" w:history="1">
              <w:r w:rsidR="00FD2CBB" w:rsidRPr="0020649B">
                <w:rPr>
                  <w:rStyle w:val="Collegamentoipertestuale"/>
                  <w:rFonts w:cs="Calibri"/>
                  <w:sz w:val="20"/>
                  <w:szCs w:val="20"/>
                </w:rPr>
                <w:t>D.C.C. n. 7 del 03/02/2025</w:t>
              </w:r>
            </w:hyperlink>
          </w:p>
        </w:tc>
        <w:tc>
          <w:tcPr>
            <w:tcW w:w="2551" w:type="dxa"/>
            <w:vAlign w:val="center"/>
            <w:hideMark/>
          </w:tcPr>
          <w:p w14:paraId="3DD96515" w14:textId="77777777" w:rsidR="00FD2CBB" w:rsidRDefault="00FD2CBB">
            <w:pPr>
              <w:spacing w:after="0"/>
              <w:jc w:val="left"/>
              <w:rPr>
                <w:rFonts w:cs="Calibri"/>
                <w:color w:val="000000"/>
                <w:sz w:val="20"/>
                <w:szCs w:val="20"/>
              </w:rPr>
            </w:pPr>
            <w:r w:rsidRPr="00E96DA3">
              <w:rPr>
                <w:rFonts w:cs="Calibri"/>
                <w:color w:val="000000"/>
                <w:sz w:val="20"/>
                <w:szCs w:val="20"/>
              </w:rPr>
              <w:t xml:space="preserve">Biglietto </w:t>
            </w:r>
            <w:r>
              <w:rPr>
                <w:rFonts w:cs="Calibri"/>
                <w:color w:val="000000"/>
                <w:sz w:val="20"/>
                <w:szCs w:val="20"/>
              </w:rPr>
              <w:t>di corsa semplice, a</w:t>
            </w:r>
            <w:r w:rsidRPr="00E96DA3">
              <w:rPr>
                <w:rFonts w:cs="Calibri"/>
                <w:color w:val="000000"/>
                <w:sz w:val="20"/>
                <w:szCs w:val="20"/>
              </w:rPr>
              <w:t>bbonament</w:t>
            </w:r>
            <w:r>
              <w:rPr>
                <w:rFonts w:cs="Calibri"/>
                <w:color w:val="000000"/>
                <w:sz w:val="20"/>
                <w:szCs w:val="20"/>
              </w:rPr>
              <w:t>i:</w:t>
            </w:r>
            <w:r w:rsidRPr="00E96DA3">
              <w:rPr>
                <w:rFonts w:cs="Calibri"/>
                <w:color w:val="000000"/>
                <w:sz w:val="20"/>
                <w:szCs w:val="20"/>
              </w:rPr>
              <w:t xml:space="preserve"> settimanale</w:t>
            </w:r>
            <w:r>
              <w:rPr>
                <w:rFonts w:cs="Calibri"/>
                <w:color w:val="000000"/>
                <w:sz w:val="20"/>
                <w:szCs w:val="20"/>
              </w:rPr>
              <w:t xml:space="preserve">, </w:t>
            </w:r>
            <w:r w:rsidRPr="00E96DA3">
              <w:rPr>
                <w:rFonts w:cs="Calibri"/>
                <w:color w:val="000000"/>
                <w:sz w:val="20"/>
                <w:szCs w:val="20"/>
              </w:rPr>
              <w:t>mensile</w:t>
            </w:r>
            <w:r>
              <w:rPr>
                <w:rFonts w:cs="Calibri"/>
                <w:color w:val="000000"/>
                <w:sz w:val="20"/>
                <w:szCs w:val="20"/>
              </w:rPr>
              <w:t xml:space="preserve">, </w:t>
            </w:r>
            <w:r w:rsidRPr="00E96DA3">
              <w:rPr>
                <w:rFonts w:cs="Calibri"/>
                <w:color w:val="000000"/>
                <w:sz w:val="20"/>
                <w:szCs w:val="20"/>
              </w:rPr>
              <w:t>trimestrale</w:t>
            </w:r>
            <w:r>
              <w:rPr>
                <w:rFonts w:cs="Calibri"/>
                <w:color w:val="000000"/>
                <w:sz w:val="20"/>
                <w:szCs w:val="20"/>
              </w:rPr>
              <w:t xml:space="preserve">, </w:t>
            </w:r>
            <w:r w:rsidRPr="00E96DA3">
              <w:rPr>
                <w:rFonts w:cs="Calibri"/>
                <w:color w:val="000000"/>
                <w:sz w:val="20"/>
                <w:szCs w:val="20"/>
              </w:rPr>
              <w:t xml:space="preserve">annuale </w:t>
            </w:r>
          </w:p>
        </w:tc>
        <w:tc>
          <w:tcPr>
            <w:tcW w:w="1134" w:type="dxa"/>
            <w:vAlign w:val="center"/>
          </w:tcPr>
          <w:p w14:paraId="5807B27D" w14:textId="77777777" w:rsidR="00FD2CBB" w:rsidRDefault="00FD2CBB">
            <w:pPr>
              <w:spacing w:after="0"/>
              <w:rPr>
                <w:rFonts w:cs="Calibri"/>
                <w:color w:val="000000"/>
                <w:sz w:val="20"/>
                <w:szCs w:val="20"/>
              </w:rPr>
            </w:pPr>
            <w:r>
              <w:rPr>
                <w:rFonts w:cs="Calibri"/>
                <w:color w:val="000000"/>
                <w:sz w:val="20"/>
                <w:szCs w:val="20"/>
              </w:rPr>
              <w:t>1,3 €</w:t>
            </w:r>
          </w:p>
        </w:tc>
        <w:tc>
          <w:tcPr>
            <w:tcW w:w="992" w:type="dxa"/>
            <w:vAlign w:val="center"/>
          </w:tcPr>
          <w:p w14:paraId="3A5759C6" w14:textId="77777777" w:rsidR="00FD2CBB" w:rsidRDefault="00FD2CBB">
            <w:pPr>
              <w:spacing w:after="0"/>
              <w:rPr>
                <w:rFonts w:cs="Calibri"/>
                <w:color w:val="000000"/>
                <w:sz w:val="20"/>
                <w:szCs w:val="20"/>
              </w:rPr>
            </w:pPr>
            <w:r>
              <w:rPr>
                <w:rFonts w:cs="Calibri"/>
                <w:color w:val="000000"/>
                <w:sz w:val="20"/>
                <w:szCs w:val="20"/>
              </w:rPr>
              <w:t>22 €</w:t>
            </w:r>
          </w:p>
        </w:tc>
        <w:tc>
          <w:tcPr>
            <w:tcW w:w="993" w:type="dxa"/>
            <w:vAlign w:val="center"/>
          </w:tcPr>
          <w:p w14:paraId="441BDE24" w14:textId="77777777" w:rsidR="00FD2CBB" w:rsidRDefault="00FD2CBB">
            <w:pPr>
              <w:spacing w:after="0"/>
              <w:rPr>
                <w:rFonts w:cs="Calibri"/>
                <w:color w:val="000000"/>
                <w:sz w:val="20"/>
                <w:szCs w:val="20"/>
              </w:rPr>
            </w:pPr>
            <w:r>
              <w:rPr>
                <w:rFonts w:cs="Calibri"/>
                <w:color w:val="000000"/>
                <w:sz w:val="20"/>
                <w:szCs w:val="20"/>
              </w:rPr>
              <w:t>n.d.</w:t>
            </w:r>
          </w:p>
        </w:tc>
        <w:tc>
          <w:tcPr>
            <w:tcW w:w="992" w:type="dxa"/>
            <w:vAlign w:val="center"/>
          </w:tcPr>
          <w:p w14:paraId="7C25E36A" w14:textId="77777777" w:rsidR="00FD2CBB" w:rsidRDefault="00FD2CBB">
            <w:pPr>
              <w:spacing w:after="0"/>
              <w:rPr>
                <w:rFonts w:cs="Calibri"/>
                <w:color w:val="000000"/>
                <w:sz w:val="20"/>
                <w:szCs w:val="20"/>
              </w:rPr>
            </w:pPr>
            <w:r>
              <w:rPr>
                <w:rFonts w:cs="Calibri"/>
                <w:color w:val="000000"/>
                <w:sz w:val="20"/>
                <w:szCs w:val="20"/>
              </w:rPr>
              <w:t>200 €</w:t>
            </w:r>
          </w:p>
        </w:tc>
      </w:tr>
      <w:tr w:rsidR="00FD2CBB" w14:paraId="6ED703C2" w14:textId="77777777" w:rsidTr="000B19EE">
        <w:trPr>
          <w:trHeight w:val="1550"/>
        </w:trPr>
        <w:tc>
          <w:tcPr>
            <w:tcW w:w="1413" w:type="dxa"/>
            <w:vAlign w:val="center"/>
            <w:hideMark/>
          </w:tcPr>
          <w:p w14:paraId="0E6B82BA" w14:textId="77777777" w:rsidR="00FD2CBB" w:rsidRDefault="00FD2CBB">
            <w:pPr>
              <w:spacing w:after="0"/>
              <w:rPr>
                <w:rFonts w:cs="Calibri"/>
                <w:color w:val="000000"/>
                <w:sz w:val="20"/>
                <w:szCs w:val="20"/>
              </w:rPr>
            </w:pPr>
            <w:r>
              <w:rPr>
                <w:rFonts w:cs="Calibri"/>
                <w:color w:val="000000"/>
                <w:sz w:val="20"/>
                <w:szCs w:val="20"/>
              </w:rPr>
              <w:t>Giaveno</w:t>
            </w:r>
          </w:p>
        </w:tc>
        <w:tc>
          <w:tcPr>
            <w:tcW w:w="1276" w:type="dxa"/>
            <w:vAlign w:val="center"/>
            <w:hideMark/>
          </w:tcPr>
          <w:p w14:paraId="4D82C7E0" w14:textId="77777777" w:rsidR="00FD2CBB" w:rsidRDefault="00FD2CBB">
            <w:pPr>
              <w:spacing w:after="0"/>
              <w:rPr>
                <w:rFonts w:cs="Calibri"/>
                <w:color w:val="000000"/>
                <w:sz w:val="20"/>
                <w:szCs w:val="20"/>
              </w:rPr>
            </w:pPr>
            <w:r>
              <w:rPr>
                <w:rFonts w:cs="Calibri"/>
                <w:color w:val="000000"/>
                <w:sz w:val="20"/>
                <w:szCs w:val="20"/>
              </w:rPr>
              <w:t>Delibera CdA AMP del 05/05/2025</w:t>
            </w:r>
          </w:p>
        </w:tc>
        <w:tc>
          <w:tcPr>
            <w:tcW w:w="2551" w:type="dxa"/>
            <w:vAlign w:val="center"/>
            <w:hideMark/>
          </w:tcPr>
          <w:p w14:paraId="2D3ABFF5" w14:textId="77777777" w:rsidR="00FD2CBB" w:rsidRDefault="00FD2CBB">
            <w:pPr>
              <w:spacing w:after="0"/>
              <w:jc w:val="left"/>
              <w:rPr>
                <w:rFonts w:cs="Calibri"/>
                <w:color w:val="000000"/>
                <w:sz w:val="20"/>
                <w:szCs w:val="20"/>
              </w:rPr>
            </w:pPr>
            <w:r>
              <w:rPr>
                <w:rFonts w:cs="Calibri"/>
                <w:color w:val="000000"/>
                <w:sz w:val="20"/>
                <w:szCs w:val="20"/>
              </w:rPr>
              <w:t>Biglietti di corsa semplice, settimanale, mensile feriale 5gg, trimestrale feriale 5gg, mensile illimitato, trimestrale illimitato, annuale illimitato, 10 mesi studenti illimitato</w:t>
            </w:r>
          </w:p>
        </w:tc>
        <w:tc>
          <w:tcPr>
            <w:tcW w:w="1134" w:type="dxa"/>
            <w:vAlign w:val="center"/>
          </w:tcPr>
          <w:p w14:paraId="41E2DCD7" w14:textId="77777777" w:rsidR="00FD2CBB" w:rsidRDefault="00FD2CBB">
            <w:pPr>
              <w:spacing w:after="0"/>
              <w:rPr>
                <w:rFonts w:cs="Calibri"/>
                <w:color w:val="000000"/>
                <w:sz w:val="20"/>
                <w:szCs w:val="20"/>
              </w:rPr>
            </w:pPr>
            <w:r>
              <w:rPr>
                <w:rFonts w:cs="Calibri"/>
                <w:color w:val="000000"/>
                <w:sz w:val="20"/>
                <w:szCs w:val="20"/>
              </w:rPr>
              <w:t>1,8 €</w:t>
            </w:r>
          </w:p>
        </w:tc>
        <w:tc>
          <w:tcPr>
            <w:tcW w:w="992" w:type="dxa"/>
            <w:vAlign w:val="center"/>
          </w:tcPr>
          <w:p w14:paraId="373EFED8" w14:textId="77777777" w:rsidR="00FD2CBB" w:rsidRDefault="00FD2CBB">
            <w:pPr>
              <w:spacing w:after="0"/>
              <w:rPr>
                <w:rFonts w:cs="Calibri"/>
                <w:color w:val="000000"/>
                <w:sz w:val="20"/>
                <w:szCs w:val="20"/>
              </w:rPr>
            </w:pPr>
            <w:r>
              <w:rPr>
                <w:rFonts w:cs="Calibri"/>
                <w:color w:val="000000"/>
                <w:sz w:val="20"/>
                <w:szCs w:val="20"/>
              </w:rPr>
              <w:t>37 €</w:t>
            </w:r>
          </w:p>
        </w:tc>
        <w:tc>
          <w:tcPr>
            <w:tcW w:w="993" w:type="dxa"/>
            <w:vAlign w:val="center"/>
          </w:tcPr>
          <w:p w14:paraId="06C37D0A" w14:textId="77777777" w:rsidR="00FD2CBB" w:rsidRDefault="00FD2CBB">
            <w:pPr>
              <w:spacing w:after="0"/>
              <w:rPr>
                <w:rFonts w:cs="Calibri"/>
                <w:color w:val="000000"/>
                <w:sz w:val="20"/>
                <w:szCs w:val="20"/>
              </w:rPr>
            </w:pPr>
            <w:r>
              <w:rPr>
                <w:rFonts w:cs="Calibri"/>
                <w:color w:val="000000"/>
                <w:sz w:val="20"/>
                <w:szCs w:val="20"/>
              </w:rPr>
              <w:t>296 €</w:t>
            </w:r>
          </w:p>
        </w:tc>
        <w:tc>
          <w:tcPr>
            <w:tcW w:w="992" w:type="dxa"/>
            <w:vAlign w:val="center"/>
          </w:tcPr>
          <w:p w14:paraId="14A09093" w14:textId="77777777" w:rsidR="00FD2CBB" w:rsidRDefault="00FD2CBB">
            <w:pPr>
              <w:spacing w:after="0"/>
              <w:rPr>
                <w:rFonts w:cs="Calibri"/>
                <w:color w:val="000000"/>
                <w:sz w:val="20"/>
                <w:szCs w:val="20"/>
              </w:rPr>
            </w:pPr>
            <w:r>
              <w:rPr>
                <w:rFonts w:cs="Calibri"/>
                <w:color w:val="000000"/>
                <w:sz w:val="20"/>
                <w:szCs w:val="20"/>
              </w:rPr>
              <w:t>333 €</w:t>
            </w:r>
          </w:p>
        </w:tc>
      </w:tr>
      <w:tr w:rsidR="00FD2CBB" w14:paraId="0E042971" w14:textId="77777777" w:rsidTr="000B19EE">
        <w:trPr>
          <w:trHeight w:val="1033"/>
        </w:trPr>
        <w:tc>
          <w:tcPr>
            <w:tcW w:w="1413" w:type="dxa"/>
            <w:vAlign w:val="center"/>
            <w:hideMark/>
          </w:tcPr>
          <w:p w14:paraId="49B817B2" w14:textId="77777777" w:rsidR="00FD2CBB" w:rsidRDefault="00FD2CBB">
            <w:pPr>
              <w:spacing w:after="0"/>
              <w:rPr>
                <w:rFonts w:cs="Calibri"/>
                <w:color w:val="000000"/>
                <w:sz w:val="20"/>
                <w:szCs w:val="20"/>
              </w:rPr>
            </w:pPr>
            <w:r>
              <w:rPr>
                <w:rFonts w:cs="Calibri"/>
                <w:color w:val="000000"/>
                <w:sz w:val="20"/>
                <w:szCs w:val="20"/>
              </w:rPr>
              <w:t>Ivrea</w:t>
            </w:r>
          </w:p>
        </w:tc>
        <w:tc>
          <w:tcPr>
            <w:tcW w:w="1276" w:type="dxa"/>
            <w:vAlign w:val="center"/>
            <w:hideMark/>
          </w:tcPr>
          <w:p w14:paraId="3671E8FF" w14:textId="77777777" w:rsidR="00FD2CBB" w:rsidRDefault="00FD2CBB">
            <w:pPr>
              <w:spacing w:after="0"/>
              <w:rPr>
                <w:rFonts w:cs="Calibri"/>
                <w:color w:val="000000"/>
                <w:sz w:val="20"/>
                <w:szCs w:val="20"/>
              </w:rPr>
            </w:pPr>
            <w:r>
              <w:rPr>
                <w:rFonts w:cs="Calibri"/>
                <w:color w:val="000000"/>
                <w:sz w:val="20"/>
                <w:szCs w:val="20"/>
              </w:rPr>
              <w:t>D.C.C: n. 6 del 13/02/2012</w:t>
            </w:r>
          </w:p>
        </w:tc>
        <w:tc>
          <w:tcPr>
            <w:tcW w:w="2551" w:type="dxa"/>
            <w:vAlign w:val="center"/>
            <w:hideMark/>
          </w:tcPr>
          <w:p w14:paraId="4B04569A" w14:textId="77777777" w:rsidR="00FD2CBB" w:rsidRDefault="00FD2CBB">
            <w:pPr>
              <w:spacing w:after="0"/>
              <w:jc w:val="left"/>
              <w:rPr>
                <w:rFonts w:cs="Calibri"/>
                <w:color w:val="000000"/>
                <w:sz w:val="20"/>
                <w:szCs w:val="20"/>
              </w:rPr>
            </w:pPr>
            <w:r>
              <w:rPr>
                <w:rFonts w:cs="Calibri"/>
                <w:color w:val="000000"/>
                <w:sz w:val="20"/>
                <w:szCs w:val="20"/>
              </w:rPr>
              <w:t xml:space="preserve">Biglietti di corsa semplice, carnet 5 e 15 corse, abbonamenti: settimanale, mensile, plurimensile studenti, annuale ordinario, annuale anziani, </w:t>
            </w:r>
          </w:p>
        </w:tc>
        <w:tc>
          <w:tcPr>
            <w:tcW w:w="1134" w:type="dxa"/>
            <w:vAlign w:val="center"/>
          </w:tcPr>
          <w:p w14:paraId="007B353B" w14:textId="77777777" w:rsidR="00FD2CBB" w:rsidRDefault="00FD2CBB">
            <w:pPr>
              <w:spacing w:after="0"/>
              <w:rPr>
                <w:rFonts w:cs="Calibri"/>
                <w:color w:val="000000"/>
                <w:sz w:val="20"/>
                <w:szCs w:val="20"/>
              </w:rPr>
            </w:pPr>
            <w:r>
              <w:rPr>
                <w:rFonts w:cs="Calibri"/>
                <w:color w:val="000000"/>
                <w:sz w:val="20"/>
                <w:szCs w:val="20"/>
              </w:rPr>
              <w:t>1,5 €</w:t>
            </w:r>
          </w:p>
        </w:tc>
        <w:tc>
          <w:tcPr>
            <w:tcW w:w="992" w:type="dxa"/>
            <w:vAlign w:val="center"/>
          </w:tcPr>
          <w:p w14:paraId="11B5BF66" w14:textId="77777777" w:rsidR="00FD2CBB" w:rsidRDefault="00FD2CBB">
            <w:pPr>
              <w:spacing w:after="0"/>
              <w:rPr>
                <w:rFonts w:cs="Calibri"/>
                <w:color w:val="000000"/>
                <w:sz w:val="20"/>
                <w:szCs w:val="20"/>
              </w:rPr>
            </w:pPr>
            <w:r>
              <w:rPr>
                <w:rFonts w:cs="Calibri"/>
                <w:color w:val="000000"/>
                <w:sz w:val="20"/>
                <w:szCs w:val="20"/>
              </w:rPr>
              <w:t>35 €</w:t>
            </w:r>
          </w:p>
        </w:tc>
        <w:tc>
          <w:tcPr>
            <w:tcW w:w="993" w:type="dxa"/>
            <w:vAlign w:val="center"/>
          </w:tcPr>
          <w:p w14:paraId="047C70EB" w14:textId="77777777" w:rsidR="00FD2CBB" w:rsidRDefault="00FD2CBB">
            <w:pPr>
              <w:spacing w:after="0"/>
              <w:rPr>
                <w:rFonts w:cs="Calibri"/>
                <w:color w:val="000000"/>
                <w:sz w:val="20"/>
                <w:szCs w:val="20"/>
              </w:rPr>
            </w:pPr>
            <w:r>
              <w:rPr>
                <w:rFonts w:cs="Calibri"/>
                <w:color w:val="000000"/>
                <w:sz w:val="20"/>
                <w:szCs w:val="20"/>
              </w:rPr>
              <w:t>246 €</w:t>
            </w:r>
          </w:p>
        </w:tc>
        <w:tc>
          <w:tcPr>
            <w:tcW w:w="992" w:type="dxa"/>
            <w:vAlign w:val="center"/>
          </w:tcPr>
          <w:p w14:paraId="3504A394" w14:textId="77777777" w:rsidR="00FD2CBB" w:rsidRDefault="00FD2CBB">
            <w:pPr>
              <w:spacing w:after="0"/>
              <w:rPr>
                <w:rFonts w:cs="Calibri"/>
                <w:color w:val="000000"/>
                <w:sz w:val="20"/>
                <w:szCs w:val="20"/>
              </w:rPr>
            </w:pPr>
            <w:r>
              <w:rPr>
                <w:rFonts w:cs="Calibri"/>
                <w:color w:val="000000"/>
                <w:sz w:val="20"/>
                <w:szCs w:val="20"/>
              </w:rPr>
              <w:t>289 €</w:t>
            </w:r>
          </w:p>
        </w:tc>
      </w:tr>
      <w:tr w:rsidR="00FD2CBB" w14:paraId="1E1B7779" w14:textId="77777777" w:rsidTr="000B19EE">
        <w:trPr>
          <w:trHeight w:val="767"/>
        </w:trPr>
        <w:tc>
          <w:tcPr>
            <w:tcW w:w="1413" w:type="dxa"/>
            <w:vAlign w:val="center"/>
          </w:tcPr>
          <w:p w14:paraId="50B68684" w14:textId="77777777" w:rsidR="00FD2CBB" w:rsidRPr="00F472DE" w:rsidRDefault="00FD2CBB">
            <w:pPr>
              <w:spacing w:after="0"/>
              <w:rPr>
                <w:rFonts w:cs="Calibri"/>
                <w:color w:val="000000"/>
                <w:sz w:val="20"/>
                <w:szCs w:val="20"/>
                <w:highlight w:val="yellow"/>
              </w:rPr>
            </w:pPr>
            <w:r w:rsidRPr="008B2388">
              <w:rPr>
                <w:rFonts w:cs="Calibri"/>
                <w:color w:val="000000"/>
                <w:sz w:val="20"/>
                <w:szCs w:val="20"/>
              </w:rPr>
              <w:t>Pinerolo</w:t>
            </w:r>
          </w:p>
        </w:tc>
        <w:tc>
          <w:tcPr>
            <w:tcW w:w="1276" w:type="dxa"/>
            <w:vAlign w:val="center"/>
          </w:tcPr>
          <w:p w14:paraId="05534977" w14:textId="77777777" w:rsidR="00FD2CBB" w:rsidRPr="00E2187B" w:rsidRDefault="00FD2CBB">
            <w:pPr>
              <w:spacing w:after="0"/>
              <w:rPr>
                <w:rFonts w:cs="Calibri"/>
                <w:color w:val="000000"/>
                <w:sz w:val="20"/>
                <w:szCs w:val="20"/>
              </w:rPr>
            </w:pPr>
            <w:r w:rsidRPr="00E2187B">
              <w:rPr>
                <w:rFonts w:cs="Calibri"/>
                <w:color w:val="000000"/>
                <w:sz w:val="20"/>
                <w:szCs w:val="20"/>
              </w:rPr>
              <w:t>Delibera CdA AMP</w:t>
            </w:r>
            <w:r>
              <w:rPr>
                <w:rFonts w:cs="Calibri"/>
                <w:color w:val="000000"/>
                <w:sz w:val="20"/>
                <w:szCs w:val="20"/>
              </w:rPr>
              <w:t xml:space="preserve"> n. 5 </w:t>
            </w:r>
            <w:r w:rsidRPr="00E2187B">
              <w:rPr>
                <w:rFonts w:cs="Calibri"/>
                <w:color w:val="000000"/>
                <w:sz w:val="20"/>
                <w:szCs w:val="20"/>
              </w:rPr>
              <w:t xml:space="preserve">del </w:t>
            </w:r>
            <w:r>
              <w:rPr>
                <w:rFonts w:cs="Calibri"/>
                <w:color w:val="000000"/>
                <w:sz w:val="20"/>
                <w:szCs w:val="20"/>
              </w:rPr>
              <w:t>09</w:t>
            </w:r>
            <w:r w:rsidRPr="00E2187B">
              <w:rPr>
                <w:rFonts w:cs="Calibri"/>
                <w:color w:val="000000"/>
                <w:sz w:val="20"/>
                <w:szCs w:val="20"/>
              </w:rPr>
              <w:t>/0</w:t>
            </w:r>
            <w:r>
              <w:rPr>
                <w:rFonts w:cs="Calibri"/>
                <w:color w:val="000000"/>
                <w:sz w:val="20"/>
                <w:szCs w:val="20"/>
              </w:rPr>
              <w:t>2</w:t>
            </w:r>
            <w:r w:rsidRPr="00E2187B">
              <w:rPr>
                <w:rFonts w:cs="Calibri"/>
                <w:color w:val="000000"/>
                <w:sz w:val="20"/>
                <w:szCs w:val="20"/>
              </w:rPr>
              <w:t>/2025</w:t>
            </w:r>
          </w:p>
        </w:tc>
        <w:tc>
          <w:tcPr>
            <w:tcW w:w="2551" w:type="dxa"/>
            <w:vAlign w:val="center"/>
          </w:tcPr>
          <w:p w14:paraId="67360B62" w14:textId="77777777" w:rsidR="00FD2CBB" w:rsidRDefault="00FD2CBB">
            <w:pPr>
              <w:spacing w:after="0"/>
              <w:jc w:val="left"/>
              <w:rPr>
                <w:rFonts w:cs="Calibri"/>
                <w:color w:val="000000"/>
                <w:sz w:val="20"/>
                <w:szCs w:val="20"/>
              </w:rPr>
            </w:pPr>
            <w:r>
              <w:rPr>
                <w:rFonts w:cs="Calibri"/>
                <w:color w:val="000000"/>
                <w:sz w:val="20"/>
                <w:szCs w:val="20"/>
              </w:rPr>
              <w:t>Biglietti di corsa semplice, abbonamenti: settimanale, mensile, annuale, plurimensile studenti</w:t>
            </w:r>
          </w:p>
        </w:tc>
        <w:tc>
          <w:tcPr>
            <w:tcW w:w="1134" w:type="dxa"/>
            <w:vAlign w:val="center"/>
          </w:tcPr>
          <w:p w14:paraId="1F5F8E70" w14:textId="77777777" w:rsidR="00FD2CBB" w:rsidRDefault="00FD2CBB">
            <w:pPr>
              <w:spacing w:after="0"/>
              <w:rPr>
                <w:rFonts w:cs="Calibri"/>
                <w:color w:val="000000"/>
                <w:sz w:val="20"/>
                <w:szCs w:val="20"/>
              </w:rPr>
            </w:pPr>
            <w:r>
              <w:rPr>
                <w:rFonts w:cs="Calibri"/>
                <w:color w:val="000000"/>
                <w:sz w:val="20"/>
                <w:szCs w:val="20"/>
              </w:rPr>
              <w:t>1,8 €</w:t>
            </w:r>
          </w:p>
        </w:tc>
        <w:tc>
          <w:tcPr>
            <w:tcW w:w="992" w:type="dxa"/>
            <w:vAlign w:val="center"/>
          </w:tcPr>
          <w:p w14:paraId="2FE81E61" w14:textId="77777777" w:rsidR="00FD2CBB" w:rsidRDefault="00FD2CBB">
            <w:pPr>
              <w:spacing w:after="0"/>
              <w:rPr>
                <w:rFonts w:cs="Calibri"/>
                <w:color w:val="000000"/>
                <w:sz w:val="20"/>
                <w:szCs w:val="20"/>
              </w:rPr>
            </w:pPr>
            <w:r>
              <w:rPr>
                <w:rFonts w:cs="Calibri"/>
                <w:color w:val="000000"/>
                <w:sz w:val="20"/>
                <w:szCs w:val="20"/>
              </w:rPr>
              <w:t>48,5 €</w:t>
            </w:r>
          </w:p>
        </w:tc>
        <w:tc>
          <w:tcPr>
            <w:tcW w:w="993" w:type="dxa"/>
            <w:vAlign w:val="center"/>
          </w:tcPr>
          <w:p w14:paraId="76E231D9" w14:textId="77777777" w:rsidR="00FD2CBB" w:rsidRDefault="00FD2CBB">
            <w:pPr>
              <w:spacing w:after="0"/>
              <w:rPr>
                <w:rFonts w:cs="Calibri"/>
                <w:color w:val="000000"/>
                <w:sz w:val="20"/>
                <w:szCs w:val="20"/>
              </w:rPr>
            </w:pPr>
            <w:r>
              <w:rPr>
                <w:rFonts w:cs="Calibri"/>
                <w:color w:val="000000"/>
                <w:sz w:val="20"/>
                <w:szCs w:val="20"/>
              </w:rPr>
              <w:t>388 €</w:t>
            </w:r>
            <w:r>
              <w:rPr>
                <w:rStyle w:val="Rimandonotaapidipagina"/>
                <w:rFonts w:cs="Calibri"/>
                <w:color w:val="000000"/>
                <w:sz w:val="20"/>
                <w:szCs w:val="20"/>
              </w:rPr>
              <w:footnoteReference w:id="33"/>
            </w:r>
          </w:p>
        </w:tc>
        <w:tc>
          <w:tcPr>
            <w:tcW w:w="992" w:type="dxa"/>
            <w:vAlign w:val="center"/>
          </w:tcPr>
          <w:p w14:paraId="5E9F3E07" w14:textId="77777777" w:rsidR="00FD2CBB" w:rsidRDefault="00FD2CBB">
            <w:pPr>
              <w:spacing w:after="0"/>
              <w:rPr>
                <w:rFonts w:cs="Calibri"/>
                <w:color w:val="000000"/>
                <w:sz w:val="20"/>
                <w:szCs w:val="20"/>
              </w:rPr>
            </w:pPr>
            <w:r>
              <w:rPr>
                <w:rFonts w:cs="Calibri"/>
                <w:color w:val="000000"/>
                <w:sz w:val="20"/>
                <w:szCs w:val="20"/>
              </w:rPr>
              <w:t>461 €</w:t>
            </w:r>
          </w:p>
        </w:tc>
      </w:tr>
      <w:tr w:rsidR="00FD2CBB" w14:paraId="7F104C10" w14:textId="77777777" w:rsidTr="000B19EE">
        <w:trPr>
          <w:trHeight w:val="767"/>
        </w:trPr>
        <w:tc>
          <w:tcPr>
            <w:tcW w:w="1413" w:type="dxa"/>
            <w:vAlign w:val="center"/>
          </w:tcPr>
          <w:p w14:paraId="1EC32A23" w14:textId="77777777" w:rsidR="00FD2CBB" w:rsidRPr="00F472DE" w:rsidRDefault="00FD2CBB">
            <w:pPr>
              <w:spacing w:after="0"/>
              <w:rPr>
                <w:rFonts w:cs="Calibri"/>
                <w:color w:val="000000"/>
                <w:sz w:val="20"/>
                <w:szCs w:val="20"/>
                <w:highlight w:val="yellow"/>
              </w:rPr>
            </w:pPr>
            <w:r w:rsidRPr="000A0E55">
              <w:rPr>
                <w:rFonts w:cs="Calibri"/>
                <w:color w:val="000000"/>
                <w:sz w:val="20"/>
                <w:szCs w:val="20"/>
              </w:rPr>
              <w:lastRenderedPageBreak/>
              <w:t>Sestriere</w:t>
            </w:r>
          </w:p>
        </w:tc>
        <w:tc>
          <w:tcPr>
            <w:tcW w:w="1276" w:type="dxa"/>
            <w:vAlign w:val="center"/>
          </w:tcPr>
          <w:p w14:paraId="403437A3" w14:textId="77777777" w:rsidR="00FD2CBB" w:rsidRDefault="00FD2CBB">
            <w:pPr>
              <w:spacing w:after="0"/>
              <w:rPr>
                <w:rFonts w:cs="Calibri"/>
                <w:color w:val="000000"/>
                <w:sz w:val="20"/>
                <w:szCs w:val="20"/>
              </w:rPr>
            </w:pPr>
            <w:r w:rsidRPr="00E2187B">
              <w:rPr>
                <w:rFonts w:cs="Calibri"/>
                <w:color w:val="000000"/>
                <w:sz w:val="20"/>
                <w:szCs w:val="20"/>
              </w:rPr>
              <w:t>Delibera CdA AMP</w:t>
            </w:r>
            <w:r>
              <w:rPr>
                <w:rFonts w:cs="Calibri"/>
                <w:color w:val="000000"/>
                <w:sz w:val="20"/>
                <w:szCs w:val="20"/>
              </w:rPr>
              <w:t xml:space="preserve"> n. 1 del 16</w:t>
            </w:r>
            <w:r w:rsidRPr="00E2187B">
              <w:rPr>
                <w:rFonts w:cs="Calibri"/>
                <w:color w:val="000000"/>
                <w:sz w:val="20"/>
                <w:szCs w:val="20"/>
              </w:rPr>
              <w:t>/0</w:t>
            </w:r>
            <w:r>
              <w:rPr>
                <w:rFonts w:cs="Calibri"/>
                <w:color w:val="000000"/>
                <w:sz w:val="20"/>
                <w:szCs w:val="20"/>
              </w:rPr>
              <w:t>1</w:t>
            </w:r>
            <w:r w:rsidRPr="00E2187B">
              <w:rPr>
                <w:rFonts w:cs="Calibri"/>
                <w:color w:val="000000"/>
                <w:sz w:val="20"/>
                <w:szCs w:val="20"/>
              </w:rPr>
              <w:t>/202</w:t>
            </w:r>
            <w:r>
              <w:rPr>
                <w:rFonts w:cs="Calibri"/>
                <w:color w:val="000000"/>
                <w:sz w:val="20"/>
                <w:szCs w:val="20"/>
              </w:rPr>
              <w:t>3</w:t>
            </w:r>
            <w:r>
              <w:rPr>
                <w:rStyle w:val="Rimandonotaapidipagina"/>
                <w:rFonts w:cs="Calibri"/>
                <w:color w:val="000000"/>
                <w:sz w:val="20"/>
                <w:szCs w:val="20"/>
              </w:rPr>
              <w:footnoteReference w:id="34"/>
            </w:r>
          </w:p>
        </w:tc>
        <w:tc>
          <w:tcPr>
            <w:tcW w:w="2551" w:type="dxa"/>
            <w:vAlign w:val="center"/>
          </w:tcPr>
          <w:p w14:paraId="2E474786" w14:textId="77777777" w:rsidR="00FD2CBB" w:rsidRDefault="00FD2CBB">
            <w:pPr>
              <w:spacing w:after="0"/>
              <w:jc w:val="left"/>
              <w:rPr>
                <w:rFonts w:cs="Calibri"/>
                <w:color w:val="000000"/>
                <w:sz w:val="20"/>
                <w:szCs w:val="20"/>
              </w:rPr>
            </w:pPr>
            <w:r>
              <w:rPr>
                <w:rFonts w:cs="Calibri"/>
                <w:color w:val="000000"/>
                <w:sz w:val="20"/>
                <w:szCs w:val="20"/>
              </w:rPr>
              <w:t xml:space="preserve">Biglietti di corsa semplice, abbonamenti: settimanale, mensile illimitato, trimestrale illimitato </w:t>
            </w:r>
          </w:p>
        </w:tc>
        <w:tc>
          <w:tcPr>
            <w:tcW w:w="1134" w:type="dxa"/>
            <w:vAlign w:val="center"/>
          </w:tcPr>
          <w:p w14:paraId="7F8FBB50" w14:textId="77777777" w:rsidR="00FD2CBB" w:rsidRDefault="00FD2CBB">
            <w:pPr>
              <w:spacing w:after="0"/>
              <w:rPr>
                <w:rFonts w:cs="Calibri"/>
                <w:color w:val="000000"/>
                <w:sz w:val="20"/>
                <w:szCs w:val="20"/>
              </w:rPr>
            </w:pPr>
            <w:r>
              <w:rPr>
                <w:rFonts w:cs="Calibri"/>
                <w:color w:val="000000"/>
                <w:sz w:val="20"/>
                <w:szCs w:val="20"/>
              </w:rPr>
              <w:t>1,7 €</w:t>
            </w:r>
          </w:p>
        </w:tc>
        <w:tc>
          <w:tcPr>
            <w:tcW w:w="992" w:type="dxa"/>
            <w:vAlign w:val="center"/>
          </w:tcPr>
          <w:p w14:paraId="4811F1E2" w14:textId="77777777" w:rsidR="00FD2CBB" w:rsidRDefault="00FD2CBB">
            <w:pPr>
              <w:spacing w:after="0"/>
              <w:rPr>
                <w:rFonts w:cs="Calibri"/>
                <w:color w:val="000000"/>
                <w:sz w:val="20"/>
                <w:szCs w:val="20"/>
              </w:rPr>
            </w:pPr>
            <w:r>
              <w:rPr>
                <w:rFonts w:cs="Calibri"/>
                <w:color w:val="000000"/>
                <w:sz w:val="20"/>
                <w:szCs w:val="20"/>
              </w:rPr>
              <w:t>35,5 €</w:t>
            </w:r>
          </w:p>
        </w:tc>
        <w:tc>
          <w:tcPr>
            <w:tcW w:w="993" w:type="dxa"/>
            <w:vAlign w:val="center"/>
          </w:tcPr>
          <w:p w14:paraId="737954D3" w14:textId="77777777" w:rsidR="00FD2CBB" w:rsidRDefault="00FD2CBB">
            <w:pPr>
              <w:spacing w:after="0"/>
              <w:rPr>
                <w:rFonts w:cs="Calibri"/>
                <w:color w:val="000000"/>
                <w:sz w:val="20"/>
                <w:szCs w:val="20"/>
              </w:rPr>
            </w:pPr>
            <w:r>
              <w:rPr>
                <w:rFonts w:cs="Calibri"/>
                <w:color w:val="000000"/>
                <w:sz w:val="20"/>
                <w:szCs w:val="20"/>
              </w:rPr>
              <w:t>n.d.</w:t>
            </w:r>
          </w:p>
        </w:tc>
        <w:tc>
          <w:tcPr>
            <w:tcW w:w="992" w:type="dxa"/>
            <w:vAlign w:val="center"/>
          </w:tcPr>
          <w:p w14:paraId="10B807CF" w14:textId="77777777" w:rsidR="00FD2CBB" w:rsidRDefault="00FD2CBB">
            <w:pPr>
              <w:spacing w:after="0"/>
              <w:rPr>
                <w:rFonts w:cs="Calibri"/>
                <w:color w:val="000000"/>
                <w:sz w:val="20"/>
                <w:szCs w:val="20"/>
              </w:rPr>
            </w:pPr>
            <w:r>
              <w:rPr>
                <w:rFonts w:cs="Calibri"/>
                <w:color w:val="000000"/>
                <w:sz w:val="20"/>
                <w:szCs w:val="20"/>
              </w:rPr>
              <w:t>n.d.</w:t>
            </w:r>
          </w:p>
        </w:tc>
      </w:tr>
    </w:tbl>
    <w:p w14:paraId="2F430709" w14:textId="71707BF6" w:rsidR="00FD2CBB" w:rsidRPr="00677A61" w:rsidRDefault="00FD2CBB" w:rsidP="00FD2CBB">
      <w:pPr>
        <w:pStyle w:val="Didascalia"/>
        <w:jc w:val="center"/>
        <w:rPr>
          <w:iCs w:val="0"/>
        </w:rPr>
      </w:pPr>
      <w:r w:rsidRPr="008F32D0">
        <w:t xml:space="preserve">Tabella </w:t>
      </w:r>
      <w:r w:rsidR="00FD7EE5">
        <w:fldChar w:fldCharType="begin"/>
      </w:r>
      <w:r w:rsidR="00FD7EE5">
        <w:instrText xml:space="preserve"> SEQ Tabella \* ARABIC </w:instrText>
      </w:r>
      <w:r w:rsidR="00FD7EE5">
        <w:fldChar w:fldCharType="separate"/>
      </w:r>
      <w:r w:rsidR="00073B6D">
        <w:rPr>
          <w:noProof/>
        </w:rPr>
        <w:t>42</w:t>
      </w:r>
      <w:r w:rsidR="00FD7EE5">
        <w:rPr>
          <w:noProof/>
        </w:rPr>
        <w:fldChar w:fldCharType="end"/>
      </w:r>
      <w:r w:rsidRPr="008F32D0">
        <w:rPr>
          <w:i w:val="0"/>
        </w:rPr>
        <w:t xml:space="preserve"> </w:t>
      </w:r>
      <w:r w:rsidRPr="00677A61">
        <w:rPr>
          <w:iCs w:val="0"/>
        </w:rPr>
        <w:t xml:space="preserve">– </w:t>
      </w:r>
      <w:r>
        <w:rPr>
          <w:iCs w:val="0"/>
        </w:rPr>
        <w:t>Stato delle tariffe dei servizi urbani</w:t>
      </w:r>
    </w:p>
    <w:p w14:paraId="3971BC9C" w14:textId="77777777" w:rsidR="00FD2CBB" w:rsidRPr="000B5A59" w:rsidRDefault="00FD2CBB" w:rsidP="00FD2CBB">
      <w:pPr>
        <w:spacing w:before="120" w:after="0" w:line="240" w:lineRule="auto"/>
        <w:rPr>
          <w:rFonts w:eastAsia="Calibri" w:cs="Times New Roman"/>
          <w:color w:val="000000" w:themeColor="text1"/>
          <w:spacing w:val="1"/>
        </w:rPr>
      </w:pPr>
      <w:r w:rsidRPr="000B5A59">
        <w:rPr>
          <w:rFonts w:eastAsia="Calibri" w:cs="Times New Roman"/>
          <w:color w:val="000000" w:themeColor="text1"/>
          <w:spacing w:val="1"/>
        </w:rPr>
        <w:t xml:space="preserve">L'attuale differenza tariffaria dei servizi urbani tra i comuni del </w:t>
      </w:r>
      <w:r>
        <w:rPr>
          <w:rFonts w:eastAsia="Calibri" w:cs="Times New Roman"/>
          <w:color w:val="000000" w:themeColor="text1"/>
          <w:spacing w:val="1"/>
        </w:rPr>
        <w:t>Bacino Metropolitano</w:t>
      </w:r>
      <w:r w:rsidRPr="000B5A59">
        <w:rPr>
          <w:rFonts w:eastAsia="Calibri" w:cs="Times New Roman"/>
          <w:color w:val="000000" w:themeColor="text1"/>
          <w:spacing w:val="1"/>
        </w:rPr>
        <w:t xml:space="preserve"> è dovuta al fatto </w:t>
      </w:r>
      <w:r w:rsidRPr="002A4716">
        <w:rPr>
          <w:rFonts w:eastAsia="Calibri" w:cs="Times New Roman"/>
          <w:color w:val="000000" w:themeColor="text1"/>
          <w:spacing w:val="1"/>
        </w:rPr>
        <w:t xml:space="preserve">che questi servizi </w:t>
      </w:r>
      <w:r>
        <w:rPr>
          <w:rFonts w:eastAsia="Calibri" w:cs="Times New Roman"/>
          <w:color w:val="000000" w:themeColor="text1"/>
          <w:spacing w:val="1"/>
        </w:rPr>
        <w:t>erano</w:t>
      </w:r>
      <w:r w:rsidRPr="002A4716">
        <w:rPr>
          <w:rFonts w:eastAsia="Calibri" w:cs="Times New Roman"/>
          <w:color w:val="000000" w:themeColor="text1"/>
          <w:spacing w:val="1"/>
        </w:rPr>
        <w:t xml:space="preserve"> gestiti in differenti contratti.</w:t>
      </w:r>
    </w:p>
    <w:p w14:paraId="5B5D8C6E" w14:textId="77777777" w:rsidR="00FD2CBB" w:rsidRPr="000B5A59" w:rsidRDefault="00FD2CBB" w:rsidP="00FD2CBB">
      <w:pPr>
        <w:spacing w:before="120" w:after="0" w:line="240" w:lineRule="auto"/>
        <w:rPr>
          <w:rFonts w:eastAsia="Calibri" w:cs="Times New Roman"/>
          <w:color w:val="000000" w:themeColor="text1"/>
          <w:spacing w:val="1"/>
        </w:rPr>
      </w:pPr>
      <w:r w:rsidRPr="000B5A59">
        <w:rPr>
          <w:rFonts w:eastAsia="Calibri" w:cs="Times New Roman"/>
          <w:color w:val="000000" w:themeColor="text1"/>
          <w:spacing w:val="1"/>
        </w:rPr>
        <w:t>Le procedure di affidamento in corso prevedono che</w:t>
      </w:r>
      <w:r w:rsidRPr="002A4716">
        <w:rPr>
          <w:rFonts w:eastAsia="Calibri" w:cs="Times New Roman"/>
          <w:color w:val="000000" w:themeColor="text1"/>
          <w:spacing w:val="1"/>
        </w:rPr>
        <w:t>, nei futuri contratti, le tariffe siano uniformi.</w:t>
      </w:r>
      <w:r w:rsidRPr="000B5A59">
        <w:rPr>
          <w:rFonts w:eastAsia="Calibri" w:cs="Times New Roman"/>
          <w:color w:val="000000" w:themeColor="text1"/>
          <w:spacing w:val="1"/>
        </w:rPr>
        <w:t xml:space="preserve"> Questo approccio mira a evitare la differenziazione delle tariffe urbane tra i vari ambiti territoriali, che potrebbe avere impatti finanziari significativi sul Piano Economico Finanziario (PEF). La differenziazione delle tariffe urbane può infatti influenzare la sostenibilità economica del servizio di trasporto pubblico locale, rendendo necessaria una valutazione ex-ante, difficile da stimare correttamente, degli impatti finanziari. È infatti opportuno richiamare il Regolamento (CE) n. 1370/2007, che stabilisce che gli obblighi di servizio pubblico devono essere definiti con chiarezza e che i parametri per il calcolo delle compensazioni devono essere determinati in anticipo.</w:t>
      </w:r>
    </w:p>
    <w:p w14:paraId="2EE1370C" w14:textId="77777777" w:rsidR="00FD2CBB" w:rsidRPr="000B5A59" w:rsidRDefault="00FD2CBB" w:rsidP="00FD2CBB">
      <w:pPr>
        <w:spacing w:before="120" w:after="0" w:line="240" w:lineRule="auto"/>
        <w:rPr>
          <w:rFonts w:eastAsia="Calibri" w:cs="Times New Roman"/>
          <w:color w:val="000000" w:themeColor="text1"/>
          <w:spacing w:val="1"/>
        </w:rPr>
      </w:pPr>
      <w:r w:rsidRPr="000B5A59">
        <w:rPr>
          <w:rFonts w:eastAsia="Calibri" w:cs="Times New Roman"/>
          <w:color w:val="000000" w:themeColor="text1"/>
          <w:spacing w:val="1"/>
        </w:rPr>
        <w:t>Inoltre, incassi da ricavi da traffico differenziati per ambito urbano comportano una variazione nella compensazione degli Obblighi di Servizio Pubblico (OSP), alterando l'equilibrio tra costi e ricavi.</w:t>
      </w:r>
    </w:p>
    <w:p w14:paraId="11098E18" w14:textId="77777777" w:rsidR="00FD2CBB" w:rsidRPr="000B5A59" w:rsidRDefault="00FD2CBB" w:rsidP="00FD2CBB">
      <w:pPr>
        <w:spacing w:before="120" w:after="0" w:line="240" w:lineRule="auto"/>
        <w:rPr>
          <w:rFonts w:eastAsia="Calibri" w:cs="Times New Roman"/>
          <w:color w:val="000000" w:themeColor="text1"/>
          <w:spacing w:val="1"/>
        </w:rPr>
      </w:pPr>
      <w:r w:rsidRPr="000B5A59">
        <w:rPr>
          <w:rFonts w:eastAsia="Calibri" w:cs="Times New Roman"/>
          <w:color w:val="000000" w:themeColor="text1"/>
          <w:spacing w:val="1"/>
        </w:rPr>
        <w:t>La differenziazione delle tariffe urbane potrebbe anche generare contenziosi nella gestione delle procedure e dei contratti di servizio, poiché le aziende potrebbero richiedere maggiori compensazioni per coprire i costi aggiuntivi derivanti dalle tariffe differenziate. Questo rischio di contenzioso rende ancora più importante l'adozione di tariffe uniformi, per garantire una gestione più semplice e trasparente dei contratti di servizio pubblico.</w:t>
      </w:r>
    </w:p>
    <w:p w14:paraId="369CF42E" w14:textId="77777777" w:rsidR="00FD2CBB" w:rsidRDefault="00FD2CBB" w:rsidP="00FD2CBB">
      <w:pPr>
        <w:spacing w:before="120" w:after="0" w:line="240" w:lineRule="auto"/>
        <w:rPr>
          <w:rFonts w:eastAsia="Calibri" w:cs="Times New Roman"/>
          <w:color w:val="000000" w:themeColor="text1"/>
          <w:spacing w:val="1"/>
        </w:rPr>
      </w:pPr>
      <w:r w:rsidRPr="000B5A59">
        <w:rPr>
          <w:rFonts w:eastAsia="Calibri" w:cs="Times New Roman"/>
          <w:color w:val="000000" w:themeColor="text1"/>
          <w:spacing w:val="1"/>
        </w:rPr>
        <w:t>Infine</w:t>
      </w:r>
      <w:r>
        <w:rPr>
          <w:rFonts w:eastAsia="Calibri" w:cs="Times New Roman"/>
          <w:color w:val="000000" w:themeColor="text1"/>
          <w:spacing w:val="1"/>
        </w:rPr>
        <w:t>,</w:t>
      </w:r>
      <w:r w:rsidRPr="000B5A59">
        <w:rPr>
          <w:rFonts w:eastAsia="Calibri" w:cs="Times New Roman"/>
          <w:color w:val="000000" w:themeColor="text1"/>
          <w:spacing w:val="1"/>
        </w:rPr>
        <w:t xml:space="preserve"> si sottolinea come l'uniformità delle tariffe è fondamentale per garantire equità e accessibilità ai servizi di trasporto pubblico per tutti i cittadini, indipendentemente dal loro luogo di residenza. Una tariffazione uniforme contribuisce a ridurre le disparità territoriali e a promuovere l'inclusione sociale, obiettivi prioritari per le politiche di mobilità sostenibile.</w:t>
      </w:r>
    </w:p>
    <w:p w14:paraId="3E504ACC" w14:textId="77777777" w:rsidR="00FD2CBB" w:rsidRPr="00897692" w:rsidRDefault="00FD2CBB" w:rsidP="00FD2CBB">
      <w:pPr>
        <w:pStyle w:val="Titolo2"/>
        <w:ind w:left="567"/>
      </w:pPr>
      <w:bookmarkStart w:id="331" w:name="_Toc1554512016"/>
      <w:bookmarkStart w:id="332" w:name="_Toc197695707"/>
      <w:bookmarkStart w:id="333" w:name="_Toc204616517"/>
      <w:bookmarkStart w:id="334" w:name="_Toc213078388"/>
      <w:r w:rsidRPr="00897692">
        <w:t>Agevolazioni ed esenzioni</w:t>
      </w:r>
      <w:bookmarkEnd w:id="331"/>
      <w:bookmarkEnd w:id="332"/>
      <w:bookmarkEnd w:id="333"/>
      <w:bookmarkEnd w:id="334"/>
    </w:p>
    <w:p w14:paraId="295255E4" w14:textId="77777777" w:rsidR="00FD2CBB" w:rsidRDefault="00FD2CBB" w:rsidP="00FD2CBB">
      <w:pPr>
        <w:spacing w:before="120" w:after="0" w:line="240" w:lineRule="auto"/>
      </w:pPr>
      <w:r>
        <w:t>La Regione Piemonte e gli altri Enti possono individuare eventuali beneficiari di agevolazioni tariffarie definendo le relative condizioni e modalità, con oneri a carico dei propri bilanci.</w:t>
      </w:r>
    </w:p>
    <w:p w14:paraId="56B5E73D" w14:textId="77777777" w:rsidR="00FD2CBB" w:rsidRPr="00897692" w:rsidRDefault="00FD2CBB" w:rsidP="00FD2CBB">
      <w:pPr>
        <w:pStyle w:val="Titolo3"/>
        <w:ind w:left="720"/>
      </w:pPr>
      <w:bookmarkStart w:id="335" w:name="_Toc1850384008"/>
      <w:bookmarkStart w:id="336" w:name="_Toc197695708"/>
      <w:bookmarkStart w:id="337" w:name="_Toc204616518"/>
      <w:bookmarkStart w:id="338" w:name="_Toc213078389"/>
      <w:r w:rsidRPr="00897692">
        <w:t>Libero accesso</w:t>
      </w:r>
      <w:bookmarkEnd w:id="335"/>
      <w:bookmarkEnd w:id="336"/>
      <w:bookmarkEnd w:id="337"/>
      <w:bookmarkEnd w:id="338"/>
    </w:p>
    <w:p w14:paraId="1B750014" w14:textId="77777777" w:rsidR="00FD2CBB" w:rsidRPr="00DD13C5" w:rsidRDefault="00FD2CBB" w:rsidP="00FD2CBB">
      <w:pPr>
        <w:spacing w:before="120" w:after="0" w:line="240" w:lineRule="auto"/>
      </w:pPr>
      <w:r>
        <w:t xml:space="preserve">La Regione Piemonte ha individuato alcune categorie di cittadini in coerenza con quanto disposto della legge regionale n. 1/2000 ai quali deve essere riconosciuto il libero accesso ai servizi di TPL ed in particolare e garantita la libera circolazione a: </w:t>
      </w:r>
    </w:p>
    <w:p w14:paraId="7290CED6" w14:textId="77777777" w:rsidR="00FD2CBB" w:rsidRDefault="00FD2CBB" w:rsidP="004B0DBE">
      <w:pPr>
        <w:pStyle w:val="Paragrafoelenco"/>
        <w:numPr>
          <w:ilvl w:val="0"/>
          <w:numId w:val="56"/>
        </w:numPr>
        <w:spacing w:before="120" w:after="0" w:line="240" w:lineRule="auto"/>
        <w:contextualSpacing w:val="0"/>
      </w:pPr>
      <w:r>
        <w:t xml:space="preserve">persone con disabilità, secondo quanto previsto dalla D.G.R. n. 62-1987 del 31 luglio 2015 e successiva D.G.R. n.37-3437 del 6 giugno 2016; i titolari di tale agevolazione, resi riconoscibili dal possesso di una tessera personalizzata secondo specifici layout, hanno libero accesso a tutti i servizi regionali sia automobilistici che ferroviari.  </w:t>
      </w:r>
    </w:p>
    <w:p w14:paraId="385BE433" w14:textId="77777777" w:rsidR="00FD2CBB" w:rsidRDefault="00FD2CBB" w:rsidP="004B0DBE">
      <w:pPr>
        <w:pStyle w:val="Paragrafoelenco"/>
        <w:numPr>
          <w:ilvl w:val="0"/>
          <w:numId w:val="56"/>
        </w:numPr>
        <w:spacing w:before="120" w:after="0" w:line="240" w:lineRule="auto"/>
        <w:contextualSpacing w:val="0"/>
      </w:pPr>
      <w:r>
        <w:t xml:space="preserve">agenti e funzionari delle Forze dell’Ordine e assimilati ai sensi delle leggi regionali n. 9 del 14 maggio 2004, n. 9 del 23 aprile 2007, secondo quanto previsto dalla D.G.R. n. 56- 6346 </w:t>
      </w:r>
      <w:r>
        <w:lastRenderedPageBreak/>
        <w:t xml:space="preserve">del 5 luglio 2007, e D.G.R. n. 8-4065 del 2 luglio 2012; </w:t>
      </w:r>
      <w:r w:rsidRPr="00603919">
        <w:t xml:space="preserve">il diritto di libera circolazione </w:t>
      </w:r>
      <w:r>
        <w:t xml:space="preserve">è garantito </w:t>
      </w:r>
      <w:r w:rsidRPr="00603919">
        <w:t>ad agenti e funzionari delle Forze dell'Ordine, in attività di servizio, appartenenti ai Corpi di Polizia di Stato, Polizia Penitenziaria, Arma dei Carabinieri, Guardia di Finanza, Corpo Forestale, Polizia locale, quest'ultima limitatamente all'ambito di competenza territoriale, nonché al personale delle Direzioni territoriali dislocate nella Regione in qualità di ufficiali di polizia giudiziaria nell'esercizio delle loro funzioni, ai sensi dell'articolo 8 del decreto del Presidente della Repubblica 19 marzo 1955, n. 520 (Riorganizzazione centrale e periferica del Ministero del lavoro e della previdenza sociale), agli agenti e funzionari dei Vigili del fuoco, nonché al personale in divisa appartenente all'esercito italiano, alla marina militare ed all'aeronautica militare, residente in Piemonte e in attività di servizio.</w:t>
      </w:r>
    </w:p>
    <w:p w14:paraId="384E4721" w14:textId="77777777" w:rsidR="00FD2CBB" w:rsidRDefault="00FD2CBB" w:rsidP="00FD2CBB">
      <w:pPr>
        <w:spacing w:before="120" w:after="0" w:line="240" w:lineRule="auto"/>
      </w:pPr>
      <w:r>
        <w:t>Tali agevolazioni costituiscono Obbligo di servizio tariffario e la copertura del mancato ricavo da traffico è ricompresa nelle risorse assegnate per la compensazione degli obblighi di servizio.</w:t>
      </w:r>
    </w:p>
    <w:p w14:paraId="2E0B8538" w14:textId="77777777" w:rsidR="00FD2CBB" w:rsidRPr="0049313D" w:rsidRDefault="00FD2CBB" w:rsidP="00FD2CBB">
      <w:pPr>
        <w:pStyle w:val="Titolo3"/>
        <w:ind w:left="720"/>
      </w:pPr>
      <w:bookmarkStart w:id="339" w:name="_Toc204328750"/>
      <w:bookmarkStart w:id="340" w:name="_Toc213078390"/>
      <w:r w:rsidRPr="0049313D">
        <w:t>Agevolazioni a livello comunale</w:t>
      </w:r>
      <w:bookmarkEnd w:id="339"/>
      <w:bookmarkEnd w:id="340"/>
      <w:r w:rsidRPr="0049313D">
        <w:t xml:space="preserve"> </w:t>
      </w:r>
    </w:p>
    <w:p w14:paraId="0B029315" w14:textId="77777777" w:rsidR="00FD2CBB" w:rsidRDefault="00FD2CBB" w:rsidP="00FD2CBB">
      <w:pPr>
        <w:spacing w:before="120" w:line="240" w:lineRule="auto"/>
      </w:pPr>
      <w:r w:rsidRPr="009B7BF3">
        <w:t>All’interno del bacino a livello comunale sono applicate differenti agevolazioni tariffarie definite dai singoli comuni attraverso proprie deliberazioni</w:t>
      </w:r>
      <w:r>
        <w:t xml:space="preserve">, </w:t>
      </w:r>
      <w:r w:rsidRPr="009B7BF3">
        <w:t>la cui copertura economica per il mancato ricavo è in capo alle amministrazioni comunali. In</w:t>
      </w:r>
      <w:r>
        <w:t xml:space="preserve"> </w:t>
      </w:r>
      <w:r w:rsidRPr="009B7BF3">
        <w:t>particolare</w:t>
      </w:r>
      <w:r>
        <w:t>,</w:t>
      </w:r>
      <w:r w:rsidRPr="009B7BF3">
        <w:t xml:space="preserve"> si individuano le seguenti agevolazioni:</w:t>
      </w:r>
    </w:p>
    <w:p w14:paraId="7CD14905" w14:textId="77777777" w:rsidR="00FD2CBB" w:rsidRPr="007850E4" w:rsidRDefault="00FD2CBB" w:rsidP="004B0DBE">
      <w:pPr>
        <w:pStyle w:val="Paragrafoelenco"/>
        <w:numPr>
          <w:ilvl w:val="0"/>
          <w:numId w:val="61"/>
        </w:numPr>
        <w:rPr>
          <w:rFonts w:cs="Calibri"/>
        </w:rPr>
      </w:pPr>
      <w:bookmarkStart w:id="341" w:name="_Toc204328751"/>
      <w:r w:rsidRPr="007850E4">
        <w:rPr>
          <w:rFonts w:cs="Calibri"/>
        </w:rPr>
        <w:t xml:space="preserve">Comune di Bardonecchia: Il comune riconosce la gratuità del servizio di trasporto pubblico urbano a tutta l’utenza. (D.G.C. n. 65 del 26/06/2013). Il comune </w:t>
      </w:r>
      <w:r w:rsidRPr="00BC7270">
        <w:rPr>
          <w:rFonts w:cs="Calibri"/>
        </w:rPr>
        <w:t>trasferisce ad</w:t>
      </w:r>
      <w:r w:rsidRPr="007850E4">
        <w:rPr>
          <w:rFonts w:cs="Calibri"/>
        </w:rPr>
        <w:t xml:space="preserve"> AMP € 551.272,43/anno per i servizi aggiuntivi</w:t>
      </w:r>
      <w:r>
        <w:rPr>
          <w:rFonts w:cs="Calibri"/>
        </w:rPr>
        <w:t>, che comprendono in quota a parte anche i mancati ricavi.</w:t>
      </w:r>
    </w:p>
    <w:p w14:paraId="03EB2E18" w14:textId="5F951E41" w:rsidR="00FD2CBB" w:rsidRPr="007850E4" w:rsidRDefault="00FD2CBB" w:rsidP="004B0DBE">
      <w:pPr>
        <w:pStyle w:val="Paragrafoelenco"/>
        <w:numPr>
          <w:ilvl w:val="0"/>
          <w:numId w:val="61"/>
        </w:numPr>
        <w:rPr>
          <w:rFonts w:cs="Calibri"/>
        </w:rPr>
      </w:pPr>
      <w:r w:rsidRPr="007850E4">
        <w:rPr>
          <w:rFonts w:cs="Calibri"/>
        </w:rPr>
        <w:t>Comune di Ivrea: agevolazioni tariffarie per abbonamenti annuali e plurimensili per residenti over 65. Il comune può sostenere una spesa relativa alle integrazioni di quote pari a € 4.000,00 annui (</w:t>
      </w:r>
      <w:hyperlink r:id="rId80" w:history="1">
        <w:r w:rsidRPr="007850E4">
          <w:rPr>
            <w:rStyle w:val="Collegamentoipertestuale"/>
            <w:rFonts w:cs="Calibri"/>
          </w:rPr>
          <w:t>D.G.C. n. 42 del 20/02/2025</w:t>
        </w:r>
      </w:hyperlink>
      <w:r w:rsidRPr="007850E4">
        <w:rPr>
          <w:rFonts w:cs="Calibri"/>
        </w:rPr>
        <w:t>).</w:t>
      </w:r>
    </w:p>
    <w:p w14:paraId="70540A22" w14:textId="77777777" w:rsidR="00FD2CBB" w:rsidRPr="007850E4" w:rsidRDefault="00FD2CBB" w:rsidP="004B0DBE">
      <w:pPr>
        <w:pStyle w:val="Paragrafoelenco"/>
        <w:numPr>
          <w:ilvl w:val="0"/>
          <w:numId w:val="61"/>
        </w:numPr>
        <w:rPr>
          <w:rFonts w:cs="Calibri"/>
        </w:rPr>
      </w:pPr>
      <w:r w:rsidRPr="007850E4">
        <w:rPr>
          <w:rFonts w:cs="Calibri"/>
        </w:rPr>
        <w:t>Comune di Carmagnola agevolazioni tariffarie per anziani ultrasessantacinquenni, invalidi, famiglie con reddito ISEE inferiore a € 8.000 (D.G.C. n. 454 del 19/12/2009). Il contributo per le agevolazioni tariffarie è pari a € 129.000,00/anno, come specificato nella convezione stipulata tra il comune e AMP.</w:t>
      </w:r>
    </w:p>
    <w:p w14:paraId="6315BC20" w14:textId="563BEBAB" w:rsidR="00FD2CBB" w:rsidRPr="007850E4" w:rsidRDefault="00FD2CBB" w:rsidP="004B0DBE">
      <w:pPr>
        <w:pStyle w:val="Paragrafoelenco"/>
        <w:numPr>
          <w:ilvl w:val="0"/>
          <w:numId w:val="61"/>
        </w:numPr>
        <w:rPr>
          <w:rFonts w:cs="Calibri"/>
        </w:rPr>
      </w:pPr>
      <w:r w:rsidRPr="007850E4">
        <w:rPr>
          <w:rFonts w:cs="Calibri"/>
        </w:rPr>
        <w:t>Comune di Chivasso: agevolazioni ai residenti indigenti, ai minori in affidamento familiare e ai cittadini con oltre 65 anni gli abbonamenti vengono rilasciati in base al reddito ISEE. (</w:t>
      </w:r>
      <w:hyperlink r:id="rId81" w:history="1">
        <w:r w:rsidRPr="007850E4">
          <w:rPr>
            <w:rStyle w:val="Collegamentoipertestuale"/>
            <w:rFonts w:cs="Calibri"/>
          </w:rPr>
          <w:t>D.C.C. n. 7 del 03/02/2025</w:t>
        </w:r>
      </w:hyperlink>
      <w:r w:rsidRPr="007850E4">
        <w:rPr>
          <w:rFonts w:cs="Calibri"/>
        </w:rPr>
        <w:t xml:space="preserve">). </w:t>
      </w:r>
    </w:p>
    <w:p w14:paraId="53DF088B" w14:textId="77777777" w:rsidR="00FD2CBB" w:rsidRPr="007850E4" w:rsidRDefault="00FD2CBB" w:rsidP="004B0DBE">
      <w:pPr>
        <w:pStyle w:val="Paragrafoelenco"/>
        <w:numPr>
          <w:ilvl w:val="0"/>
          <w:numId w:val="61"/>
        </w:numPr>
        <w:rPr>
          <w:rFonts w:cs="Calibri"/>
        </w:rPr>
      </w:pPr>
      <w:r w:rsidRPr="007850E4">
        <w:rPr>
          <w:rFonts w:cs="Calibri"/>
        </w:rPr>
        <w:t>Comune di Pinerolo: agevolazioni sugli abbonamenti per ultrasettantenni residenti e studenti sulla base dell’ISEE (D.G.C. n. 85 del 26/11/2008). Il Comune riconosce all’operatore di TPL la somma complessiva di € 7.700,00 per l’anno 2025 come contributo per i mancati ricavi. (Determina n. 374 del 13/05/2025)</w:t>
      </w:r>
    </w:p>
    <w:p w14:paraId="2E578C12" w14:textId="77777777" w:rsidR="00FD2CBB" w:rsidRDefault="00FD2CBB" w:rsidP="00FD2CBB">
      <w:pPr>
        <w:pStyle w:val="Titolo3"/>
        <w:ind w:left="720"/>
      </w:pPr>
      <w:bookmarkStart w:id="342" w:name="_Toc213078391"/>
      <w:r>
        <w:t>Diritto di esazione a bordo</w:t>
      </w:r>
      <w:bookmarkEnd w:id="341"/>
      <w:bookmarkEnd w:id="342"/>
    </w:p>
    <w:p w14:paraId="6FA564A1" w14:textId="77777777" w:rsidR="00FD2CBB" w:rsidRPr="00CD31A8" w:rsidRDefault="00FD2CBB" w:rsidP="00FD2CBB">
      <w:pPr>
        <w:spacing w:before="120" w:after="0" w:line="240" w:lineRule="auto"/>
      </w:pPr>
      <w:r>
        <w:t xml:space="preserve">È definito inoltre un diritto fisso per l’acquisto del biglietto a bordo, per il quale si applica quanto disposto con la </w:t>
      </w:r>
      <w:r w:rsidRPr="00CD31A8">
        <w:t>Deliberazione della Giunta Regionale 4 novembre 2013, n. 13-6608</w:t>
      </w:r>
      <w:r>
        <w:t>. In particolare sono previsti:</w:t>
      </w:r>
    </w:p>
    <w:p w14:paraId="37126961" w14:textId="77777777" w:rsidR="00FD2CBB" w:rsidRPr="00F0399F" w:rsidRDefault="00FD2CBB" w:rsidP="004B0DBE">
      <w:pPr>
        <w:pStyle w:val="Paragrafoelenco"/>
        <w:numPr>
          <w:ilvl w:val="0"/>
          <w:numId w:val="57"/>
        </w:numPr>
        <w:spacing w:before="120" w:after="0" w:line="240" w:lineRule="auto"/>
      </w:pPr>
      <w:r w:rsidRPr="00F0399F">
        <w:t>euro 1,00 per percorrenze chilometriche fino a 30 chilometri;</w:t>
      </w:r>
    </w:p>
    <w:p w14:paraId="58616F80" w14:textId="77777777" w:rsidR="00FD2CBB" w:rsidRPr="00F0399F" w:rsidRDefault="00FD2CBB" w:rsidP="004B0DBE">
      <w:pPr>
        <w:pStyle w:val="Paragrafoelenco"/>
        <w:numPr>
          <w:ilvl w:val="0"/>
          <w:numId w:val="57"/>
        </w:numPr>
        <w:spacing w:before="120" w:after="0" w:line="240" w:lineRule="auto"/>
      </w:pPr>
      <w:r w:rsidRPr="00F0399F">
        <w:t>euro 1,50 per percorrenze chilometriche fino a 60 chilometri;</w:t>
      </w:r>
    </w:p>
    <w:p w14:paraId="2CFF635C" w14:textId="77777777" w:rsidR="00FD2CBB" w:rsidRPr="00F0399F" w:rsidRDefault="00FD2CBB" w:rsidP="004B0DBE">
      <w:pPr>
        <w:pStyle w:val="Paragrafoelenco"/>
        <w:numPr>
          <w:ilvl w:val="0"/>
          <w:numId w:val="57"/>
        </w:numPr>
        <w:spacing w:before="120" w:after="0" w:line="240" w:lineRule="auto"/>
      </w:pPr>
      <w:r w:rsidRPr="00F0399F">
        <w:t>euro 2,00 per percorrenze chilometriche fino a 90 chilometri;</w:t>
      </w:r>
    </w:p>
    <w:p w14:paraId="5C937C70" w14:textId="77777777" w:rsidR="00FD2CBB" w:rsidRPr="00F0399F" w:rsidRDefault="00FD2CBB" w:rsidP="004B0DBE">
      <w:pPr>
        <w:pStyle w:val="Paragrafoelenco"/>
        <w:numPr>
          <w:ilvl w:val="0"/>
          <w:numId w:val="57"/>
        </w:numPr>
        <w:spacing w:before="120" w:after="0" w:line="240" w:lineRule="auto"/>
      </w:pPr>
      <w:r w:rsidRPr="00F0399F">
        <w:t>euro 2,50 per percorrenze chilometriche fino a 150 chilometri.</w:t>
      </w:r>
    </w:p>
    <w:p w14:paraId="2119C17C" w14:textId="77777777" w:rsidR="00FD2CBB" w:rsidRDefault="00FD2CBB" w:rsidP="00FD2CBB">
      <w:pPr>
        <w:spacing w:before="120" w:after="0" w:line="240" w:lineRule="auto"/>
      </w:pPr>
      <w:r w:rsidRPr="00F0399F">
        <w:lastRenderedPageBreak/>
        <w:t>Gli utenti in partenza da località o fermate sprovviste di punti vendita o in giornate/orari di chiusura degli stessi potranno acquistare il biglietto a bordo mezzo senza che venga loro richiesto di pagare il diritto fisso.</w:t>
      </w:r>
    </w:p>
    <w:p w14:paraId="742081FE" w14:textId="77777777" w:rsidR="00FD2CBB" w:rsidRDefault="00FD2CBB" w:rsidP="00FD2CBB">
      <w:pPr>
        <w:pStyle w:val="Titolo2"/>
        <w:ind w:left="567"/>
      </w:pPr>
      <w:bookmarkStart w:id="343" w:name="_Toc204328752"/>
      <w:bookmarkStart w:id="344" w:name="_Toc213078392"/>
      <w:r>
        <w:t>Tariffe Integrate</w:t>
      </w:r>
      <w:bookmarkEnd w:id="343"/>
      <w:bookmarkEnd w:id="344"/>
    </w:p>
    <w:p w14:paraId="1E27E636" w14:textId="77777777" w:rsidR="00FD2CBB" w:rsidRPr="0049313D" w:rsidRDefault="00FD2CBB" w:rsidP="00FD2CBB">
      <w:pPr>
        <w:pStyle w:val="Titolo3"/>
        <w:ind w:left="720"/>
      </w:pPr>
      <w:bookmarkStart w:id="345" w:name="_Toc204328753"/>
      <w:bookmarkStart w:id="346" w:name="_Toc213078393"/>
      <w:r>
        <w:t>Formula</w:t>
      </w:r>
      <w:bookmarkEnd w:id="345"/>
      <w:bookmarkEnd w:id="346"/>
    </w:p>
    <w:p w14:paraId="7BB75FAF" w14:textId="77777777" w:rsidR="00FD2CBB" w:rsidRDefault="00FD2CBB" w:rsidP="00FD2CBB">
      <w:pPr>
        <w:spacing w:before="120" w:after="0" w:line="240" w:lineRule="auto"/>
      </w:pPr>
      <w:r>
        <w:t>Il sistema tariffario Piemontese prevede, fra l’altro, anche la tariffa integrata denominata “Formula”.</w:t>
      </w:r>
    </w:p>
    <w:p w14:paraId="44DEB403" w14:textId="77777777" w:rsidR="00FD2CBB" w:rsidRDefault="00FD2CBB" w:rsidP="00FD2CBB">
      <w:pPr>
        <w:spacing w:before="120" w:after="0" w:line="240" w:lineRule="auto"/>
      </w:pPr>
      <w:r>
        <w:t xml:space="preserve">“Formula” è un sistema tariffario a zone applicato agli abbonamenti. La tariffa pagata dall’utente è funzione del numero di zone attraversate. Le zone sono organizzate su cinque cerchi concentrici a partire da Torino. In particolare si hanno: </w:t>
      </w:r>
    </w:p>
    <w:p w14:paraId="2EAC9F3F" w14:textId="77777777" w:rsidR="00FD2CBB" w:rsidRDefault="00FD2CBB" w:rsidP="004B0DBE">
      <w:pPr>
        <w:pStyle w:val="Paragrafoelenco"/>
        <w:numPr>
          <w:ilvl w:val="0"/>
          <w:numId w:val="53"/>
        </w:numPr>
        <w:spacing w:before="120" w:after="0" w:line="240" w:lineRule="auto"/>
        <w:contextualSpacing w:val="0"/>
      </w:pPr>
      <w:r>
        <w:t xml:space="preserve">Una zona centrale, contraddistinta con la lettera U, coincidente con i confini del Comune di Torino; </w:t>
      </w:r>
    </w:p>
    <w:p w14:paraId="2F660AA8" w14:textId="77777777" w:rsidR="00FD2CBB" w:rsidRDefault="00FD2CBB" w:rsidP="004B0DBE">
      <w:pPr>
        <w:pStyle w:val="Paragrafoelenco"/>
        <w:numPr>
          <w:ilvl w:val="0"/>
          <w:numId w:val="53"/>
        </w:numPr>
        <w:spacing w:before="120" w:after="0" w:line="240" w:lineRule="auto"/>
        <w:contextualSpacing w:val="0"/>
      </w:pPr>
      <w:r>
        <w:t xml:space="preserve">Una zona suburbana, contraddistinta con la lettera A; </w:t>
      </w:r>
    </w:p>
    <w:p w14:paraId="78B38F8B" w14:textId="77777777" w:rsidR="00FD2CBB" w:rsidRDefault="00FD2CBB" w:rsidP="004B0DBE">
      <w:pPr>
        <w:pStyle w:val="Paragrafoelenco"/>
        <w:numPr>
          <w:ilvl w:val="0"/>
          <w:numId w:val="53"/>
        </w:numPr>
        <w:spacing w:before="120" w:after="0" w:line="240" w:lineRule="auto"/>
        <w:contextualSpacing w:val="0"/>
      </w:pPr>
      <w:r>
        <w:t xml:space="preserve">16 zone situate in 3 corone concentriche e contraddistinte con le lettere alfabetiche B, C, D, E, F, G, H, L, M, N, O, P, Q, R, S, T. </w:t>
      </w:r>
    </w:p>
    <w:p w14:paraId="1B96B066" w14:textId="77777777" w:rsidR="00FD2CBB" w:rsidRDefault="00FD2CBB" w:rsidP="00FD2CBB">
      <w:pPr>
        <w:spacing w:before="120" w:after="0" w:line="240" w:lineRule="auto"/>
      </w:pPr>
      <w:r>
        <w:t>Le prime due corone concentriche (Torino ‐ zona U e Cintura ‐ zona A) sono prive di setti divisori, le altre tre sono invece suddivise in zone anche da setti radiali. Esiste inoltre un’ulteriore zona tariffaria denominata PIN (Area Vasta di Pinerolo), comprendente il comune sopraddetto più i seguenti comuni limitrofi: Buriasco, Cantalupa, Frossasco, Macello, Osasco, Prarostino, Roletto, San Pietro Val Lemina e San Secondo.</w:t>
      </w:r>
    </w:p>
    <w:p w14:paraId="7EF9F7EA" w14:textId="77777777" w:rsidR="00FD2CBB" w:rsidRDefault="00FD2CBB" w:rsidP="00FD2CBB">
      <w:pPr>
        <w:spacing w:before="120" w:after="0" w:line="240" w:lineRule="auto"/>
      </w:pPr>
      <w:r>
        <w:t xml:space="preserve">Il sistema tariffario integrato è esteso anche alle linee ferroviarie ed automobilistiche che si diramano dall’area metropolitana torinese per relazioni aventi come origine una località posta al di fuori dell’area stessa e come destinazione una località dell’area metropolitana compresa entro le seguenti città/stazioni “porta”: Pinerolo, Racconigi, Sommariva del Bosco, Pralormo, Villafranca d’Asti, Cavagnolo, Crescentino, Torrazza Piemonte, Boschetto, Rodallo, Foglizzo, Feletto, Barbania, Balangero e S. Ambrogio, o viceversa. </w:t>
      </w:r>
    </w:p>
    <w:p w14:paraId="56A8DB6B" w14:textId="77777777" w:rsidR="00FD2CBB" w:rsidRDefault="00FD2CBB" w:rsidP="00FD2CBB">
      <w:pPr>
        <w:spacing w:before="120" w:after="0" w:line="240" w:lineRule="auto"/>
      </w:pPr>
      <w:r>
        <w:t xml:space="preserve">Le espansioni tariffarie di formula interessano soprattutto il territorio del Bacino Metropolitano come rappresentato nell’immagine seguente, con espansioni ferroviarie e autobilistiche verso i Bacini confinanti. </w:t>
      </w:r>
    </w:p>
    <w:p w14:paraId="26F68B30" w14:textId="663EDC04" w:rsidR="00FD2CBB" w:rsidRDefault="00FD2CBB" w:rsidP="00FD2CBB">
      <w:pPr>
        <w:pStyle w:val="Didascalia"/>
        <w:spacing w:before="120" w:after="0"/>
        <w:ind w:left="-284"/>
        <w:jc w:val="center"/>
        <w:rPr>
          <w:sz w:val="22"/>
          <w:szCs w:val="22"/>
        </w:rPr>
      </w:pPr>
      <w:r>
        <w:rPr>
          <w:noProof/>
          <w:sz w:val="22"/>
          <w:szCs w:val="22"/>
        </w:rPr>
        <w:lastRenderedPageBreak/>
        <w:drawing>
          <wp:inline distT="0" distB="0" distL="0" distR="0" wp14:anchorId="219ACEC6" wp14:editId="4C5333F5">
            <wp:extent cx="5756745" cy="4092890"/>
            <wp:effectExtent l="19050" t="19050" r="15875" b="22225"/>
            <wp:docPr id="2003663393" name="Immagine 1" descr="Immagine che contiene testo, mappa, diagramma, schermat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63393" name="Immagine 1" descr="Immagine che contiene testo, mappa, diagramma, schermata&#10;&#10;Descrizione generata automaticamente"/>
                    <pic:cNvPicPr>
                      <a:picLocks noChangeAspect="1" noChangeArrowheads="1"/>
                    </pic:cNvPicPr>
                  </pic:nvPicPr>
                  <pic:blipFill rotWithShape="1">
                    <a:blip r:embed="rId82" cstate="print">
                      <a:extLst>
                        <a:ext uri="{28A0092B-C50C-407E-A947-70E740481C1C}">
                          <a14:useLocalDpi xmlns:a14="http://schemas.microsoft.com/office/drawing/2010/main" val="0"/>
                        </a:ext>
                      </a:extLst>
                    </a:blip>
                    <a:srcRect l="-777" t="392" r="623" b="-1100"/>
                    <a:stretch/>
                  </pic:blipFill>
                  <pic:spPr bwMode="auto">
                    <a:xfrm>
                      <a:off x="0" y="0"/>
                      <a:ext cx="5815899" cy="4134947"/>
                    </a:xfrm>
                    <a:prstGeom prst="rect">
                      <a:avLst/>
                    </a:prstGeom>
                    <a:noFill/>
                    <a:ln w="19050">
                      <a:solidFill>
                        <a:srgbClr val="EE3438"/>
                      </a:solidFill>
                    </a:ln>
                    <a:extLst>
                      <a:ext uri="{53640926-AAD7-44D8-BBD7-CCE9431645EC}">
                        <a14:shadowObscured xmlns:a14="http://schemas.microsoft.com/office/drawing/2010/main"/>
                      </a:ext>
                    </a:extLst>
                  </pic:spPr>
                </pic:pic>
              </a:graphicData>
            </a:graphic>
          </wp:inline>
        </w:drawing>
      </w:r>
    </w:p>
    <w:p w14:paraId="5B4678D1" w14:textId="20592EEC" w:rsidR="00FD2CBB" w:rsidRPr="00F80456" w:rsidRDefault="00FD2CBB" w:rsidP="00FD2CBB">
      <w:pPr>
        <w:pStyle w:val="Didascalia"/>
        <w:spacing w:after="0"/>
        <w:jc w:val="center"/>
      </w:pPr>
      <w:r w:rsidRPr="00F80456">
        <w:rPr>
          <w:rFonts w:cstheme="minorHAnsi"/>
        </w:rPr>
        <w:t xml:space="preserve">Figura </w:t>
      </w:r>
      <w:r w:rsidR="00FD7EE5">
        <w:fldChar w:fldCharType="begin"/>
      </w:r>
      <w:r w:rsidR="00FD7EE5">
        <w:instrText xml:space="preserve"> SEQ Figura \* ARABIC </w:instrText>
      </w:r>
      <w:r w:rsidR="00FD7EE5">
        <w:fldChar w:fldCharType="separate"/>
      </w:r>
      <w:r w:rsidR="00073B6D">
        <w:rPr>
          <w:noProof/>
        </w:rPr>
        <w:t>34</w:t>
      </w:r>
      <w:r w:rsidR="00FD7EE5">
        <w:rPr>
          <w:noProof/>
        </w:rPr>
        <w:fldChar w:fldCharType="end"/>
      </w:r>
      <w:r w:rsidRPr="00F80456">
        <w:rPr>
          <w:rFonts w:cstheme="minorHAnsi"/>
        </w:rPr>
        <w:t xml:space="preserve"> –</w:t>
      </w:r>
      <w:r w:rsidRPr="00F80456">
        <w:t xml:space="preserve"> Dettaglio infografica sistema formula</w:t>
      </w:r>
    </w:p>
    <w:p w14:paraId="3995D599" w14:textId="77777777" w:rsidR="00FD2CBB" w:rsidRDefault="00FD2CBB" w:rsidP="00FD2CBB">
      <w:pPr>
        <w:spacing w:before="120" w:after="0" w:line="240" w:lineRule="auto"/>
      </w:pPr>
      <w:r>
        <w:t>La ripartizione dei ricavi fra le imprese esercenti i servizi rientranti nell’Area Formula avviene sulla base di un accordo commerciale fra gli operatori coinvolti che sono GTT, Trenitalia, e gli operatori del Consorzio Extra.to. Ad esito delle procedure di gara potrebbe essere necessario ridefinire gli accordi di ripartizione delle tariffe al fine di garantire la continuità del sistema integrato; tale scelta andrà anche contestualizzata alla luce dell’avanzamento delle politiche di sviluppo del sistema di bigliettazione Piemontese.</w:t>
      </w:r>
    </w:p>
    <w:p w14:paraId="44302918" w14:textId="77777777" w:rsidR="00FD2CBB" w:rsidRPr="0049313D" w:rsidRDefault="00FD2CBB" w:rsidP="00FD2CBB">
      <w:pPr>
        <w:pStyle w:val="Titolo3"/>
        <w:ind w:left="720"/>
      </w:pPr>
      <w:bookmarkStart w:id="347" w:name="_Toc204328754"/>
      <w:bookmarkStart w:id="348" w:name="_Toc213078394"/>
      <w:r>
        <w:t>Credito Trasporti</w:t>
      </w:r>
      <w:bookmarkEnd w:id="347"/>
      <w:bookmarkEnd w:id="348"/>
    </w:p>
    <w:p w14:paraId="06A567BF" w14:textId="77777777" w:rsidR="00FD2CBB" w:rsidRDefault="00FD2CBB" w:rsidP="00FD2CBB">
      <w:pPr>
        <w:spacing w:before="120" w:after="0" w:line="240" w:lineRule="auto"/>
      </w:pPr>
      <w:r>
        <w:t xml:space="preserve">Nel Bacino Metropolitano del Piemonte, per i servizi extraurbani erogati dalle </w:t>
      </w:r>
      <w:r w:rsidRPr="006A5F5F">
        <w:t>aziende Cavourese spa Giachino srl e Bus Company srl, è attivo un sistema di “credito trasporti</w:t>
      </w:r>
      <w:r>
        <w:t>” che consente il pagamento a consumo dei titoli di viaggio. Questo sistema è progettato per offrire maggiore flessibilità e convenienza agli utenti del trasporto pubblico locale, e sarà a breve adottato da tutte le aziende operanti all’interno dei contratti extraurbani.</w:t>
      </w:r>
    </w:p>
    <w:p w14:paraId="1289BEB1" w14:textId="77777777" w:rsidR="00FD2CBB" w:rsidRDefault="00FD2CBB" w:rsidP="00FD2CBB">
      <w:pPr>
        <w:spacing w:before="120" w:after="0" w:line="240" w:lineRule="auto"/>
      </w:pPr>
      <w:r>
        <w:t>Per tali servizi il titolare della tessera BIP (Biglietto Integrato Piemonte) può utilizzare tale sistema che si basa sul metodo del check-in e check-out: l'utente, al momento di salire sul mezzo di trasporto, effettua il check-in tramite la tessera BIP, e al termine del viaggio effettua il check-out. In questo modo, il sistema registra l'inizio e la fine del viaggio.</w:t>
      </w:r>
    </w:p>
    <w:p w14:paraId="49653789" w14:textId="77777777" w:rsidR="00FD2CBB" w:rsidRDefault="00FD2CBB" w:rsidP="00FD2CBB">
      <w:pPr>
        <w:spacing w:before="120" w:after="0" w:line="240" w:lineRule="auto"/>
      </w:pPr>
      <w:r>
        <w:t>Il credito trasporti viene scalato automaticamente dalla tessera, addebitando solo la somma dovuta per il viaggio effettivamente effettuato. Questo calcolo avviene secondo le tariffe regionali, applicando la tariffa penta-chilometrica regionale.</w:t>
      </w:r>
    </w:p>
    <w:p w14:paraId="4B105531" w14:textId="77777777" w:rsidR="00FD2CBB" w:rsidRDefault="00FD2CBB" w:rsidP="00FD2CBB">
      <w:pPr>
        <w:spacing w:before="120" w:after="0" w:line="240" w:lineRule="auto"/>
      </w:pPr>
      <w:r>
        <w:t xml:space="preserve">Questo sistema di pagamento "pay per use" offre numerosi vantaggi, tra cui la possibilità di pagare solo per i chilometri effettivamente percorsi, garantendo così una maggiore equità e trasparenza nei </w:t>
      </w:r>
      <w:r>
        <w:lastRenderedPageBreak/>
        <w:t>costi di viaggio. Inoltre, facilita la gestione dei titoli di viaggio e riduce la necessità di acquistare biglietti cartacei, contribuendo a una mobilità più sostenibile e innovativa.</w:t>
      </w:r>
    </w:p>
    <w:p w14:paraId="4CA10B26" w14:textId="77777777" w:rsidR="00FD2CBB" w:rsidRDefault="00FD2CBB" w:rsidP="00FD2CBB">
      <w:pPr>
        <w:pStyle w:val="Titolo2"/>
        <w:ind w:left="567"/>
      </w:pPr>
      <w:bookmarkStart w:id="349" w:name="_Toc204328755"/>
      <w:bookmarkStart w:id="350" w:name="_Toc213078395"/>
      <w:r>
        <w:t>Metodologia aggiornamento tariffe</w:t>
      </w:r>
      <w:bookmarkEnd w:id="349"/>
      <w:bookmarkEnd w:id="350"/>
    </w:p>
    <w:p w14:paraId="59357C2E" w14:textId="77777777" w:rsidR="00FD2CBB" w:rsidRPr="00DB2A3B" w:rsidRDefault="00FD2CBB" w:rsidP="00FD2CBB">
      <w:pPr>
        <w:spacing w:before="120" w:after="0" w:line="240" w:lineRule="auto"/>
        <w:rPr>
          <w:rFonts w:cstheme="minorHAnsi"/>
          <w:color w:val="242424"/>
          <w:sz w:val="20"/>
          <w:szCs w:val="20"/>
          <w:shd w:val="clear" w:color="auto" w:fill="FAFAFA"/>
        </w:rPr>
      </w:pPr>
      <w:r w:rsidRPr="008123C3">
        <w:t xml:space="preserve">Come menzionato nei precedenti paragrafi, la Deliberazione della Giunta Regionale del Piemonte n° 13-6608 del 4/11/2013 ha stabilito che, a partire dal 2015, </w:t>
      </w:r>
      <w:r w:rsidRPr="00B71C5A">
        <w:t>le tariffe dei servizi di trasporto pubblico locale debbano essere adeguate automaticamente al 100% dell'inflazione programmata.</w:t>
      </w:r>
    </w:p>
    <w:p w14:paraId="73E9E692" w14:textId="77777777" w:rsidR="00FD2CBB" w:rsidRPr="00B71C5A" w:rsidRDefault="00FD2CBB" w:rsidP="00FD2CBB">
      <w:pPr>
        <w:spacing w:before="120" w:after="0" w:line="240" w:lineRule="auto"/>
      </w:pPr>
      <w:r w:rsidRPr="008123C3">
        <w:t xml:space="preserve">Di conseguenza, AMP </w:t>
      </w:r>
      <w:r w:rsidRPr="00B71C5A">
        <w:t>verifica annualmente l'andamento del Tasso di Inflazione Programmata (TIP) consultando le pubblicazioni periodiche sul sito del Ministero dell’Economia e delle Finanze - Dipartimento del Tesoro</w:t>
      </w:r>
      <w:r w:rsidRPr="00B71C5A">
        <w:footnoteReference w:id="35"/>
      </w:r>
      <w:r w:rsidRPr="00B71C5A">
        <w:t xml:space="preserve">. Il quale attraverso la presentazione della NADEF (Nota di Aggiornamento al Documento di Economia e Finanza) nel mese di settembre definisce il Tasso di Inflazione Programmata (TIP) previsionale per l'anno successivo. Questo dato viene utilizzato da AMP per approvare l'adeguamento tariffario all'inizio di ciascun anno, con effetto dal 1 luglio. </w:t>
      </w:r>
    </w:p>
    <w:p w14:paraId="6F3F6486" w14:textId="77777777" w:rsidR="00FD2CBB" w:rsidRPr="008123C3" w:rsidRDefault="00FD2CBB" w:rsidP="00FD2CBB">
      <w:pPr>
        <w:spacing w:before="120" w:after="0" w:line="240" w:lineRule="auto"/>
      </w:pPr>
      <w:r>
        <w:t>N</w:t>
      </w:r>
      <w:r w:rsidRPr="008123C3">
        <w:t>el calcolare e definire l’aggiornamento delle tariffe regionali secondo l’andamento del TIP si applicano specifici arrotondamenti: ai 10 centesimi per i biglietti e per gli abbonamenti settimanali, mentre per gli abbonamenti di durata mensile o superiore viene applicato un arrotondamento ai 50 centesimi.</w:t>
      </w:r>
    </w:p>
    <w:p w14:paraId="6E0061B0" w14:textId="77777777" w:rsidR="00FD2CBB" w:rsidRPr="008123C3" w:rsidRDefault="00FD2CBB" w:rsidP="00FD2CBB">
      <w:pPr>
        <w:spacing w:before="120" w:after="0" w:line="240" w:lineRule="auto"/>
      </w:pPr>
      <w:r>
        <w:t>Si</w:t>
      </w:r>
      <w:r w:rsidRPr="008123C3">
        <w:t xml:space="preserve"> sottolinea che la citata delibera regionale sulle tariffe prevede il solo adeguamento inflattivo e non dà indicazioni sull’applicazione di altri parametri correttivi delle tariffe</w:t>
      </w:r>
      <w:r>
        <w:t xml:space="preserve"> quali potrebbero essere parametri qualitativi per l’introduzione del price-cap</w:t>
      </w:r>
      <w:r w:rsidRPr="008123C3">
        <w:t xml:space="preserve">. </w:t>
      </w:r>
    </w:p>
    <w:p w14:paraId="1FB08444" w14:textId="77777777" w:rsidR="00FD2CBB" w:rsidRPr="008123C3" w:rsidRDefault="00FD2CBB" w:rsidP="00FD2CBB">
      <w:pPr>
        <w:spacing w:before="120" w:after="0" w:line="240" w:lineRule="auto"/>
      </w:pPr>
      <w:r w:rsidRPr="008123C3">
        <w:t xml:space="preserve">Infatti, l’adozione di un metodo di adeguamento pesato non solo sull’inflazione ma anche su indicatori di qualità effettiva del servizio utilizzando una metodologia “Price-cap”, nella realtà piemontese presenterebbe alcune criticità, quali: </w:t>
      </w:r>
    </w:p>
    <w:p w14:paraId="51CEEAC3" w14:textId="77777777" w:rsidR="00FD2CBB" w:rsidRPr="008123C3" w:rsidRDefault="00FD2CBB" w:rsidP="004B0DBE">
      <w:pPr>
        <w:pStyle w:val="Paragrafoelenco"/>
        <w:numPr>
          <w:ilvl w:val="0"/>
          <w:numId w:val="53"/>
        </w:numPr>
        <w:spacing w:before="120" w:after="0" w:line="240" w:lineRule="auto"/>
        <w:contextualSpacing w:val="0"/>
      </w:pPr>
      <w:r w:rsidRPr="008123C3">
        <w:t>il disallineamento tariffario tra i diversi contratti di servizio, i differenti servizi (ferroviari e automobilistici) e i quattro Bacini di mobilità;</w:t>
      </w:r>
    </w:p>
    <w:p w14:paraId="0A110E50" w14:textId="77777777" w:rsidR="00FD2CBB" w:rsidRPr="008123C3" w:rsidRDefault="00FD2CBB" w:rsidP="004B0DBE">
      <w:pPr>
        <w:pStyle w:val="Paragrafoelenco"/>
        <w:numPr>
          <w:ilvl w:val="0"/>
          <w:numId w:val="53"/>
        </w:numPr>
        <w:spacing w:before="120" w:after="0" w:line="240" w:lineRule="auto"/>
        <w:contextualSpacing w:val="0"/>
      </w:pPr>
      <w:r w:rsidRPr="008123C3">
        <w:t>la compromissione dell'uniformità delle tariffe che renderebbe impossibile mantenere ed estendere l'integrazione tariffaria;</w:t>
      </w:r>
    </w:p>
    <w:p w14:paraId="4B5ED3E0" w14:textId="77777777" w:rsidR="00FD2CBB" w:rsidRPr="008123C3" w:rsidRDefault="00FD2CBB" w:rsidP="004B0DBE">
      <w:pPr>
        <w:pStyle w:val="Paragrafoelenco"/>
        <w:numPr>
          <w:ilvl w:val="0"/>
          <w:numId w:val="53"/>
        </w:numPr>
        <w:spacing w:before="120" w:after="0" w:line="240" w:lineRule="auto"/>
        <w:contextualSpacing w:val="0"/>
      </w:pPr>
      <w:r w:rsidRPr="008123C3">
        <w:t>la difficoltà nell’integrare le reti e i servizi a causa del mancato raggiungimento dell’armonizzazione tariffaria;</w:t>
      </w:r>
    </w:p>
    <w:p w14:paraId="0FF316CA" w14:textId="77777777" w:rsidR="00FD2CBB" w:rsidRPr="008123C3" w:rsidRDefault="00FD2CBB" w:rsidP="004B0DBE">
      <w:pPr>
        <w:pStyle w:val="Paragrafoelenco"/>
        <w:numPr>
          <w:ilvl w:val="0"/>
          <w:numId w:val="53"/>
        </w:numPr>
        <w:spacing w:before="120" w:after="0" w:line="240" w:lineRule="auto"/>
        <w:contextualSpacing w:val="0"/>
      </w:pPr>
      <w:r w:rsidRPr="008123C3">
        <w:t xml:space="preserve">lo squilibrio tariffario generato dalla penalizzazione di alcuni servizi rispetto ad altri indurrebbe ad un sistema tariffario </w:t>
      </w:r>
      <w:r>
        <w:t>differenziale per</w:t>
      </w:r>
      <w:r w:rsidRPr="008123C3">
        <w:t xml:space="preserve"> gli utenti piemontesi.</w:t>
      </w:r>
    </w:p>
    <w:p w14:paraId="7BBDF1C3" w14:textId="77777777" w:rsidR="00FD2CBB" w:rsidRPr="008123C3" w:rsidRDefault="00FD2CBB" w:rsidP="00FD2CBB">
      <w:pPr>
        <w:spacing w:before="120" w:after="0" w:line="240" w:lineRule="auto"/>
        <w:rPr>
          <w:rFonts w:eastAsia="Times New Roman" w:cstheme="minorHAnsi"/>
          <w:lang w:eastAsia="en-GB"/>
        </w:rPr>
      </w:pPr>
      <w:r w:rsidRPr="00793ED8">
        <w:rPr>
          <w:rFonts w:eastAsia="Times New Roman" w:cstheme="minorHAnsi"/>
          <w:lang w:eastAsia="en-GB"/>
        </w:rPr>
        <w:t xml:space="preserve">La stessa </w:t>
      </w:r>
      <w:r w:rsidRPr="008123C3">
        <w:rPr>
          <w:rFonts w:eastAsia="Times New Roman" w:cstheme="minorHAnsi"/>
          <w:lang w:eastAsia="en-GB"/>
        </w:rPr>
        <w:t>della Delibera ART n. 154/2019 alla Misura 27 punto 3 ribadisce che l’applicazione del metodo del “Price-cap” non può pregiudicare l’adozione di sistemi di bigliettazione o di servizi integrati.</w:t>
      </w:r>
    </w:p>
    <w:p w14:paraId="40F0B063" w14:textId="77777777" w:rsidR="00FD2CBB" w:rsidRPr="008123C3" w:rsidRDefault="00FD2CBB" w:rsidP="00FD2CBB">
      <w:pPr>
        <w:spacing w:before="120" w:after="0" w:line="240" w:lineRule="auto"/>
        <w:rPr>
          <w:rFonts w:eastAsia="Times New Roman" w:cstheme="minorHAnsi"/>
          <w:lang w:eastAsia="en-GB"/>
        </w:rPr>
      </w:pPr>
      <w:r w:rsidRPr="008123C3">
        <w:rPr>
          <w:rFonts w:eastAsia="Times New Roman" w:cstheme="minorHAnsi"/>
          <w:lang w:eastAsia="en-GB"/>
        </w:rPr>
        <w:t>L’armonizzazione delle tariffe e l’integrazione tariffaria sono dunque due principi irrinunciabili per la Regione Piemonte e per l’Agenzia; senza di essi sarebbe vanificato ogni sforzo di pianificazione delle reti e di programmazione dei servizi in ottica di aumento dell’integrazione e cooperazione dei servizi e riduzione delle sovrapposizioni non cooperative (e quindi dei costi per l’amministrazione pubblica).</w:t>
      </w:r>
    </w:p>
    <w:p w14:paraId="6CABAB31" w14:textId="77777777" w:rsidR="00FD2CBB" w:rsidRPr="008123C3" w:rsidRDefault="00FD2CBB" w:rsidP="00FD2CBB">
      <w:pPr>
        <w:spacing w:before="120" w:after="0" w:line="240" w:lineRule="auto"/>
        <w:rPr>
          <w:rFonts w:eastAsia="Times New Roman" w:cstheme="minorHAnsi"/>
          <w:lang w:eastAsia="en-GB"/>
        </w:rPr>
      </w:pPr>
      <w:r w:rsidRPr="008123C3">
        <w:rPr>
          <w:rFonts w:eastAsia="Times New Roman" w:cstheme="minorHAnsi"/>
          <w:lang w:eastAsia="en-GB"/>
        </w:rPr>
        <w:t xml:space="preserve">La Regione Piemonte e l’Agenzia ritengono che l’obbiettivo di spingere gli operatori ad un miglioramento continuo degli standard di qualità che si intende raggiungere anche con l’applicazione della metodologia “Price-cap”, può essere parimenti raggiunto imponendo l’obbligo per l’operatore a </w:t>
      </w:r>
      <w:r w:rsidRPr="008123C3">
        <w:rPr>
          <w:rFonts w:eastAsia="Times New Roman" w:cstheme="minorHAnsi"/>
          <w:lang w:eastAsia="en-GB"/>
        </w:rPr>
        <w:lastRenderedPageBreak/>
        <w:t>rimborsare o indennizzare gli utenti qualora non siano raggiunti gli obiettivi imposti dai co</w:t>
      </w:r>
      <w:r>
        <w:rPr>
          <w:rFonts w:eastAsia="Times New Roman" w:cstheme="minorHAnsi"/>
          <w:lang w:eastAsia="en-GB"/>
        </w:rPr>
        <w:t>n</w:t>
      </w:r>
      <w:r w:rsidRPr="008123C3">
        <w:rPr>
          <w:rFonts w:eastAsia="Times New Roman" w:cstheme="minorHAnsi"/>
          <w:lang w:eastAsia="en-GB"/>
        </w:rPr>
        <w:t xml:space="preserve">tratti di servizio o assunti dall’operatore nella stesura della Carta dei servizi. </w:t>
      </w:r>
    </w:p>
    <w:p w14:paraId="10D35FDA" w14:textId="77777777" w:rsidR="00FD2CBB" w:rsidRDefault="00FD2CBB" w:rsidP="00FD2CBB">
      <w:pPr>
        <w:spacing w:before="120" w:after="0" w:line="240" w:lineRule="auto"/>
        <w:rPr>
          <w:rFonts w:eastAsia="Times New Roman" w:cstheme="minorHAnsi"/>
          <w:lang w:eastAsia="en-GB"/>
        </w:rPr>
      </w:pPr>
      <w:r w:rsidRPr="008123C3">
        <w:rPr>
          <w:rFonts w:eastAsia="Times New Roman" w:cstheme="minorHAnsi"/>
          <w:lang w:eastAsia="en-GB"/>
        </w:rPr>
        <w:t>Questo approccio evita di influenzare le tariffe e generando penalità per l'operatore produce benefici per l'utenza evitando disequilibri fra gli utenti piemontesi.</w:t>
      </w:r>
    </w:p>
    <w:p w14:paraId="1810FB26" w14:textId="77777777" w:rsidR="00FD2CBB" w:rsidRPr="008123C3" w:rsidRDefault="00FD2CBB" w:rsidP="00FD2CBB">
      <w:pPr>
        <w:spacing w:before="120" w:after="0" w:line="240" w:lineRule="auto"/>
        <w:rPr>
          <w:rFonts w:eastAsia="Times New Roman" w:cstheme="minorHAnsi"/>
          <w:lang w:eastAsia="en-GB"/>
        </w:rPr>
      </w:pPr>
      <w:r w:rsidRPr="008123C3">
        <w:rPr>
          <w:rFonts w:eastAsia="Times New Roman" w:cstheme="minorHAnsi"/>
          <w:lang w:eastAsia="en-GB"/>
        </w:rPr>
        <w:t xml:space="preserve">A parità di tariffa, l’equilibrio tra la qualità del servizio offerto e l’esborso richiesto al cittadino per la fruizione di tale servizio è ricercato mediante l’obbligo di rimborso/indennizzo. Prendendo ad esempio una relazione O/D (come quella </w:t>
      </w:r>
      <w:r>
        <w:rPr>
          <w:rFonts w:eastAsia="Times New Roman" w:cstheme="minorHAnsi"/>
          <w:lang w:eastAsia="en-GB"/>
        </w:rPr>
        <w:t>Alba</w:t>
      </w:r>
      <w:r w:rsidRPr="008123C3">
        <w:rPr>
          <w:rFonts w:eastAsia="Times New Roman" w:cstheme="minorHAnsi"/>
          <w:lang w:eastAsia="en-GB"/>
        </w:rPr>
        <w:t>-</w:t>
      </w:r>
      <w:r>
        <w:rPr>
          <w:rFonts w:eastAsia="Times New Roman" w:cstheme="minorHAnsi"/>
          <w:lang w:eastAsia="en-GB"/>
        </w:rPr>
        <w:t>Torino</w:t>
      </w:r>
      <w:r w:rsidRPr="008123C3">
        <w:rPr>
          <w:rFonts w:eastAsia="Times New Roman" w:cstheme="minorHAnsi"/>
          <w:lang w:eastAsia="en-GB"/>
        </w:rPr>
        <w:t xml:space="preserve">) ove sussistono sia servizi ferroviari sia servizi su autolinea (con itinerari diversi) con uguale tariffa integrata per gli abbonamenti, può verificarsi in un certo periodo di tempo il mancato rispetto degli obiettivi di puntualità solo su una delle due modalità. In questo caso è previsto un rimborso (da parte dell’Operatore della modalità “inadempiente”) per gli utenti che possono dimostrare di aver utilizzato tale Operatore. Ciò produce un beneficio per l’utenza e una penalità per l’Operatore, senza intervento sul valore della tariffa integrata che agirebbe anche sull’altra modalità “incolpevole” e che costituirebbe un’eccezione rispetto alle altre relazioni O/D con percorrenza appartenente allo stesso scaglione chilometrico o con stesso numero di zona attraversate. </w:t>
      </w:r>
    </w:p>
    <w:p w14:paraId="5E7FA92F" w14:textId="77777777" w:rsidR="00FD2CBB" w:rsidRDefault="00FD2CBB" w:rsidP="00FD2CBB">
      <w:pPr>
        <w:pStyle w:val="Titolo2"/>
        <w:ind w:left="567"/>
      </w:pPr>
      <w:bookmarkStart w:id="351" w:name="_Toc204328756"/>
      <w:bookmarkStart w:id="352" w:name="_Toc213078396"/>
      <w:r>
        <w:t>L’interoperabilità tariffaria in Piemonte</w:t>
      </w:r>
      <w:bookmarkEnd w:id="351"/>
      <w:bookmarkEnd w:id="352"/>
    </w:p>
    <w:p w14:paraId="628A5BBF" w14:textId="77777777" w:rsidR="00FD2CBB" w:rsidRPr="00A340C6" w:rsidRDefault="00FD2CBB" w:rsidP="00FD2CBB">
      <w:pPr>
        <w:spacing w:before="120" w:after="0" w:line="240" w:lineRule="auto"/>
        <w:rPr>
          <w:rFonts w:eastAsia="Times New Roman" w:cstheme="minorHAnsi"/>
          <w:lang w:eastAsia="en-GB"/>
        </w:rPr>
      </w:pPr>
      <w:r w:rsidRPr="00A340C6">
        <w:rPr>
          <w:rFonts w:eastAsia="Times New Roman" w:cstheme="minorHAnsi"/>
          <w:lang w:eastAsia="en-GB"/>
        </w:rPr>
        <w:t xml:space="preserve">BIP </w:t>
      </w:r>
      <w:r>
        <w:rPr>
          <w:rFonts w:eastAsia="Times New Roman" w:cstheme="minorHAnsi"/>
          <w:lang w:eastAsia="en-GB"/>
        </w:rPr>
        <w:t xml:space="preserve">– </w:t>
      </w:r>
      <w:r w:rsidRPr="00A340C6">
        <w:rPr>
          <w:rFonts w:eastAsia="Times New Roman" w:cstheme="minorHAnsi"/>
          <w:lang w:eastAsia="en-GB"/>
        </w:rPr>
        <w:t>Biglietto Integrato Piemonte è il sistema di bigliettazione elettronica della Regione Piemonte, progettato per semplificare l'accesso ai vari servizi di mo</w:t>
      </w:r>
      <w:r>
        <w:rPr>
          <w:rFonts w:eastAsia="Times New Roman" w:cstheme="minorHAnsi"/>
          <w:lang w:eastAsia="en-GB"/>
        </w:rPr>
        <w:t xml:space="preserve">bilità sul territorio regionale </w:t>
      </w:r>
      <w:r w:rsidRPr="00DF1476">
        <w:rPr>
          <w:rFonts w:eastAsia="Times New Roman" w:cstheme="minorHAnsi"/>
          <w:lang w:eastAsia="en-GB"/>
        </w:rPr>
        <w:t>ed è stato attivato nel 2012</w:t>
      </w:r>
      <w:r>
        <w:rPr>
          <w:rFonts w:eastAsia="Times New Roman" w:cstheme="minorHAnsi"/>
          <w:lang w:eastAsia="en-GB"/>
        </w:rPr>
        <w:t>.</w:t>
      </w:r>
      <w:r w:rsidRPr="00A340C6">
        <w:rPr>
          <w:rFonts w:eastAsia="Times New Roman" w:cstheme="minorHAnsi"/>
          <w:lang w:eastAsia="en-GB"/>
        </w:rPr>
        <w:t xml:space="preserve"> Questo sistema utilizza una smart card, chiamata carta BIP, che consente agli utenti di viaggiare su diversi mezzi di trasporto pubblico con un unico </w:t>
      </w:r>
      <w:r>
        <w:rPr>
          <w:rFonts w:eastAsia="Times New Roman" w:cstheme="minorHAnsi"/>
          <w:lang w:eastAsia="en-GB"/>
        </w:rPr>
        <w:t>documento</w:t>
      </w:r>
      <w:r w:rsidRPr="00A340C6">
        <w:rPr>
          <w:rFonts w:eastAsia="Times New Roman" w:cstheme="minorHAnsi"/>
          <w:lang w:eastAsia="en-GB"/>
        </w:rPr>
        <w:t xml:space="preserve"> di viaggio.</w:t>
      </w:r>
    </w:p>
    <w:p w14:paraId="70EE88E6" w14:textId="77777777" w:rsidR="00FD2CBB" w:rsidRDefault="00FD2CBB" w:rsidP="00FD2CBB">
      <w:pPr>
        <w:spacing w:before="120" w:after="0" w:line="240" w:lineRule="auto"/>
        <w:rPr>
          <w:rFonts w:eastAsia="Times New Roman" w:cstheme="minorHAnsi"/>
          <w:lang w:eastAsia="en-GB"/>
        </w:rPr>
      </w:pPr>
      <w:r>
        <w:rPr>
          <w:rFonts w:eastAsia="Times New Roman" w:cstheme="minorHAnsi"/>
          <w:lang w:eastAsia="en-GB"/>
        </w:rPr>
        <w:t>L’introduzione del sistema BIP è stata voluta dalla Regione Piemonte per:</w:t>
      </w:r>
    </w:p>
    <w:p w14:paraId="0A06C995" w14:textId="77777777" w:rsidR="00FD2CBB" w:rsidRPr="00DF1476" w:rsidRDefault="00FD2CBB" w:rsidP="004B0DBE">
      <w:pPr>
        <w:pStyle w:val="Paragrafoelenco"/>
        <w:numPr>
          <w:ilvl w:val="0"/>
          <w:numId w:val="58"/>
        </w:numPr>
        <w:spacing w:before="120" w:after="0" w:line="240" w:lineRule="auto"/>
        <w:contextualSpacing w:val="0"/>
      </w:pPr>
      <w:r w:rsidRPr="00DF1476">
        <w:t>favorire l’integrazione dei servizi: La carta BIP può essere utilizzata su autobus, tram, treni regionali e altri servizi di mobilità come il bike sharing. Questo permette agli utenti di spostarsi facilmente senza dover acquistare biglietti separati per ogni mezzo di trasporto</w:t>
      </w:r>
      <w:r>
        <w:t>;</w:t>
      </w:r>
    </w:p>
    <w:p w14:paraId="41700D81" w14:textId="77777777" w:rsidR="00FD2CBB" w:rsidRPr="00DF1476" w:rsidRDefault="00FD2CBB" w:rsidP="004B0DBE">
      <w:pPr>
        <w:pStyle w:val="Paragrafoelenco"/>
        <w:numPr>
          <w:ilvl w:val="0"/>
          <w:numId w:val="58"/>
        </w:numPr>
        <w:spacing w:before="120" w:after="0" w:line="240" w:lineRule="auto"/>
        <w:contextualSpacing w:val="0"/>
      </w:pPr>
      <w:r>
        <w:t>i</w:t>
      </w:r>
      <w:r w:rsidRPr="00DF1476">
        <w:t xml:space="preserve">ntrodurre il pagamento a consumo: </w:t>
      </w:r>
      <w:r>
        <w:t>C</w:t>
      </w:r>
      <w:r w:rsidRPr="00DF1476">
        <w:t>ome già anticipato nel Bacino Sud del Piemonte, è attivo un sistema di credito trasporti che consente il pagamento a consumo dei titoli di viaggio. Gli utenti effettuano il check-in e il check-out con la carta BIP, e il sistema scala automaticamente dal credito la somma dovuta per il viaggio effettuato, applicando la tariffa pentachilometrica regionale; in caso di mancato check-out viene applicata la tariffa massima della specifica corsa utilizzata</w:t>
      </w:r>
      <w:r>
        <w:t>;</w:t>
      </w:r>
    </w:p>
    <w:p w14:paraId="02C2E66F" w14:textId="77777777" w:rsidR="00FD2CBB" w:rsidRPr="00DF1476" w:rsidRDefault="00FD2CBB" w:rsidP="004B0DBE">
      <w:pPr>
        <w:pStyle w:val="Paragrafoelenco"/>
        <w:numPr>
          <w:ilvl w:val="0"/>
          <w:numId w:val="58"/>
        </w:numPr>
        <w:spacing w:before="120" w:after="0" w:line="240" w:lineRule="auto"/>
        <w:contextualSpacing w:val="0"/>
      </w:pPr>
      <w:r>
        <w:t>gestire il sistema delle a</w:t>
      </w:r>
      <w:r w:rsidRPr="00DF1476">
        <w:t>gevolazioni tariffarie: Diverse categorie di utenti, come persone con disabilità, studenti, forze dell'ordine e vigili del fuoco, possono beneficiare di agevolazioni tariffarie. Queste agevolazioni mirano a promuovere l'uso del trasporto pubblico</w:t>
      </w:r>
      <w:r>
        <w:t>, la sicurezza dei viaggi</w:t>
      </w:r>
      <w:r w:rsidRPr="00DF1476">
        <w:t xml:space="preserve"> e a garantire l'acce</w:t>
      </w:r>
      <w:r>
        <w:t>ssibilità per tutti i cittadini;</w:t>
      </w:r>
    </w:p>
    <w:p w14:paraId="0A0ED844" w14:textId="77777777" w:rsidR="00FD2CBB" w:rsidRDefault="00FD2CBB" w:rsidP="004B0DBE">
      <w:pPr>
        <w:pStyle w:val="Paragrafoelenco"/>
        <w:numPr>
          <w:ilvl w:val="0"/>
          <w:numId w:val="58"/>
        </w:numPr>
        <w:spacing w:before="120" w:after="0" w:line="240" w:lineRule="auto"/>
        <w:contextualSpacing w:val="0"/>
      </w:pPr>
      <w:r w:rsidRPr="00DF1476">
        <w:t>Innova</w:t>
      </w:r>
      <w:r>
        <w:t>re</w:t>
      </w:r>
      <w:r w:rsidRPr="00DF1476">
        <w:t>: Il sistema BIP contribuisce a una mobilità più sostenibile riducendo l'uso di biglietti cartacei e incentivando l'uso del trasporto pubblico. Inoltre, facilita la g</w:t>
      </w:r>
      <w:r>
        <w:t xml:space="preserve">estione dei titoli di viaggio, </w:t>
      </w:r>
      <w:r w:rsidRPr="00DF1476">
        <w:t>offre una maggiore trasparenza nei costi di viaggio</w:t>
      </w:r>
      <w:r>
        <w:t xml:space="preserve"> e fornisce elementi utili per verificare la programmazione del servizio.</w:t>
      </w:r>
    </w:p>
    <w:p w14:paraId="768B550F" w14:textId="77777777" w:rsidR="00FD2CBB" w:rsidRDefault="00FD2CBB" w:rsidP="00FD2CBB">
      <w:pPr>
        <w:spacing w:before="120" w:after="0" w:line="240" w:lineRule="auto"/>
        <w:rPr>
          <w:rFonts w:eastAsia="Times New Roman" w:cstheme="minorHAnsi"/>
          <w:lang w:eastAsia="en-GB"/>
        </w:rPr>
      </w:pPr>
      <w:r w:rsidRPr="00F0399F">
        <w:rPr>
          <w:rFonts w:eastAsia="Times New Roman" w:cstheme="minorHAnsi"/>
          <w:lang w:eastAsia="en-GB"/>
        </w:rPr>
        <w:t>Più recentemente è stata avviata l’iniz</w:t>
      </w:r>
      <w:r>
        <w:rPr>
          <w:rFonts w:eastAsia="Times New Roman" w:cstheme="minorHAnsi"/>
          <w:lang w:eastAsia="en-GB"/>
        </w:rPr>
        <w:t>ia</w:t>
      </w:r>
      <w:r w:rsidRPr="00F0399F">
        <w:rPr>
          <w:rFonts w:eastAsia="Times New Roman" w:cstheme="minorHAnsi"/>
          <w:lang w:eastAsia="en-GB"/>
        </w:rPr>
        <w:t>tiva BIPforMaaS che consent</w:t>
      </w:r>
      <w:r>
        <w:rPr>
          <w:rFonts w:eastAsia="Times New Roman" w:cstheme="minorHAnsi"/>
          <w:lang w:eastAsia="en-GB"/>
        </w:rPr>
        <w:t>e</w:t>
      </w:r>
      <w:r w:rsidRPr="00F0399F">
        <w:rPr>
          <w:rFonts w:eastAsia="Times New Roman" w:cstheme="minorHAnsi"/>
          <w:lang w:eastAsia="en-GB"/>
        </w:rPr>
        <w:t xml:space="preserve"> il miglioramento della</w:t>
      </w:r>
      <w:r>
        <w:rPr>
          <w:rFonts w:eastAsia="Times New Roman" w:cstheme="minorHAnsi"/>
          <w:lang w:eastAsia="en-GB"/>
        </w:rPr>
        <w:t xml:space="preserve"> qualità dei servizi assicurati </w:t>
      </w:r>
      <w:r w:rsidRPr="00F0399F">
        <w:rPr>
          <w:rFonts w:eastAsia="Times New Roman" w:cstheme="minorHAnsi"/>
          <w:lang w:eastAsia="en-GB"/>
        </w:rPr>
        <w:t>ai clienti BIP, semplificando e innovando le modali</w:t>
      </w:r>
      <w:r>
        <w:rPr>
          <w:rFonts w:eastAsia="Times New Roman" w:cstheme="minorHAnsi"/>
          <w:lang w:eastAsia="en-GB"/>
        </w:rPr>
        <w:t xml:space="preserve">tà di accesso </w:t>
      </w:r>
      <w:r w:rsidRPr="00F0399F">
        <w:rPr>
          <w:rFonts w:eastAsia="Times New Roman" w:cstheme="minorHAnsi"/>
          <w:lang w:eastAsia="en-GB"/>
        </w:rPr>
        <w:t>ai servizi di TPL regional</w:t>
      </w:r>
      <w:r>
        <w:rPr>
          <w:rFonts w:eastAsia="Times New Roman" w:cstheme="minorHAnsi"/>
          <w:lang w:eastAsia="en-GB"/>
        </w:rPr>
        <w:t>i.</w:t>
      </w:r>
    </w:p>
    <w:p w14:paraId="5A4B25A9" w14:textId="77777777" w:rsidR="00FD2CBB" w:rsidRPr="00DF1476" w:rsidRDefault="00FD2CBB" w:rsidP="00FD2CBB">
      <w:pPr>
        <w:spacing w:before="120" w:after="0" w:line="240" w:lineRule="auto"/>
      </w:pPr>
      <w:r>
        <w:rPr>
          <w:rFonts w:eastAsia="Times New Roman" w:cstheme="minorHAnsi"/>
          <w:lang w:eastAsia="en-GB"/>
        </w:rPr>
        <w:t>Tramite il BipforMaaS e la piattaforma SmartBip è possibile accedere al sistema di TPL piemontese; l’utilizzo di queste nuove opportunità tecnologiche favoriranno l’</w:t>
      </w:r>
      <w:r w:rsidRPr="00F0399F">
        <w:rPr>
          <w:rFonts w:eastAsia="Times New Roman" w:cstheme="minorHAnsi"/>
          <w:lang w:eastAsia="en-GB"/>
        </w:rPr>
        <w:t>introdu</w:t>
      </w:r>
      <w:r>
        <w:rPr>
          <w:rFonts w:eastAsia="Times New Roman" w:cstheme="minorHAnsi"/>
          <w:lang w:eastAsia="en-GB"/>
        </w:rPr>
        <w:t>zione di</w:t>
      </w:r>
      <w:r w:rsidRPr="00F0399F">
        <w:rPr>
          <w:rFonts w:eastAsia="Times New Roman" w:cstheme="minorHAnsi"/>
          <w:lang w:eastAsia="en-GB"/>
        </w:rPr>
        <w:t xml:space="preserve"> un nuovo sistema tariffario integrato di tipo pay-per-use e best fare (pagamento in funzione dell’effettivo utilizzo e alla tariffa più conveniente per l’utente)</w:t>
      </w:r>
      <w:r>
        <w:rPr>
          <w:rFonts w:eastAsia="Times New Roman" w:cstheme="minorHAnsi"/>
          <w:lang w:eastAsia="en-GB"/>
        </w:rPr>
        <w:t>.</w:t>
      </w:r>
    </w:p>
    <w:p w14:paraId="0FF0B3D1" w14:textId="77777777" w:rsidR="00FD2CBB" w:rsidRPr="00B1060B" w:rsidRDefault="00FD2CBB" w:rsidP="00FD2CBB">
      <w:pPr>
        <w:spacing w:before="120" w:after="0" w:line="240" w:lineRule="auto"/>
        <w:rPr>
          <w:rFonts w:eastAsia="Times New Roman" w:cstheme="minorHAnsi"/>
          <w:lang w:eastAsia="en-GB"/>
        </w:rPr>
      </w:pPr>
      <w:r>
        <w:rPr>
          <w:rFonts w:eastAsia="Times New Roman" w:cstheme="minorHAnsi"/>
          <w:lang w:eastAsia="en-GB"/>
        </w:rPr>
        <w:lastRenderedPageBreak/>
        <w:t>Questi nuovi modelli per l’</w:t>
      </w:r>
      <w:r w:rsidRPr="00DF1476">
        <w:rPr>
          <w:rFonts w:eastAsia="Times New Roman" w:cstheme="minorHAnsi"/>
          <w:lang w:eastAsia="en-GB"/>
        </w:rPr>
        <w:t>“inte</w:t>
      </w:r>
      <w:r>
        <w:rPr>
          <w:rFonts w:eastAsia="Times New Roman" w:cstheme="minorHAnsi"/>
          <w:lang w:eastAsia="en-GB"/>
        </w:rPr>
        <w:t>grazione” tariffaria, a livello</w:t>
      </w:r>
      <w:r w:rsidRPr="00DF1476">
        <w:rPr>
          <w:rFonts w:eastAsia="Times New Roman" w:cstheme="minorHAnsi"/>
          <w:lang w:eastAsia="en-GB"/>
        </w:rPr>
        <w:t xml:space="preserve"> regionale del TPL offr</w:t>
      </w:r>
      <w:r>
        <w:rPr>
          <w:rFonts w:eastAsia="Times New Roman" w:cstheme="minorHAnsi"/>
          <w:lang w:eastAsia="en-GB"/>
        </w:rPr>
        <w:t>ono</w:t>
      </w:r>
      <w:r w:rsidRPr="00DF1476">
        <w:rPr>
          <w:rFonts w:eastAsia="Times New Roman" w:cstheme="minorHAnsi"/>
          <w:lang w:eastAsia="en-GB"/>
        </w:rPr>
        <w:t xml:space="preserve"> più libertà</w:t>
      </w:r>
      <w:r>
        <w:rPr>
          <w:rFonts w:eastAsia="Times New Roman" w:cstheme="minorHAnsi"/>
          <w:lang w:eastAsia="en-GB"/>
        </w:rPr>
        <w:t xml:space="preserve"> e</w:t>
      </w:r>
      <w:r w:rsidRPr="00DF1476">
        <w:rPr>
          <w:rFonts w:eastAsia="Times New Roman" w:cstheme="minorHAnsi"/>
          <w:lang w:eastAsia="en-GB"/>
        </w:rPr>
        <w:t xml:space="preserve"> più semplicità</w:t>
      </w:r>
      <w:r>
        <w:rPr>
          <w:rFonts w:eastAsia="Times New Roman" w:cstheme="minorHAnsi"/>
          <w:lang w:eastAsia="en-GB"/>
        </w:rPr>
        <w:t>;</w:t>
      </w:r>
      <w:r w:rsidRPr="00DF1476">
        <w:rPr>
          <w:rFonts w:eastAsia="Times New Roman" w:cstheme="minorHAnsi"/>
          <w:lang w:eastAsia="en-GB"/>
        </w:rPr>
        <w:t xml:space="preserve"> </w:t>
      </w:r>
      <w:r>
        <w:rPr>
          <w:rFonts w:eastAsia="Times New Roman" w:cstheme="minorHAnsi"/>
          <w:lang w:eastAsia="en-GB"/>
        </w:rPr>
        <w:t>g</w:t>
      </w:r>
      <w:r w:rsidRPr="00DF1476">
        <w:rPr>
          <w:rFonts w:eastAsia="Times New Roman" w:cstheme="minorHAnsi"/>
          <w:lang w:eastAsia="en-GB"/>
        </w:rPr>
        <w:t>li obiettivi sono</w:t>
      </w:r>
      <w:r>
        <w:rPr>
          <w:rFonts w:eastAsia="Times New Roman" w:cstheme="minorHAnsi"/>
          <w:lang w:eastAsia="en-GB"/>
        </w:rPr>
        <w:t xml:space="preserve"> quelli di </w:t>
      </w:r>
      <w:r w:rsidRPr="00B1060B">
        <w:rPr>
          <w:rFonts w:eastAsia="Times New Roman" w:cstheme="minorHAnsi"/>
          <w:lang w:eastAsia="en-GB"/>
        </w:rPr>
        <w:t>attrarre utenza</w:t>
      </w:r>
      <w:r>
        <w:rPr>
          <w:rFonts w:eastAsia="Times New Roman" w:cstheme="minorHAnsi"/>
          <w:lang w:eastAsia="en-GB"/>
        </w:rPr>
        <w:t xml:space="preserve">, </w:t>
      </w:r>
      <w:r w:rsidRPr="00B1060B">
        <w:rPr>
          <w:rFonts w:eastAsia="Times New Roman" w:cstheme="minorHAnsi"/>
          <w:lang w:eastAsia="en-GB"/>
        </w:rPr>
        <w:t>incrementare la fidelizzazione</w:t>
      </w:r>
      <w:r>
        <w:rPr>
          <w:rFonts w:eastAsia="Times New Roman" w:cstheme="minorHAnsi"/>
          <w:lang w:eastAsia="en-GB"/>
        </w:rPr>
        <w:t xml:space="preserve">, </w:t>
      </w:r>
      <w:r w:rsidRPr="00B1060B">
        <w:rPr>
          <w:rFonts w:eastAsia="Times New Roman" w:cstheme="minorHAnsi"/>
          <w:lang w:eastAsia="en-GB"/>
        </w:rPr>
        <w:t>favorire int</w:t>
      </w:r>
      <w:r>
        <w:rPr>
          <w:rFonts w:eastAsia="Times New Roman" w:cstheme="minorHAnsi"/>
          <w:lang w:eastAsia="en-GB"/>
        </w:rPr>
        <w:t xml:space="preserve">egrazione e interscambio modale, </w:t>
      </w:r>
      <w:r w:rsidRPr="00B1060B">
        <w:rPr>
          <w:rFonts w:eastAsia="Times New Roman" w:cstheme="minorHAnsi"/>
          <w:lang w:eastAsia="en-GB"/>
        </w:rPr>
        <w:t>garantire un sistema equo e in linea con le esigenze de</w:t>
      </w:r>
      <w:r>
        <w:rPr>
          <w:rFonts w:eastAsia="Times New Roman" w:cstheme="minorHAnsi"/>
          <w:lang w:eastAsia="en-GB"/>
        </w:rPr>
        <w:t xml:space="preserve">lla domanda, </w:t>
      </w:r>
      <w:r w:rsidRPr="00B1060B">
        <w:rPr>
          <w:rFonts w:eastAsia="Times New Roman" w:cstheme="minorHAnsi"/>
          <w:lang w:eastAsia="en-GB"/>
        </w:rPr>
        <w:t>rendere più evidente la relazi</w:t>
      </w:r>
      <w:r>
        <w:rPr>
          <w:rFonts w:eastAsia="Times New Roman" w:cstheme="minorHAnsi"/>
          <w:lang w:eastAsia="en-GB"/>
        </w:rPr>
        <w:t xml:space="preserve">one tariffa‐qualità dei servizi, </w:t>
      </w:r>
      <w:r w:rsidRPr="00B1060B">
        <w:rPr>
          <w:rFonts w:eastAsia="Times New Roman" w:cstheme="minorHAnsi"/>
          <w:lang w:eastAsia="en-GB"/>
        </w:rPr>
        <w:t>promuovere la bigliettazione elettronica.</w:t>
      </w:r>
    </w:p>
    <w:p w14:paraId="202F103A" w14:textId="77777777" w:rsidR="00FD2CBB" w:rsidRDefault="00FD2CBB" w:rsidP="00FD2CBB">
      <w:pPr>
        <w:pStyle w:val="Titolo2"/>
        <w:ind w:left="567"/>
      </w:pPr>
      <w:bookmarkStart w:id="353" w:name="_Toc204328757"/>
      <w:bookmarkStart w:id="354" w:name="_Toc213078397"/>
      <w:r>
        <w:t>Obblighi di servizio per l’integrazione tariffaria</w:t>
      </w:r>
      <w:bookmarkEnd w:id="353"/>
      <w:bookmarkEnd w:id="354"/>
    </w:p>
    <w:p w14:paraId="488E367E" w14:textId="77777777" w:rsidR="00FD2CBB" w:rsidRDefault="00FD2CBB" w:rsidP="00FD2CBB">
      <w:pPr>
        <w:spacing w:before="120" w:after="0" w:line="240" w:lineRule="auto"/>
        <w:rPr>
          <w:rFonts w:eastAsia="Times New Roman" w:cstheme="minorHAnsi"/>
          <w:lang w:eastAsia="en-GB"/>
        </w:rPr>
      </w:pPr>
      <w:r w:rsidRPr="00A97E39">
        <w:rPr>
          <w:rFonts w:eastAsia="Times New Roman" w:cstheme="minorHAnsi"/>
          <w:lang w:eastAsia="en-GB"/>
        </w:rPr>
        <w:t>Le procedure di affidamento rappresentano il passaggio verso l'implementazione dei nuovi sistemi tariffari integrati. Sarà obbligatorio per i concessionari applicare le tariffe regionali previste dal progetto Biglietto Integrato Piemonte (BIP), garantendo l'interoperabilità dei titoli di viaggio e la tariffazione a consumo.</w:t>
      </w:r>
    </w:p>
    <w:p w14:paraId="12CD6D2C" w14:textId="77777777" w:rsidR="00FD2CBB" w:rsidRDefault="00FD2CBB" w:rsidP="00FD2CBB">
      <w:pPr>
        <w:spacing w:before="120" w:after="0" w:line="240" w:lineRule="auto"/>
        <w:rPr>
          <w:rFonts w:eastAsia="Times New Roman" w:cstheme="minorHAnsi"/>
          <w:lang w:eastAsia="en-GB"/>
        </w:rPr>
      </w:pPr>
      <w:r>
        <w:rPr>
          <w:rFonts w:eastAsia="Times New Roman" w:cstheme="minorHAnsi"/>
          <w:lang w:eastAsia="en-GB"/>
        </w:rPr>
        <w:t>Il</w:t>
      </w:r>
      <w:r w:rsidRPr="00A97E39">
        <w:rPr>
          <w:rFonts w:eastAsia="Times New Roman" w:cstheme="minorHAnsi"/>
          <w:lang w:eastAsia="en-GB"/>
        </w:rPr>
        <w:t xml:space="preserve"> progetto</w:t>
      </w:r>
      <w:r>
        <w:rPr>
          <w:rFonts w:eastAsia="Times New Roman" w:cstheme="minorHAnsi"/>
          <w:lang w:eastAsia="en-GB"/>
        </w:rPr>
        <w:t xml:space="preserve"> </w:t>
      </w:r>
      <w:r w:rsidRPr="00A97E39">
        <w:rPr>
          <w:rFonts w:eastAsia="Times New Roman" w:cstheme="minorHAnsi"/>
          <w:lang w:eastAsia="en-GB"/>
        </w:rPr>
        <w:t>Biglietto Integrato Piemonte (BIP)</w:t>
      </w:r>
      <w:r>
        <w:rPr>
          <w:rFonts w:eastAsia="Times New Roman" w:cstheme="minorHAnsi"/>
          <w:lang w:eastAsia="en-GB"/>
        </w:rPr>
        <w:t xml:space="preserve"> </w:t>
      </w:r>
      <w:r w:rsidRPr="00A97E39">
        <w:rPr>
          <w:rFonts w:eastAsia="Times New Roman" w:cstheme="minorHAnsi"/>
          <w:lang w:eastAsia="en-GB"/>
        </w:rPr>
        <w:t>ha l'obiettivo di rendere il sistema di trasporto pubblico locale (TPL) in Piemonte più efficiente e integrato. La</w:t>
      </w:r>
      <w:r>
        <w:rPr>
          <w:rFonts w:eastAsia="Times New Roman" w:cstheme="minorHAnsi"/>
          <w:lang w:eastAsia="en-GB"/>
        </w:rPr>
        <w:t xml:space="preserve"> </w:t>
      </w:r>
      <w:r w:rsidRPr="00A97E39">
        <w:rPr>
          <w:rFonts w:eastAsia="Times New Roman" w:cstheme="minorHAnsi"/>
          <w:lang w:eastAsia="en-GB"/>
        </w:rPr>
        <w:t>Deliberazione della Giunta Regionale n. 52-6344 del 22 dicembre 2022</w:t>
      </w:r>
      <w:r>
        <w:rPr>
          <w:rFonts w:eastAsia="Times New Roman" w:cstheme="minorHAnsi"/>
          <w:lang w:eastAsia="en-GB"/>
        </w:rPr>
        <w:t xml:space="preserve"> </w:t>
      </w:r>
      <w:r w:rsidRPr="00A97E39">
        <w:rPr>
          <w:rFonts w:eastAsia="Times New Roman" w:cstheme="minorHAnsi"/>
          <w:lang w:eastAsia="en-GB"/>
        </w:rPr>
        <w:t>stabilisce che i concessionari devono adottare il sistema di bigliettazione regionale BIP e applicare la tariffa</w:t>
      </w:r>
      <w:r>
        <w:rPr>
          <w:rFonts w:eastAsia="Times New Roman" w:cstheme="minorHAnsi"/>
          <w:lang w:eastAsia="en-GB"/>
        </w:rPr>
        <w:t xml:space="preserve"> </w:t>
      </w:r>
      <w:r w:rsidRPr="00A97E39">
        <w:rPr>
          <w:rFonts w:eastAsia="Times New Roman" w:cstheme="minorHAnsi"/>
          <w:lang w:eastAsia="en-GB"/>
        </w:rPr>
        <w:t>pay-per-use</w:t>
      </w:r>
      <w:r>
        <w:rPr>
          <w:rFonts w:eastAsia="Times New Roman" w:cstheme="minorHAnsi"/>
          <w:lang w:eastAsia="en-GB"/>
        </w:rPr>
        <w:t xml:space="preserve"> </w:t>
      </w:r>
      <w:r w:rsidRPr="00A97E39">
        <w:rPr>
          <w:rFonts w:eastAsia="Times New Roman" w:cstheme="minorHAnsi"/>
          <w:lang w:eastAsia="en-GB"/>
        </w:rPr>
        <w:t>a livello regionale.</w:t>
      </w:r>
    </w:p>
    <w:p w14:paraId="6DE1EBF3" w14:textId="77777777" w:rsidR="00FD2CBB" w:rsidRPr="00A97E39" w:rsidRDefault="00FD2CBB" w:rsidP="00FD2CBB">
      <w:pPr>
        <w:spacing w:before="120" w:after="0" w:line="240" w:lineRule="auto"/>
        <w:rPr>
          <w:rFonts w:eastAsia="Times New Roman" w:cstheme="minorHAnsi"/>
          <w:lang w:eastAsia="en-GB"/>
        </w:rPr>
      </w:pPr>
      <w:r w:rsidRPr="00A97E39">
        <w:rPr>
          <w:rFonts w:eastAsia="Times New Roman" w:cstheme="minorHAnsi"/>
          <w:lang w:eastAsia="en-GB"/>
        </w:rPr>
        <w:t>Gli obiettivi principali includono:</w:t>
      </w:r>
    </w:p>
    <w:p w14:paraId="0F25C79C" w14:textId="77777777" w:rsidR="00FD2CBB" w:rsidRPr="00A97E39" w:rsidRDefault="00FD2CBB" w:rsidP="004B0DBE">
      <w:pPr>
        <w:pStyle w:val="Paragrafoelenco"/>
        <w:numPr>
          <w:ilvl w:val="0"/>
          <w:numId w:val="59"/>
        </w:numPr>
        <w:spacing w:before="120" w:after="0" w:line="240" w:lineRule="auto"/>
        <w:contextualSpacing w:val="0"/>
      </w:pPr>
      <w:r w:rsidRPr="00A97E39">
        <w:t>Applicazione della tariffa pay-per-use per tutti i servizi di TPL.</w:t>
      </w:r>
    </w:p>
    <w:p w14:paraId="376768BD" w14:textId="77777777" w:rsidR="00FD2CBB" w:rsidRPr="00A97E39" w:rsidRDefault="00FD2CBB" w:rsidP="004B0DBE">
      <w:pPr>
        <w:pStyle w:val="Paragrafoelenco"/>
        <w:numPr>
          <w:ilvl w:val="0"/>
          <w:numId w:val="59"/>
        </w:numPr>
        <w:spacing w:before="120" w:after="0" w:line="240" w:lineRule="auto"/>
        <w:contextualSpacing w:val="0"/>
      </w:pPr>
      <w:r w:rsidRPr="00A97E39">
        <w:t>Adesione alle iniziative degli operatori MaaS (Mobility as a Service), che rappresentano ulteriori canali di vendita.</w:t>
      </w:r>
    </w:p>
    <w:p w14:paraId="1529F5ED" w14:textId="77777777" w:rsidR="00FD2CBB" w:rsidRPr="00A97E39" w:rsidRDefault="00FD2CBB" w:rsidP="004B0DBE">
      <w:pPr>
        <w:pStyle w:val="Paragrafoelenco"/>
        <w:numPr>
          <w:ilvl w:val="0"/>
          <w:numId w:val="59"/>
        </w:numPr>
        <w:spacing w:before="120" w:after="0" w:line="240" w:lineRule="auto"/>
        <w:contextualSpacing w:val="0"/>
      </w:pPr>
      <w:r w:rsidRPr="00A97E39">
        <w:t>Piattaforma di e-commerce per la vendita dei titoli di viaggio.</w:t>
      </w:r>
    </w:p>
    <w:p w14:paraId="05CC41B8" w14:textId="77777777" w:rsidR="00FD2CBB" w:rsidRPr="00A97E39" w:rsidRDefault="00FD2CBB" w:rsidP="004B0DBE">
      <w:pPr>
        <w:pStyle w:val="Paragrafoelenco"/>
        <w:numPr>
          <w:ilvl w:val="0"/>
          <w:numId w:val="59"/>
        </w:numPr>
        <w:spacing w:before="120" w:after="0" w:line="240" w:lineRule="auto"/>
        <w:contextualSpacing w:val="0"/>
      </w:pPr>
      <w:r w:rsidRPr="00A97E39">
        <w:t>Utilizzo dell'applicazione digitale regionale SmartBip quando sarà disponibile.</w:t>
      </w:r>
    </w:p>
    <w:p w14:paraId="0801E14D" w14:textId="77777777" w:rsidR="00FD2CBB" w:rsidRPr="00A97E39" w:rsidRDefault="00FD2CBB" w:rsidP="004B0DBE">
      <w:pPr>
        <w:pStyle w:val="Paragrafoelenco"/>
        <w:numPr>
          <w:ilvl w:val="0"/>
          <w:numId w:val="59"/>
        </w:numPr>
        <w:spacing w:before="120" w:after="0" w:line="240" w:lineRule="auto"/>
        <w:contextualSpacing w:val="0"/>
      </w:pPr>
      <w:r w:rsidRPr="00A97E39">
        <w:t>Partecipazione a un consorzio per la gestione, clearing e vendita delle tariffe regionali.</w:t>
      </w:r>
    </w:p>
    <w:p w14:paraId="4B2CF5F4" w14:textId="77777777" w:rsidR="00FD2CBB" w:rsidRPr="00A97E39" w:rsidRDefault="00FD2CBB" w:rsidP="00FD2CBB">
      <w:pPr>
        <w:spacing w:before="120" w:after="0" w:line="240" w:lineRule="auto"/>
        <w:rPr>
          <w:rFonts w:eastAsia="Times New Roman" w:cstheme="minorHAnsi"/>
          <w:lang w:eastAsia="en-GB"/>
        </w:rPr>
      </w:pPr>
      <w:r w:rsidRPr="00A97E39">
        <w:rPr>
          <w:rFonts w:eastAsia="Times New Roman" w:cstheme="minorHAnsi"/>
          <w:lang w:eastAsia="en-GB"/>
        </w:rPr>
        <w:t>La Comunità MaaS della Regione Piemonte si basa su principi fondamentali come:</w:t>
      </w:r>
    </w:p>
    <w:p w14:paraId="16E46736" w14:textId="77777777" w:rsidR="00FD2CBB" w:rsidRPr="00A97E39" w:rsidRDefault="00FD2CBB" w:rsidP="004B0DBE">
      <w:pPr>
        <w:pStyle w:val="Paragrafoelenco"/>
        <w:numPr>
          <w:ilvl w:val="0"/>
          <w:numId w:val="60"/>
        </w:numPr>
        <w:spacing w:before="120" w:after="0" w:line="240" w:lineRule="auto"/>
        <w:contextualSpacing w:val="0"/>
      </w:pPr>
      <w:r w:rsidRPr="00A97E39">
        <w:t>Utente al centro: garantire libertà e comodità di utilizzo di tutti i</w:t>
      </w:r>
      <w:r>
        <w:t xml:space="preserve"> modi di trasporto disponibili</w:t>
      </w:r>
      <w:r w:rsidRPr="00A97E39">
        <w:t>.</w:t>
      </w:r>
    </w:p>
    <w:p w14:paraId="535846BA" w14:textId="77777777" w:rsidR="00FD2CBB" w:rsidRPr="00A97E39" w:rsidRDefault="00FD2CBB" w:rsidP="004B0DBE">
      <w:pPr>
        <w:pStyle w:val="Paragrafoelenco"/>
        <w:numPr>
          <w:ilvl w:val="0"/>
          <w:numId w:val="60"/>
        </w:numPr>
        <w:spacing w:before="120" w:after="0" w:line="240" w:lineRule="auto"/>
        <w:contextualSpacing w:val="0"/>
      </w:pPr>
      <w:r w:rsidRPr="00A97E39">
        <w:t>Obiettivi sociali: promuovere la sostenibilità del sistema trasporti e l'acces</w:t>
      </w:r>
      <w:r>
        <w:t>sibilità per tutti i cittadini</w:t>
      </w:r>
      <w:r w:rsidRPr="00A97E39">
        <w:t>.</w:t>
      </w:r>
    </w:p>
    <w:p w14:paraId="7C9E2BAD" w14:textId="77777777" w:rsidR="00FD2CBB" w:rsidRPr="00A97E39" w:rsidRDefault="00FD2CBB" w:rsidP="004B0DBE">
      <w:pPr>
        <w:pStyle w:val="Paragrafoelenco"/>
        <w:numPr>
          <w:ilvl w:val="0"/>
          <w:numId w:val="60"/>
        </w:numPr>
        <w:spacing w:before="120" w:after="0" w:line="240" w:lineRule="auto"/>
        <w:contextualSpacing w:val="0"/>
      </w:pPr>
      <w:r w:rsidRPr="00A97E39">
        <w:t>Equità: equilibrio tra diritti e doveri dei partecipanti, accesso aperto, trasparenza, no</w:t>
      </w:r>
      <w:r>
        <w:t>n discriminazione e neutralità</w:t>
      </w:r>
      <w:r w:rsidRPr="00A97E39">
        <w:t>.</w:t>
      </w:r>
    </w:p>
    <w:p w14:paraId="5AFE9172" w14:textId="77777777" w:rsidR="00FD2CBB" w:rsidRPr="00A97E39" w:rsidRDefault="00FD2CBB" w:rsidP="004B0DBE">
      <w:pPr>
        <w:pStyle w:val="Paragrafoelenco"/>
        <w:numPr>
          <w:ilvl w:val="0"/>
          <w:numId w:val="60"/>
        </w:numPr>
        <w:spacing w:before="120" w:after="0" w:line="240" w:lineRule="auto"/>
        <w:contextualSpacing w:val="0"/>
      </w:pPr>
      <w:r w:rsidRPr="00A97E39">
        <w:t>Contendibilità: comunità competitiva e non monopolistica, con conc</w:t>
      </w:r>
      <w:r>
        <w:t>orrenza regolata tra operatori</w:t>
      </w:r>
      <w:r w:rsidRPr="00A97E39">
        <w:t>.</w:t>
      </w:r>
    </w:p>
    <w:p w14:paraId="731E9728" w14:textId="77777777" w:rsidR="00FD2CBB" w:rsidRPr="00A97E39" w:rsidRDefault="00FD2CBB" w:rsidP="004B0DBE">
      <w:pPr>
        <w:pStyle w:val="Paragrafoelenco"/>
        <w:numPr>
          <w:ilvl w:val="0"/>
          <w:numId w:val="60"/>
        </w:numPr>
        <w:spacing w:before="120" w:after="0" w:line="240" w:lineRule="auto"/>
        <w:contextualSpacing w:val="0"/>
      </w:pPr>
      <w:r w:rsidRPr="00A97E39">
        <w:t>Condivisione e apertura: condivisione di principi e dati per una proposta integrata dei s</w:t>
      </w:r>
      <w:r>
        <w:t>ervizi di mobilità disponibili</w:t>
      </w:r>
      <w:r w:rsidRPr="00A97E39">
        <w:t>.</w:t>
      </w:r>
    </w:p>
    <w:p w14:paraId="7799C414" w14:textId="77777777" w:rsidR="00FD2CBB" w:rsidRDefault="00FD2CBB" w:rsidP="00FD2CBB">
      <w:pPr>
        <w:spacing w:before="120" w:after="0" w:line="240" w:lineRule="auto"/>
        <w:rPr>
          <w:rFonts w:eastAsia="Times New Roman" w:cstheme="minorHAnsi"/>
          <w:lang w:eastAsia="en-GB"/>
        </w:rPr>
      </w:pPr>
      <w:r w:rsidRPr="00A97E39">
        <w:rPr>
          <w:rFonts w:eastAsia="Times New Roman" w:cstheme="minorHAnsi"/>
          <w:lang w:eastAsia="en-GB"/>
        </w:rPr>
        <w:t>Questi principi mirano a creare un ecosistema di mobilità integrata e sostenibile, migliorando la qualità dei servizi di trasporto pubblico per tutti gli utenti.</w:t>
      </w:r>
    </w:p>
    <w:p w14:paraId="6104187E" w14:textId="77777777" w:rsidR="00FD2CBB" w:rsidRDefault="00FD2CBB" w:rsidP="00255E27">
      <w:pPr>
        <w:spacing w:after="0" w:line="240" w:lineRule="auto"/>
      </w:pPr>
      <w:r>
        <w:t>Per raggiungere questi obiettivi, sarà indispensabile che le aziende siano completamente digitalizzate. Questo significa che dovranno dotarsi di adeguati sistemi gestionali per monitorare tutte le attività aziendali, adottare tecnologie avanzate per la gestione dei biglietti elettronici, garantire la compatibilità con le piattaforme MaaS (Mobility as a Service).</w:t>
      </w:r>
    </w:p>
    <w:p w14:paraId="308E69BB" w14:textId="77777777" w:rsidR="00FD2CBB" w:rsidRDefault="00FD2CBB" w:rsidP="00255E27">
      <w:pPr>
        <w:spacing w:before="120" w:after="0" w:line="240" w:lineRule="auto"/>
        <w:rPr>
          <w:rFonts w:asciiTheme="minorHAnsi" w:hAnsiTheme="minorHAnsi" w:cstheme="minorHAnsi"/>
        </w:rPr>
        <w:sectPr w:rsidR="00FD2CBB" w:rsidSect="00F41C4B">
          <w:footerReference w:type="default" r:id="rId83"/>
          <w:pgSz w:w="11906" w:h="16838"/>
          <w:pgMar w:top="1418" w:right="1418" w:bottom="1418" w:left="1418" w:header="709" w:footer="709" w:gutter="0"/>
          <w:pgBorders w:offsetFrom="page">
            <w:right w:val="single" w:sz="48" w:space="24" w:color="EE3438"/>
          </w:pgBorders>
          <w:cols w:space="708"/>
          <w:docGrid w:linePitch="360"/>
        </w:sectPr>
      </w:pPr>
      <w:r w:rsidRPr="00854E51">
        <w:rPr>
          <w:rFonts w:cstheme="minorHAnsi"/>
        </w:rPr>
        <w:t>La digitalizzazione completa delle aziende consentirà una gestione più efficiente e trasparente dei dati, migliorando l'esperienza degli utenti e promuovendo un sistema di trasporto pubblico più sostenibile e accessibile.</w:t>
      </w:r>
    </w:p>
    <w:p w14:paraId="7FE030B7" w14:textId="77777777" w:rsidR="00FD2CBB" w:rsidRPr="00AD01C5" w:rsidRDefault="00FD2CBB" w:rsidP="00A84591">
      <w:pPr>
        <w:pStyle w:val="Titolo1"/>
        <w:spacing w:after="360"/>
        <w:ind w:left="431" w:hanging="431"/>
      </w:pPr>
      <w:bookmarkStart w:id="355" w:name="_Toc204328758"/>
      <w:bookmarkStart w:id="356" w:name="_Ref212814202"/>
      <w:bookmarkStart w:id="357" w:name="_Toc213078398"/>
      <w:bookmarkStart w:id="358" w:name="_Ref190356569"/>
      <w:bookmarkStart w:id="359" w:name="_Toc193195790"/>
      <w:bookmarkStart w:id="360" w:name="_Toc2030144843"/>
      <w:bookmarkStart w:id="361" w:name="_Toc197695718"/>
      <w:bookmarkStart w:id="362" w:name="_Toc204616527"/>
      <w:r>
        <w:lastRenderedPageBreak/>
        <w:t>I</w:t>
      </w:r>
      <w:r w:rsidRPr="00AD01C5">
        <w:t>dentificazione dei lotti</w:t>
      </w:r>
      <w:bookmarkEnd w:id="355"/>
      <w:bookmarkEnd w:id="356"/>
      <w:bookmarkEnd w:id="357"/>
    </w:p>
    <w:p w14:paraId="56B9D590" w14:textId="77777777" w:rsidR="00FD2CBB" w:rsidRPr="00AD01C5" w:rsidRDefault="00FD2CBB" w:rsidP="002B3752">
      <w:pPr>
        <w:spacing w:before="120" w:after="0" w:line="240" w:lineRule="auto"/>
        <w:rPr>
          <w:rFonts w:eastAsia="Calibri"/>
        </w:rPr>
      </w:pPr>
      <w:r w:rsidRPr="00AD01C5">
        <w:rPr>
          <w:rFonts w:eastAsia="Calibri"/>
        </w:rPr>
        <w:t>Ai fini dello svolgimento delle procedure di gara, la suddivisione del bacino di mobilità in lotti di servizio è espressamente prevista dall’art. 48 comma 4 del DL 50/2017 che recita</w:t>
      </w:r>
    </w:p>
    <w:p w14:paraId="3242E388" w14:textId="77777777" w:rsidR="00FD2CBB" w:rsidRPr="00AD01C5" w:rsidRDefault="00FD2CBB" w:rsidP="00875E0A">
      <w:pPr>
        <w:pBdr>
          <w:top w:val="single" w:sz="8" w:space="8" w:color="50B4C8"/>
          <w:bottom w:val="single" w:sz="8" w:space="8" w:color="50B4C8"/>
        </w:pBdr>
        <w:spacing w:before="120" w:after="0" w:line="240" w:lineRule="auto"/>
        <w:ind w:left="567" w:right="565"/>
        <w:rPr>
          <w:rFonts w:eastAsia="Times New Roman" w:cs="Calibri"/>
          <w:color w:val="50B4C8"/>
          <w:szCs w:val="20"/>
          <w:shd w:val="clear" w:color="auto" w:fill="FFFFFF"/>
        </w:rPr>
      </w:pPr>
      <w:r w:rsidRPr="00AD01C5">
        <w:rPr>
          <w:rFonts w:eastAsia="Times New Roman" w:cs="Calibri"/>
          <w:color w:val="50B4C8"/>
          <w:szCs w:val="20"/>
          <w:shd w:val="clear" w:color="auto" w:fill="FFFFFF"/>
        </w:rPr>
        <w:t xml:space="preserve">“… </w:t>
      </w:r>
      <w:r w:rsidRPr="00AD01C5">
        <w:rPr>
          <w:rFonts w:eastAsia="Times New Roman" w:cs="Calibri"/>
          <w:i/>
          <w:color w:val="50B4C8"/>
          <w:szCs w:val="20"/>
          <w:shd w:val="clear" w:color="auto" w:fill="FFFFFF"/>
        </w:rPr>
        <w:t>gli enti affidanti, con l'obiettivo di promuovere la più ampia partecipazione alle medesime, articolano i bacini di mobilità in più lotti, oggetto di procedure di gara e di contratti di servizio, tenuto conto delle caratteristiche della domanda e salvo eccezioni motivate da economie di scala proprie di ciascuna modalità e da altre ragioni di efficienza economica</w:t>
      </w:r>
      <w:r w:rsidRPr="00AD01C5">
        <w:rPr>
          <w:rFonts w:eastAsia="Times New Roman" w:cs="Calibri"/>
          <w:color w:val="50B4C8"/>
          <w:szCs w:val="20"/>
          <w:shd w:val="clear" w:color="auto" w:fill="FFFFFF"/>
        </w:rPr>
        <w:t xml:space="preserve"> ... </w:t>
      </w:r>
      <w:r w:rsidRPr="00AD01C5">
        <w:rPr>
          <w:rFonts w:eastAsia="Times New Roman" w:cs="Calibri"/>
          <w:i/>
          <w:color w:val="50B4C8"/>
          <w:szCs w:val="20"/>
          <w:shd w:val="clear" w:color="auto" w:fill="FFFFFF"/>
        </w:rPr>
        <w:t>Tali eccezioni sono disciplinate con delibera dell'Autorità di regolazione dei trasporti,</w:t>
      </w:r>
      <w:r w:rsidRPr="00AD01C5">
        <w:rPr>
          <w:rFonts w:eastAsia="Times New Roman" w:cs="Calibri"/>
          <w:color w:val="50B4C8"/>
          <w:szCs w:val="20"/>
          <w:shd w:val="clear" w:color="auto" w:fill="FFFFFF"/>
        </w:rPr>
        <w:t xml:space="preserve"> …” </w:t>
      </w:r>
    </w:p>
    <w:p w14:paraId="4B1FB9AA" w14:textId="77777777" w:rsidR="00FD2CBB" w:rsidRPr="00AD01C5" w:rsidRDefault="00FD2CBB" w:rsidP="002B3752">
      <w:pPr>
        <w:spacing w:before="120" w:after="0" w:line="240" w:lineRule="auto"/>
        <w:rPr>
          <w:rFonts w:eastAsia="Calibri"/>
        </w:rPr>
      </w:pPr>
      <w:r w:rsidRPr="00AD01C5">
        <w:rPr>
          <w:rFonts w:eastAsia="Calibri"/>
        </w:rPr>
        <w:t>Nell’intento di perseguire gli indirizzi della delibera ART 48/2017, avente ad oggetto “</w:t>
      </w:r>
      <w:r w:rsidRPr="00AD01C5">
        <w:rPr>
          <w:rFonts w:eastAsia="Calibri"/>
          <w:i/>
        </w:rPr>
        <w:t>Atto di regolazione recante la definizione della metodologia per l'individuazione degli ambiti di servizio pubblico e delle modalità più efficienti di finanziamento, ai sensi dell'articolo 37, comma 3, lettera a), del decreto-legge n. 1/2012</w:t>
      </w:r>
      <w:r w:rsidRPr="00AD01C5">
        <w:rPr>
          <w:rFonts w:eastAsia="Calibri"/>
        </w:rPr>
        <w:t>”, sono state utilizzate le seguenti metodologie di analisi per l’individuazione dei lotti all’interno del bacino:</w:t>
      </w:r>
    </w:p>
    <w:p w14:paraId="1B227FC2" w14:textId="316D41DA" w:rsidR="00FD2CBB" w:rsidRPr="00AD01C5" w:rsidRDefault="00FD2CBB" w:rsidP="004B0DBE">
      <w:pPr>
        <w:numPr>
          <w:ilvl w:val="0"/>
          <w:numId w:val="75"/>
        </w:numPr>
        <w:spacing w:before="120" w:after="0" w:line="240" w:lineRule="auto"/>
        <w:rPr>
          <w:rFonts w:eastAsia="Calibri"/>
        </w:rPr>
      </w:pPr>
      <w:r w:rsidRPr="00AD01C5">
        <w:rPr>
          <w:rFonts w:eastAsia="Calibri"/>
        </w:rPr>
        <w:t>ottimizzazione del servizio in gruppi di linee attraverso un applicativo di assegnazione; si è cercato di selezionare localizzazioni ottimali di depositi e di assegnare ogni singola linea ad un singolo deposito, favorendo l’individuazione dei beni strumentali necessari e sufficienti per la gestione del servizio (paragrafo</w:t>
      </w:r>
      <w:r>
        <w:rPr>
          <w:rFonts w:eastAsia="Calibri"/>
        </w:rPr>
        <w:t xml:space="preserve"> </w:t>
      </w:r>
      <w:r>
        <w:rPr>
          <w:rFonts w:eastAsia="Calibri"/>
        </w:rPr>
        <w:fldChar w:fldCharType="begin"/>
      </w:r>
      <w:r>
        <w:rPr>
          <w:rFonts w:eastAsia="Calibri"/>
        </w:rPr>
        <w:instrText xml:space="preserve"> REF _Ref205205681 \r \h </w:instrText>
      </w:r>
      <w:r>
        <w:rPr>
          <w:rFonts w:eastAsia="Calibri"/>
        </w:rPr>
      </w:r>
      <w:r>
        <w:rPr>
          <w:rFonts w:eastAsia="Calibri"/>
        </w:rPr>
        <w:fldChar w:fldCharType="separate"/>
      </w:r>
      <w:r w:rsidR="00073B6D">
        <w:rPr>
          <w:rFonts w:eastAsia="Calibri"/>
        </w:rPr>
        <w:t>7.1</w:t>
      </w:r>
      <w:r>
        <w:rPr>
          <w:rFonts w:eastAsia="Calibri"/>
        </w:rPr>
        <w:fldChar w:fldCharType="end"/>
      </w:r>
      <w:r w:rsidRPr="00AD01C5">
        <w:rPr>
          <w:rFonts w:eastAsia="Calibri"/>
        </w:rPr>
        <w:t>);</w:t>
      </w:r>
    </w:p>
    <w:p w14:paraId="158BF684" w14:textId="33A47EBC" w:rsidR="00FD2CBB" w:rsidRPr="00AD01C5" w:rsidRDefault="00FD2CBB" w:rsidP="004B0DBE">
      <w:pPr>
        <w:numPr>
          <w:ilvl w:val="0"/>
          <w:numId w:val="75"/>
        </w:numPr>
        <w:spacing w:before="120" w:after="0" w:line="240" w:lineRule="auto"/>
        <w:rPr>
          <w:rFonts w:eastAsia="Calibri"/>
        </w:rPr>
      </w:pPr>
      <w:r w:rsidRPr="00AD01C5">
        <w:rPr>
          <w:rFonts w:eastAsia="Calibri"/>
        </w:rPr>
        <w:t>individuazione di unità di rete basate su linee territorialmente contigue aggregate sulla base del criterio di ottimo previsto dal DM 157/2018 (paragrafo</w:t>
      </w:r>
      <w:r w:rsidRPr="00082EE7">
        <w:rPr>
          <w:rFonts w:eastAsia="Calibri"/>
        </w:rPr>
        <w:t xml:space="preserve"> </w:t>
      </w:r>
      <w:r w:rsidR="00473E38">
        <w:rPr>
          <w:rFonts w:eastAsia="Calibri"/>
        </w:rPr>
        <w:fldChar w:fldCharType="begin"/>
      </w:r>
      <w:r w:rsidR="00473E38">
        <w:rPr>
          <w:rFonts w:eastAsia="Calibri"/>
        </w:rPr>
        <w:instrText xml:space="preserve"> REF _Ref212731265 \r \h </w:instrText>
      </w:r>
      <w:r w:rsidR="00473E38">
        <w:rPr>
          <w:rFonts w:eastAsia="Calibri"/>
        </w:rPr>
      </w:r>
      <w:r w:rsidR="00473E38">
        <w:rPr>
          <w:rFonts w:eastAsia="Calibri"/>
        </w:rPr>
        <w:fldChar w:fldCharType="separate"/>
      </w:r>
      <w:r w:rsidR="00073B6D">
        <w:rPr>
          <w:rFonts w:eastAsia="Calibri"/>
        </w:rPr>
        <w:t>7.5</w:t>
      </w:r>
      <w:r w:rsidR="00473E38">
        <w:rPr>
          <w:rFonts w:eastAsia="Calibri"/>
        </w:rPr>
        <w:fldChar w:fldCharType="end"/>
      </w:r>
      <w:r w:rsidRPr="00AD01C5">
        <w:rPr>
          <w:rFonts w:eastAsia="Calibri"/>
        </w:rPr>
        <w:t>);</w:t>
      </w:r>
    </w:p>
    <w:p w14:paraId="357CF2E8" w14:textId="19F89ED9" w:rsidR="00FD2CBB" w:rsidRPr="00EC2D2F" w:rsidRDefault="00FD2CBB" w:rsidP="004B0DBE">
      <w:pPr>
        <w:numPr>
          <w:ilvl w:val="0"/>
          <w:numId w:val="75"/>
        </w:numPr>
        <w:spacing w:before="120" w:after="0" w:line="240" w:lineRule="auto"/>
        <w:rPr>
          <w:rFonts w:eastAsia="Calibri"/>
        </w:rPr>
      </w:pPr>
      <w:r w:rsidRPr="00EC2D2F">
        <w:rPr>
          <w:rFonts w:eastAsia="Calibri"/>
        </w:rPr>
        <w:t xml:space="preserve">valutazione della possibilità di aggregazione delle unità di rete in lotti (paragrafo </w:t>
      </w:r>
      <w:r w:rsidRPr="00EC2D2F">
        <w:rPr>
          <w:rFonts w:eastAsia="Calibri"/>
        </w:rPr>
        <w:fldChar w:fldCharType="begin"/>
      </w:r>
      <w:r w:rsidRPr="00EC2D2F">
        <w:rPr>
          <w:rFonts w:eastAsia="Calibri"/>
        </w:rPr>
        <w:instrText xml:space="preserve"> REF _Ref204090267 \r \h  \* MERGEFORMAT </w:instrText>
      </w:r>
      <w:r w:rsidRPr="00EC2D2F">
        <w:rPr>
          <w:rFonts w:eastAsia="Calibri"/>
        </w:rPr>
      </w:r>
      <w:r w:rsidRPr="00EC2D2F">
        <w:rPr>
          <w:rFonts w:eastAsia="Calibri"/>
        </w:rPr>
        <w:fldChar w:fldCharType="separate"/>
      </w:r>
      <w:r w:rsidR="00073B6D">
        <w:rPr>
          <w:rFonts w:eastAsia="Calibri"/>
        </w:rPr>
        <w:t>7.5.1</w:t>
      </w:r>
      <w:r w:rsidRPr="00EC2D2F">
        <w:rPr>
          <w:rFonts w:eastAsia="Calibri"/>
        </w:rPr>
        <w:fldChar w:fldCharType="end"/>
      </w:r>
      <w:r w:rsidRPr="00EC2D2F">
        <w:rPr>
          <w:rFonts w:eastAsia="Calibri"/>
        </w:rPr>
        <w:t xml:space="preserve">, questa valutazione è stata basata sulla congruità dell’analisi di auto-contenimento della domanda, utilizzando i dati dell’IMQ 2022 già descritti nel paragrafo </w:t>
      </w:r>
      <w:r w:rsidR="00366025">
        <w:rPr>
          <w:rFonts w:eastAsia="Calibri"/>
        </w:rPr>
        <w:fldChar w:fldCharType="begin"/>
      </w:r>
      <w:r w:rsidR="00366025">
        <w:rPr>
          <w:rFonts w:eastAsia="Calibri"/>
        </w:rPr>
        <w:instrText xml:space="preserve"> REF _Ref191387849 \r \h </w:instrText>
      </w:r>
      <w:r w:rsidR="00366025">
        <w:rPr>
          <w:rFonts w:eastAsia="Calibri"/>
        </w:rPr>
      </w:r>
      <w:r w:rsidR="00366025">
        <w:rPr>
          <w:rFonts w:eastAsia="Calibri"/>
        </w:rPr>
        <w:fldChar w:fldCharType="separate"/>
      </w:r>
      <w:r w:rsidR="00073B6D">
        <w:rPr>
          <w:rFonts w:eastAsia="Calibri"/>
        </w:rPr>
        <w:t>3.1</w:t>
      </w:r>
      <w:r w:rsidR="00366025">
        <w:rPr>
          <w:rFonts w:eastAsia="Calibri"/>
        </w:rPr>
        <w:fldChar w:fldCharType="end"/>
      </w:r>
      <w:r w:rsidRPr="00EC2D2F">
        <w:rPr>
          <w:rFonts w:eastAsia="Calibri"/>
        </w:rPr>
        <w:t>.</w:t>
      </w:r>
    </w:p>
    <w:p w14:paraId="157F76AA" w14:textId="77777777" w:rsidR="00FD2CBB" w:rsidRPr="00AD01C5" w:rsidRDefault="00FD2CBB" w:rsidP="002B3752">
      <w:pPr>
        <w:spacing w:before="120" w:after="0" w:line="240" w:lineRule="auto"/>
        <w:rPr>
          <w:rFonts w:eastAsia="Calibri"/>
        </w:rPr>
      </w:pPr>
      <w:r w:rsidRPr="00AD01C5">
        <w:rPr>
          <w:rFonts w:eastAsia="Calibri"/>
        </w:rPr>
        <w:t>Il percorso è stato finalizzato a:</w:t>
      </w:r>
    </w:p>
    <w:p w14:paraId="55F81D11" w14:textId="06B82B75" w:rsidR="00FD2CBB" w:rsidRPr="00AD01C5" w:rsidRDefault="00FD2CBB" w:rsidP="004B0DBE">
      <w:pPr>
        <w:numPr>
          <w:ilvl w:val="0"/>
          <w:numId w:val="76"/>
        </w:numPr>
        <w:spacing w:before="120" w:after="0" w:line="240" w:lineRule="auto"/>
        <w:rPr>
          <w:rFonts w:eastAsia="Calibri"/>
        </w:rPr>
      </w:pPr>
      <w:r w:rsidRPr="00AD01C5">
        <w:rPr>
          <w:rFonts w:eastAsia="Calibri"/>
        </w:rPr>
        <w:t xml:space="preserve">Individuare una dimensione minima ottimale con l'obiettivo di garantire efficienza gestionale, economie di scala e densità, oltre a un’adeguata contendibilità. Questo processo è stato dettagliato nel paragrafo </w:t>
      </w:r>
      <w:r w:rsidR="00A55287">
        <w:rPr>
          <w:rFonts w:eastAsia="Calibri"/>
        </w:rPr>
        <w:fldChar w:fldCharType="begin"/>
      </w:r>
      <w:r w:rsidR="00A55287">
        <w:rPr>
          <w:rFonts w:eastAsia="Calibri"/>
        </w:rPr>
        <w:instrText xml:space="preserve"> REF _Ref212814209 \r \h </w:instrText>
      </w:r>
      <w:r w:rsidR="00A55287">
        <w:rPr>
          <w:rFonts w:eastAsia="Calibri"/>
        </w:rPr>
      </w:r>
      <w:r w:rsidR="00A55287">
        <w:rPr>
          <w:rFonts w:eastAsia="Calibri"/>
        </w:rPr>
        <w:fldChar w:fldCharType="separate"/>
      </w:r>
      <w:r w:rsidR="00073B6D">
        <w:rPr>
          <w:rFonts w:eastAsia="Calibri"/>
        </w:rPr>
        <w:t>7.1</w:t>
      </w:r>
      <w:r w:rsidR="00A55287">
        <w:rPr>
          <w:rFonts w:eastAsia="Calibri"/>
        </w:rPr>
        <w:fldChar w:fldCharType="end"/>
      </w:r>
      <w:r w:rsidRPr="00AD01C5">
        <w:rPr>
          <w:rFonts w:eastAsia="Calibri"/>
        </w:rPr>
        <w:t>, dove si analizzano i criteri per determinare la dimensione ottimale dei lotti, considerando variabili come la dimensione dei fattori della produzione e la distribuzione geografica;</w:t>
      </w:r>
    </w:p>
    <w:p w14:paraId="2A7FEFB1" w14:textId="4531A1E4" w:rsidR="00FD2CBB" w:rsidRPr="00AD01C5" w:rsidRDefault="00FD2CBB" w:rsidP="004B0DBE">
      <w:pPr>
        <w:numPr>
          <w:ilvl w:val="0"/>
          <w:numId w:val="76"/>
        </w:numPr>
        <w:spacing w:before="120" w:after="0" w:line="240" w:lineRule="auto"/>
        <w:rPr>
          <w:rFonts w:eastAsia="Calibri"/>
        </w:rPr>
      </w:pPr>
      <w:r w:rsidRPr="00AD01C5">
        <w:rPr>
          <w:rFonts w:eastAsia="Calibri"/>
        </w:rPr>
        <w:t xml:space="preserve">garantire la congruenza con le manifestazioni di interesse acquisite, cercando di assicurare che le dimensioni e la configurazione dei lotti siano in linea con le manifestazioni di interesse raccolte sia attraverso il sistema di qualificazione dell’Agenzia, sia tramite le consultazioni dedicate agli operatori economici del Trasporto Pubblico Locale (TPL). Il </w:t>
      </w:r>
      <w:r w:rsidRPr="008B1361">
        <w:rPr>
          <w:rFonts w:eastAsia="Calibri"/>
        </w:rPr>
        <w:t xml:space="preserve">paragrafo </w:t>
      </w:r>
      <w:r w:rsidR="008B2F2F" w:rsidRPr="008B1361">
        <w:rPr>
          <w:rFonts w:eastAsia="Calibri"/>
        </w:rPr>
        <w:fldChar w:fldCharType="begin"/>
      </w:r>
      <w:r w:rsidR="008B2F2F" w:rsidRPr="008B1361">
        <w:rPr>
          <w:rFonts w:eastAsia="Calibri"/>
        </w:rPr>
        <w:instrText xml:space="preserve"> REF _Ref212814015 \r \h </w:instrText>
      </w:r>
      <w:r w:rsidR="008B1361">
        <w:rPr>
          <w:rFonts w:eastAsia="Calibri"/>
        </w:rPr>
        <w:instrText xml:space="preserve"> \* MERGEFORMAT </w:instrText>
      </w:r>
      <w:r w:rsidR="008B2F2F" w:rsidRPr="008B1361">
        <w:rPr>
          <w:rFonts w:eastAsia="Calibri"/>
        </w:rPr>
      </w:r>
      <w:r w:rsidR="008B2F2F" w:rsidRPr="008B1361">
        <w:rPr>
          <w:rFonts w:eastAsia="Calibri"/>
        </w:rPr>
        <w:fldChar w:fldCharType="separate"/>
      </w:r>
      <w:r w:rsidR="00073B6D">
        <w:rPr>
          <w:rFonts w:eastAsia="Calibri"/>
        </w:rPr>
        <w:t>7.4.1</w:t>
      </w:r>
      <w:r w:rsidR="008B2F2F" w:rsidRPr="008B1361">
        <w:rPr>
          <w:rFonts w:eastAsia="Calibri"/>
        </w:rPr>
        <w:fldChar w:fldCharType="end"/>
      </w:r>
      <w:r w:rsidRPr="00AD01C5">
        <w:rPr>
          <w:rFonts w:eastAsia="Calibri"/>
        </w:rPr>
        <w:t xml:space="preserve"> raccoglie </w:t>
      </w:r>
      <w:r w:rsidRPr="008B1361">
        <w:rPr>
          <w:rFonts w:eastAsia="Calibri"/>
        </w:rPr>
        <w:t>e analizza queste manifestazioni di interesse, includendo criteri di valutazione e selezione;</w:t>
      </w:r>
    </w:p>
    <w:p w14:paraId="091B1CF7" w14:textId="0BC718E2" w:rsidR="00FD2CBB" w:rsidRPr="00AD01C5" w:rsidRDefault="00FD2CBB" w:rsidP="004B0DBE">
      <w:pPr>
        <w:numPr>
          <w:ilvl w:val="0"/>
          <w:numId w:val="76"/>
        </w:numPr>
        <w:spacing w:before="120" w:after="0" w:line="240" w:lineRule="auto"/>
        <w:rPr>
          <w:rFonts w:eastAsia="Calibri"/>
        </w:rPr>
      </w:pPr>
      <w:r w:rsidRPr="00AD01C5">
        <w:rPr>
          <w:rFonts w:eastAsia="Calibri"/>
        </w:rPr>
        <w:t xml:space="preserve">applicare il costo standard per individuare la soglia ottimale dei costi di produzione, si è applicato il costo standard previsto dal D.M. 157/2018 in coerenza con l’offerta prevista per ciascun lotto. Il paragrafo </w:t>
      </w:r>
      <w:r w:rsidR="00AA1061">
        <w:rPr>
          <w:rFonts w:eastAsia="Calibri"/>
        </w:rPr>
        <w:fldChar w:fldCharType="begin"/>
      </w:r>
      <w:r w:rsidR="00AA1061">
        <w:rPr>
          <w:rFonts w:eastAsia="Calibri"/>
        </w:rPr>
        <w:instrText xml:space="preserve"> REF _Ref192237806 \r \h </w:instrText>
      </w:r>
      <w:r w:rsidR="00AA1061">
        <w:rPr>
          <w:rFonts w:eastAsia="Calibri"/>
        </w:rPr>
      </w:r>
      <w:r w:rsidR="00AA1061">
        <w:rPr>
          <w:rFonts w:eastAsia="Calibri"/>
        </w:rPr>
        <w:fldChar w:fldCharType="separate"/>
      </w:r>
      <w:r w:rsidR="00073B6D">
        <w:rPr>
          <w:rFonts w:eastAsia="Calibri"/>
        </w:rPr>
        <w:t>7.3</w:t>
      </w:r>
      <w:r w:rsidR="00AA1061">
        <w:rPr>
          <w:rFonts w:eastAsia="Calibri"/>
        </w:rPr>
        <w:fldChar w:fldCharType="end"/>
      </w:r>
      <w:r w:rsidRPr="00AD01C5">
        <w:rPr>
          <w:rFonts w:eastAsia="Calibri"/>
        </w:rPr>
        <w:t xml:space="preserve"> fornisce una descrizione dettagliata della metodologia di calcolo del costo standard, includendo le variabili economiche e operative considerate, nonché le modalità di applicazione per garantire la sostenibilità finanziaria dei lotti.</w:t>
      </w:r>
    </w:p>
    <w:p w14:paraId="5D1A78BC" w14:textId="77777777" w:rsidR="007110EE" w:rsidRDefault="00FD2CBB" w:rsidP="002B3752">
      <w:pPr>
        <w:spacing w:before="120" w:after="0" w:line="240" w:lineRule="auto"/>
        <w:rPr>
          <w:rFonts w:eastAsia="Calibri"/>
        </w:rPr>
      </w:pPr>
      <w:r w:rsidRPr="00AD01C5">
        <w:rPr>
          <w:rFonts w:eastAsia="Calibri"/>
        </w:rPr>
        <w:lastRenderedPageBreak/>
        <w:t>Inoltre, si è tenuto conto degli esiti delle consultazioni e dei questionari diffusi specificamente sul tema dei lotti. Questi strumenti hanno fornito informazioni preziose sulle esigenze e le aspettative degli operatori del settore</w:t>
      </w:r>
      <w:r>
        <w:rPr>
          <w:rFonts w:eastAsia="Calibri"/>
        </w:rPr>
        <w:t xml:space="preserve"> e dei territori</w:t>
      </w:r>
      <w:r w:rsidRPr="00AD01C5">
        <w:rPr>
          <w:rFonts w:eastAsia="Calibri"/>
        </w:rPr>
        <w:t>, permettendo di affinare ulteriormente la configurazione dei lotti.</w:t>
      </w:r>
    </w:p>
    <w:p w14:paraId="7032E407" w14:textId="59997752" w:rsidR="00FD2CBB" w:rsidRPr="00AD01C5" w:rsidRDefault="00FD2CBB" w:rsidP="002B3752">
      <w:pPr>
        <w:spacing w:before="120" w:after="0" w:line="240" w:lineRule="auto"/>
        <w:rPr>
          <w:rFonts w:eastAsia="Calibri"/>
        </w:rPr>
      </w:pPr>
      <w:r w:rsidRPr="00AD01C5">
        <w:rPr>
          <w:rFonts w:eastAsia="Calibri"/>
        </w:rPr>
        <w:t>Le indicazioni pervenute dalla Regione Piemonte</w:t>
      </w:r>
      <w:r w:rsidR="00FE182E" w:rsidRPr="003F2925">
        <w:rPr>
          <w:rStyle w:val="Rimandonotaapidipagina"/>
          <w:rFonts w:eastAsia="Calibri"/>
        </w:rPr>
        <w:footnoteReference w:id="36"/>
      </w:r>
      <w:r w:rsidRPr="00AD01C5">
        <w:rPr>
          <w:rFonts w:eastAsia="Calibri"/>
        </w:rPr>
        <w:t xml:space="preserve"> sono state integrate nel processo decisionale, assicurando che le soluzioni proposte siano in linea con le politiche regionali e le esigenze locali.</w:t>
      </w:r>
    </w:p>
    <w:p w14:paraId="6B62D880" w14:textId="77777777" w:rsidR="00FD2CBB" w:rsidRPr="00AD01C5" w:rsidRDefault="00FD2CBB" w:rsidP="00A84591">
      <w:pPr>
        <w:pStyle w:val="Titolo2"/>
        <w:spacing w:after="240"/>
        <w:ind w:left="567" w:hanging="578"/>
      </w:pPr>
      <w:bookmarkStart w:id="363" w:name="_Toc204328759"/>
      <w:bookmarkStart w:id="364" w:name="_Ref205205681"/>
      <w:bookmarkStart w:id="365" w:name="_Ref212814209"/>
      <w:bookmarkStart w:id="366" w:name="_Toc213078399"/>
      <w:r w:rsidRPr="00AD01C5">
        <w:t>Valutazioni di natura trasportistica per la suddivisione dei lotti</w:t>
      </w:r>
      <w:bookmarkEnd w:id="363"/>
      <w:bookmarkEnd w:id="364"/>
      <w:bookmarkEnd w:id="365"/>
      <w:bookmarkEnd w:id="366"/>
      <w:r w:rsidRPr="00AD01C5">
        <w:t xml:space="preserve"> </w:t>
      </w:r>
    </w:p>
    <w:p w14:paraId="4A189F5C" w14:textId="79ECE646" w:rsidR="00FD2CBB" w:rsidRPr="00AD01C5" w:rsidRDefault="00FD2CBB" w:rsidP="00FD2CBB">
      <w:pPr>
        <w:spacing w:before="120" w:after="0" w:line="240" w:lineRule="auto"/>
        <w:rPr>
          <w:rFonts w:eastAsia="Calibri"/>
        </w:rPr>
      </w:pPr>
      <w:r w:rsidRPr="00AD01C5">
        <w:rPr>
          <w:rFonts w:eastAsia="Calibri"/>
        </w:rPr>
        <w:t xml:space="preserve">L’attuale organizzazione dei servizi di trasporto pubblico locale (TPL) nel bacino presenta una </w:t>
      </w:r>
      <w:r w:rsidRPr="00454DF4">
        <w:rPr>
          <w:rFonts w:eastAsia="Calibri"/>
        </w:rPr>
        <w:t>significativa frammentazione operativa. Questa è caratterizzata dall'impiego di un numero considerevole di depositi</w:t>
      </w:r>
      <w:r w:rsidRPr="00112550">
        <w:rPr>
          <w:rFonts w:eastAsia="Calibri"/>
        </w:rPr>
        <w:t xml:space="preserve">, pari a 51, l’utilizzo </w:t>
      </w:r>
      <w:r w:rsidRPr="004F60D1">
        <w:rPr>
          <w:rFonts w:eastAsia="Calibri"/>
        </w:rPr>
        <w:t>di 481 mezzi (MIV)</w:t>
      </w:r>
      <w:r w:rsidRPr="004F60D1">
        <w:rPr>
          <w:rFonts w:eastAsia="Calibri"/>
          <w:vertAlign w:val="superscript"/>
        </w:rPr>
        <w:footnoteReference w:id="37"/>
      </w:r>
      <w:r w:rsidRPr="004F60D1">
        <w:rPr>
          <w:rFonts w:eastAsia="Calibri"/>
        </w:rPr>
        <w:t xml:space="preserve"> </w:t>
      </w:r>
      <w:r w:rsidRPr="00EE77B5">
        <w:rPr>
          <w:rFonts w:eastAsia="Calibri"/>
        </w:rPr>
        <w:t>e dalla gestione delle linee da parte di 2</w:t>
      </w:r>
      <w:r w:rsidR="00F11A9C">
        <w:rPr>
          <w:rFonts w:eastAsia="Calibri"/>
        </w:rPr>
        <w:t>4</w:t>
      </w:r>
      <w:r>
        <w:rPr>
          <w:rFonts w:eastAsia="Calibri"/>
        </w:rPr>
        <w:t xml:space="preserve"> </w:t>
      </w:r>
      <w:r w:rsidRPr="00EE77B5">
        <w:rPr>
          <w:rFonts w:eastAsia="Calibri"/>
        </w:rPr>
        <w:t>imprese diverse.</w:t>
      </w:r>
      <w:r w:rsidRPr="00AD01C5">
        <w:rPr>
          <w:rFonts w:eastAsia="Calibri"/>
        </w:rPr>
        <w:t xml:space="preserve"> Tale configurazione è il risultato di una stratificazione di eventi che ha influenzato la storia aziendale di ciascuna impresa; ogni azienda ha sviluppato la propria efficienza organizzativa, efficacia ed economicità secondo parametri individuali.</w:t>
      </w:r>
    </w:p>
    <w:p w14:paraId="2DA665D0" w14:textId="77777777" w:rsidR="00FD2CBB" w:rsidRPr="00AD01C5" w:rsidRDefault="00FD2CBB" w:rsidP="00FD2CBB">
      <w:pPr>
        <w:spacing w:before="120" w:after="0" w:line="240" w:lineRule="auto"/>
        <w:rPr>
          <w:rFonts w:eastAsia="Calibri"/>
        </w:rPr>
      </w:pPr>
      <w:r w:rsidRPr="00AD01C5">
        <w:rPr>
          <w:rFonts w:eastAsia="Calibri"/>
        </w:rPr>
        <w:t>Questa situazione merita un'analisi approfondita sotto due profili principali:</w:t>
      </w:r>
    </w:p>
    <w:p w14:paraId="639CAAC9" w14:textId="77777777" w:rsidR="00FD2CBB" w:rsidRPr="00AD01C5" w:rsidRDefault="00FD2CBB" w:rsidP="004B0DBE">
      <w:pPr>
        <w:numPr>
          <w:ilvl w:val="0"/>
          <w:numId w:val="77"/>
        </w:numPr>
        <w:spacing w:before="120" w:after="0" w:line="240" w:lineRule="auto"/>
        <w:rPr>
          <w:rFonts w:eastAsia="Calibri"/>
        </w:rPr>
      </w:pPr>
      <w:r w:rsidRPr="00AD01C5">
        <w:rPr>
          <w:rFonts w:eastAsia="Calibri"/>
        </w:rPr>
        <w:t>distribuzione delle linee su più depositi: è necessario esaminare come l'elevata distribuzione delle linee su numerosi depositi influisca sull'efficienza operativa complessiva e sugli aspetti organizzativi complessivi;</w:t>
      </w:r>
    </w:p>
    <w:p w14:paraId="0C50D324" w14:textId="77777777" w:rsidR="00FD2CBB" w:rsidRPr="00AD01C5" w:rsidRDefault="00FD2CBB" w:rsidP="004B0DBE">
      <w:pPr>
        <w:numPr>
          <w:ilvl w:val="0"/>
          <w:numId w:val="77"/>
        </w:numPr>
        <w:spacing w:before="120" w:after="0" w:line="240" w:lineRule="auto"/>
        <w:rPr>
          <w:rFonts w:eastAsia="Calibri"/>
        </w:rPr>
      </w:pPr>
      <w:r w:rsidRPr="00AD01C5">
        <w:rPr>
          <w:rFonts w:eastAsia="Calibri"/>
        </w:rPr>
        <w:t>efficienza organizzativa: occorre valutare l'efficienza organizzativa del servizio indipendentemente dalle diverse imprese, con l'obiettivo di ottimizzare il servizio di TPL oggetto di affidamento.</w:t>
      </w:r>
    </w:p>
    <w:p w14:paraId="13C0B1B2" w14:textId="77777777" w:rsidR="00FD2CBB" w:rsidRPr="00AD01C5" w:rsidRDefault="00FD2CBB" w:rsidP="00FD2CBB">
      <w:pPr>
        <w:spacing w:before="120" w:after="0" w:line="240" w:lineRule="auto"/>
        <w:rPr>
          <w:rFonts w:eastAsia="Calibri"/>
        </w:rPr>
      </w:pPr>
      <w:r w:rsidRPr="00AD01C5">
        <w:rPr>
          <w:rFonts w:eastAsia="Calibri"/>
        </w:rPr>
        <w:t>L'analisi dovrebbe mirare a determinare una stima efficiente dei costi operativi e gestionali complessivi, al fine di migliorare la gestione e l'efficacia del servizio di trasporto pubblico locale.</w:t>
      </w:r>
    </w:p>
    <w:p w14:paraId="626DB42E" w14:textId="77777777" w:rsidR="00FD2CBB" w:rsidRPr="00AD01C5" w:rsidRDefault="00FD2CBB" w:rsidP="00FD2CBB">
      <w:pPr>
        <w:spacing w:before="120" w:after="0" w:line="240" w:lineRule="auto"/>
        <w:rPr>
          <w:rFonts w:eastAsia="Calibri"/>
        </w:rPr>
      </w:pPr>
      <w:r w:rsidRPr="00AD01C5">
        <w:rPr>
          <w:rFonts w:eastAsia="Calibri"/>
        </w:rPr>
        <w:t>Si è ritenuto opportuno valutare questa frammentazione con l'obiettivo di razionalizzare e ottimizzare l’intera organizzazione dei servizi, immaginando una gestione unificata che favorisca:</w:t>
      </w:r>
    </w:p>
    <w:p w14:paraId="25A64398" w14:textId="77777777" w:rsidR="00FD2CBB" w:rsidRPr="00AD01C5" w:rsidRDefault="00FD2CBB" w:rsidP="004B0DBE">
      <w:pPr>
        <w:numPr>
          <w:ilvl w:val="0"/>
          <w:numId w:val="78"/>
        </w:numPr>
        <w:spacing w:before="120" w:after="0" w:line="240" w:lineRule="auto"/>
        <w:rPr>
          <w:rFonts w:eastAsia="Calibri"/>
        </w:rPr>
      </w:pPr>
      <w:r w:rsidRPr="00AD01C5">
        <w:rPr>
          <w:rFonts w:eastAsia="Calibri"/>
        </w:rPr>
        <w:t>l’ottimizzazione dei fattori della produzione (come l’uso delle risorse veicolari e infrastrutturali);</w:t>
      </w:r>
    </w:p>
    <w:p w14:paraId="767BF3DC" w14:textId="77777777" w:rsidR="00FD2CBB" w:rsidRPr="00AD01C5" w:rsidRDefault="00FD2CBB" w:rsidP="004B0DBE">
      <w:pPr>
        <w:numPr>
          <w:ilvl w:val="0"/>
          <w:numId w:val="78"/>
        </w:numPr>
        <w:spacing w:before="120" w:after="0" w:line="240" w:lineRule="auto"/>
        <w:rPr>
          <w:rFonts w:eastAsia="Calibri"/>
        </w:rPr>
      </w:pPr>
      <w:r w:rsidRPr="00AD01C5">
        <w:rPr>
          <w:rFonts w:eastAsia="Calibri"/>
        </w:rPr>
        <w:t>l’incremento dell’efficienza organizzativa e produttiva strettamente legata alla produzione del servizio di TPL;</w:t>
      </w:r>
    </w:p>
    <w:p w14:paraId="0C47305E" w14:textId="77777777" w:rsidR="00FD2CBB" w:rsidRPr="00AD01C5" w:rsidRDefault="00FD2CBB" w:rsidP="004B0DBE">
      <w:pPr>
        <w:numPr>
          <w:ilvl w:val="0"/>
          <w:numId w:val="78"/>
        </w:numPr>
        <w:spacing w:before="120" w:after="0" w:line="240" w:lineRule="auto"/>
        <w:rPr>
          <w:rFonts w:eastAsia="Calibri"/>
        </w:rPr>
      </w:pPr>
      <w:r w:rsidRPr="00AD01C5">
        <w:rPr>
          <w:rFonts w:eastAsia="Calibri"/>
        </w:rPr>
        <w:t>la riduzione dei costi connessi alla gestione delle strutture di supporto all’erogazione dei servizi.</w:t>
      </w:r>
    </w:p>
    <w:p w14:paraId="221739ED" w14:textId="77777777" w:rsidR="00FD2CBB" w:rsidRPr="00AD01C5" w:rsidRDefault="00FD2CBB" w:rsidP="00FD2CBB">
      <w:pPr>
        <w:spacing w:before="120" w:after="0" w:line="240" w:lineRule="auto"/>
        <w:rPr>
          <w:rFonts w:eastAsia="Calibri"/>
        </w:rPr>
      </w:pPr>
      <w:r w:rsidRPr="00AD01C5">
        <w:rPr>
          <w:rFonts w:eastAsia="Calibri"/>
        </w:rPr>
        <w:t xml:space="preserve">Le analisi sono state condotte sulla base dell’attuale programma di esercizio. Tuttavia, si precisa che il lavoro </w:t>
      </w:r>
      <w:r w:rsidRPr="00AD01C5">
        <w:rPr>
          <w:rFonts w:eastAsia="Calibri"/>
          <w:u w:val="single"/>
        </w:rPr>
        <w:t>non ha avuto</w:t>
      </w:r>
      <w:r w:rsidRPr="00AD01C5">
        <w:rPr>
          <w:rFonts w:eastAsia="Calibri"/>
        </w:rPr>
        <w:t xml:space="preserve"> lo scopo di ottimizzare tutti i fattori della produzione, poiché tale attività sarà demandata alle imprese partecipanti alla successiva procedura di gara. Le aziende concorrenti saranno responsabili della definizione di proposte che rispettino i vincoli economici, normativi e di domanda, puntando ad ottimizzare tutti fattori della produzione quali ad esempio la riduzione dei chilometri percorsi a vuoto (anche attraverso l’individuazione di residenze non infrastrutturate) ed a massimizzare l'efficacia operativa.</w:t>
      </w:r>
    </w:p>
    <w:p w14:paraId="70160047" w14:textId="77777777" w:rsidR="00FD2CBB" w:rsidRPr="00AD01C5" w:rsidRDefault="00FD2CBB" w:rsidP="00FD2CBB">
      <w:pPr>
        <w:spacing w:before="120" w:after="0" w:line="240" w:lineRule="auto"/>
        <w:rPr>
          <w:rFonts w:eastAsia="Calibri"/>
        </w:rPr>
      </w:pPr>
      <w:r w:rsidRPr="00AD01C5">
        <w:rPr>
          <w:rFonts w:eastAsia="Calibri"/>
        </w:rPr>
        <w:t>Le attività di analisi si sono concentrate su:</w:t>
      </w:r>
    </w:p>
    <w:p w14:paraId="17159310" w14:textId="77777777" w:rsidR="00FD2CBB" w:rsidRPr="00AD01C5" w:rsidRDefault="00FD2CBB" w:rsidP="004B0DBE">
      <w:pPr>
        <w:numPr>
          <w:ilvl w:val="0"/>
          <w:numId w:val="69"/>
        </w:numPr>
        <w:spacing w:before="120" w:after="0" w:line="240" w:lineRule="auto"/>
        <w:rPr>
          <w:rFonts w:eastAsia="Calibri"/>
        </w:rPr>
      </w:pPr>
      <w:r w:rsidRPr="00AD01C5">
        <w:rPr>
          <w:rFonts w:eastAsia="Calibri"/>
        </w:rPr>
        <w:lastRenderedPageBreak/>
        <w:t>Individuazione di unità di rete funzionali, procedendo all’aggregazione delle attuali linee del servizio in unità di rete per deposito che abbiano una dimensione media di circa 30 veicoli, garantendo una configurazione più razionale e adeguata del servizio.</w:t>
      </w:r>
    </w:p>
    <w:p w14:paraId="31B79C9D" w14:textId="77777777" w:rsidR="00FD2CBB" w:rsidRPr="00AD01C5" w:rsidRDefault="00FD2CBB" w:rsidP="004B0DBE">
      <w:pPr>
        <w:numPr>
          <w:ilvl w:val="0"/>
          <w:numId w:val="69"/>
        </w:numPr>
        <w:spacing w:before="120" w:after="0" w:line="240" w:lineRule="auto"/>
        <w:rPr>
          <w:rFonts w:eastAsia="Calibri"/>
        </w:rPr>
      </w:pPr>
      <w:r w:rsidRPr="00AD01C5">
        <w:rPr>
          <w:rFonts w:eastAsia="Calibri"/>
        </w:rPr>
        <w:t>Ottimizzazione dell’assegnazione delle linee, effettuando una ridefinizione dell’assegnazione delle linee ai depositi, basata sull’individuazione e localizzazione funzionale di un numero ridotto e strategico di depositi, destinati a gestire le linee in modo univoco. Questa assegnazione ha l’obiettivo di:</w:t>
      </w:r>
    </w:p>
    <w:p w14:paraId="6BFFF7AB" w14:textId="77777777" w:rsidR="00FD2CBB" w:rsidRPr="00AD01C5" w:rsidRDefault="00FD2CBB" w:rsidP="004B0DBE">
      <w:pPr>
        <w:numPr>
          <w:ilvl w:val="0"/>
          <w:numId w:val="79"/>
        </w:numPr>
        <w:spacing w:before="120" w:after="0" w:line="240" w:lineRule="auto"/>
        <w:rPr>
          <w:rFonts w:eastAsia="Calibri"/>
        </w:rPr>
      </w:pPr>
      <w:r w:rsidRPr="00AD01C5">
        <w:rPr>
          <w:rFonts w:eastAsia="Calibri"/>
        </w:rPr>
        <w:t>minimizzare la frammentazione attuale,</w:t>
      </w:r>
    </w:p>
    <w:p w14:paraId="55CD43A5" w14:textId="77777777" w:rsidR="00FD2CBB" w:rsidRPr="00AD01C5" w:rsidRDefault="00FD2CBB" w:rsidP="004B0DBE">
      <w:pPr>
        <w:numPr>
          <w:ilvl w:val="0"/>
          <w:numId w:val="79"/>
        </w:numPr>
        <w:spacing w:before="120" w:after="0" w:line="240" w:lineRule="auto"/>
        <w:rPr>
          <w:rFonts w:eastAsia="Calibri"/>
        </w:rPr>
      </w:pPr>
      <w:r w:rsidRPr="00AD01C5">
        <w:rPr>
          <w:rFonts w:eastAsia="Calibri"/>
        </w:rPr>
        <w:t>ridurre i costi gestionali associati alle infrastrutture,</w:t>
      </w:r>
    </w:p>
    <w:p w14:paraId="3EA8F9C4" w14:textId="77777777" w:rsidR="00FD2CBB" w:rsidRPr="00AD01C5" w:rsidRDefault="00FD2CBB" w:rsidP="004B0DBE">
      <w:pPr>
        <w:numPr>
          <w:ilvl w:val="0"/>
          <w:numId w:val="79"/>
        </w:numPr>
        <w:spacing w:before="120" w:after="0" w:line="240" w:lineRule="auto"/>
        <w:rPr>
          <w:rFonts w:eastAsia="Calibri"/>
        </w:rPr>
      </w:pPr>
      <w:r w:rsidRPr="00AD01C5">
        <w:rPr>
          <w:rFonts w:eastAsia="Calibri"/>
        </w:rPr>
        <w:t>migliorare l’efficienza complessiva del sistema.</w:t>
      </w:r>
    </w:p>
    <w:p w14:paraId="7382B276" w14:textId="77777777" w:rsidR="00FD2CBB" w:rsidRPr="00AD01C5" w:rsidRDefault="00FD2CBB" w:rsidP="004B0DBE">
      <w:pPr>
        <w:numPr>
          <w:ilvl w:val="0"/>
          <w:numId w:val="69"/>
        </w:numPr>
        <w:spacing w:before="120" w:after="0" w:line="240" w:lineRule="auto"/>
        <w:rPr>
          <w:rFonts w:eastAsia="Calibri"/>
        </w:rPr>
      </w:pPr>
      <w:r w:rsidRPr="00AD01C5">
        <w:rPr>
          <w:rFonts w:eastAsia="Calibri"/>
        </w:rPr>
        <w:t xml:space="preserve">Supporto alla suddivisione in lotti, infatti la relazione diretta tra linea e deposito così ottenuta costituisce un elemento fondamentale per la suddivisione in lotti funzionali dell’intero servizio nel Bacino </w:t>
      </w:r>
      <w:r>
        <w:rPr>
          <w:rFonts w:eastAsia="Calibri"/>
        </w:rPr>
        <w:t>Metropolitano</w:t>
      </w:r>
      <w:r w:rsidRPr="00AD01C5">
        <w:rPr>
          <w:rFonts w:eastAsia="Calibri"/>
        </w:rPr>
        <w:t>. Tale suddivisione è intesa a favorire una gestione più razionale e a incentivare una competizione equa tra le imprese nel contesto della procedura di gara.</w:t>
      </w:r>
    </w:p>
    <w:p w14:paraId="78054609" w14:textId="77777777" w:rsidR="00FD2CBB" w:rsidRPr="00AD01C5" w:rsidRDefault="00FD2CBB" w:rsidP="009B4EF8">
      <w:pPr>
        <w:spacing w:before="120" w:after="0" w:line="240" w:lineRule="auto"/>
        <w:rPr>
          <w:rFonts w:eastAsia="Calibri"/>
        </w:rPr>
      </w:pPr>
      <w:r w:rsidRPr="00AD01C5">
        <w:rPr>
          <w:rFonts w:eastAsia="Calibri"/>
        </w:rPr>
        <w:t xml:space="preserve">Il primo passo di ottimizzazione, centrato sull’assegnazione delle linee ai depositi, fornisce quindi una base oggettiva per il contenimento dei costi operativi e infrastrutturali, offrendo al contempo indicazioni utili per una riorganizzazione più efficiente e sostenibile del servizio TPL nell’area del Bacino </w:t>
      </w:r>
      <w:r>
        <w:rPr>
          <w:rFonts w:eastAsia="Calibri"/>
        </w:rPr>
        <w:t>Metropolitano</w:t>
      </w:r>
      <w:r w:rsidRPr="00AD01C5">
        <w:rPr>
          <w:rFonts w:eastAsia="Calibri"/>
        </w:rPr>
        <w:t>.</w:t>
      </w:r>
    </w:p>
    <w:p w14:paraId="7D5CBA22" w14:textId="77777777" w:rsidR="00FD2CBB" w:rsidRPr="00AD01C5" w:rsidRDefault="00FD2CBB" w:rsidP="00A84591">
      <w:pPr>
        <w:pStyle w:val="Titolo3"/>
        <w:ind w:left="720"/>
      </w:pPr>
      <w:bookmarkStart w:id="367" w:name="_Toc193195792"/>
      <w:bookmarkStart w:id="368" w:name="_Toc252545198"/>
      <w:bookmarkStart w:id="369" w:name="_Toc197695720"/>
      <w:bookmarkStart w:id="370" w:name="_Toc204616529"/>
      <w:bookmarkStart w:id="371" w:name="_Toc213078400"/>
      <w:bookmarkEnd w:id="358"/>
      <w:bookmarkEnd w:id="359"/>
      <w:bookmarkEnd w:id="360"/>
      <w:bookmarkEnd w:id="361"/>
      <w:bookmarkEnd w:id="362"/>
      <w:r w:rsidRPr="00AD01C5">
        <w:t>Metodologia</w:t>
      </w:r>
      <w:r>
        <w:t xml:space="preserve"> </w:t>
      </w:r>
      <w:r w:rsidRPr="00AD01C5">
        <w:t>e</w:t>
      </w:r>
      <w:r>
        <w:t xml:space="preserve"> </w:t>
      </w:r>
      <w:r w:rsidRPr="00AD01C5">
        <w:t>processo</w:t>
      </w:r>
      <w:r>
        <w:t xml:space="preserve"> </w:t>
      </w:r>
      <w:r w:rsidRPr="00AD01C5">
        <w:t>di</w:t>
      </w:r>
      <w:r>
        <w:t xml:space="preserve"> </w:t>
      </w:r>
      <w:r w:rsidRPr="00AD01C5">
        <w:t>assegnazione</w:t>
      </w:r>
      <w:bookmarkEnd w:id="367"/>
      <w:bookmarkEnd w:id="368"/>
      <w:bookmarkEnd w:id="369"/>
      <w:bookmarkEnd w:id="370"/>
      <w:bookmarkEnd w:id="371"/>
    </w:p>
    <w:p w14:paraId="695D95B9" w14:textId="77777777" w:rsidR="00FD2CBB" w:rsidRPr="00AD01C5" w:rsidRDefault="00FD2CBB" w:rsidP="00747405">
      <w:pPr>
        <w:spacing w:before="120" w:after="0" w:line="240" w:lineRule="auto"/>
        <w:rPr>
          <w:rFonts w:eastAsia="Calibri"/>
        </w:rPr>
      </w:pPr>
      <w:r w:rsidRPr="00AD01C5">
        <w:rPr>
          <w:rFonts w:eastAsia="Calibri"/>
          <w:b/>
        </w:rPr>
        <w:t>Validazione</w:t>
      </w:r>
      <w:r>
        <w:rPr>
          <w:rFonts w:eastAsia="Calibri"/>
          <w:b/>
        </w:rPr>
        <w:t xml:space="preserve"> </w:t>
      </w:r>
      <w:r w:rsidRPr="00AD01C5">
        <w:rPr>
          <w:rFonts w:eastAsia="Calibri"/>
          <w:b/>
        </w:rPr>
        <w:t>Base</w:t>
      </w:r>
      <w:r>
        <w:rPr>
          <w:rFonts w:eastAsia="Calibri"/>
          <w:b/>
        </w:rPr>
        <w:t xml:space="preserve"> </w:t>
      </w:r>
      <w:r w:rsidRPr="00AD01C5">
        <w:rPr>
          <w:rFonts w:eastAsia="Calibri"/>
          <w:b/>
        </w:rPr>
        <w:t>Dati</w:t>
      </w:r>
    </w:p>
    <w:p w14:paraId="4645BF49" w14:textId="77777777" w:rsidR="00FD2CBB" w:rsidRPr="00AD01C5" w:rsidRDefault="00FD2CBB" w:rsidP="00747405">
      <w:pPr>
        <w:spacing w:before="120" w:after="0" w:line="240" w:lineRule="auto"/>
        <w:rPr>
          <w:rFonts w:eastAsia="Calibri"/>
        </w:rPr>
      </w:pPr>
      <w:r w:rsidRPr="00AD01C5">
        <w:rPr>
          <w:rFonts w:eastAsia="Calibri"/>
        </w:rPr>
        <w:t xml:space="preserve">I dati di servizio utilizzati per l’ottimizzazione sono stati importati in formato GTFS e corrispondono al servizio programmato per il 2024, aggiornato al mese di giungo e scaricato dal sistema regionale </w:t>
      </w:r>
      <w:r w:rsidRPr="00AD01C5">
        <w:rPr>
          <w:rFonts w:eastAsia="Calibri"/>
          <w:i/>
        </w:rPr>
        <w:t>web-based</w:t>
      </w:r>
      <w:r w:rsidRPr="00AD01C5">
        <w:rPr>
          <w:rFonts w:eastAsia="Calibri"/>
        </w:rPr>
        <w:t xml:space="preserve"> “Transit Café” utilizzato per la gestione e validazione del servizio programmato.</w:t>
      </w:r>
    </w:p>
    <w:p w14:paraId="7CC82EA1" w14:textId="77777777" w:rsidR="00FD2CBB" w:rsidRPr="00AD01C5" w:rsidRDefault="00FD2CBB" w:rsidP="00747405">
      <w:pPr>
        <w:spacing w:before="120" w:after="0" w:line="240" w:lineRule="auto"/>
        <w:rPr>
          <w:rFonts w:eastAsia="Calibri"/>
        </w:rPr>
      </w:pPr>
      <w:r w:rsidRPr="00AD01C5">
        <w:rPr>
          <w:rFonts w:eastAsia="Calibri"/>
        </w:rPr>
        <w:t>Come dato di partenza per la localizzazione dei depositi ottimali sono stati presi in considerazione i depositi all’interno dell</w:t>
      </w:r>
      <w:r>
        <w:rPr>
          <w:rFonts w:eastAsia="Calibri"/>
        </w:rPr>
        <w:t>a provincia</w:t>
      </w:r>
      <w:r w:rsidRPr="00AD01C5">
        <w:rPr>
          <w:rFonts w:eastAsia="Calibri"/>
        </w:rPr>
        <w:t>, escludendo quelli ubicati fuori dal Bacino, importando nel modello di assegnazione gli indirizzi geolocalizzati attraverso uno shapefile.</w:t>
      </w:r>
    </w:p>
    <w:p w14:paraId="26B1D1E6" w14:textId="77777777" w:rsidR="00FD2CBB" w:rsidRPr="00AD01C5" w:rsidRDefault="00FD2CBB" w:rsidP="00747405">
      <w:pPr>
        <w:spacing w:before="120" w:after="0" w:line="240" w:lineRule="auto"/>
        <w:rPr>
          <w:rFonts w:eastAsia="Calibri"/>
        </w:rPr>
      </w:pPr>
      <w:r w:rsidRPr="00AD01C5">
        <w:rPr>
          <w:rFonts w:eastAsia="Calibri"/>
        </w:rPr>
        <w:t>L’attuale dislocazione dei depositi è raffigurata nella seguente mappa.</w:t>
      </w:r>
    </w:p>
    <w:p w14:paraId="0ECE1E54" w14:textId="77777777" w:rsidR="00FD2CBB" w:rsidRDefault="00FD2CBB" w:rsidP="00747405">
      <w:pPr>
        <w:spacing w:before="120" w:after="0" w:line="240" w:lineRule="auto"/>
        <w:jc w:val="center"/>
        <w:rPr>
          <w:rFonts w:eastAsia="Calibri"/>
        </w:rPr>
      </w:pPr>
      <w:r w:rsidRPr="00AD01C5">
        <w:rPr>
          <w:rFonts w:eastAsia="Calibri"/>
        </w:rPr>
        <w:lastRenderedPageBreak/>
        <w:t xml:space="preserve"> </w:t>
      </w:r>
      <w:r w:rsidRPr="00AD01C5">
        <w:rPr>
          <w:rFonts w:eastAsia="Calibri"/>
          <w:noProof/>
        </w:rPr>
        <w:drawing>
          <wp:inline distT="0" distB="0" distL="0" distR="0" wp14:anchorId="624BAB5A" wp14:editId="12D99197">
            <wp:extent cx="5742230" cy="4060658"/>
            <wp:effectExtent l="19050" t="19050" r="11430" b="16510"/>
            <wp:docPr id="890342026" name="Immagine 1" descr="Immagine che contiene mappa, testo, atlant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0342026" name="Immagine 1" descr="Immagine che contiene mappa, testo, atlante&#10;&#10;Descrizione generata automaticamente"/>
                    <pic:cNvPicPr>
                      <a:picLocks noChangeAspect="1" noChangeArrowheads="1"/>
                    </pic:cNvPicPr>
                  </pic:nvPicPr>
                  <pic:blipFill>
                    <a:blip r:embed="rId84" cstate="print">
                      <a:extLst>
                        <a:ext uri="{28A0092B-C50C-407E-A947-70E740481C1C}">
                          <a14:useLocalDpi xmlns:a14="http://schemas.microsoft.com/office/drawing/2010/main" val="0"/>
                        </a:ext>
                      </a:extLst>
                    </a:blip>
                    <a:stretch>
                      <a:fillRect/>
                    </a:stretch>
                  </pic:blipFill>
                  <pic:spPr bwMode="auto">
                    <a:xfrm>
                      <a:off x="0" y="0"/>
                      <a:ext cx="5745346" cy="4062861"/>
                    </a:xfrm>
                    <a:prstGeom prst="rect">
                      <a:avLst/>
                    </a:prstGeom>
                    <a:noFill/>
                    <a:ln w="19050">
                      <a:solidFill>
                        <a:srgbClr val="EE3438"/>
                      </a:solidFill>
                    </a:ln>
                  </pic:spPr>
                </pic:pic>
              </a:graphicData>
            </a:graphic>
          </wp:inline>
        </w:drawing>
      </w:r>
    </w:p>
    <w:p w14:paraId="146E31B8" w14:textId="299AD681" w:rsidR="00FD2CBB" w:rsidRPr="00B50CF2" w:rsidRDefault="00FD2CBB" w:rsidP="009A6FA7">
      <w:pPr>
        <w:spacing w:after="240" w:line="240" w:lineRule="auto"/>
        <w:jc w:val="center"/>
        <w:rPr>
          <w:rFonts w:asciiTheme="minorHAnsi" w:eastAsia="Calibri" w:hAnsiTheme="minorHAnsi" w:cstheme="minorHAnsi"/>
          <w:i/>
          <w:color w:val="17406D"/>
          <w:sz w:val="18"/>
          <w:szCs w:val="18"/>
          <w14:textOutline w14:w="0" w14:cap="rnd" w14:cmpd="sng" w14:algn="ctr">
            <w14:solidFill>
              <w14:srgbClr w14:val="FF6C6C"/>
            </w14:solidFill>
            <w14:prstDash w14:val="solid"/>
            <w14:bevel/>
          </w14:textOutline>
        </w:rPr>
      </w:pPr>
      <w:bookmarkStart w:id="372" w:name="_Ref212904468"/>
      <w:r w:rsidRPr="00B50CF2">
        <w:rPr>
          <w:rFonts w:asciiTheme="minorHAnsi" w:eastAsia="Calibri" w:hAnsiTheme="minorHAnsi" w:cstheme="minorHAnsi"/>
          <w:i/>
          <w:color w:val="003366"/>
          <w:sz w:val="18"/>
          <w:szCs w:val="18"/>
          <w14:textOutline w14:w="0" w14:cap="rnd" w14:cmpd="sng" w14:algn="ctr">
            <w14:solidFill>
              <w14:srgbClr w14:val="FF6C6C"/>
            </w14:solidFill>
            <w14:prstDash w14:val="solid"/>
            <w14:bevel/>
          </w14:textOutline>
        </w:rPr>
        <w:t xml:space="preserve">Figura </w:t>
      </w:r>
      <w:r w:rsidRPr="00B50CF2">
        <w:rPr>
          <w:rFonts w:asciiTheme="minorHAnsi" w:hAnsiTheme="minorHAnsi" w:cstheme="minorHAnsi"/>
          <w:i/>
          <w:color w:val="003366"/>
          <w:sz w:val="18"/>
          <w:szCs w:val="18"/>
          <w14:textOutline w14:w="0" w14:cap="rnd" w14:cmpd="sng" w14:algn="ctr">
            <w14:solidFill>
              <w14:srgbClr w14:val="FF6C6C"/>
            </w14:solidFill>
            <w14:prstDash w14:val="solid"/>
            <w14:bevel/>
          </w14:textOutline>
        </w:rPr>
        <w:fldChar w:fldCharType="begin"/>
      </w:r>
      <w:r w:rsidRPr="00AD01C5">
        <w:rPr>
          <w:rFonts w:eastAsia="Calibri" w:cs="Calibri"/>
          <w:i/>
          <w:color w:val="003366"/>
          <w:sz w:val="18"/>
          <w:szCs w:val="18"/>
        </w:rPr>
        <w:instrText xml:space="preserve"> SEQ Figura \* ARABIC </w:instrText>
      </w:r>
      <w:r w:rsidRPr="00B50CF2">
        <w:rPr>
          <w:rFonts w:asciiTheme="minorHAnsi" w:hAnsiTheme="minorHAnsi" w:cstheme="minorHAnsi"/>
          <w:i/>
          <w:color w:val="003366"/>
          <w:sz w:val="18"/>
          <w:szCs w:val="18"/>
          <w14:textOutline w14:w="0" w14:cap="rnd" w14:cmpd="sng" w14:algn="ctr">
            <w14:solidFill>
              <w14:srgbClr w14:val="FF6C6C"/>
            </w14:solidFill>
            <w14:prstDash w14:val="solid"/>
            <w14:bevel/>
          </w14:textOutline>
        </w:rPr>
        <w:fldChar w:fldCharType="separate"/>
      </w:r>
      <w:r w:rsidR="00073B6D">
        <w:rPr>
          <w:rFonts w:eastAsia="Calibri" w:cs="Calibri"/>
          <w:i/>
          <w:noProof/>
          <w:color w:val="003366"/>
          <w:sz w:val="18"/>
          <w:szCs w:val="18"/>
        </w:rPr>
        <w:t>35</w:t>
      </w:r>
      <w:r w:rsidRPr="00B50CF2">
        <w:rPr>
          <w:rFonts w:asciiTheme="minorHAnsi" w:hAnsiTheme="minorHAnsi" w:cstheme="minorHAnsi"/>
          <w:i/>
          <w:color w:val="003366"/>
          <w:sz w:val="18"/>
          <w:szCs w:val="18"/>
          <w14:textOutline w14:w="0" w14:cap="rnd" w14:cmpd="sng" w14:algn="ctr">
            <w14:solidFill>
              <w14:srgbClr w14:val="FF6C6C"/>
            </w14:solidFill>
            <w14:prstDash w14:val="solid"/>
            <w14:bevel/>
          </w14:textOutline>
        </w:rPr>
        <w:fldChar w:fldCharType="end"/>
      </w:r>
      <w:r w:rsidRPr="00B50CF2">
        <w:rPr>
          <w:rFonts w:asciiTheme="minorHAnsi" w:eastAsia="Calibri" w:hAnsiTheme="minorHAnsi" w:cstheme="minorHAnsi"/>
          <w:i/>
          <w:color w:val="003366"/>
          <w:sz w:val="18"/>
          <w:szCs w:val="18"/>
          <w14:textOutline w14:w="0" w14:cap="rnd" w14:cmpd="sng" w14:algn="ctr">
            <w14:solidFill>
              <w14:srgbClr w14:val="FF6C6C"/>
            </w14:solidFill>
            <w14:prstDash w14:val="solid"/>
            <w14:bevel/>
          </w14:textOutline>
        </w:rPr>
        <w:t xml:space="preserve"> – Mappa depositi attualmente in uso</w:t>
      </w:r>
      <w:bookmarkEnd w:id="372"/>
    </w:p>
    <w:p w14:paraId="669C44C9" w14:textId="77777777" w:rsidR="00FD2CBB" w:rsidRPr="00AD01C5" w:rsidRDefault="00FD2CBB" w:rsidP="00DA21A5">
      <w:pPr>
        <w:spacing w:before="120" w:after="0" w:line="240" w:lineRule="auto"/>
        <w:rPr>
          <w:rFonts w:eastAsia="Calibri"/>
        </w:rPr>
      </w:pPr>
      <w:r w:rsidRPr="00AD01C5">
        <w:rPr>
          <w:rFonts w:eastAsia="Calibri"/>
          <w:b/>
        </w:rPr>
        <w:t>Definizione dei parametri di assegnazione</w:t>
      </w:r>
    </w:p>
    <w:p w14:paraId="1407D03A" w14:textId="77777777" w:rsidR="00FD2CBB" w:rsidRPr="00AD01C5" w:rsidRDefault="00FD2CBB" w:rsidP="00DA21A5">
      <w:pPr>
        <w:spacing w:before="120" w:after="0" w:line="240" w:lineRule="auto"/>
        <w:rPr>
          <w:rFonts w:eastAsia="Calibri"/>
        </w:rPr>
      </w:pPr>
      <w:r w:rsidRPr="00AD01C5">
        <w:rPr>
          <w:rFonts w:eastAsia="Calibri"/>
        </w:rPr>
        <w:t>Il confronto tra diversi scenari operativi rappresenta un approccio metodologico per identificare la soluzione ottimale in termini di efficienza e sostenibilità. L’analisi si basa su un insieme predefinito di parametri di riferimento, che consentono di valutare le alternative su basi comparabili. Tali parametri includono, in particolare, i costi giornalieri e chilometrici. L'obiettivo è individuare configurazioni operative che minimizzino i costi complessivi e massimizzino l'efficacia del servizio, garantendo al contempo la sostenibilità economica e ambientale.</w:t>
      </w:r>
    </w:p>
    <w:p w14:paraId="0ACC088E" w14:textId="77777777" w:rsidR="00FD2CBB" w:rsidRPr="00AD01C5" w:rsidRDefault="00FD2CBB" w:rsidP="00DA21A5">
      <w:pPr>
        <w:spacing w:before="120" w:after="0" w:line="240" w:lineRule="auto"/>
        <w:rPr>
          <w:rFonts w:eastAsia="Calibri"/>
        </w:rPr>
      </w:pPr>
      <w:r w:rsidRPr="00AD01C5">
        <w:rPr>
          <w:rFonts w:eastAsia="Calibri"/>
        </w:rPr>
        <w:t>La costruzione degli scenari analizzati è stata effettuata utilizzando la piattaforma di ottimizzazione Optibus</w:t>
      </w:r>
      <w:r w:rsidRPr="00AD01C5">
        <w:rPr>
          <w:rFonts w:eastAsia="Calibri"/>
          <w:vertAlign w:val="superscript"/>
        </w:rPr>
        <w:footnoteReference w:id="38"/>
      </w:r>
      <w:r w:rsidRPr="00AD01C5">
        <w:rPr>
          <w:rFonts w:eastAsia="Calibri"/>
        </w:rPr>
        <w:t>.</w:t>
      </w:r>
    </w:p>
    <w:p w14:paraId="5070EE00" w14:textId="77777777" w:rsidR="00FD2CBB" w:rsidRPr="00AD01C5" w:rsidRDefault="00FD2CBB" w:rsidP="00DA21A5">
      <w:pPr>
        <w:spacing w:before="120" w:after="0" w:line="240" w:lineRule="auto"/>
        <w:rPr>
          <w:rFonts w:eastAsia="Calibri"/>
        </w:rPr>
      </w:pPr>
      <w:r w:rsidRPr="00AD01C5">
        <w:rPr>
          <w:rFonts w:eastAsia="Calibri"/>
        </w:rPr>
        <w:t>Il programma di esercizio selezionato per questa analisi si riferisce a un giorno feriale medio del periodo invernale durante il calendario scolastico, specificamente mercoledì 13 novembre. La base dati utilizzata è quella dell'orario programmato con scarico a giugno 2024, che include tutti i servizi operativi previsti per la data futura del 13 novembre 2024.</w:t>
      </w:r>
    </w:p>
    <w:p w14:paraId="17675B9B" w14:textId="77777777" w:rsidR="00FD2CBB" w:rsidRPr="00AD01C5" w:rsidRDefault="00FD2CBB" w:rsidP="00DA21A5">
      <w:pPr>
        <w:spacing w:before="120" w:after="0" w:line="240" w:lineRule="auto"/>
        <w:rPr>
          <w:rFonts w:eastAsia="Calibri"/>
        </w:rPr>
      </w:pPr>
      <w:r w:rsidRPr="00AD01C5">
        <w:rPr>
          <w:rFonts w:eastAsia="Calibri"/>
        </w:rPr>
        <w:t xml:space="preserve">Per garantire un confronto uniforme e metodologico tra i diversi scenari, sono stati definiti parametri di riferimento sulla base di valori indicativi, utilizzati esclusivamente a scopo di analisi. È importante sottolineare che tali valori non sono rappresentativi dei dati reali di esercizio, ma sono stati selezionati </w:t>
      </w:r>
      <w:r w:rsidRPr="00AD01C5">
        <w:rPr>
          <w:rFonts w:eastAsia="Calibri"/>
        </w:rPr>
        <w:lastRenderedPageBreak/>
        <w:t>per offrire una base comparativa coerente e priva di influenze derivanti da vincoli operativi o costi effettivi.</w:t>
      </w:r>
    </w:p>
    <w:p w14:paraId="73320878" w14:textId="77777777" w:rsidR="00FD2CBB" w:rsidRPr="00AD01C5" w:rsidRDefault="00FD2CBB" w:rsidP="00DA21A5">
      <w:pPr>
        <w:spacing w:before="120" w:after="0" w:line="240" w:lineRule="auto"/>
        <w:rPr>
          <w:rFonts w:eastAsia="Calibri"/>
        </w:rPr>
      </w:pPr>
      <w:r w:rsidRPr="00AD01C5">
        <w:rPr>
          <w:rFonts w:eastAsia="Calibri"/>
        </w:rPr>
        <w:t>I parametri di riferimento adottati includono:</w:t>
      </w:r>
    </w:p>
    <w:p w14:paraId="617BE884" w14:textId="77777777" w:rsidR="00FD2CBB" w:rsidRPr="00AD01C5" w:rsidRDefault="00FD2CBB" w:rsidP="004B0DBE">
      <w:pPr>
        <w:numPr>
          <w:ilvl w:val="0"/>
          <w:numId w:val="68"/>
        </w:numPr>
        <w:spacing w:before="120" w:after="0" w:line="240" w:lineRule="auto"/>
        <w:rPr>
          <w:rFonts w:eastAsia="Calibri"/>
        </w:rPr>
      </w:pPr>
      <w:r w:rsidRPr="00AD01C5">
        <w:rPr>
          <w:rFonts w:eastAsia="Calibri"/>
          <w:b/>
        </w:rPr>
        <w:t>100 €/giorno per veicolo</w:t>
      </w:r>
      <w:r w:rsidRPr="00AD01C5">
        <w:rPr>
          <w:rFonts w:eastAsia="Calibri"/>
        </w:rPr>
        <w:t>: questo valore rappresenta una stima dei costi associati alla proprietà dell’autobus ed all'ospitare un autobus in un deposito; comprende l'ammortamento del mezzo, i costi di assicurazione e altre spese correlate;</w:t>
      </w:r>
    </w:p>
    <w:p w14:paraId="6993F2C8" w14:textId="77777777" w:rsidR="00FD2CBB" w:rsidRPr="00AD01C5" w:rsidRDefault="00FD2CBB" w:rsidP="004B0DBE">
      <w:pPr>
        <w:numPr>
          <w:ilvl w:val="0"/>
          <w:numId w:val="68"/>
        </w:numPr>
        <w:spacing w:before="120" w:after="0" w:line="240" w:lineRule="auto"/>
        <w:rPr>
          <w:rFonts w:eastAsia="Calibri"/>
        </w:rPr>
      </w:pPr>
      <w:r w:rsidRPr="00AD01C5">
        <w:rPr>
          <w:rFonts w:eastAsia="Calibri"/>
          <w:b/>
        </w:rPr>
        <w:t>1 €/km per chilometri percorsi a vuoto</w:t>
      </w:r>
      <w:r w:rsidRPr="00AD01C5">
        <w:rPr>
          <w:rFonts w:eastAsia="Calibri"/>
        </w:rPr>
        <w:t>: tale parametro tiene conto dei costi variabili (cosiddetti di rotolamento) legati al carburante o all'energia consumata, al compenso degli autisti e ai costi operativi relativi ai sistemi di gestione e monitoraggio dei veicoli.</w:t>
      </w:r>
    </w:p>
    <w:p w14:paraId="6BD5D2E5" w14:textId="77777777" w:rsidR="00FD2CBB" w:rsidRPr="00AD01C5" w:rsidRDefault="00FD2CBB" w:rsidP="00DA21A5">
      <w:pPr>
        <w:spacing w:before="120" w:after="0" w:line="240" w:lineRule="auto"/>
        <w:rPr>
          <w:rFonts w:eastAsia="Calibri"/>
        </w:rPr>
      </w:pPr>
      <w:r w:rsidRPr="00AD01C5">
        <w:rPr>
          <w:rFonts w:eastAsia="Calibri"/>
        </w:rPr>
        <w:t>È fondamentale osservare che l'analisi di confronto degli scenari non ha incluso un livello dettagliato di pianificazione e programmazione operativa, quali l'ottimizzazione di percorsi, orari e turni. Queste attività sono proprie delle offerte di gara e saranno sviluppate dalle imprese che parteciperanno alla successiva fase di gara. In tale contesto, le aziende avranno il compito di definire soluzioni operative che rispettino i vincoli previsti, come i costi operativi, la domanda di trasporto passeggeri e le normative vigenti. Le proposte di gara dovranno sviluppare configurazioni ottimali in grado di rendere efficiente la produzione del servizio, minimizzare i chilometri percorsi a vuoto e migliorare l'efficienza nell'uso delle risorse veicolari.</w:t>
      </w:r>
    </w:p>
    <w:p w14:paraId="05089F25" w14:textId="77777777" w:rsidR="00FD2CBB" w:rsidRPr="00AD01C5" w:rsidRDefault="00FD2CBB" w:rsidP="00DA21A5">
      <w:pPr>
        <w:spacing w:before="120" w:after="0" w:line="240" w:lineRule="auto"/>
        <w:rPr>
          <w:rFonts w:eastAsia="Calibri"/>
        </w:rPr>
      </w:pPr>
      <w:r w:rsidRPr="00AD01C5">
        <w:rPr>
          <w:rFonts w:eastAsia="Calibri"/>
          <w:b/>
        </w:rPr>
        <w:t>Ottimizzazione dei Veicoli</w:t>
      </w:r>
    </w:p>
    <w:p w14:paraId="36CDFCF9" w14:textId="77777777" w:rsidR="00FD2CBB" w:rsidRPr="00AD01C5" w:rsidRDefault="00FD2CBB" w:rsidP="00DA21A5">
      <w:pPr>
        <w:spacing w:before="120" w:after="0" w:line="240" w:lineRule="auto"/>
        <w:rPr>
          <w:rFonts w:eastAsia="Calibri"/>
        </w:rPr>
      </w:pPr>
      <w:r w:rsidRPr="00AD01C5">
        <w:rPr>
          <w:rFonts w:eastAsia="Calibri"/>
        </w:rPr>
        <w:t>L'algoritmo di assegnazione è stato implementato per ottimizzare l'attribuzione e il collegamento delle corse di ogni linea ai depositi. Questo processo ha utilizzato come grafo viabile la piattaforma "</w:t>
      </w:r>
      <w:r w:rsidRPr="00AD01C5">
        <w:rPr>
          <w:rFonts w:eastAsia="Calibri"/>
          <w:i/>
        </w:rPr>
        <w:t>OpenStreetMap</w:t>
      </w:r>
      <w:r w:rsidRPr="00AD01C5">
        <w:rPr>
          <w:rFonts w:eastAsia="Calibri"/>
        </w:rPr>
        <w:t>", che fornisce una rappresentazione dettagliata della rete stradale e delle infrastrutture di trasporto.</w:t>
      </w:r>
    </w:p>
    <w:p w14:paraId="176EAE95" w14:textId="77777777" w:rsidR="00FD2CBB" w:rsidRPr="00AD01C5" w:rsidRDefault="00FD2CBB" w:rsidP="00DA21A5">
      <w:pPr>
        <w:spacing w:before="120" w:after="0" w:line="240" w:lineRule="auto"/>
        <w:rPr>
          <w:rFonts w:eastAsia="Calibri"/>
        </w:rPr>
      </w:pPr>
      <w:r w:rsidRPr="00AD01C5">
        <w:rPr>
          <w:rFonts w:eastAsia="Calibri"/>
        </w:rPr>
        <w:t>L'assegnazione è stata effettuata senza imporre vincoli sul numero e sulla capacità dei depositi, permettendo così di generare uno "scenario base" di partenza. Questo scenario è già differenziato rispetto alla configurazione "zero"</w:t>
      </w:r>
      <w:r>
        <w:rPr>
          <w:rFonts w:eastAsia="Calibri"/>
        </w:rPr>
        <w:t xml:space="preserve"> dello scenario attuale</w:t>
      </w:r>
      <w:r w:rsidRPr="00AD01C5">
        <w:rPr>
          <w:rFonts w:eastAsia="Calibri"/>
        </w:rPr>
        <w:t>, che si basa sulla dichiarazione aziendale riguardante il numero di depositi complessivamente utilizzati per il servizio.</w:t>
      </w:r>
    </w:p>
    <w:p w14:paraId="0C2C409B" w14:textId="77777777" w:rsidR="00FD2CBB" w:rsidRPr="00AD01C5" w:rsidRDefault="00FD2CBB" w:rsidP="00DA21A5">
      <w:pPr>
        <w:spacing w:before="120" w:after="0" w:line="240" w:lineRule="auto"/>
        <w:rPr>
          <w:rFonts w:eastAsia="Calibri"/>
        </w:rPr>
      </w:pPr>
      <w:r w:rsidRPr="00AD01C5">
        <w:rPr>
          <w:rFonts w:eastAsia="Calibri"/>
        </w:rPr>
        <w:t>In dettaglio, l'algoritmo ha seguito i seguenti passaggi:</w:t>
      </w:r>
    </w:p>
    <w:p w14:paraId="18B72FCF" w14:textId="1518D748" w:rsidR="00FD2CBB" w:rsidRPr="00AD01C5" w:rsidRDefault="00FD2CBB" w:rsidP="004B0DBE">
      <w:pPr>
        <w:numPr>
          <w:ilvl w:val="0"/>
          <w:numId w:val="80"/>
        </w:numPr>
        <w:spacing w:before="120" w:after="0" w:line="240" w:lineRule="auto"/>
        <w:rPr>
          <w:rFonts w:eastAsia="Calibri"/>
        </w:rPr>
      </w:pPr>
      <w:r w:rsidRPr="00AD01C5">
        <w:rPr>
          <w:rFonts w:eastAsia="Calibri"/>
        </w:rPr>
        <w:t xml:space="preserve">mappatura delle linee e dei depositi, utilizzando i dati di </w:t>
      </w:r>
      <w:r w:rsidRPr="005E1032">
        <w:rPr>
          <w:rFonts w:eastAsia="Calibri"/>
          <w:i/>
        </w:rPr>
        <w:t>OpenStreetMap</w:t>
      </w:r>
      <w:r w:rsidRPr="00AD01C5">
        <w:rPr>
          <w:rFonts w:eastAsia="Calibri"/>
        </w:rPr>
        <w:t xml:space="preserve"> è stata creata una mappa dettagliata delle linee di trasporto e dei depositi disponibili. Questa mappa ha permesso di visualizzare le connessioni viabili tra le diverse linee e i depositi;</w:t>
      </w:r>
    </w:p>
    <w:p w14:paraId="46B1E633" w14:textId="77777777" w:rsidR="00FD2CBB" w:rsidRPr="00AD01C5" w:rsidRDefault="00FD2CBB" w:rsidP="004B0DBE">
      <w:pPr>
        <w:numPr>
          <w:ilvl w:val="0"/>
          <w:numId w:val="80"/>
        </w:numPr>
        <w:spacing w:before="120" w:after="0" w:line="240" w:lineRule="auto"/>
        <w:rPr>
          <w:rFonts w:eastAsia="Calibri"/>
        </w:rPr>
      </w:pPr>
      <w:r w:rsidRPr="00AD01C5">
        <w:rPr>
          <w:rFonts w:eastAsia="Calibri"/>
        </w:rPr>
        <w:t>ottimizzazione delle corse, l'algoritmo ha analizzato le corse di ogni linea, cercando di attribuirle ai depositi in modo da minimizzare i tempi di percorrenza e i costi operativi. Questo è stato fatto considerando variabili come la distanza ed il tempo di percorrenza;</w:t>
      </w:r>
    </w:p>
    <w:p w14:paraId="31D90FBD" w14:textId="77777777" w:rsidR="00FD2CBB" w:rsidRPr="00AD01C5" w:rsidRDefault="00FD2CBB" w:rsidP="004B0DBE">
      <w:pPr>
        <w:numPr>
          <w:ilvl w:val="0"/>
          <w:numId w:val="80"/>
        </w:numPr>
        <w:spacing w:before="120" w:after="0" w:line="240" w:lineRule="auto"/>
        <w:rPr>
          <w:rFonts w:eastAsia="Calibri"/>
        </w:rPr>
      </w:pPr>
      <w:r w:rsidRPr="00AD01C5">
        <w:rPr>
          <w:rFonts w:eastAsia="Calibri"/>
        </w:rPr>
        <w:t>generazione dello scenario “base”, senza vincoli predefiniti sul numero e sulla capacità dei depositi, l'algoritmo ha creato uno scenario iniziale che rappresenta una configurazione ottimale delle corse rispetto ai depositi. Questo scenario serve come punto di partenza per ulteriori analisi e ottimizzazioni.</w:t>
      </w:r>
    </w:p>
    <w:p w14:paraId="6F3D9E00" w14:textId="77777777" w:rsidR="00FD2CBB" w:rsidRPr="00AD01C5" w:rsidRDefault="00FD2CBB" w:rsidP="004B0DBE">
      <w:pPr>
        <w:numPr>
          <w:ilvl w:val="0"/>
          <w:numId w:val="80"/>
        </w:numPr>
        <w:spacing w:before="120" w:after="0" w:line="240" w:lineRule="auto"/>
        <w:rPr>
          <w:rFonts w:eastAsia="Calibri"/>
        </w:rPr>
      </w:pPr>
      <w:r w:rsidRPr="00AD01C5">
        <w:rPr>
          <w:rFonts w:eastAsia="Calibri"/>
        </w:rPr>
        <w:t>confronto con la configurazione "zero": Lo scenario “base” è stato confrontato con la configurazione "zero", che riflette la situazione attuale dichiarata dalle aziende in termini di numero di depositi utilizzati. Questo confronto ha permesso di identificare le differenze e le potenziali aree di miglioramento;</w:t>
      </w:r>
    </w:p>
    <w:p w14:paraId="29E345C3" w14:textId="77777777" w:rsidR="00FD2CBB" w:rsidRPr="00AD01C5" w:rsidRDefault="00FD2CBB" w:rsidP="004B0DBE">
      <w:pPr>
        <w:numPr>
          <w:ilvl w:val="0"/>
          <w:numId w:val="80"/>
        </w:numPr>
        <w:spacing w:before="120" w:after="0" w:line="240" w:lineRule="auto"/>
        <w:rPr>
          <w:rFonts w:eastAsia="Calibri"/>
        </w:rPr>
      </w:pPr>
      <w:r w:rsidRPr="00AD01C5">
        <w:rPr>
          <w:rFonts w:eastAsia="Calibri"/>
        </w:rPr>
        <w:t>Successive ottimizzazioni dello scenario “base” volte ad individuare gruppi di linee univoche</w:t>
      </w:r>
    </w:p>
    <w:p w14:paraId="0EF802B7" w14:textId="77777777" w:rsidR="00FD2CBB" w:rsidRPr="00AD01C5" w:rsidRDefault="00FD2CBB" w:rsidP="002727DF">
      <w:pPr>
        <w:spacing w:before="120" w:after="0" w:line="240" w:lineRule="auto"/>
        <w:rPr>
          <w:rFonts w:eastAsia="Calibri"/>
        </w:rPr>
      </w:pPr>
      <w:r w:rsidRPr="00AD01C5">
        <w:rPr>
          <w:rFonts w:eastAsia="Calibri"/>
        </w:rPr>
        <w:lastRenderedPageBreak/>
        <w:t>L'obiettivo finale di questo processo è stato quello di migliorare l'efficienza operativa e gestionale del servizio di trasporto pubblico locale, garantendo una distribuzione ottimale delle risorse e una riduzione dei costi complessivi.</w:t>
      </w:r>
    </w:p>
    <w:p w14:paraId="5B8CD4C9" w14:textId="77777777" w:rsidR="00FD2CBB" w:rsidRPr="00AD01C5" w:rsidRDefault="00FD2CBB" w:rsidP="002727DF">
      <w:pPr>
        <w:spacing w:before="120" w:after="0" w:line="240" w:lineRule="auto"/>
        <w:rPr>
          <w:rFonts w:eastAsia="Calibri"/>
        </w:rPr>
      </w:pPr>
      <w:r w:rsidRPr="00AD01C5">
        <w:rPr>
          <w:rFonts w:eastAsia="Calibri"/>
        </w:rPr>
        <w:t>Lo scenario base offre un punto di riferimento oggettivo per valutare:</w:t>
      </w:r>
    </w:p>
    <w:p w14:paraId="44CC0699" w14:textId="77777777" w:rsidR="00FD2CBB" w:rsidRPr="00AD01C5" w:rsidRDefault="00FD2CBB" w:rsidP="004B0DBE">
      <w:pPr>
        <w:numPr>
          <w:ilvl w:val="0"/>
          <w:numId w:val="70"/>
        </w:numPr>
        <w:spacing w:before="120" w:after="0" w:line="240" w:lineRule="auto"/>
        <w:rPr>
          <w:rFonts w:eastAsia="Calibri"/>
        </w:rPr>
      </w:pPr>
      <w:r w:rsidRPr="00AD01C5">
        <w:rPr>
          <w:rFonts w:eastAsia="Calibri"/>
          <w:b/>
        </w:rPr>
        <w:t>La distribuzione attuale delle risorse infrastrutturali (depositi)</w:t>
      </w:r>
      <w:r w:rsidRPr="00AD01C5">
        <w:rPr>
          <w:rFonts w:eastAsia="Calibri"/>
        </w:rPr>
        <w:t xml:space="preserve"> e il loro utilizzo operativo.</w:t>
      </w:r>
    </w:p>
    <w:p w14:paraId="622604C8" w14:textId="77777777" w:rsidR="00FD2CBB" w:rsidRPr="00AD01C5" w:rsidRDefault="00FD2CBB" w:rsidP="004B0DBE">
      <w:pPr>
        <w:numPr>
          <w:ilvl w:val="0"/>
          <w:numId w:val="70"/>
        </w:numPr>
        <w:spacing w:before="120" w:after="0" w:line="240" w:lineRule="auto"/>
        <w:rPr>
          <w:rFonts w:eastAsia="Calibri"/>
        </w:rPr>
      </w:pPr>
      <w:r w:rsidRPr="00AD01C5">
        <w:rPr>
          <w:rFonts w:eastAsia="Calibri"/>
          <w:b/>
        </w:rPr>
        <w:t>I margini di ottimizzazione</w:t>
      </w:r>
      <w:r w:rsidRPr="00AD01C5">
        <w:rPr>
          <w:rFonts w:eastAsia="Calibri"/>
        </w:rPr>
        <w:t xml:space="preserve"> possibili, considerando ulteriori fattori come la riduzione del numero di depositi, l’incremento della capacità di quelli esistenti o l’ottimizzazione della loro localizzazione strategica.</w:t>
      </w:r>
    </w:p>
    <w:p w14:paraId="67924764" w14:textId="77777777" w:rsidR="00FD2CBB" w:rsidRPr="00AD01C5" w:rsidRDefault="00FD2CBB" w:rsidP="004B0DBE">
      <w:pPr>
        <w:numPr>
          <w:ilvl w:val="0"/>
          <w:numId w:val="70"/>
        </w:numPr>
        <w:spacing w:before="120" w:after="0" w:line="240" w:lineRule="auto"/>
        <w:rPr>
          <w:rFonts w:eastAsia="Calibri"/>
        </w:rPr>
      </w:pPr>
      <w:r w:rsidRPr="00AD01C5">
        <w:rPr>
          <w:rFonts w:eastAsia="Calibri"/>
          <w:b/>
        </w:rPr>
        <w:t>La base per scenari alternativi</w:t>
      </w:r>
      <w:r w:rsidRPr="00AD01C5">
        <w:rPr>
          <w:rFonts w:eastAsia="Calibri"/>
        </w:rPr>
        <w:t xml:space="preserve"> e per l’individuazione di configurazioni più efficienti.</w:t>
      </w:r>
    </w:p>
    <w:p w14:paraId="71C9C641" w14:textId="77777777" w:rsidR="00FD2CBB" w:rsidRDefault="00FD2CBB" w:rsidP="002727DF">
      <w:pPr>
        <w:spacing w:before="120" w:after="0" w:line="240" w:lineRule="auto"/>
        <w:rPr>
          <w:rFonts w:eastAsia="Calibri"/>
        </w:rPr>
      </w:pPr>
      <w:r w:rsidRPr="00AD01C5">
        <w:rPr>
          <w:rFonts w:eastAsia="Calibri"/>
        </w:rPr>
        <w:t>Di seguito si riporta il risultato dell’assegnazione a ciascun deposito in termini di km di produzione e di n° di veicoli, al netto delle scorte, necessari all’erogazione del servizio.</w:t>
      </w:r>
    </w:p>
    <w:p w14:paraId="2EB9B885" w14:textId="77777777" w:rsidR="00AC1697" w:rsidRDefault="00AC1697" w:rsidP="002727DF">
      <w:pPr>
        <w:spacing w:before="120" w:after="0" w:line="240" w:lineRule="auto"/>
        <w:rPr>
          <w:rFonts w:eastAsia="Calibri"/>
        </w:rPr>
      </w:pPr>
    </w:p>
    <w:tbl>
      <w:tblPr>
        <w:tblW w:w="916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left w:w="70" w:type="dxa"/>
          <w:right w:w="70" w:type="dxa"/>
        </w:tblCellMar>
        <w:tblLook w:val="04A0" w:firstRow="1" w:lastRow="0" w:firstColumn="1" w:lastColumn="0" w:noHBand="0" w:noVBand="1"/>
      </w:tblPr>
      <w:tblGrid>
        <w:gridCol w:w="1445"/>
        <w:gridCol w:w="2519"/>
        <w:gridCol w:w="1561"/>
        <w:gridCol w:w="1299"/>
        <w:gridCol w:w="1152"/>
        <w:gridCol w:w="1189"/>
      </w:tblGrid>
      <w:tr w:rsidR="00FD2CBB" w:rsidRPr="00B44F4B" w14:paraId="4C6C4AC6" w14:textId="77777777" w:rsidTr="00B50CF2">
        <w:trPr>
          <w:trHeight w:val="300"/>
        </w:trPr>
        <w:tc>
          <w:tcPr>
            <w:tcW w:w="1445" w:type="dxa"/>
            <w:shd w:val="clear" w:color="auto" w:fill="EE3438"/>
            <w:vAlign w:val="center"/>
            <w:hideMark/>
          </w:tcPr>
          <w:p w14:paraId="64C7A046"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b/>
                <w:color w:val="FFFFFF" w:themeColor="background1"/>
              </w:rPr>
            </w:pPr>
            <w:r w:rsidRPr="00864BA4">
              <w:rPr>
                <w:rFonts w:asciiTheme="minorHAnsi" w:eastAsia="Times New Roman" w:hAnsiTheme="minorHAnsi" w:cstheme="minorHAnsi"/>
                <w:b/>
                <w:color w:val="FFFFFF" w:themeColor="background1"/>
              </w:rPr>
              <w:t>Nome Deposito</w:t>
            </w:r>
          </w:p>
        </w:tc>
        <w:tc>
          <w:tcPr>
            <w:tcW w:w="2519" w:type="dxa"/>
            <w:shd w:val="clear" w:color="auto" w:fill="EE3438"/>
            <w:vAlign w:val="center"/>
            <w:hideMark/>
          </w:tcPr>
          <w:p w14:paraId="595C9696"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b/>
                <w:color w:val="FFFFFF" w:themeColor="background1"/>
              </w:rPr>
            </w:pPr>
            <w:r w:rsidRPr="00864BA4">
              <w:rPr>
                <w:rFonts w:asciiTheme="minorHAnsi" w:eastAsia="Times New Roman" w:hAnsiTheme="minorHAnsi" w:cstheme="minorHAnsi"/>
                <w:b/>
                <w:color w:val="FFFFFF" w:themeColor="background1"/>
              </w:rPr>
              <w:t>Localizzazione</w:t>
            </w:r>
          </w:p>
        </w:tc>
        <w:tc>
          <w:tcPr>
            <w:tcW w:w="1561" w:type="dxa"/>
            <w:shd w:val="clear" w:color="auto" w:fill="EE3438"/>
            <w:vAlign w:val="center"/>
            <w:hideMark/>
          </w:tcPr>
          <w:p w14:paraId="5009EDAE"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b/>
                <w:color w:val="FFFFFF" w:themeColor="background1"/>
              </w:rPr>
            </w:pPr>
            <w:r w:rsidRPr="00864BA4">
              <w:rPr>
                <w:rFonts w:asciiTheme="minorHAnsi" w:eastAsia="Times New Roman" w:hAnsiTheme="minorHAnsi" w:cstheme="minorHAnsi"/>
                <w:b/>
                <w:color w:val="FFFFFF" w:themeColor="background1"/>
              </w:rPr>
              <w:t>Numero Di Veicoli</w:t>
            </w:r>
          </w:p>
        </w:tc>
        <w:tc>
          <w:tcPr>
            <w:tcW w:w="1299" w:type="dxa"/>
            <w:shd w:val="clear" w:color="auto" w:fill="EE3438"/>
            <w:vAlign w:val="center"/>
            <w:hideMark/>
          </w:tcPr>
          <w:p w14:paraId="27F00959"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b/>
                <w:color w:val="FFFFFF" w:themeColor="background1"/>
              </w:rPr>
            </w:pPr>
            <w:r w:rsidRPr="00864BA4">
              <w:rPr>
                <w:rFonts w:asciiTheme="minorHAnsi" w:eastAsia="Times New Roman" w:hAnsiTheme="minorHAnsi" w:cstheme="minorHAnsi"/>
                <w:b/>
                <w:color w:val="FFFFFF" w:themeColor="background1"/>
              </w:rPr>
              <w:t>KM di Servizio</w:t>
            </w:r>
          </w:p>
        </w:tc>
        <w:tc>
          <w:tcPr>
            <w:tcW w:w="1152" w:type="dxa"/>
            <w:shd w:val="clear" w:color="auto" w:fill="EE3438"/>
            <w:vAlign w:val="center"/>
            <w:hideMark/>
          </w:tcPr>
          <w:p w14:paraId="3EA36CB4"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b/>
                <w:color w:val="FFFFFF" w:themeColor="background1"/>
              </w:rPr>
            </w:pPr>
            <w:r w:rsidRPr="00864BA4">
              <w:rPr>
                <w:rFonts w:asciiTheme="minorHAnsi" w:eastAsia="Times New Roman" w:hAnsiTheme="minorHAnsi" w:cstheme="minorHAnsi"/>
                <w:b/>
                <w:color w:val="FFFFFF" w:themeColor="background1"/>
              </w:rPr>
              <w:t>KM di Vuoto</w:t>
            </w:r>
          </w:p>
        </w:tc>
        <w:tc>
          <w:tcPr>
            <w:tcW w:w="1189" w:type="dxa"/>
            <w:shd w:val="clear" w:color="auto" w:fill="EE3438"/>
            <w:vAlign w:val="center"/>
            <w:hideMark/>
          </w:tcPr>
          <w:p w14:paraId="1E8E1946"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b/>
                <w:color w:val="FFFFFF" w:themeColor="background1"/>
              </w:rPr>
            </w:pPr>
            <w:r w:rsidRPr="00864BA4">
              <w:rPr>
                <w:rFonts w:asciiTheme="minorHAnsi" w:eastAsia="Times New Roman" w:hAnsiTheme="minorHAnsi" w:cstheme="minorHAnsi"/>
                <w:b/>
                <w:color w:val="FFFFFF" w:themeColor="background1"/>
              </w:rPr>
              <w:t>Eff. Deposito</w:t>
            </w:r>
          </w:p>
        </w:tc>
      </w:tr>
      <w:tr w:rsidR="00FD2CBB" w:rsidRPr="000E7B50" w14:paraId="43ED6861" w14:textId="77777777" w:rsidTr="00B50CF2">
        <w:trPr>
          <w:trHeight w:val="300"/>
        </w:trPr>
        <w:tc>
          <w:tcPr>
            <w:tcW w:w="1445" w:type="dxa"/>
            <w:shd w:val="clear" w:color="auto" w:fill="FF7C80"/>
            <w:noWrap/>
            <w:vAlign w:val="center"/>
            <w:hideMark/>
          </w:tcPr>
          <w:p w14:paraId="717D7E8B"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i/>
                <w:color w:val="000000"/>
              </w:rPr>
            </w:pPr>
            <w:r w:rsidRPr="00864BA4">
              <w:rPr>
                <w:rFonts w:asciiTheme="minorHAnsi" w:eastAsia="Times New Roman" w:hAnsiTheme="minorHAnsi" w:cstheme="minorHAnsi"/>
                <w:i/>
                <w:color w:val="000000"/>
              </w:rPr>
              <w:t>TO_001</w:t>
            </w:r>
          </w:p>
        </w:tc>
        <w:tc>
          <w:tcPr>
            <w:tcW w:w="2519" w:type="dxa"/>
            <w:shd w:val="clear" w:color="000000" w:fill="FFFFFF"/>
            <w:noWrap/>
            <w:vAlign w:val="center"/>
            <w:hideMark/>
          </w:tcPr>
          <w:p w14:paraId="766C9AEC" w14:textId="2A208671"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Villafranca Piemonte (TO)</w:t>
            </w:r>
          </w:p>
        </w:tc>
        <w:tc>
          <w:tcPr>
            <w:tcW w:w="1561" w:type="dxa"/>
            <w:noWrap/>
            <w:vAlign w:val="center"/>
            <w:hideMark/>
          </w:tcPr>
          <w:p w14:paraId="3F803676"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14</w:t>
            </w:r>
          </w:p>
        </w:tc>
        <w:tc>
          <w:tcPr>
            <w:tcW w:w="1299" w:type="dxa"/>
            <w:noWrap/>
            <w:vAlign w:val="center"/>
            <w:hideMark/>
          </w:tcPr>
          <w:p w14:paraId="34B627E8"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3455</w:t>
            </w:r>
          </w:p>
        </w:tc>
        <w:tc>
          <w:tcPr>
            <w:tcW w:w="1152" w:type="dxa"/>
            <w:noWrap/>
            <w:vAlign w:val="center"/>
            <w:hideMark/>
          </w:tcPr>
          <w:p w14:paraId="4B25BD5B"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302</w:t>
            </w:r>
          </w:p>
        </w:tc>
        <w:tc>
          <w:tcPr>
            <w:tcW w:w="1189" w:type="dxa"/>
            <w:noWrap/>
            <w:vAlign w:val="center"/>
            <w:hideMark/>
          </w:tcPr>
          <w:p w14:paraId="01DE303E"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92%</w:t>
            </w:r>
          </w:p>
        </w:tc>
      </w:tr>
      <w:tr w:rsidR="00FD2CBB" w:rsidRPr="000E7B50" w14:paraId="0666C674" w14:textId="77777777" w:rsidTr="00B50CF2">
        <w:trPr>
          <w:trHeight w:val="300"/>
        </w:trPr>
        <w:tc>
          <w:tcPr>
            <w:tcW w:w="1445" w:type="dxa"/>
            <w:shd w:val="clear" w:color="auto" w:fill="FF7C80"/>
            <w:noWrap/>
            <w:vAlign w:val="center"/>
            <w:hideMark/>
          </w:tcPr>
          <w:p w14:paraId="05CA3161"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i/>
                <w:color w:val="000000"/>
              </w:rPr>
            </w:pPr>
            <w:r w:rsidRPr="00864BA4">
              <w:rPr>
                <w:rFonts w:asciiTheme="minorHAnsi" w:eastAsia="Times New Roman" w:hAnsiTheme="minorHAnsi" w:cstheme="minorHAnsi"/>
                <w:i/>
                <w:color w:val="000000"/>
              </w:rPr>
              <w:t>TO_002</w:t>
            </w:r>
          </w:p>
        </w:tc>
        <w:tc>
          <w:tcPr>
            <w:tcW w:w="2519" w:type="dxa"/>
            <w:shd w:val="clear" w:color="000000" w:fill="FFFFFF"/>
            <w:noWrap/>
            <w:vAlign w:val="center"/>
            <w:hideMark/>
          </w:tcPr>
          <w:p w14:paraId="38D4FC14" w14:textId="3CD26475"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Torino (TO)</w:t>
            </w:r>
          </w:p>
        </w:tc>
        <w:tc>
          <w:tcPr>
            <w:tcW w:w="1561" w:type="dxa"/>
            <w:noWrap/>
            <w:vAlign w:val="center"/>
            <w:hideMark/>
          </w:tcPr>
          <w:p w14:paraId="5DD75AB0"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18</w:t>
            </w:r>
          </w:p>
        </w:tc>
        <w:tc>
          <w:tcPr>
            <w:tcW w:w="1299" w:type="dxa"/>
            <w:noWrap/>
            <w:vAlign w:val="center"/>
            <w:hideMark/>
          </w:tcPr>
          <w:p w14:paraId="29BF0075"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4628</w:t>
            </w:r>
          </w:p>
        </w:tc>
        <w:tc>
          <w:tcPr>
            <w:tcW w:w="1152" w:type="dxa"/>
            <w:noWrap/>
            <w:vAlign w:val="center"/>
            <w:hideMark/>
          </w:tcPr>
          <w:p w14:paraId="1F815F46"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114</w:t>
            </w:r>
          </w:p>
        </w:tc>
        <w:tc>
          <w:tcPr>
            <w:tcW w:w="1189" w:type="dxa"/>
            <w:noWrap/>
            <w:vAlign w:val="center"/>
            <w:hideMark/>
          </w:tcPr>
          <w:p w14:paraId="4130C0F1"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98%</w:t>
            </w:r>
          </w:p>
        </w:tc>
      </w:tr>
      <w:tr w:rsidR="00FD2CBB" w:rsidRPr="000E7B50" w14:paraId="3843DA27" w14:textId="77777777" w:rsidTr="00B50CF2">
        <w:trPr>
          <w:trHeight w:val="300"/>
        </w:trPr>
        <w:tc>
          <w:tcPr>
            <w:tcW w:w="1445" w:type="dxa"/>
            <w:shd w:val="clear" w:color="auto" w:fill="FF7C80"/>
            <w:noWrap/>
            <w:vAlign w:val="center"/>
            <w:hideMark/>
          </w:tcPr>
          <w:p w14:paraId="2FD80F02"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i/>
                <w:color w:val="000000"/>
              </w:rPr>
            </w:pPr>
            <w:r w:rsidRPr="00864BA4">
              <w:rPr>
                <w:rFonts w:asciiTheme="minorHAnsi" w:eastAsia="Times New Roman" w:hAnsiTheme="minorHAnsi" w:cstheme="minorHAnsi"/>
                <w:i/>
                <w:color w:val="000000"/>
              </w:rPr>
              <w:t>TO_003</w:t>
            </w:r>
          </w:p>
        </w:tc>
        <w:tc>
          <w:tcPr>
            <w:tcW w:w="2519" w:type="dxa"/>
            <w:shd w:val="clear" w:color="000000" w:fill="FFFFFF"/>
            <w:noWrap/>
            <w:vAlign w:val="center"/>
            <w:hideMark/>
          </w:tcPr>
          <w:p w14:paraId="0EC4826B" w14:textId="6E64BA50"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Chivasso (TO)</w:t>
            </w:r>
          </w:p>
        </w:tc>
        <w:tc>
          <w:tcPr>
            <w:tcW w:w="1561" w:type="dxa"/>
            <w:noWrap/>
            <w:vAlign w:val="center"/>
            <w:hideMark/>
          </w:tcPr>
          <w:p w14:paraId="23CBE950"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24</w:t>
            </w:r>
          </w:p>
        </w:tc>
        <w:tc>
          <w:tcPr>
            <w:tcW w:w="1299" w:type="dxa"/>
            <w:noWrap/>
            <w:vAlign w:val="center"/>
            <w:hideMark/>
          </w:tcPr>
          <w:p w14:paraId="60C25C81"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3679</w:t>
            </w:r>
          </w:p>
        </w:tc>
        <w:tc>
          <w:tcPr>
            <w:tcW w:w="1152" w:type="dxa"/>
            <w:noWrap/>
            <w:vAlign w:val="center"/>
            <w:hideMark/>
          </w:tcPr>
          <w:p w14:paraId="1B63B4C8"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423</w:t>
            </w:r>
          </w:p>
        </w:tc>
        <w:tc>
          <w:tcPr>
            <w:tcW w:w="1189" w:type="dxa"/>
            <w:noWrap/>
            <w:vAlign w:val="center"/>
            <w:hideMark/>
          </w:tcPr>
          <w:p w14:paraId="5B1B100E"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90%</w:t>
            </w:r>
          </w:p>
        </w:tc>
      </w:tr>
      <w:tr w:rsidR="00FD2CBB" w:rsidRPr="000E7B50" w14:paraId="3121B403" w14:textId="77777777" w:rsidTr="00B50CF2">
        <w:trPr>
          <w:trHeight w:val="300"/>
        </w:trPr>
        <w:tc>
          <w:tcPr>
            <w:tcW w:w="1445" w:type="dxa"/>
            <w:shd w:val="clear" w:color="auto" w:fill="FF7C80"/>
            <w:noWrap/>
            <w:vAlign w:val="center"/>
            <w:hideMark/>
          </w:tcPr>
          <w:p w14:paraId="1E14E7AE" w14:textId="77777777" w:rsidR="00FD2CBB" w:rsidRPr="00864BA4" w:rsidRDefault="00FD2CBB" w:rsidP="00926678">
            <w:pPr>
              <w:spacing w:beforeLines="20" w:before="48" w:afterLines="20" w:after="48" w:line="240" w:lineRule="auto"/>
              <w:jc w:val="center"/>
              <w:rPr>
                <w:rFonts w:asciiTheme="minorHAnsi" w:eastAsia="Times New Roman" w:hAnsiTheme="minorHAnsi" w:cstheme="minorHAnsi"/>
                <w:i/>
                <w:color w:val="000000"/>
              </w:rPr>
            </w:pPr>
            <w:r w:rsidRPr="00864BA4">
              <w:rPr>
                <w:rFonts w:asciiTheme="minorHAnsi" w:eastAsia="Times New Roman" w:hAnsiTheme="minorHAnsi" w:cstheme="minorHAnsi"/>
                <w:i/>
                <w:color w:val="000000"/>
              </w:rPr>
              <w:t>TO_004</w:t>
            </w:r>
          </w:p>
        </w:tc>
        <w:tc>
          <w:tcPr>
            <w:tcW w:w="2519" w:type="dxa"/>
            <w:shd w:val="clear" w:color="000000" w:fill="FFFFFF"/>
            <w:noWrap/>
            <w:vAlign w:val="center"/>
            <w:hideMark/>
          </w:tcPr>
          <w:p w14:paraId="2308CC10" w14:textId="294C78CA" w:rsidR="00FD2CBB" w:rsidRPr="00864BA4" w:rsidRDefault="00FD2CBB" w:rsidP="00926678">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Torino (TO)</w:t>
            </w:r>
          </w:p>
        </w:tc>
        <w:tc>
          <w:tcPr>
            <w:tcW w:w="1561" w:type="dxa"/>
            <w:noWrap/>
            <w:vAlign w:val="center"/>
            <w:hideMark/>
          </w:tcPr>
          <w:p w14:paraId="23895117" w14:textId="77777777" w:rsidR="00FD2CBB" w:rsidRPr="00864BA4" w:rsidRDefault="00FD2CBB" w:rsidP="00926678">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7</w:t>
            </w:r>
          </w:p>
        </w:tc>
        <w:tc>
          <w:tcPr>
            <w:tcW w:w="1299" w:type="dxa"/>
            <w:noWrap/>
            <w:vAlign w:val="center"/>
            <w:hideMark/>
          </w:tcPr>
          <w:p w14:paraId="65F89993" w14:textId="77777777" w:rsidR="00FD2CBB" w:rsidRPr="00864BA4" w:rsidRDefault="00FD2CBB" w:rsidP="00926678">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1074</w:t>
            </w:r>
          </w:p>
        </w:tc>
        <w:tc>
          <w:tcPr>
            <w:tcW w:w="1152" w:type="dxa"/>
            <w:noWrap/>
            <w:vAlign w:val="center"/>
            <w:hideMark/>
          </w:tcPr>
          <w:p w14:paraId="0D287B6A" w14:textId="77777777" w:rsidR="00FD2CBB" w:rsidRPr="00864BA4" w:rsidRDefault="00FD2CBB" w:rsidP="00926678">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120</w:t>
            </w:r>
          </w:p>
        </w:tc>
        <w:tc>
          <w:tcPr>
            <w:tcW w:w="1189" w:type="dxa"/>
            <w:noWrap/>
            <w:vAlign w:val="center"/>
            <w:hideMark/>
          </w:tcPr>
          <w:p w14:paraId="65135145" w14:textId="77777777" w:rsidR="00FD2CBB" w:rsidRPr="00864BA4" w:rsidRDefault="00FD2CBB" w:rsidP="00926678">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90%</w:t>
            </w:r>
          </w:p>
        </w:tc>
      </w:tr>
      <w:tr w:rsidR="00FD2CBB" w:rsidRPr="000E7B50" w14:paraId="5C7CFDC0" w14:textId="77777777" w:rsidTr="00B50CF2">
        <w:trPr>
          <w:trHeight w:val="300"/>
        </w:trPr>
        <w:tc>
          <w:tcPr>
            <w:tcW w:w="1445" w:type="dxa"/>
            <w:shd w:val="clear" w:color="auto" w:fill="FF7C80"/>
            <w:noWrap/>
            <w:vAlign w:val="center"/>
            <w:hideMark/>
          </w:tcPr>
          <w:p w14:paraId="750398CD" w14:textId="77777777" w:rsidR="00FD2CBB" w:rsidRPr="00864BA4" w:rsidRDefault="00FD2CBB" w:rsidP="00926678">
            <w:pPr>
              <w:spacing w:beforeLines="20" w:before="48" w:afterLines="20" w:after="48" w:line="240" w:lineRule="auto"/>
              <w:jc w:val="center"/>
              <w:rPr>
                <w:rFonts w:asciiTheme="minorHAnsi" w:eastAsia="Times New Roman" w:hAnsiTheme="minorHAnsi" w:cstheme="minorHAnsi"/>
                <w:i/>
                <w:color w:val="000000"/>
              </w:rPr>
            </w:pPr>
            <w:r w:rsidRPr="00864BA4">
              <w:rPr>
                <w:rFonts w:asciiTheme="minorHAnsi" w:eastAsia="Times New Roman" w:hAnsiTheme="minorHAnsi" w:cstheme="minorHAnsi"/>
                <w:i/>
                <w:color w:val="000000"/>
              </w:rPr>
              <w:t>TO_005</w:t>
            </w:r>
          </w:p>
        </w:tc>
        <w:tc>
          <w:tcPr>
            <w:tcW w:w="2519" w:type="dxa"/>
            <w:shd w:val="clear" w:color="000000" w:fill="FFFFFF"/>
            <w:noWrap/>
            <w:vAlign w:val="center"/>
            <w:hideMark/>
          </w:tcPr>
          <w:p w14:paraId="2609D5C7" w14:textId="77777777" w:rsidR="00FD2CBB" w:rsidRPr="00864BA4" w:rsidRDefault="00FD2CBB" w:rsidP="00926678">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Cavour (TO)</w:t>
            </w:r>
          </w:p>
        </w:tc>
        <w:tc>
          <w:tcPr>
            <w:tcW w:w="1561" w:type="dxa"/>
            <w:noWrap/>
            <w:vAlign w:val="center"/>
            <w:hideMark/>
          </w:tcPr>
          <w:p w14:paraId="625AFCF2" w14:textId="77777777" w:rsidR="00FD2CBB" w:rsidRPr="00864BA4" w:rsidRDefault="00FD2CBB" w:rsidP="00926678">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17</w:t>
            </w:r>
          </w:p>
        </w:tc>
        <w:tc>
          <w:tcPr>
            <w:tcW w:w="1299" w:type="dxa"/>
            <w:noWrap/>
            <w:vAlign w:val="center"/>
            <w:hideMark/>
          </w:tcPr>
          <w:p w14:paraId="57A6BEF5" w14:textId="77777777" w:rsidR="00FD2CBB" w:rsidRPr="00864BA4" w:rsidRDefault="00FD2CBB" w:rsidP="00926678">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3778</w:t>
            </w:r>
          </w:p>
        </w:tc>
        <w:tc>
          <w:tcPr>
            <w:tcW w:w="1152" w:type="dxa"/>
            <w:noWrap/>
            <w:vAlign w:val="center"/>
            <w:hideMark/>
          </w:tcPr>
          <w:p w14:paraId="32F89E30" w14:textId="77777777" w:rsidR="00FD2CBB" w:rsidRPr="00864BA4" w:rsidRDefault="00FD2CBB" w:rsidP="00926678">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276</w:t>
            </w:r>
          </w:p>
        </w:tc>
        <w:tc>
          <w:tcPr>
            <w:tcW w:w="1189" w:type="dxa"/>
            <w:noWrap/>
            <w:vAlign w:val="center"/>
            <w:hideMark/>
          </w:tcPr>
          <w:p w14:paraId="06D96178" w14:textId="77777777" w:rsidR="00FD2CBB" w:rsidRPr="00864BA4" w:rsidRDefault="00FD2CBB" w:rsidP="00926678">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93%</w:t>
            </w:r>
          </w:p>
        </w:tc>
      </w:tr>
      <w:tr w:rsidR="00FD2CBB" w:rsidRPr="000E7B50" w14:paraId="1A7C82D0" w14:textId="77777777" w:rsidTr="00B50CF2">
        <w:trPr>
          <w:trHeight w:val="300"/>
        </w:trPr>
        <w:tc>
          <w:tcPr>
            <w:tcW w:w="1445" w:type="dxa"/>
            <w:shd w:val="clear" w:color="auto" w:fill="FF7C80"/>
            <w:noWrap/>
            <w:vAlign w:val="center"/>
            <w:hideMark/>
          </w:tcPr>
          <w:p w14:paraId="421FA1B1"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i/>
                <w:color w:val="000000"/>
              </w:rPr>
            </w:pPr>
            <w:r w:rsidRPr="00864BA4">
              <w:rPr>
                <w:rFonts w:asciiTheme="minorHAnsi" w:eastAsia="Times New Roman" w:hAnsiTheme="minorHAnsi" w:cstheme="minorHAnsi"/>
                <w:i/>
                <w:color w:val="000000"/>
              </w:rPr>
              <w:t>TO_007</w:t>
            </w:r>
          </w:p>
        </w:tc>
        <w:tc>
          <w:tcPr>
            <w:tcW w:w="2519" w:type="dxa"/>
            <w:shd w:val="clear" w:color="000000" w:fill="FFFFFF"/>
            <w:noWrap/>
            <w:vAlign w:val="center"/>
            <w:hideMark/>
          </w:tcPr>
          <w:p w14:paraId="528ACF34"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Chieri (TO)</w:t>
            </w:r>
          </w:p>
        </w:tc>
        <w:tc>
          <w:tcPr>
            <w:tcW w:w="1561" w:type="dxa"/>
            <w:noWrap/>
            <w:vAlign w:val="center"/>
            <w:hideMark/>
          </w:tcPr>
          <w:p w14:paraId="323BD7CE"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21</w:t>
            </w:r>
          </w:p>
        </w:tc>
        <w:tc>
          <w:tcPr>
            <w:tcW w:w="1299" w:type="dxa"/>
            <w:noWrap/>
            <w:vAlign w:val="center"/>
            <w:hideMark/>
          </w:tcPr>
          <w:p w14:paraId="3CD2D27A"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3993</w:t>
            </w:r>
          </w:p>
        </w:tc>
        <w:tc>
          <w:tcPr>
            <w:tcW w:w="1152" w:type="dxa"/>
            <w:noWrap/>
            <w:vAlign w:val="center"/>
            <w:hideMark/>
          </w:tcPr>
          <w:p w14:paraId="7EE16796"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339</w:t>
            </w:r>
          </w:p>
        </w:tc>
        <w:tc>
          <w:tcPr>
            <w:tcW w:w="1189" w:type="dxa"/>
            <w:noWrap/>
            <w:vAlign w:val="center"/>
            <w:hideMark/>
          </w:tcPr>
          <w:p w14:paraId="284FDA75"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92%</w:t>
            </w:r>
          </w:p>
        </w:tc>
      </w:tr>
      <w:tr w:rsidR="00FD2CBB" w:rsidRPr="000E7B50" w14:paraId="1F9B709F" w14:textId="77777777" w:rsidTr="00B50CF2">
        <w:trPr>
          <w:trHeight w:val="300"/>
        </w:trPr>
        <w:tc>
          <w:tcPr>
            <w:tcW w:w="1445" w:type="dxa"/>
            <w:shd w:val="clear" w:color="auto" w:fill="FF7C80"/>
            <w:noWrap/>
            <w:vAlign w:val="center"/>
            <w:hideMark/>
          </w:tcPr>
          <w:p w14:paraId="35B323E7"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i/>
                <w:color w:val="000000"/>
              </w:rPr>
            </w:pPr>
            <w:r w:rsidRPr="00864BA4">
              <w:rPr>
                <w:rFonts w:asciiTheme="minorHAnsi" w:eastAsia="Times New Roman" w:hAnsiTheme="minorHAnsi" w:cstheme="minorHAnsi"/>
                <w:i/>
                <w:color w:val="000000"/>
              </w:rPr>
              <w:t>TO_008</w:t>
            </w:r>
          </w:p>
        </w:tc>
        <w:tc>
          <w:tcPr>
            <w:tcW w:w="2519" w:type="dxa"/>
            <w:shd w:val="clear" w:color="000000" w:fill="FFFFFF"/>
            <w:noWrap/>
            <w:vAlign w:val="center"/>
            <w:hideMark/>
          </w:tcPr>
          <w:p w14:paraId="3475338E"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Giaveno (TO)</w:t>
            </w:r>
          </w:p>
        </w:tc>
        <w:tc>
          <w:tcPr>
            <w:tcW w:w="1561" w:type="dxa"/>
            <w:noWrap/>
            <w:vAlign w:val="center"/>
            <w:hideMark/>
          </w:tcPr>
          <w:p w14:paraId="0F4791E0"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9</w:t>
            </w:r>
          </w:p>
        </w:tc>
        <w:tc>
          <w:tcPr>
            <w:tcW w:w="1299" w:type="dxa"/>
            <w:noWrap/>
            <w:vAlign w:val="center"/>
            <w:hideMark/>
          </w:tcPr>
          <w:p w14:paraId="47B3F632"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1696</w:t>
            </w:r>
          </w:p>
        </w:tc>
        <w:tc>
          <w:tcPr>
            <w:tcW w:w="1152" w:type="dxa"/>
            <w:noWrap/>
            <w:vAlign w:val="center"/>
            <w:hideMark/>
          </w:tcPr>
          <w:p w14:paraId="5DF8C25D"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82</w:t>
            </w:r>
          </w:p>
        </w:tc>
        <w:tc>
          <w:tcPr>
            <w:tcW w:w="1189" w:type="dxa"/>
            <w:noWrap/>
            <w:vAlign w:val="center"/>
            <w:hideMark/>
          </w:tcPr>
          <w:p w14:paraId="2B4560B3"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95%</w:t>
            </w:r>
          </w:p>
        </w:tc>
      </w:tr>
      <w:tr w:rsidR="00FD2CBB" w:rsidRPr="000E7B50" w14:paraId="6515959B" w14:textId="77777777" w:rsidTr="00B50CF2">
        <w:trPr>
          <w:trHeight w:val="300"/>
        </w:trPr>
        <w:tc>
          <w:tcPr>
            <w:tcW w:w="1445" w:type="dxa"/>
            <w:shd w:val="clear" w:color="auto" w:fill="FF7C80"/>
            <w:noWrap/>
            <w:vAlign w:val="center"/>
            <w:hideMark/>
          </w:tcPr>
          <w:p w14:paraId="293C4314"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i/>
                <w:color w:val="000000"/>
              </w:rPr>
            </w:pPr>
            <w:r w:rsidRPr="00864BA4">
              <w:rPr>
                <w:rFonts w:asciiTheme="minorHAnsi" w:eastAsia="Times New Roman" w:hAnsiTheme="minorHAnsi" w:cstheme="minorHAnsi"/>
                <w:i/>
                <w:color w:val="000000"/>
              </w:rPr>
              <w:t>TO_009</w:t>
            </w:r>
          </w:p>
        </w:tc>
        <w:tc>
          <w:tcPr>
            <w:tcW w:w="2519" w:type="dxa"/>
            <w:shd w:val="clear" w:color="000000" w:fill="FFFFFF"/>
            <w:noWrap/>
            <w:vAlign w:val="center"/>
            <w:hideMark/>
          </w:tcPr>
          <w:p w14:paraId="07E61C67"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Luserna San Giovanni (TO)</w:t>
            </w:r>
          </w:p>
        </w:tc>
        <w:tc>
          <w:tcPr>
            <w:tcW w:w="1561" w:type="dxa"/>
            <w:noWrap/>
            <w:vAlign w:val="center"/>
            <w:hideMark/>
          </w:tcPr>
          <w:p w14:paraId="21DC4F7F"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21</w:t>
            </w:r>
          </w:p>
        </w:tc>
        <w:tc>
          <w:tcPr>
            <w:tcW w:w="1299" w:type="dxa"/>
            <w:noWrap/>
            <w:vAlign w:val="center"/>
            <w:hideMark/>
          </w:tcPr>
          <w:p w14:paraId="1BE277D5"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4138</w:t>
            </w:r>
          </w:p>
        </w:tc>
        <w:tc>
          <w:tcPr>
            <w:tcW w:w="1152" w:type="dxa"/>
            <w:noWrap/>
            <w:vAlign w:val="center"/>
            <w:hideMark/>
          </w:tcPr>
          <w:p w14:paraId="5A1BDECC"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290</w:t>
            </w:r>
          </w:p>
        </w:tc>
        <w:tc>
          <w:tcPr>
            <w:tcW w:w="1189" w:type="dxa"/>
            <w:noWrap/>
            <w:vAlign w:val="center"/>
            <w:hideMark/>
          </w:tcPr>
          <w:p w14:paraId="7A3F2FB1"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93%</w:t>
            </w:r>
          </w:p>
        </w:tc>
      </w:tr>
      <w:tr w:rsidR="00FD2CBB" w:rsidRPr="000E7B50" w14:paraId="747A3423" w14:textId="77777777" w:rsidTr="00B50CF2">
        <w:trPr>
          <w:trHeight w:val="300"/>
        </w:trPr>
        <w:tc>
          <w:tcPr>
            <w:tcW w:w="1445" w:type="dxa"/>
            <w:shd w:val="clear" w:color="auto" w:fill="FF7C80"/>
            <w:noWrap/>
            <w:vAlign w:val="center"/>
            <w:hideMark/>
          </w:tcPr>
          <w:p w14:paraId="08194257"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i/>
                <w:color w:val="000000"/>
              </w:rPr>
            </w:pPr>
            <w:r w:rsidRPr="00864BA4">
              <w:rPr>
                <w:rFonts w:asciiTheme="minorHAnsi" w:eastAsia="Times New Roman" w:hAnsiTheme="minorHAnsi" w:cstheme="minorHAnsi"/>
                <w:i/>
                <w:color w:val="000000"/>
              </w:rPr>
              <w:t>TO_010</w:t>
            </w:r>
          </w:p>
        </w:tc>
        <w:tc>
          <w:tcPr>
            <w:tcW w:w="2519" w:type="dxa"/>
            <w:shd w:val="clear" w:color="000000" w:fill="FFFFFF"/>
            <w:noWrap/>
            <w:vAlign w:val="center"/>
            <w:hideMark/>
          </w:tcPr>
          <w:p w14:paraId="4C12ADB7"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Osasco (TO)</w:t>
            </w:r>
          </w:p>
        </w:tc>
        <w:tc>
          <w:tcPr>
            <w:tcW w:w="1561" w:type="dxa"/>
            <w:noWrap/>
            <w:vAlign w:val="center"/>
            <w:hideMark/>
          </w:tcPr>
          <w:p w14:paraId="039F2278"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10</w:t>
            </w:r>
          </w:p>
        </w:tc>
        <w:tc>
          <w:tcPr>
            <w:tcW w:w="1299" w:type="dxa"/>
            <w:noWrap/>
            <w:vAlign w:val="center"/>
            <w:hideMark/>
          </w:tcPr>
          <w:p w14:paraId="0AFA1908"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1760</w:t>
            </w:r>
          </w:p>
        </w:tc>
        <w:tc>
          <w:tcPr>
            <w:tcW w:w="1152" w:type="dxa"/>
            <w:noWrap/>
            <w:vAlign w:val="center"/>
            <w:hideMark/>
          </w:tcPr>
          <w:p w14:paraId="379F0DAA"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121</w:t>
            </w:r>
          </w:p>
        </w:tc>
        <w:tc>
          <w:tcPr>
            <w:tcW w:w="1189" w:type="dxa"/>
            <w:noWrap/>
            <w:vAlign w:val="center"/>
            <w:hideMark/>
          </w:tcPr>
          <w:p w14:paraId="6BDC10B7"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94%</w:t>
            </w:r>
          </w:p>
        </w:tc>
      </w:tr>
      <w:tr w:rsidR="00FD2CBB" w:rsidRPr="000E7B50" w14:paraId="55B12AAA" w14:textId="77777777" w:rsidTr="00B50CF2">
        <w:trPr>
          <w:trHeight w:val="300"/>
        </w:trPr>
        <w:tc>
          <w:tcPr>
            <w:tcW w:w="1445" w:type="dxa"/>
            <w:shd w:val="clear" w:color="auto" w:fill="FF7C80"/>
            <w:noWrap/>
            <w:vAlign w:val="center"/>
            <w:hideMark/>
          </w:tcPr>
          <w:p w14:paraId="0F2F2611"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i/>
                <w:color w:val="000000"/>
              </w:rPr>
            </w:pPr>
            <w:r w:rsidRPr="00864BA4">
              <w:rPr>
                <w:rFonts w:asciiTheme="minorHAnsi" w:eastAsia="Times New Roman" w:hAnsiTheme="minorHAnsi" w:cstheme="minorHAnsi"/>
                <w:i/>
                <w:color w:val="000000"/>
              </w:rPr>
              <w:t>TO_011</w:t>
            </w:r>
          </w:p>
        </w:tc>
        <w:tc>
          <w:tcPr>
            <w:tcW w:w="2519" w:type="dxa"/>
            <w:shd w:val="clear" w:color="000000" w:fill="FFFFFF"/>
            <w:noWrap/>
            <w:vAlign w:val="center"/>
            <w:hideMark/>
          </w:tcPr>
          <w:p w14:paraId="1ED41DB0"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Torino (TO)</w:t>
            </w:r>
          </w:p>
        </w:tc>
        <w:tc>
          <w:tcPr>
            <w:tcW w:w="1561" w:type="dxa"/>
            <w:noWrap/>
            <w:vAlign w:val="center"/>
            <w:hideMark/>
          </w:tcPr>
          <w:p w14:paraId="4A83B5AA"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11</w:t>
            </w:r>
          </w:p>
        </w:tc>
        <w:tc>
          <w:tcPr>
            <w:tcW w:w="1299" w:type="dxa"/>
            <w:noWrap/>
            <w:vAlign w:val="center"/>
            <w:hideMark/>
          </w:tcPr>
          <w:p w14:paraId="39DD1499"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1587</w:t>
            </w:r>
          </w:p>
        </w:tc>
        <w:tc>
          <w:tcPr>
            <w:tcW w:w="1152" w:type="dxa"/>
            <w:noWrap/>
            <w:vAlign w:val="center"/>
            <w:hideMark/>
          </w:tcPr>
          <w:p w14:paraId="716C0340"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215</w:t>
            </w:r>
          </w:p>
        </w:tc>
        <w:tc>
          <w:tcPr>
            <w:tcW w:w="1189" w:type="dxa"/>
            <w:noWrap/>
            <w:vAlign w:val="center"/>
            <w:hideMark/>
          </w:tcPr>
          <w:p w14:paraId="57C5AE00"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88%</w:t>
            </w:r>
          </w:p>
        </w:tc>
      </w:tr>
      <w:tr w:rsidR="00FD2CBB" w:rsidRPr="000E7B50" w14:paraId="57C5A583" w14:textId="77777777" w:rsidTr="00B50CF2">
        <w:trPr>
          <w:trHeight w:val="300"/>
        </w:trPr>
        <w:tc>
          <w:tcPr>
            <w:tcW w:w="1445" w:type="dxa"/>
            <w:shd w:val="clear" w:color="auto" w:fill="FF7C80"/>
            <w:noWrap/>
            <w:vAlign w:val="center"/>
            <w:hideMark/>
          </w:tcPr>
          <w:p w14:paraId="08BE8E7B"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i/>
                <w:color w:val="000000"/>
              </w:rPr>
            </w:pPr>
            <w:r w:rsidRPr="00864BA4">
              <w:rPr>
                <w:rFonts w:asciiTheme="minorHAnsi" w:eastAsia="Times New Roman" w:hAnsiTheme="minorHAnsi" w:cstheme="minorHAnsi"/>
                <w:i/>
                <w:color w:val="000000"/>
              </w:rPr>
              <w:t>TO_012</w:t>
            </w:r>
          </w:p>
        </w:tc>
        <w:tc>
          <w:tcPr>
            <w:tcW w:w="2519" w:type="dxa"/>
            <w:shd w:val="clear" w:color="000000" w:fill="FFFFFF"/>
            <w:noWrap/>
            <w:vAlign w:val="center"/>
            <w:hideMark/>
          </w:tcPr>
          <w:p w14:paraId="116CCC8B"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Balme (TO)</w:t>
            </w:r>
          </w:p>
        </w:tc>
        <w:tc>
          <w:tcPr>
            <w:tcW w:w="1561" w:type="dxa"/>
            <w:noWrap/>
            <w:vAlign w:val="center"/>
            <w:hideMark/>
          </w:tcPr>
          <w:p w14:paraId="15EFAB65"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4</w:t>
            </w:r>
          </w:p>
        </w:tc>
        <w:tc>
          <w:tcPr>
            <w:tcW w:w="1299" w:type="dxa"/>
            <w:noWrap/>
            <w:vAlign w:val="center"/>
            <w:hideMark/>
          </w:tcPr>
          <w:p w14:paraId="268EEC54"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609</w:t>
            </w:r>
          </w:p>
        </w:tc>
        <w:tc>
          <w:tcPr>
            <w:tcW w:w="1152" w:type="dxa"/>
            <w:noWrap/>
            <w:vAlign w:val="center"/>
            <w:hideMark/>
          </w:tcPr>
          <w:p w14:paraId="540D138D"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192</w:t>
            </w:r>
          </w:p>
        </w:tc>
        <w:tc>
          <w:tcPr>
            <w:tcW w:w="1189" w:type="dxa"/>
            <w:noWrap/>
            <w:vAlign w:val="center"/>
            <w:hideMark/>
          </w:tcPr>
          <w:p w14:paraId="14B3FB8A"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76%</w:t>
            </w:r>
          </w:p>
        </w:tc>
      </w:tr>
      <w:tr w:rsidR="00FD2CBB" w:rsidRPr="000E7B50" w14:paraId="79678307" w14:textId="77777777" w:rsidTr="00B50CF2">
        <w:trPr>
          <w:trHeight w:val="300"/>
        </w:trPr>
        <w:tc>
          <w:tcPr>
            <w:tcW w:w="1445" w:type="dxa"/>
            <w:shd w:val="clear" w:color="auto" w:fill="FF7C80"/>
            <w:noWrap/>
            <w:vAlign w:val="center"/>
            <w:hideMark/>
          </w:tcPr>
          <w:p w14:paraId="546B7E43"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i/>
                <w:color w:val="000000"/>
              </w:rPr>
            </w:pPr>
            <w:r w:rsidRPr="00864BA4">
              <w:rPr>
                <w:rFonts w:asciiTheme="minorHAnsi" w:eastAsia="Times New Roman" w:hAnsiTheme="minorHAnsi" w:cstheme="minorHAnsi"/>
                <w:i/>
                <w:color w:val="000000"/>
              </w:rPr>
              <w:t>TO_013</w:t>
            </w:r>
          </w:p>
        </w:tc>
        <w:tc>
          <w:tcPr>
            <w:tcW w:w="2519" w:type="dxa"/>
            <w:shd w:val="clear" w:color="000000" w:fill="FFFFFF"/>
            <w:noWrap/>
            <w:vAlign w:val="center"/>
            <w:hideMark/>
          </w:tcPr>
          <w:p w14:paraId="3AD7AADB" w14:textId="75C29C3F"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San Mauro Torinese (TO)</w:t>
            </w:r>
          </w:p>
        </w:tc>
        <w:tc>
          <w:tcPr>
            <w:tcW w:w="1561" w:type="dxa"/>
            <w:noWrap/>
            <w:vAlign w:val="center"/>
            <w:hideMark/>
          </w:tcPr>
          <w:p w14:paraId="7EC25737"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6</w:t>
            </w:r>
          </w:p>
        </w:tc>
        <w:tc>
          <w:tcPr>
            <w:tcW w:w="1299" w:type="dxa"/>
            <w:noWrap/>
            <w:vAlign w:val="center"/>
            <w:hideMark/>
          </w:tcPr>
          <w:p w14:paraId="0098DA03"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654</w:t>
            </w:r>
          </w:p>
        </w:tc>
        <w:tc>
          <w:tcPr>
            <w:tcW w:w="1152" w:type="dxa"/>
            <w:noWrap/>
            <w:vAlign w:val="center"/>
            <w:hideMark/>
          </w:tcPr>
          <w:p w14:paraId="02F0507A"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105</w:t>
            </w:r>
          </w:p>
        </w:tc>
        <w:tc>
          <w:tcPr>
            <w:tcW w:w="1189" w:type="dxa"/>
            <w:noWrap/>
            <w:vAlign w:val="center"/>
            <w:hideMark/>
          </w:tcPr>
          <w:p w14:paraId="584C1251"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86%</w:t>
            </w:r>
          </w:p>
        </w:tc>
      </w:tr>
      <w:tr w:rsidR="00FD2CBB" w:rsidRPr="000E7B50" w14:paraId="6344CB64" w14:textId="77777777" w:rsidTr="00B50CF2">
        <w:trPr>
          <w:trHeight w:val="300"/>
        </w:trPr>
        <w:tc>
          <w:tcPr>
            <w:tcW w:w="1445" w:type="dxa"/>
            <w:shd w:val="clear" w:color="auto" w:fill="FF7C80"/>
            <w:noWrap/>
            <w:vAlign w:val="center"/>
            <w:hideMark/>
          </w:tcPr>
          <w:p w14:paraId="131A8DB8"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i/>
                <w:color w:val="000000"/>
              </w:rPr>
            </w:pPr>
            <w:r w:rsidRPr="00864BA4">
              <w:rPr>
                <w:rFonts w:asciiTheme="minorHAnsi" w:eastAsia="Times New Roman" w:hAnsiTheme="minorHAnsi" w:cstheme="minorHAnsi"/>
                <w:i/>
                <w:color w:val="000000"/>
              </w:rPr>
              <w:t>TO_014</w:t>
            </w:r>
          </w:p>
        </w:tc>
        <w:tc>
          <w:tcPr>
            <w:tcW w:w="2519" w:type="dxa"/>
            <w:shd w:val="clear" w:color="000000" w:fill="FFFFFF"/>
            <w:noWrap/>
            <w:vAlign w:val="center"/>
            <w:hideMark/>
          </w:tcPr>
          <w:p w14:paraId="7CBB8E27"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Carignano (TO)</w:t>
            </w:r>
          </w:p>
        </w:tc>
        <w:tc>
          <w:tcPr>
            <w:tcW w:w="1561" w:type="dxa"/>
            <w:noWrap/>
            <w:vAlign w:val="center"/>
            <w:hideMark/>
          </w:tcPr>
          <w:p w14:paraId="424964DB"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14</w:t>
            </w:r>
          </w:p>
        </w:tc>
        <w:tc>
          <w:tcPr>
            <w:tcW w:w="1299" w:type="dxa"/>
            <w:noWrap/>
            <w:vAlign w:val="center"/>
            <w:hideMark/>
          </w:tcPr>
          <w:p w14:paraId="14AEF49C"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2353</w:t>
            </w:r>
          </w:p>
        </w:tc>
        <w:tc>
          <w:tcPr>
            <w:tcW w:w="1152" w:type="dxa"/>
            <w:noWrap/>
            <w:vAlign w:val="center"/>
            <w:hideMark/>
          </w:tcPr>
          <w:p w14:paraId="16EAD05A"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190</w:t>
            </w:r>
          </w:p>
        </w:tc>
        <w:tc>
          <w:tcPr>
            <w:tcW w:w="1189" w:type="dxa"/>
            <w:noWrap/>
            <w:vAlign w:val="center"/>
            <w:hideMark/>
          </w:tcPr>
          <w:p w14:paraId="4947D1B4"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93%</w:t>
            </w:r>
          </w:p>
        </w:tc>
      </w:tr>
      <w:tr w:rsidR="00FD2CBB" w:rsidRPr="000E7B50" w14:paraId="7685CCC9" w14:textId="77777777" w:rsidTr="00B50CF2">
        <w:trPr>
          <w:trHeight w:val="300"/>
        </w:trPr>
        <w:tc>
          <w:tcPr>
            <w:tcW w:w="1445" w:type="dxa"/>
            <w:shd w:val="clear" w:color="auto" w:fill="FF7C80"/>
            <w:noWrap/>
            <w:vAlign w:val="center"/>
            <w:hideMark/>
          </w:tcPr>
          <w:p w14:paraId="613BB5D6"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i/>
                <w:color w:val="000000"/>
              </w:rPr>
            </w:pPr>
            <w:r w:rsidRPr="00864BA4">
              <w:rPr>
                <w:rFonts w:asciiTheme="minorHAnsi" w:eastAsia="Times New Roman" w:hAnsiTheme="minorHAnsi" w:cstheme="minorHAnsi"/>
                <w:i/>
                <w:color w:val="000000"/>
              </w:rPr>
              <w:t>TO_016</w:t>
            </w:r>
          </w:p>
        </w:tc>
        <w:tc>
          <w:tcPr>
            <w:tcW w:w="2519" w:type="dxa"/>
            <w:shd w:val="clear" w:color="000000" w:fill="FFFFFF"/>
            <w:noWrap/>
            <w:vAlign w:val="center"/>
            <w:hideMark/>
          </w:tcPr>
          <w:p w14:paraId="4ABBABE8" w14:textId="45F105F0"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Groscavallo (TO)</w:t>
            </w:r>
          </w:p>
        </w:tc>
        <w:tc>
          <w:tcPr>
            <w:tcW w:w="1561" w:type="dxa"/>
            <w:noWrap/>
            <w:vAlign w:val="center"/>
            <w:hideMark/>
          </w:tcPr>
          <w:p w14:paraId="1CBEC2F8"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5</w:t>
            </w:r>
          </w:p>
        </w:tc>
        <w:tc>
          <w:tcPr>
            <w:tcW w:w="1299" w:type="dxa"/>
            <w:noWrap/>
            <w:vAlign w:val="center"/>
            <w:hideMark/>
          </w:tcPr>
          <w:p w14:paraId="5D4A55D8"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723</w:t>
            </w:r>
          </w:p>
        </w:tc>
        <w:tc>
          <w:tcPr>
            <w:tcW w:w="1152" w:type="dxa"/>
            <w:noWrap/>
            <w:vAlign w:val="center"/>
            <w:hideMark/>
          </w:tcPr>
          <w:p w14:paraId="07CC30B0"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170</w:t>
            </w:r>
          </w:p>
        </w:tc>
        <w:tc>
          <w:tcPr>
            <w:tcW w:w="1189" w:type="dxa"/>
            <w:noWrap/>
            <w:vAlign w:val="center"/>
            <w:hideMark/>
          </w:tcPr>
          <w:p w14:paraId="3F749506"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81%</w:t>
            </w:r>
          </w:p>
        </w:tc>
      </w:tr>
      <w:tr w:rsidR="00FD2CBB" w:rsidRPr="000E7B50" w14:paraId="769A3677" w14:textId="77777777" w:rsidTr="00B50CF2">
        <w:trPr>
          <w:trHeight w:val="300"/>
        </w:trPr>
        <w:tc>
          <w:tcPr>
            <w:tcW w:w="1445" w:type="dxa"/>
            <w:shd w:val="clear" w:color="auto" w:fill="FF7C80"/>
            <w:noWrap/>
            <w:vAlign w:val="center"/>
            <w:hideMark/>
          </w:tcPr>
          <w:p w14:paraId="060E3169"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i/>
                <w:color w:val="000000"/>
              </w:rPr>
            </w:pPr>
            <w:r w:rsidRPr="00864BA4">
              <w:rPr>
                <w:rFonts w:asciiTheme="minorHAnsi" w:eastAsia="Times New Roman" w:hAnsiTheme="minorHAnsi" w:cstheme="minorHAnsi"/>
                <w:i/>
                <w:color w:val="000000"/>
              </w:rPr>
              <w:t>TO_017</w:t>
            </w:r>
          </w:p>
        </w:tc>
        <w:tc>
          <w:tcPr>
            <w:tcW w:w="2519" w:type="dxa"/>
            <w:shd w:val="clear" w:color="000000" w:fill="FFFFFF"/>
            <w:noWrap/>
            <w:vAlign w:val="center"/>
            <w:hideMark/>
          </w:tcPr>
          <w:p w14:paraId="698A3C51" w14:textId="4A7D9523"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Corio (TO)</w:t>
            </w:r>
          </w:p>
        </w:tc>
        <w:tc>
          <w:tcPr>
            <w:tcW w:w="1561" w:type="dxa"/>
            <w:noWrap/>
            <w:vAlign w:val="center"/>
            <w:hideMark/>
          </w:tcPr>
          <w:p w14:paraId="7738F1F3"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3</w:t>
            </w:r>
          </w:p>
        </w:tc>
        <w:tc>
          <w:tcPr>
            <w:tcW w:w="1299" w:type="dxa"/>
            <w:noWrap/>
            <w:vAlign w:val="center"/>
            <w:hideMark/>
          </w:tcPr>
          <w:p w14:paraId="5EA6E126"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294</w:t>
            </w:r>
          </w:p>
        </w:tc>
        <w:tc>
          <w:tcPr>
            <w:tcW w:w="1152" w:type="dxa"/>
            <w:noWrap/>
            <w:vAlign w:val="center"/>
            <w:hideMark/>
          </w:tcPr>
          <w:p w14:paraId="431861F8"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23</w:t>
            </w:r>
          </w:p>
        </w:tc>
        <w:tc>
          <w:tcPr>
            <w:tcW w:w="1189" w:type="dxa"/>
            <w:noWrap/>
            <w:vAlign w:val="center"/>
            <w:hideMark/>
          </w:tcPr>
          <w:p w14:paraId="197347E7"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93%</w:t>
            </w:r>
          </w:p>
        </w:tc>
      </w:tr>
      <w:tr w:rsidR="00FD2CBB" w:rsidRPr="000E7B50" w14:paraId="1CF343BF" w14:textId="77777777" w:rsidTr="00B50CF2">
        <w:trPr>
          <w:trHeight w:val="300"/>
        </w:trPr>
        <w:tc>
          <w:tcPr>
            <w:tcW w:w="1445" w:type="dxa"/>
            <w:shd w:val="clear" w:color="auto" w:fill="FF7C80"/>
            <w:noWrap/>
            <w:vAlign w:val="center"/>
            <w:hideMark/>
          </w:tcPr>
          <w:p w14:paraId="1528735C"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i/>
                <w:color w:val="000000"/>
              </w:rPr>
            </w:pPr>
            <w:r w:rsidRPr="00864BA4">
              <w:rPr>
                <w:rFonts w:asciiTheme="minorHAnsi" w:eastAsia="Times New Roman" w:hAnsiTheme="minorHAnsi" w:cstheme="minorHAnsi"/>
                <w:i/>
                <w:color w:val="000000"/>
              </w:rPr>
              <w:t>TO_018</w:t>
            </w:r>
          </w:p>
        </w:tc>
        <w:tc>
          <w:tcPr>
            <w:tcW w:w="2519" w:type="dxa"/>
            <w:shd w:val="clear" w:color="000000" w:fill="FFFFFF"/>
            <w:noWrap/>
            <w:vAlign w:val="center"/>
            <w:hideMark/>
          </w:tcPr>
          <w:p w14:paraId="4BDE5B46" w14:textId="4ECF4E75"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Bussoleno (TO)</w:t>
            </w:r>
          </w:p>
        </w:tc>
        <w:tc>
          <w:tcPr>
            <w:tcW w:w="1561" w:type="dxa"/>
            <w:noWrap/>
            <w:vAlign w:val="center"/>
            <w:hideMark/>
          </w:tcPr>
          <w:p w14:paraId="2C6077E1"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14</w:t>
            </w:r>
          </w:p>
        </w:tc>
        <w:tc>
          <w:tcPr>
            <w:tcW w:w="1299" w:type="dxa"/>
            <w:noWrap/>
            <w:vAlign w:val="center"/>
            <w:hideMark/>
          </w:tcPr>
          <w:p w14:paraId="0BE3B85A"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1969</w:t>
            </w:r>
          </w:p>
        </w:tc>
        <w:tc>
          <w:tcPr>
            <w:tcW w:w="1152" w:type="dxa"/>
            <w:noWrap/>
            <w:vAlign w:val="center"/>
            <w:hideMark/>
          </w:tcPr>
          <w:p w14:paraId="3A23FE5B"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206</w:t>
            </w:r>
          </w:p>
        </w:tc>
        <w:tc>
          <w:tcPr>
            <w:tcW w:w="1189" w:type="dxa"/>
            <w:noWrap/>
            <w:vAlign w:val="center"/>
            <w:hideMark/>
          </w:tcPr>
          <w:p w14:paraId="11E1C29A"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91%</w:t>
            </w:r>
          </w:p>
        </w:tc>
      </w:tr>
      <w:tr w:rsidR="00FD2CBB" w:rsidRPr="000E7B50" w14:paraId="674CDFE6" w14:textId="77777777" w:rsidTr="00B50CF2">
        <w:trPr>
          <w:trHeight w:val="300"/>
        </w:trPr>
        <w:tc>
          <w:tcPr>
            <w:tcW w:w="1445" w:type="dxa"/>
            <w:shd w:val="clear" w:color="auto" w:fill="FF7C80"/>
            <w:noWrap/>
            <w:vAlign w:val="center"/>
            <w:hideMark/>
          </w:tcPr>
          <w:p w14:paraId="3B7AB9E6"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i/>
                <w:color w:val="000000"/>
              </w:rPr>
            </w:pPr>
            <w:r w:rsidRPr="00864BA4">
              <w:rPr>
                <w:rFonts w:asciiTheme="minorHAnsi" w:eastAsia="Times New Roman" w:hAnsiTheme="minorHAnsi" w:cstheme="minorHAnsi"/>
                <w:i/>
                <w:color w:val="000000"/>
              </w:rPr>
              <w:t>TO_019</w:t>
            </w:r>
          </w:p>
        </w:tc>
        <w:tc>
          <w:tcPr>
            <w:tcW w:w="2519" w:type="dxa"/>
            <w:shd w:val="clear" w:color="000000" w:fill="FFFFFF"/>
            <w:noWrap/>
            <w:vAlign w:val="center"/>
            <w:hideMark/>
          </w:tcPr>
          <w:p w14:paraId="6E3A7947" w14:textId="0201CA2E"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Bardonecchia (TO)</w:t>
            </w:r>
          </w:p>
        </w:tc>
        <w:tc>
          <w:tcPr>
            <w:tcW w:w="1561" w:type="dxa"/>
            <w:noWrap/>
            <w:vAlign w:val="center"/>
            <w:hideMark/>
          </w:tcPr>
          <w:p w14:paraId="544B98FF"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5</w:t>
            </w:r>
          </w:p>
        </w:tc>
        <w:tc>
          <w:tcPr>
            <w:tcW w:w="1299" w:type="dxa"/>
            <w:noWrap/>
            <w:vAlign w:val="center"/>
            <w:hideMark/>
          </w:tcPr>
          <w:p w14:paraId="73394061"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660</w:t>
            </w:r>
          </w:p>
        </w:tc>
        <w:tc>
          <w:tcPr>
            <w:tcW w:w="1152" w:type="dxa"/>
            <w:noWrap/>
            <w:vAlign w:val="center"/>
            <w:hideMark/>
          </w:tcPr>
          <w:p w14:paraId="7667CFF5"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106</w:t>
            </w:r>
          </w:p>
        </w:tc>
        <w:tc>
          <w:tcPr>
            <w:tcW w:w="1189" w:type="dxa"/>
            <w:noWrap/>
            <w:vAlign w:val="center"/>
            <w:hideMark/>
          </w:tcPr>
          <w:p w14:paraId="07A1DAA0"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86%</w:t>
            </w:r>
          </w:p>
        </w:tc>
      </w:tr>
      <w:tr w:rsidR="00FD2CBB" w:rsidRPr="000E7B50" w14:paraId="1DC428A0" w14:textId="77777777" w:rsidTr="00B50CF2">
        <w:trPr>
          <w:trHeight w:val="300"/>
        </w:trPr>
        <w:tc>
          <w:tcPr>
            <w:tcW w:w="1445" w:type="dxa"/>
            <w:shd w:val="clear" w:color="auto" w:fill="FF7C80"/>
            <w:noWrap/>
            <w:vAlign w:val="center"/>
            <w:hideMark/>
          </w:tcPr>
          <w:p w14:paraId="0B36681A"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i/>
                <w:color w:val="000000"/>
              </w:rPr>
            </w:pPr>
            <w:r w:rsidRPr="00864BA4">
              <w:rPr>
                <w:rFonts w:asciiTheme="minorHAnsi" w:eastAsia="Times New Roman" w:hAnsiTheme="minorHAnsi" w:cstheme="minorHAnsi"/>
                <w:i/>
                <w:color w:val="000000"/>
              </w:rPr>
              <w:t>TO_020</w:t>
            </w:r>
          </w:p>
        </w:tc>
        <w:tc>
          <w:tcPr>
            <w:tcW w:w="2519" w:type="dxa"/>
            <w:shd w:val="clear" w:color="000000" w:fill="FFFFFF"/>
            <w:noWrap/>
            <w:vAlign w:val="center"/>
            <w:hideMark/>
          </w:tcPr>
          <w:p w14:paraId="4144765A" w14:textId="19B5FADD"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Carmagnola (TO)</w:t>
            </w:r>
          </w:p>
        </w:tc>
        <w:tc>
          <w:tcPr>
            <w:tcW w:w="1561" w:type="dxa"/>
            <w:noWrap/>
            <w:vAlign w:val="center"/>
            <w:hideMark/>
          </w:tcPr>
          <w:p w14:paraId="7A7D2A6A"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16</w:t>
            </w:r>
          </w:p>
        </w:tc>
        <w:tc>
          <w:tcPr>
            <w:tcW w:w="1299" w:type="dxa"/>
            <w:noWrap/>
            <w:vAlign w:val="center"/>
            <w:hideMark/>
          </w:tcPr>
          <w:p w14:paraId="2ED12EE7"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2406</w:t>
            </w:r>
          </w:p>
        </w:tc>
        <w:tc>
          <w:tcPr>
            <w:tcW w:w="1152" w:type="dxa"/>
            <w:noWrap/>
            <w:vAlign w:val="center"/>
            <w:hideMark/>
          </w:tcPr>
          <w:p w14:paraId="2A011A47"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111</w:t>
            </w:r>
          </w:p>
        </w:tc>
        <w:tc>
          <w:tcPr>
            <w:tcW w:w="1189" w:type="dxa"/>
            <w:noWrap/>
            <w:vAlign w:val="center"/>
            <w:hideMark/>
          </w:tcPr>
          <w:p w14:paraId="0759DEC7"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96%</w:t>
            </w:r>
          </w:p>
        </w:tc>
      </w:tr>
      <w:tr w:rsidR="00FD2CBB" w:rsidRPr="000E7B50" w14:paraId="68563B17" w14:textId="77777777" w:rsidTr="00B50CF2">
        <w:trPr>
          <w:trHeight w:val="300"/>
        </w:trPr>
        <w:tc>
          <w:tcPr>
            <w:tcW w:w="1445" w:type="dxa"/>
            <w:shd w:val="clear" w:color="auto" w:fill="FF7C80"/>
            <w:noWrap/>
            <w:vAlign w:val="center"/>
            <w:hideMark/>
          </w:tcPr>
          <w:p w14:paraId="09573BAC"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i/>
                <w:color w:val="000000"/>
              </w:rPr>
            </w:pPr>
            <w:r w:rsidRPr="00864BA4">
              <w:rPr>
                <w:rFonts w:asciiTheme="minorHAnsi" w:eastAsia="Times New Roman" w:hAnsiTheme="minorHAnsi" w:cstheme="minorHAnsi"/>
                <w:i/>
                <w:color w:val="000000"/>
              </w:rPr>
              <w:t>TO_021</w:t>
            </w:r>
          </w:p>
        </w:tc>
        <w:tc>
          <w:tcPr>
            <w:tcW w:w="2519" w:type="dxa"/>
            <w:shd w:val="clear" w:color="000000" w:fill="FFFFFF"/>
            <w:noWrap/>
            <w:vAlign w:val="center"/>
            <w:hideMark/>
          </w:tcPr>
          <w:p w14:paraId="7298FC24"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Caluso (TO)</w:t>
            </w:r>
          </w:p>
        </w:tc>
        <w:tc>
          <w:tcPr>
            <w:tcW w:w="1561" w:type="dxa"/>
            <w:noWrap/>
            <w:vAlign w:val="center"/>
            <w:hideMark/>
          </w:tcPr>
          <w:p w14:paraId="720DD5EE"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10</w:t>
            </w:r>
          </w:p>
        </w:tc>
        <w:tc>
          <w:tcPr>
            <w:tcW w:w="1299" w:type="dxa"/>
            <w:noWrap/>
            <w:vAlign w:val="center"/>
            <w:hideMark/>
          </w:tcPr>
          <w:p w14:paraId="17D4F82F"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2090</w:t>
            </w:r>
          </w:p>
        </w:tc>
        <w:tc>
          <w:tcPr>
            <w:tcW w:w="1152" w:type="dxa"/>
            <w:noWrap/>
            <w:vAlign w:val="center"/>
            <w:hideMark/>
          </w:tcPr>
          <w:p w14:paraId="6041EC21"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306</w:t>
            </w:r>
          </w:p>
        </w:tc>
        <w:tc>
          <w:tcPr>
            <w:tcW w:w="1189" w:type="dxa"/>
            <w:noWrap/>
            <w:vAlign w:val="center"/>
            <w:hideMark/>
          </w:tcPr>
          <w:p w14:paraId="5C0C8BA6"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87%</w:t>
            </w:r>
          </w:p>
        </w:tc>
      </w:tr>
      <w:tr w:rsidR="00FD2CBB" w:rsidRPr="000E7B50" w14:paraId="2A5578D9" w14:textId="77777777" w:rsidTr="00B50CF2">
        <w:trPr>
          <w:trHeight w:val="300"/>
        </w:trPr>
        <w:tc>
          <w:tcPr>
            <w:tcW w:w="1445" w:type="dxa"/>
            <w:shd w:val="clear" w:color="auto" w:fill="FF7C80"/>
            <w:noWrap/>
            <w:vAlign w:val="center"/>
            <w:hideMark/>
          </w:tcPr>
          <w:p w14:paraId="4F25CEC0"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i/>
                <w:color w:val="000000"/>
              </w:rPr>
            </w:pPr>
            <w:r w:rsidRPr="00864BA4">
              <w:rPr>
                <w:rFonts w:asciiTheme="minorHAnsi" w:eastAsia="Times New Roman" w:hAnsiTheme="minorHAnsi" w:cstheme="minorHAnsi"/>
                <w:i/>
                <w:color w:val="000000"/>
              </w:rPr>
              <w:t>TO_022</w:t>
            </w:r>
          </w:p>
        </w:tc>
        <w:tc>
          <w:tcPr>
            <w:tcW w:w="2519" w:type="dxa"/>
            <w:shd w:val="clear" w:color="000000" w:fill="FFFFFF"/>
            <w:noWrap/>
            <w:vAlign w:val="center"/>
            <w:hideMark/>
          </w:tcPr>
          <w:p w14:paraId="78797D14" w14:textId="7565B3F2"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Castellamonte (TO)</w:t>
            </w:r>
          </w:p>
        </w:tc>
        <w:tc>
          <w:tcPr>
            <w:tcW w:w="1561" w:type="dxa"/>
            <w:noWrap/>
            <w:vAlign w:val="center"/>
            <w:hideMark/>
          </w:tcPr>
          <w:p w14:paraId="67C06698"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17</w:t>
            </w:r>
          </w:p>
        </w:tc>
        <w:tc>
          <w:tcPr>
            <w:tcW w:w="1299" w:type="dxa"/>
            <w:noWrap/>
            <w:vAlign w:val="center"/>
            <w:hideMark/>
          </w:tcPr>
          <w:p w14:paraId="5B2CB8A6"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2763</w:t>
            </w:r>
          </w:p>
        </w:tc>
        <w:tc>
          <w:tcPr>
            <w:tcW w:w="1152" w:type="dxa"/>
            <w:noWrap/>
            <w:vAlign w:val="center"/>
            <w:hideMark/>
          </w:tcPr>
          <w:p w14:paraId="5DB49391"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275</w:t>
            </w:r>
          </w:p>
        </w:tc>
        <w:tc>
          <w:tcPr>
            <w:tcW w:w="1189" w:type="dxa"/>
            <w:noWrap/>
            <w:vAlign w:val="center"/>
            <w:hideMark/>
          </w:tcPr>
          <w:p w14:paraId="738E04A7"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91%</w:t>
            </w:r>
          </w:p>
        </w:tc>
      </w:tr>
      <w:tr w:rsidR="00FD2CBB" w:rsidRPr="000E7B50" w14:paraId="6FB6D5C6" w14:textId="77777777" w:rsidTr="00B50CF2">
        <w:trPr>
          <w:trHeight w:val="300"/>
        </w:trPr>
        <w:tc>
          <w:tcPr>
            <w:tcW w:w="1445" w:type="dxa"/>
            <w:shd w:val="clear" w:color="auto" w:fill="FF7C80"/>
            <w:noWrap/>
            <w:vAlign w:val="center"/>
            <w:hideMark/>
          </w:tcPr>
          <w:p w14:paraId="2C09F22D"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i/>
                <w:color w:val="000000"/>
              </w:rPr>
            </w:pPr>
            <w:r w:rsidRPr="00864BA4">
              <w:rPr>
                <w:rFonts w:asciiTheme="minorHAnsi" w:eastAsia="Times New Roman" w:hAnsiTheme="minorHAnsi" w:cstheme="minorHAnsi"/>
                <w:i/>
                <w:color w:val="000000"/>
              </w:rPr>
              <w:t>TO_023</w:t>
            </w:r>
          </w:p>
        </w:tc>
        <w:tc>
          <w:tcPr>
            <w:tcW w:w="2519" w:type="dxa"/>
            <w:shd w:val="clear" w:color="000000" w:fill="FFFFFF"/>
            <w:noWrap/>
            <w:vAlign w:val="center"/>
            <w:hideMark/>
          </w:tcPr>
          <w:p w14:paraId="149C7DEB" w14:textId="59B53C94"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Castellamonte (TO)</w:t>
            </w:r>
          </w:p>
        </w:tc>
        <w:tc>
          <w:tcPr>
            <w:tcW w:w="1561" w:type="dxa"/>
            <w:noWrap/>
            <w:vAlign w:val="center"/>
            <w:hideMark/>
          </w:tcPr>
          <w:p w14:paraId="5297647B"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2</w:t>
            </w:r>
          </w:p>
        </w:tc>
        <w:tc>
          <w:tcPr>
            <w:tcW w:w="1299" w:type="dxa"/>
            <w:noWrap/>
            <w:vAlign w:val="center"/>
            <w:hideMark/>
          </w:tcPr>
          <w:p w14:paraId="14F6A0CC"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365</w:t>
            </w:r>
          </w:p>
        </w:tc>
        <w:tc>
          <w:tcPr>
            <w:tcW w:w="1152" w:type="dxa"/>
            <w:noWrap/>
            <w:vAlign w:val="center"/>
            <w:hideMark/>
          </w:tcPr>
          <w:p w14:paraId="54836AFB"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29</w:t>
            </w:r>
          </w:p>
        </w:tc>
        <w:tc>
          <w:tcPr>
            <w:tcW w:w="1189" w:type="dxa"/>
            <w:noWrap/>
            <w:vAlign w:val="center"/>
            <w:hideMark/>
          </w:tcPr>
          <w:p w14:paraId="50ABF3DA"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93%</w:t>
            </w:r>
          </w:p>
        </w:tc>
      </w:tr>
      <w:tr w:rsidR="00FD2CBB" w:rsidRPr="000E7B50" w14:paraId="005B8127" w14:textId="77777777" w:rsidTr="00B50CF2">
        <w:trPr>
          <w:trHeight w:val="300"/>
        </w:trPr>
        <w:tc>
          <w:tcPr>
            <w:tcW w:w="1445" w:type="dxa"/>
            <w:shd w:val="clear" w:color="auto" w:fill="FF7C80"/>
            <w:noWrap/>
            <w:vAlign w:val="center"/>
            <w:hideMark/>
          </w:tcPr>
          <w:p w14:paraId="5433F621"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i/>
                <w:color w:val="000000"/>
              </w:rPr>
            </w:pPr>
            <w:r w:rsidRPr="00864BA4">
              <w:rPr>
                <w:rFonts w:asciiTheme="minorHAnsi" w:eastAsia="Times New Roman" w:hAnsiTheme="minorHAnsi" w:cstheme="minorHAnsi"/>
                <w:i/>
                <w:color w:val="000000"/>
              </w:rPr>
              <w:t>TO_024</w:t>
            </w:r>
          </w:p>
        </w:tc>
        <w:tc>
          <w:tcPr>
            <w:tcW w:w="2519" w:type="dxa"/>
            <w:shd w:val="clear" w:color="000000" w:fill="FFFFFF"/>
            <w:noWrap/>
            <w:vAlign w:val="center"/>
            <w:hideMark/>
          </w:tcPr>
          <w:p w14:paraId="68762AB9"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Salassa (TO)</w:t>
            </w:r>
          </w:p>
        </w:tc>
        <w:tc>
          <w:tcPr>
            <w:tcW w:w="1561" w:type="dxa"/>
            <w:noWrap/>
            <w:vAlign w:val="center"/>
            <w:hideMark/>
          </w:tcPr>
          <w:p w14:paraId="1851FA23"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2</w:t>
            </w:r>
          </w:p>
        </w:tc>
        <w:tc>
          <w:tcPr>
            <w:tcW w:w="1299" w:type="dxa"/>
            <w:noWrap/>
            <w:vAlign w:val="center"/>
            <w:hideMark/>
          </w:tcPr>
          <w:p w14:paraId="1BF5DF04"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185</w:t>
            </w:r>
          </w:p>
        </w:tc>
        <w:tc>
          <w:tcPr>
            <w:tcW w:w="1152" w:type="dxa"/>
            <w:noWrap/>
            <w:vAlign w:val="center"/>
            <w:hideMark/>
          </w:tcPr>
          <w:p w14:paraId="42796F2D"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19</w:t>
            </w:r>
          </w:p>
        </w:tc>
        <w:tc>
          <w:tcPr>
            <w:tcW w:w="1189" w:type="dxa"/>
            <w:noWrap/>
            <w:vAlign w:val="center"/>
            <w:hideMark/>
          </w:tcPr>
          <w:p w14:paraId="47AAD934"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91%</w:t>
            </w:r>
          </w:p>
        </w:tc>
      </w:tr>
      <w:tr w:rsidR="00FD2CBB" w:rsidRPr="000E7B50" w14:paraId="6C3344FA" w14:textId="77777777" w:rsidTr="00B50CF2">
        <w:trPr>
          <w:trHeight w:val="300"/>
        </w:trPr>
        <w:tc>
          <w:tcPr>
            <w:tcW w:w="1445" w:type="dxa"/>
            <w:shd w:val="clear" w:color="auto" w:fill="FF7C80"/>
            <w:noWrap/>
            <w:vAlign w:val="center"/>
            <w:hideMark/>
          </w:tcPr>
          <w:p w14:paraId="51765FCD"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i/>
                <w:color w:val="000000"/>
              </w:rPr>
            </w:pPr>
            <w:r w:rsidRPr="00864BA4">
              <w:rPr>
                <w:rFonts w:asciiTheme="minorHAnsi" w:eastAsia="Times New Roman" w:hAnsiTheme="minorHAnsi" w:cstheme="minorHAnsi"/>
                <w:i/>
                <w:color w:val="000000"/>
              </w:rPr>
              <w:t>TO_027</w:t>
            </w:r>
          </w:p>
        </w:tc>
        <w:tc>
          <w:tcPr>
            <w:tcW w:w="2519" w:type="dxa"/>
            <w:shd w:val="clear" w:color="000000" w:fill="FFFFFF"/>
            <w:noWrap/>
            <w:vAlign w:val="center"/>
            <w:hideMark/>
          </w:tcPr>
          <w:p w14:paraId="454622E0" w14:textId="18E1E8BD"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Cafasse (TO)</w:t>
            </w:r>
          </w:p>
        </w:tc>
        <w:tc>
          <w:tcPr>
            <w:tcW w:w="1561" w:type="dxa"/>
            <w:noWrap/>
            <w:vAlign w:val="center"/>
            <w:hideMark/>
          </w:tcPr>
          <w:p w14:paraId="2EB4C6B7"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14</w:t>
            </w:r>
          </w:p>
        </w:tc>
        <w:tc>
          <w:tcPr>
            <w:tcW w:w="1299" w:type="dxa"/>
            <w:noWrap/>
            <w:vAlign w:val="center"/>
            <w:hideMark/>
          </w:tcPr>
          <w:p w14:paraId="68381E10"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2110</w:t>
            </w:r>
          </w:p>
        </w:tc>
        <w:tc>
          <w:tcPr>
            <w:tcW w:w="1152" w:type="dxa"/>
            <w:noWrap/>
            <w:vAlign w:val="center"/>
            <w:hideMark/>
          </w:tcPr>
          <w:p w14:paraId="4BE645DF"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348</w:t>
            </w:r>
          </w:p>
        </w:tc>
        <w:tc>
          <w:tcPr>
            <w:tcW w:w="1189" w:type="dxa"/>
            <w:noWrap/>
            <w:vAlign w:val="center"/>
            <w:hideMark/>
          </w:tcPr>
          <w:p w14:paraId="5C1351BA"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86%</w:t>
            </w:r>
          </w:p>
        </w:tc>
      </w:tr>
      <w:tr w:rsidR="00FD2CBB" w:rsidRPr="000E7B50" w14:paraId="78B5D5E3" w14:textId="77777777" w:rsidTr="00B50CF2">
        <w:trPr>
          <w:trHeight w:val="300"/>
        </w:trPr>
        <w:tc>
          <w:tcPr>
            <w:tcW w:w="1445" w:type="dxa"/>
            <w:shd w:val="clear" w:color="auto" w:fill="FF7C80"/>
            <w:noWrap/>
            <w:vAlign w:val="center"/>
            <w:hideMark/>
          </w:tcPr>
          <w:p w14:paraId="05EA270E"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i/>
                <w:color w:val="000000"/>
              </w:rPr>
            </w:pPr>
            <w:r w:rsidRPr="00864BA4">
              <w:rPr>
                <w:rFonts w:asciiTheme="minorHAnsi" w:eastAsia="Times New Roman" w:hAnsiTheme="minorHAnsi" w:cstheme="minorHAnsi"/>
                <w:i/>
                <w:color w:val="000000"/>
              </w:rPr>
              <w:t>TO_030</w:t>
            </w:r>
          </w:p>
        </w:tc>
        <w:tc>
          <w:tcPr>
            <w:tcW w:w="2519" w:type="dxa"/>
            <w:shd w:val="clear" w:color="000000" w:fill="FFFFFF"/>
            <w:noWrap/>
            <w:vAlign w:val="center"/>
            <w:hideMark/>
          </w:tcPr>
          <w:p w14:paraId="02E8FDDC"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Grugliasco (TO)</w:t>
            </w:r>
          </w:p>
        </w:tc>
        <w:tc>
          <w:tcPr>
            <w:tcW w:w="1561" w:type="dxa"/>
            <w:noWrap/>
            <w:vAlign w:val="center"/>
            <w:hideMark/>
          </w:tcPr>
          <w:p w14:paraId="3F5F961F"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1</w:t>
            </w:r>
          </w:p>
        </w:tc>
        <w:tc>
          <w:tcPr>
            <w:tcW w:w="1299" w:type="dxa"/>
            <w:noWrap/>
            <w:vAlign w:val="center"/>
            <w:hideMark/>
          </w:tcPr>
          <w:p w14:paraId="510EFBC1"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317</w:t>
            </w:r>
          </w:p>
        </w:tc>
        <w:tc>
          <w:tcPr>
            <w:tcW w:w="1152" w:type="dxa"/>
            <w:noWrap/>
            <w:vAlign w:val="center"/>
            <w:hideMark/>
          </w:tcPr>
          <w:p w14:paraId="46DCF973"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8</w:t>
            </w:r>
          </w:p>
        </w:tc>
        <w:tc>
          <w:tcPr>
            <w:tcW w:w="1189" w:type="dxa"/>
            <w:noWrap/>
            <w:vAlign w:val="center"/>
            <w:hideMark/>
          </w:tcPr>
          <w:p w14:paraId="265A7E8E"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98%</w:t>
            </w:r>
          </w:p>
        </w:tc>
      </w:tr>
      <w:tr w:rsidR="00FD2CBB" w:rsidRPr="000E7B50" w14:paraId="791393B5" w14:textId="77777777" w:rsidTr="00B50CF2">
        <w:trPr>
          <w:trHeight w:val="300"/>
        </w:trPr>
        <w:tc>
          <w:tcPr>
            <w:tcW w:w="1445" w:type="dxa"/>
            <w:shd w:val="clear" w:color="auto" w:fill="FF7C80"/>
            <w:noWrap/>
            <w:vAlign w:val="center"/>
            <w:hideMark/>
          </w:tcPr>
          <w:p w14:paraId="72DB7087"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i/>
                <w:color w:val="000000"/>
              </w:rPr>
            </w:pPr>
            <w:r w:rsidRPr="00864BA4">
              <w:rPr>
                <w:rFonts w:asciiTheme="minorHAnsi" w:eastAsia="Times New Roman" w:hAnsiTheme="minorHAnsi" w:cstheme="minorHAnsi"/>
                <w:i/>
                <w:color w:val="000000"/>
              </w:rPr>
              <w:lastRenderedPageBreak/>
              <w:t>TO_031</w:t>
            </w:r>
          </w:p>
        </w:tc>
        <w:tc>
          <w:tcPr>
            <w:tcW w:w="2519" w:type="dxa"/>
            <w:shd w:val="clear" w:color="000000" w:fill="FFFFFF"/>
            <w:noWrap/>
            <w:vAlign w:val="center"/>
            <w:hideMark/>
          </w:tcPr>
          <w:p w14:paraId="6778F00A"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Pinerolo (TO)</w:t>
            </w:r>
          </w:p>
        </w:tc>
        <w:tc>
          <w:tcPr>
            <w:tcW w:w="1561" w:type="dxa"/>
            <w:noWrap/>
            <w:vAlign w:val="center"/>
            <w:hideMark/>
          </w:tcPr>
          <w:p w14:paraId="259D995C"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15</w:t>
            </w:r>
          </w:p>
        </w:tc>
        <w:tc>
          <w:tcPr>
            <w:tcW w:w="1299" w:type="dxa"/>
            <w:noWrap/>
            <w:vAlign w:val="center"/>
            <w:hideMark/>
          </w:tcPr>
          <w:p w14:paraId="2A111D37"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3764</w:t>
            </w:r>
          </w:p>
        </w:tc>
        <w:tc>
          <w:tcPr>
            <w:tcW w:w="1152" w:type="dxa"/>
            <w:noWrap/>
            <w:vAlign w:val="center"/>
            <w:hideMark/>
          </w:tcPr>
          <w:p w14:paraId="6D9A82B2"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213</w:t>
            </w:r>
          </w:p>
        </w:tc>
        <w:tc>
          <w:tcPr>
            <w:tcW w:w="1189" w:type="dxa"/>
            <w:noWrap/>
            <w:vAlign w:val="center"/>
            <w:hideMark/>
          </w:tcPr>
          <w:p w14:paraId="5B94DDF3"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95%</w:t>
            </w:r>
          </w:p>
        </w:tc>
      </w:tr>
      <w:tr w:rsidR="00FD2CBB" w:rsidRPr="000E7B50" w14:paraId="12EAB128" w14:textId="77777777" w:rsidTr="00B50CF2">
        <w:trPr>
          <w:trHeight w:val="300"/>
        </w:trPr>
        <w:tc>
          <w:tcPr>
            <w:tcW w:w="1445" w:type="dxa"/>
            <w:shd w:val="clear" w:color="auto" w:fill="FF7C80"/>
            <w:noWrap/>
            <w:vAlign w:val="center"/>
            <w:hideMark/>
          </w:tcPr>
          <w:p w14:paraId="7F167E30"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i/>
                <w:color w:val="000000"/>
              </w:rPr>
            </w:pPr>
            <w:r w:rsidRPr="00864BA4">
              <w:rPr>
                <w:rFonts w:asciiTheme="minorHAnsi" w:eastAsia="Times New Roman" w:hAnsiTheme="minorHAnsi" w:cstheme="minorHAnsi"/>
                <w:i/>
                <w:color w:val="000000"/>
              </w:rPr>
              <w:t>TO_032</w:t>
            </w:r>
          </w:p>
        </w:tc>
        <w:tc>
          <w:tcPr>
            <w:tcW w:w="2519" w:type="dxa"/>
            <w:shd w:val="clear" w:color="000000" w:fill="FFFFFF"/>
            <w:noWrap/>
            <w:vAlign w:val="center"/>
            <w:hideMark/>
          </w:tcPr>
          <w:p w14:paraId="1CF3E5F6"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Perosa (TO)</w:t>
            </w:r>
          </w:p>
        </w:tc>
        <w:tc>
          <w:tcPr>
            <w:tcW w:w="1561" w:type="dxa"/>
            <w:noWrap/>
            <w:vAlign w:val="center"/>
            <w:hideMark/>
          </w:tcPr>
          <w:p w14:paraId="53C9BED8"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25</w:t>
            </w:r>
          </w:p>
        </w:tc>
        <w:tc>
          <w:tcPr>
            <w:tcW w:w="1299" w:type="dxa"/>
            <w:noWrap/>
            <w:vAlign w:val="center"/>
            <w:hideMark/>
          </w:tcPr>
          <w:p w14:paraId="7DAB524F"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4431</w:t>
            </w:r>
          </w:p>
        </w:tc>
        <w:tc>
          <w:tcPr>
            <w:tcW w:w="1152" w:type="dxa"/>
            <w:noWrap/>
            <w:vAlign w:val="center"/>
            <w:hideMark/>
          </w:tcPr>
          <w:p w14:paraId="3081ABD8"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344</w:t>
            </w:r>
          </w:p>
        </w:tc>
        <w:tc>
          <w:tcPr>
            <w:tcW w:w="1189" w:type="dxa"/>
            <w:noWrap/>
            <w:vAlign w:val="center"/>
            <w:hideMark/>
          </w:tcPr>
          <w:p w14:paraId="79AA3CC8"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93%</w:t>
            </w:r>
          </w:p>
        </w:tc>
      </w:tr>
      <w:tr w:rsidR="00FD2CBB" w:rsidRPr="000E7B50" w14:paraId="66D790AD" w14:textId="77777777" w:rsidTr="00B50CF2">
        <w:trPr>
          <w:trHeight w:val="300"/>
        </w:trPr>
        <w:tc>
          <w:tcPr>
            <w:tcW w:w="1445" w:type="dxa"/>
            <w:shd w:val="clear" w:color="auto" w:fill="FF7C80"/>
            <w:noWrap/>
            <w:vAlign w:val="center"/>
            <w:hideMark/>
          </w:tcPr>
          <w:p w14:paraId="509AFF9B"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i/>
                <w:color w:val="000000"/>
              </w:rPr>
            </w:pPr>
            <w:r w:rsidRPr="00864BA4">
              <w:rPr>
                <w:rFonts w:asciiTheme="minorHAnsi" w:eastAsia="Times New Roman" w:hAnsiTheme="minorHAnsi" w:cstheme="minorHAnsi"/>
                <w:i/>
                <w:color w:val="000000"/>
              </w:rPr>
              <w:t>TO_033</w:t>
            </w:r>
          </w:p>
        </w:tc>
        <w:tc>
          <w:tcPr>
            <w:tcW w:w="2519" w:type="dxa"/>
            <w:shd w:val="clear" w:color="000000" w:fill="FFFFFF"/>
            <w:noWrap/>
            <w:vAlign w:val="center"/>
            <w:hideMark/>
          </w:tcPr>
          <w:p w14:paraId="654CC05D"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Susa (TO)</w:t>
            </w:r>
          </w:p>
        </w:tc>
        <w:tc>
          <w:tcPr>
            <w:tcW w:w="1561" w:type="dxa"/>
            <w:noWrap/>
            <w:vAlign w:val="center"/>
            <w:hideMark/>
          </w:tcPr>
          <w:p w14:paraId="4C7C8E92"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8</w:t>
            </w:r>
          </w:p>
        </w:tc>
        <w:tc>
          <w:tcPr>
            <w:tcW w:w="1299" w:type="dxa"/>
            <w:noWrap/>
            <w:vAlign w:val="center"/>
            <w:hideMark/>
          </w:tcPr>
          <w:p w14:paraId="61764842"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1297</w:t>
            </w:r>
          </w:p>
        </w:tc>
        <w:tc>
          <w:tcPr>
            <w:tcW w:w="1152" w:type="dxa"/>
            <w:noWrap/>
            <w:vAlign w:val="center"/>
            <w:hideMark/>
          </w:tcPr>
          <w:p w14:paraId="11BF0849"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98</w:t>
            </w:r>
          </w:p>
        </w:tc>
        <w:tc>
          <w:tcPr>
            <w:tcW w:w="1189" w:type="dxa"/>
            <w:noWrap/>
            <w:vAlign w:val="center"/>
            <w:hideMark/>
          </w:tcPr>
          <w:p w14:paraId="68AD991B"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93%</w:t>
            </w:r>
          </w:p>
        </w:tc>
      </w:tr>
      <w:tr w:rsidR="00FD2CBB" w:rsidRPr="000E7B50" w14:paraId="6C17E5C8" w14:textId="77777777" w:rsidTr="00B50CF2">
        <w:trPr>
          <w:trHeight w:val="300"/>
        </w:trPr>
        <w:tc>
          <w:tcPr>
            <w:tcW w:w="1445" w:type="dxa"/>
            <w:shd w:val="clear" w:color="auto" w:fill="FF7C80"/>
            <w:noWrap/>
            <w:vAlign w:val="center"/>
            <w:hideMark/>
          </w:tcPr>
          <w:p w14:paraId="76D61DF4"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i/>
                <w:color w:val="000000"/>
              </w:rPr>
            </w:pPr>
            <w:r w:rsidRPr="00864BA4">
              <w:rPr>
                <w:rFonts w:asciiTheme="minorHAnsi" w:eastAsia="Times New Roman" w:hAnsiTheme="minorHAnsi" w:cstheme="minorHAnsi"/>
                <w:i/>
                <w:color w:val="000000"/>
              </w:rPr>
              <w:t>TO_034</w:t>
            </w:r>
          </w:p>
        </w:tc>
        <w:tc>
          <w:tcPr>
            <w:tcW w:w="2519" w:type="dxa"/>
            <w:shd w:val="clear" w:color="000000" w:fill="FFFFFF"/>
            <w:noWrap/>
            <w:vAlign w:val="center"/>
            <w:hideMark/>
          </w:tcPr>
          <w:p w14:paraId="0F480311"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Piobesi (TO)</w:t>
            </w:r>
          </w:p>
        </w:tc>
        <w:tc>
          <w:tcPr>
            <w:tcW w:w="1561" w:type="dxa"/>
            <w:noWrap/>
            <w:vAlign w:val="center"/>
            <w:hideMark/>
          </w:tcPr>
          <w:p w14:paraId="58AA6C88"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13</w:t>
            </w:r>
          </w:p>
        </w:tc>
        <w:tc>
          <w:tcPr>
            <w:tcW w:w="1299" w:type="dxa"/>
            <w:noWrap/>
            <w:vAlign w:val="center"/>
            <w:hideMark/>
          </w:tcPr>
          <w:p w14:paraId="1D127094"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1476</w:t>
            </w:r>
          </w:p>
        </w:tc>
        <w:tc>
          <w:tcPr>
            <w:tcW w:w="1152" w:type="dxa"/>
            <w:noWrap/>
            <w:vAlign w:val="center"/>
            <w:hideMark/>
          </w:tcPr>
          <w:p w14:paraId="6775A911"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117</w:t>
            </w:r>
          </w:p>
        </w:tc>
        <w:tc>
          <w:tcPr>
            <w:tcW w:w="1189" w:type="dxa"/>
            <w:noWrap/>
            <w:vAlign w:val="center"/>
            <w:hideMark/>
          </w:tcPr>
          <w:p w14:paraId="27E3E012"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93%</w:t>
            </w:r>
          </w:p>
        </w:tc>
      </w:tr>
      <w:tr w:rsidR="00FD2CBB" w:rsidRPr="000E7B50" w14:paraId="1D626C50" w14:textId="77777777" w:rsidTr="00B50CF2">
        <w:trPr>
          <w:trHeight w:val="300"/>
        </w:trPr>
        <w:tc>
          <w:tcPr>
            <w:tcW w:w="1445" w:type="dxa"/>
            <w:shd w:val="clear" w:color="auto" w:fill="FF7C80"/>
            <w:noWrap/>
            <w:vAlign w:val="center"/>
            <w:hideMark/>
          </w:tcPr>
          <w:p w14:paraId="6BD7224A"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i/>
                <w:color w:val="000000"/>
              </w:rPr>
            </w:pPr>
            <w:r w:rsidRPr="00864BA4">
              <w:rPr>
                <w:rFonts w:asciiTheme="minorHAnsi" w:eastAsia="Times New Roman" w:hAnsiTheme="minorHAnsi" w:cstheme="minorHAnsi"/>
                <w:i/>
                <w:color w:val="000000"/>
              </w:rPr>
              <w:t>TO_035</w:t>
            </w:r>
          </w:p>
        </w:tc>
        <w:tc>
          <w:tcPr>
            <w:tcW w:w="2519" w:type="dxa"/>
            <w:shd w:val="clear" w:color="000000" w:fill="FFFFFF"/>
            <w:noWrap/>
            <w:vAlign w:val="center"/>
            <w:hideMark/>
          </w:tcPr>
          <w:p w14:paraId="374B5BCE" w14:textId="2DAA4E83"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Salbertrand (TO)</w:t>
            </w:r>
          </w:p>
        </w:tc>
        <w:tc>
          <w:tcPr>
            <w:tcW w:w="1561" w:type="dxa"/>
            <w:noWrap/>
            <w:vAlign w:val="center"/>
            <w:hideMark/>
          </w:tcPr>
          <w:p w14:paraId="610DCF77"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6</w:t>
            </w:r>
          </w:p>
        </w:tc>
        <w:tc>
          <w:tcPr>
            <w:tcW w:w="1299" w:type="dxa"/>
            <w:noWrap/>
            <w:vAlign w:val="center"/>
            <w:hideMark/>
          </w:tcPr>
          <w:p w14:paraId="69DCFC11"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1238</w:t>
            </w:r>
          </w:p>
        </w:tc>
        <w:tc>
          <w:tcPr>
            <w:tcW w:w="1152" w:type="dxa"/>
            <w:noWrap/>
            <w:vAlign w:val="center"/>
            <w:hideMark/>
          </w:tcPr>
          <w:p w14:paraId="5DBF1155"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148</w:t>
            </w:r>
          </w:p>
        </w:tc>
        <w:tc>
          <w:tcPr>
            <w:tcW w:w="1189" w:type="dxa"/>
            <w:noWrap/>
            <w:vAlign w:val="center"/>
            <w:hideMark/>
          </w:tcPr>
          <w:p w14:paraId="0608DF12"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89%</w:t>
            </w:r>
          </w:p>
        </w:tc>
      </w:tr>
      <w:tr w:rsidR="00FD2CBB" w:rsidRPr="000E7B50" w14:paraId="2E1CBF5A" w14:textId="77777777" w:rsidTr="00B50CF2">
        <w:trPr>
          <w:trHeight w:val="300"/>
        </w:trPr>
        <w:tc>
          <w:tcPr>
            <w:tcW w:w="1445" w:type="dxa"/>
            <w:shd w:val="clear" w:color="auto" w:fill="FF7C80"/>
            <w:noWrap/>
            <w:vAlign w:val="center"/>
            <w:hideMark/>
          </w:tcPr>
          <w:p w14:paraId="63E20A6F"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i/>
                <w:color w:val="000000"/>
              </w:rPr>
            </w:pPr>
            <w:r w:rsidRPr="00864BA4">
              <w:rPr>
                <w:rFonts w:asciiTheme="minorHAnsi" w:eastAsia="Times New Roman" w:hAnsiTheme="minorHAnsi" w:cstheme="minorHAnsi"/>
                <w:i/>
                <w:color w:val="000000"/>
              </w:rPr>
              <w:t>TO_036</w:t>
            </w:r>
          </w:p>
        </w:tc>
        <w:tc>
          <w:tcPr>
            <w:tcW w:w="2519" w:type="dxa"/>
            <w:shd w:val="clear" w:color="000000" w:fill="FFFFFF"/>
            <w:noWrap/>
            <w:vAlign w:val="center"/>
            <w:hideMark/>
          </w:tcPr>
          <w:p w14:paraId="71B72833"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Condove (TO)</w:t>
            </w:r>
          </w:p>
        </w:tc>
        <w:tc>
          <w:tcPr>
            <w:tcW w:w="1561" w:type="dxa"/>
            <w:noWrap/>
            <w:vAlign w:val="center"/>
            <w:hideMark/>
          </w:tcPr>
          <w:p w14:paraId="1A8E319A"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7</w:t>
            </w:r>
          </w:p>
        </w:tc>
        <w:tc>
          <w:tcPr>
            <w:tcW w:w="1299" w:type="dxa"/>
            <w:noWrap/>
            <w:vAlign w:val="center"/>
            <w:hideMark/>
          </w:tcPr>
          <w:p w14:paraId="5C11AB33"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1126</w:t>
            </w:r>
          </w:p>
        </w:tc>
        <w:tc>
          <w:tcPr>
            <w:tcW w:w="1152" w:type="dxa"/>
            <w:noWrap/>
            <w:vAlign w:val="center"/>
            <w:hideMark/>
          </w:tcPr>
          <w:p w14:paraId="2CE19D98"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115</w:t>
            </w:r>
          </w:p>
        </w:tc>
        <w:tc>
          <w:tcPr>
            <w:tcW w:w="1189" w:type="dxa"/>
            <w:noWrap/>
            <w:vAlign w:val="center"/>
            <w:hideMark/>
          </w:tcPr>
          <w:p w14:paraId="6667906E"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91%</w:t>
            </w:r>
          </w:p>
        </w:tc>
      </w:tr>
      <w:tr w:rsidR="00FD2CBB" w:rsidRPr="000E7B50" w14:paraId="30D840DF" w14:textId="77777777" w:rsidTr="00B50CF2">
        <w:trPr>
          <w:trHeight w:val="300"/>
        </w:trPr>
        <w:tc>
          <w:tcPr>
            <w:tcW w:w="1445" w:type="dxa"/>
            <w:tcBorders>
              <w:bottom w:val="single" w:sz="4" w:space="0" w:color="A6A6A6" w:themeColor="background1" w:themeShade="A6"/>
            </w:tcBorders>
            <w:shd w:val="clear" w:color="auto" w:fill="FF7C80"/>
            <w:noWrap/>
            <w:vAlign w:val="center"/>
            <w:hideMark/>
          </w:tcPr>
          <w:p w14:paraId="1FE5AF0C"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i/>
                <w:color w:val="000000"/>
              </w:rPr>
            </w:pPr>
            <w:r w:rsidRPr="00864BA4">
              <w:rPr>
                <w:rFonts w:asciiTheme="minorHAnsi" w:eastAsia="Times New Roman" w:hAnsiTheme="minorHAnsi" w:cstheme="minorHAnsi"/>
                <w:i/>
                <w:color w:val="000000"/>
              </w:rPr>
              <w:t>TO_037</w:t>
            </w:r>
          </w:p>
        </w:tc>
        <w:tc>
          <w:tcPr>
            <w:tcW w:w="2519" w:type="dxa"/>
            <w:tcBorders>
              <w:bottom w:val="single" w:sz="4" w:space="0" w:color="A6A6A6" w:themeColor="background1" w:themeShade="A6"/>
            </w:tcBorders>
            <w:shd w:val="clear" w:color="000000" w:fill="FFFFFF"/>
            <w:noWrap/>
            <w:vAlign w:val="center"/>
            <w:hideMark/>
          </w:tcPr>
          <w:p w14:paraId="4979208C"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Cumiana (TO)</w:t>
            </w:r>
          </w:p>
        </w:tc>
        <w:tc>
          <w:tcPr>
            <w:tcW w:w="1561" w:type="dxa"/>
            <w:tcBorders>
              <w:bottom w:val="single" w:sz="4" w:space="0" w:color="A6A6A6" w:themeColor="background1" w:themeShade="A6"/>
            </w:tcBorders>
            <w:noWrap/>
            <w:vAlign w:val="center"/>
            <w:hideMark/>
          </w:tcPr>
          <w:p w14:paraId="46E275BF"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19</w:t>
            </w:r>
          </w:p>
        </w:tc>
        <w:tc>
          <w:tcPr>
            <w:tcW w:w="1299" w:type="dxa"/>
            <w:tcBorders>
              <w:bottom w:val="single" w:sz="4" w:space="0" w:color="A6A6A6" w:themeColor="background1" w:themeShade="A6"/>
            </w:tcBorders>
            <w:noWrap/>
            <w:vAlign w:val="center"/>
            <w:hideMark/>
          </w:tcPr>
          <w:p w14:paraId="78CC06E3"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3281</w:t>
            </w:r>
          </w:p>
        </w:tc>
        <w:tc>
          <w:tcPr>
            <w:tcW w:w="1152" w:type="dxa"/>
            <w:tcBorders>
              <w:bottom w:val="single" w:sz="4" w:space="0" w:color="A6A6A6" w:themeColor="background1" w:themeShade="A6"/>
            </w:tcBorders>
            <w:noWrap/>
            <w:vAlign w:val="center"/>
            <w:hideMark/>
          </w:tcPr>
          <w:p w14:paraId="46311EE3"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253</w:t>
            </w:r>
          </w:p>
        </w:tc>
        <w:tc>
          <w:tcPr>
            <w:tcW w:w="1189" w:type="dxa"/>
            <w:tcBorders>
              <w:bottom w:val="single" w:sz="4" w:space="0" w:color="A6A6A6" w:themeColor="background1" w:themeShade="A6"/>
            </w:tcBorders>
            <w:noWrap/>
            <w:vAlign w:val="center"/>
            <w:hideMark/>
          </w:tcPr>
          <w:p w14:paraId="657ABE02"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93%</w:t>
            </w:r>
          </w:p>
        </w:tc>
      </w:tr>
      <w:tr w:rsidR="00FD2CBB" w:rsidRPr="000E7B50" w14:paraId="08878256" w14:textId="77777777" w:rsidTr="00B50CF2">
        <w:trPr>
          <w:trHeight w:val="300"/>
        </w:trPr>
        <w:tc>
          <w:tcPr>
            <w:tcW w:w="1445" w:type="dxa"/>
            <w:shd w:val="clear" w:color="auto" w:fill="FF7C80"/>
            <w:noWrap/>
            <w:vAlign w:val="center"/>
            <w:hideMark/>
          </w:tcPr>
          <w:p w14:paraId="733D854C"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i/>
                <w:color w:val="000000"/>
              </w:rPr>
            </w:pPr>
            <w:r w:rsidRPr="00864BA4">
              <w:rPr>
                <w:rFonts w:asciiTheme="minorHAnsi" w:eastAsia="Times New Roman" w:hAnsiTheme="minorHAnsi" w:cstheme="minorHAnsi"/>
                <w:i/>
                <w:color w:val="000000"/>
              </w:rPr>
              <w:t>TO_038</w:t>
            </w:r>
          </w:p>
        </w:tc>
        <w:tc>
          <w:tcPr>
            <w:tcW w:w="2519" w:type="dxa"/>
            <w:shd w:val="clear" w:color="000000" w:fill="FFFFFF"/>
            <w:noWrap/>
            <w:vAlign w:val="center"/>
            <w:hideMark/>
          </w:tcPr>
          <w:p w14:paraId="1A2FB018"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Forno Canavese (TO)</w:t>
            </w:r>
          </w:p>
        </w:tc>
        <w:tc>
          <w:tcPr>
            <w:tcW w:w="1561" w:type="dxa"/>
            <w:noWrap/>
            <w:vAlign w:val="center"/>
            <w:hideMark/>
          </w:tcPr>
          <w:p w14:paraId="32834962"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7</w:t>
            </w:r>
          </w:p>
        </w:tc>
        <w:tc>
          <w:tcPr>
            <w:tcW w:w="1299" w:type="dxa"/>
            <w:noWrap/>
            <w:vAlign w:val="center"/>
            <w:hideMark/>
          </w:tcPr>
          <w:p w14:paraId="71A30512"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1461</w:t>
            </w:r>
          </w:p>
        </w:tc>
        <w:tc>
          <w:tcPr>
            <w:tcW w:w="1152" w:type="dxa"/>
            <w:noWrap/>
            <w:vAlign w:val="center"/>
            <w:hideMark/>
          </w:tcPr>
          <w:p w14:paraId="160686E4"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67</w:t>
            </w:r>
          </w:p>
        </w:tc>
        <w:tc>
          <w:tcPr>
            <w:tcW w:w="1189" w:type="dxa"/>
            <w:noWrap/>
            <w:vAlign w:val="center"/>
            <w:hideMark/>
          </w:tcPr>
          <w:p w14:paraId="13719C57"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96%</w:t>
            </w:r>
          </w:p>
        </w:tc>
      </w:tr>
      <w:tr w:rsidR="00FD2CBB" w:rsidRPr="000E7B50" w14:paraId="10E83A6C" w14:textId="77777777" w:rsidTr="00B50CF2">
        <w:trPr>
          <w:trHeight w:val="300"/>
        </w:trPr>
        <w:tc>
          <w:tcPr>
            <w:tcW w:w="1445" w:type="dxa"/>
            <w:shd w:val="clear" w:color="auto" w:fill="FF7C80"/>
            <w:noWrap/>
            <w:vAlign w:val="center"/>
            <w:hideMark/>
          </w:tcPr>
          <w:p w14:paraId="519FD0B8"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i/>
                <w:color w:val="000000"/>
              </w:rPr>
            </w:pPr>
            <w:r w:rsidRPr="00864BA4">
              <w:rPr>
                <w:rFonts w:asciiTheme="minorHAnsi" w:eastAsia="Times New Roman" w:hAnsiTheme="minorHAnsi" w:cstheme="minorHAnsi"/>
                <w:i/>
                <w:color w:val="000000"/>
              </w:rPr>
              <w:t>TO_039</w:t>
            </w:r>
          </w:p>
        </w:tc>
        <w:tc>
          <w:tcPr>
            <w:tcW w:w="2519" w:type="dxa"/>
            <w:shd w:val="clear" w:color="000000" w:fill="FFFFFF"/>
            <w:noWrap/>
            <w:vAlign w:val="center"/>
            <w:hideMark/>
          </w:tcPr>
          <w:p w14:paraId="7B16F483"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Giaveno (TO)</w:t>
            </w:r>
          </w:p>
        </w:tc>
        <w:tc>
          <w:tcPr>
            <w:tcW w:w="1561" w:type="dxa"/>
            <w:noWrap/>
            <w:vAlign w:val="center"/>
            <w:hideMark/>
          </w:tcPr>
          <w:p w14:paraId="3AAF4558"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9</w:t>
            </w:r>
          </w:p>
        </w:tc>
        <w:tc>
          <w:tcPr>
            <w:tcW w:w="1299" w:type="dxa"/>
            <w:noWrap/>
            <w:vAlign w:val="center"/>
            <w:hideMark/>
          </w:tcPr>
          <w:p w14:paraId="71040F44"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2053</w:t>
            </w:r>
          </w:p>
        </w:tc>
        <w:tc>
          <w:tcPr>
            <w:tcW w:w="1152" w:type="dxa"/>
            <w:noWrap/>
            <w:vAlign w:val="center"/>
            <w:hideMark/>
          </w:tcPr>
          <w:p w14:paraId="43CA9CCA"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104</w:t>
            </w:r>
          </w:p>
        </w:tc>
        <w:tc>
          <w:tcPr>
            <w:tcW w:w="1189" w:type="dxa"/>
            <w:noWrap/>
            <w:vAlign w:val="center"/>
            <w:hideMark/>
          </w:tcPr>
          <w:p w14:paraId="4EEDB93D"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95%</w:t>
            </w:r>
          </w:p>
        </w:tc>
      </w:tr>
      <w:tr w:rsidR="00FD2CBB" w:rsidRPr="000E7B50" w14:paraId="6BC93BCA" w14:textId="77777777" w:rsidTr="00B50CF2">
        <w:trPr>
          <w:trHeight w:val="300"/>
        </w:trPr>
        <w:tc>
          <w:tcPr>
            <w:tcW w:w="1445" w:type="dxa"/>
            <w:shd w:val="clear" w:color="auto" w:fill="FF7C80"/>
            <w:noWrap/>
            <w:vAlign w:val="center"/>
            <w:hideMark/>
          </w:tcPr>
          <w:p w14:paraId="3815EBDF"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i/>
                <w:color w:val="000000"/>
              </w:rPr>
            </w:pPr>
            <w:r w:rsidRPr="00864BA4">
              <w:rPr>
                <w:rFonts w:asciiTheme="minorHAnsi" w:eastAsia="Times New Roman" w:hAnsiTheme="minorHAnsi" w:cstheme="minorHAnsi"/>
                <w:i/>
                <w:color w:val="000000"/>
              </w:rPr>
              <w:t>TO_040</w:t>
            </w:r>
          </w:p>
        </w:tc>
        <w:tc>
          <w:tcPr>
            <w:tcW w:w="2519" w:type="dxa"/>
            <w:shd w:val="clear" w:color="000000" w:fill="FFFFFF"/>
            <w:noWrap/>
            <w:vAlign w:val="center"/>
            <w:hideMark/>
          </w:tcPr>
          <w:p w14:paraId="3C068B0D"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Ivrea (TO)</w:t>
            </w:r>
          </w:p>
        </w:tc>
        <w:tc>
          <w:tcPr>
            <w:tcW w:w="1561" w:type="dxa"/>
            <w:noWrap/>
            <w:vAlign w:val="center"/>
            <w:hideMark/>
          </w:tcPr>
          <w:p w14:paraId="62113EAC"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52</w:t>
            </w:r>
          </w:p>
        </w:tc>
        <w:tc>
          <w:tcPr>
            <w:tcW w:w="1299" w:type="dxa"/>
            <w:noWrap/>
            <w:vAlign w:val="center"/>
            <w:hideMark/>
          </w:tcPr>
          <w:p w14:paraId="4A9E3B3A"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11755</w:t>
            </w:r>
          </w:p>
        </w:tc>
        <w:tc>
          <w:tcPr>
            <w:tcW w:w="1152" w:type="dxa"/>
            <w:noWrap/>
            <w:vAlign w:val="center"/>
            <w:hideMark/>
          </w:tcPr>
          <w:p w14:paraId="33530BBE"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2026</w:t>
            </w:r>
          </w:p>
        </w:tc>
        <w:tc>
          <w:tcPr>
            <w:tcW w:w="1189" w:type="dxa"/>
            <w:noWrap/>
            <w:vAlign w:val="center"/>
            <w:hideMark/>
          </w:tcPr>
          <w:p w14:paraId="13F6528A"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85%</w:t>
            </w:r>
          </w:p>
        </w:tc>
      </w:tr>
      <w:tr w:rsidR="00FD2CBB" w:rsidRPr="000E7B50" w14:paraId="75EC5267" w14:textId="77777777" w:rsidTr="00B50CF2">
        <w:trPr>
          <w:trHeight w:val="300"/>
        </w:trPr>
        <w:tc>
          <w:tcPr>
            <w:tcW w:w="1445" w:type="dxa"/>
            <w:shd w:val="clear" w:color="auto" w:fill="FF7C80"/>
            <w:noWrap/>
            <w:vAlign w:val="center"/>
            <w:hideMark/>
          </w:tcPr>
          <w:p w14:paraId="2207B569"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i/>
                <w:color w:val="000000"/>
              </w:rPr>
            </w:pPr>
            <w:r w:rsidRPr="00864BA4">
              <w:rPr>
                <w:rFonts w:asciiTheme="minorHAnsi" w:eastAsia="Times New Roman" w:hAnsiTheme="minorHAnsi" w:cstheme="minorHAnsi"/>
                <w:i/>
                <w:color w:val="000000"/>
              </w:rPr>
              <w:t>TO_041</w:t>
            </w:r>
          </w:p>
        </w:tc>
        <w:tc>
          <w:tcPr>
            <w:tcW w:w="2519" w:type="dxa"/>
            <w:shd w:val="clear" w:color="000000" w:fill="FFFFFF"/>
            <w:noWrap/>
            <w:vAlign w:val="center"/>
            <w:hideMark/>
          </w:tcPr>
          <w:p w14:paraId="1CC74EE5"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Torino (TO)</w:t>
            </w:r>
          </w:p>
        </w:tc>
        <w:tc>
          <w:tcPr>
            <w:tcW w:w="1561" w:type="dxa"/>
            <w:noWrap/>
            <w:vAlign w:val="center"/>
            <w:hideMark/>
          </w:tcPr>
          <w:p w14:paraId="252A6130"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8</w:t>
            </w:r>
          </w:p>
        </w:tc>
        <w:tc>
          <w:tcPr>
            <w:tcW w:w="1299" w:type="dxa"/>
            <w:noWrap/>
            <w:vAlign w:val="center"/>
            <w:hideMark/>
          </w:tcPr>
          <w:p w14:paraId="65DF388A"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1583</w:t>
            </w:r>
          </w:p>
        </w:tc>
        <w:tc>
          <w:tcPr>
            <w:tcW w:w="1152" w:type="dxa"/>
            <w:noWrap/>
            <w:vAlign w:val="center"/>
            <w:hideMark/>
          </w:tcPr>
          <w:p w14:paraId="3F88F8A0"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176</w:t>
            </w:r>
          </w:p>
        </w:tc>
        <w:tc>
          <w:tcPr>
            <w:tcW w:w="1189" w:type="dxa"/>
            <w:noWrap/>
            <w:vAlign w:val="center"/>
            <w:hideMark/>
          </w:tcPr>
          <w:p w14:paraId="04B6DA96"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90%</w:t>
            </w:r>
          </w:p>
        </w:tc>
      </w:tr>
      <w:tr w:rsidR="00FD2CBB" w:rsidRPr="000E7B50" w14:paraId="62485450" w14:textId="77777777" w:rsidTr="00B50CF2">
        <w:trPr>
          <w:trHeight w:val="300"/>
        </w:trPr>
        <w:tc>
          <w:tcPr>
            <w:tcW w:w="1445" w:type="dxa"/>
            <w:shd w:val="clear" w:color="auto" w:fill="FF7C80"/>
            <w:noWrap/>
            <w:vAlign w:val="center"/>
            <w:hideMark/>
          </w:tcPr>
          <w:p w14:paraId="0622362D"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i/>
                <w:color w:val="000000"/>
              </w:rPr>
            </w:pPr>
            <w:r w:rsidRPr="00864BA4">
              <w:rPr>
                <w:rFonts w:asciiTheme="minorHAnsi" w:eastAsia="Times New Roman" w:hAnsiTheme="minorHAnsi" w:cstheme="minorHAnsi"/>
                <w:i/>
                <w:color w:val="000000"/>
              </w:rPr>
              <w:t>TO_042</w:t>
            </w:r>
          </w:p>
        </w:tc>
        <w:tc>
          <w:tcPr>
            <w:tcW w:w="2519" w:type="dxa"/>
            <w:shd w:val="clear" w:color="000000" w:fill="FFFFFF"/>
            <w:noWrap/>
            <w:vAlign w:val="center"/>
            <w:hideMark/>
          </w:tcPr>
          <w:p w14:paraId="69852075"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Rubiana (TO)</w:t>
            </w:r>
          </w:p>
        </w:tc>
        <w:tc>
          <w:tcPr>
            <w:tcW w:w="1561" w:type="dxa"/>
            <w:noWrap/>
            <w:vAlign w:val="center"/>
            <w:hideMark/>
          </w:tcPr>
          <w:p w14:paraId="333B069D"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7</w:t>
            </w:r>
          </w:p>
        </w:tc>
        <w:tc>
          <w:tcPr>
            <w:tcW w:w="1299" w:type="dxa"/>
            <w:noWrap/>
            <w:vAlign w:val="center"/>
            <w:hideMark/>
          </w:tcPr>
          <w:p w14:paraId="7A799444"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1028</w:t>
            </w:r>
          </w:p>
        </w:tc>
        <w:tc>
          <w:tcPr>
            <w:tcW w:w="1152" w:type="dxa"/>
            <w:noWrap/>
            <w:vAlign w:val="center"/>
            <w:hideMark/>
          </w:tcPr>
          <w:p w14:paraId="2539EFBD"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96</w:t>
            </w:r>
          </w:p>
        </w:tc>
        <w:tc>
          <w:tcPr>
            <w:tcW w:w="1189" w:type="dxa"/>
            <w:noWrap/>
            <w:vAlign w:val="center"/>
            <w:hideMark/>
          </w:tcPr>
          <w:p w14:paraId="3AAEE307"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91%</w:t>
            </w:r>
          </w:p>
        </w:tc>
      </w:tr>
      <w:tr w:rsidR="00FD2CBB" w:rsidRPr="000E7B50" w14:paraId="274858C0" w14:textId="77777777" w:rsidTr="00B50CF2">
        <w:trPr>
          <w:trHeight w:val="312"/>
        </w:trPr>
        <w:tc>
          <w:tcPr>
            <w:tcW w:w="1445" w:type="dxa"/>
            <w:shd w:val="clear" w:color="auto" w:fill="FF7C80"/>
            <w:noWrap/>
            <w:vAlign w:val="center"/>
            <w:hideMark/>
          </w:tcPr>
          <w:p w14:paraId="0BD779ED"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i/>
                <w:color w:val="000000"/>
              </w:rPr>
            </w:pPr>
            <w:r w:rsidRPr="00864BA4">
              <w:rPr>
                <w:rFonts w:asciiTheme="minorHAnsi" w:eastAsia="Times New Roman" w:hAnsiTheme="minorHAnsi" w:cstheme="minorHAnsi"/>
                <w:i/>
                <w:color w:val="000000"/>
              </w:rPr>
              <w:t>TO_043</w:t>
            </w:r>
          </w:p>
        </w:tc>
        <w:tc>
          <w:tcPr>
            <w:tcW w:w="2519" w:type="dxa"/>
            <w:shd w:val="clear" w:color="000000" w:fill="FFFFFF"/>
            <w:noWrap/>
            <w:vAlign w:val="center"/>
            <w:hideMark/>
          </w:tcPr>
          <w:p w14:paraId="646D2C0C"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Ciriè (TO)</w:t>
            </w:r>
          </w:p>
        </w:tc>
        <w:tc>
          <w:tcPr>
            <w:tcW w:w="1561" w:type="dxa"/>
            <w:noWrap/>
            <w:vAlign w:val="center"/>
            <w:hideMark/>
          </w:tcPr>
          <w:p w14:paraId="4B3FB5FB"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8</w:t>
            </w:r>
          </w:p>
        </w:tc>
        <w:tc>
          <w:tcPr>
            <w:tcW w:w="1299" w:type="dxa"/>
            <w:noWrap/>
            <w:vAlign w:val="center"/>
            <w:hideMark/>
          </w:tcPr>
          <w:p w14:paraId="66352E0E"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1463</w:t>
            </w:r>
          </w:p>
        </w:tc>
        <w:tc>
          <w:tcPr>
            <w:tcW w:w="1152" w:type="dxa"/>
            <w:noWrap/>
            <w:vAlign w:val="center"/>
            <w:hideMark/>
          </w:tcPr>
          <w:p w14:paraId="2134C10E"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115</w:t>
            </w:r>
          </w:p>
        </w:tc>
        <w:tc>
          <w:tcPr>
            <w:tcW w:w="1189" w:type="dxa"/>
            <w:noWrap/>
            <w:vAlign w:val="center"/>
            <w:hideMark/>
          </w:tcPr>
          <w:p w14:paraId="7FDEF41F"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93%</w:t>
            </w:r>
          </w:p>
        </w:tc>
      </w:tr>
      <w:tr w:rsidR="00FD2CBB" w:rsidRPr="000E7B50" w14:paraId="779C79A2" w14:textId="77777777" w:rsidTr="00B50CF2">
        <w:trPr>
          <w:trHeight w:val="312"/>
        </w:trPr>
        <w:tc>
          <w:tcPr>
            <w:tcW w:w="1445" w:type="dxa"/>
            <w:shd w:val="clear" w:color="auto" w:fill="FF7C80"/>
            <w:noWrap/>
            <w:vAlign w:val="center"/>
            <w:hideMark/>
          </w:tcPr>
          <w:p w14:paraId="1D819199"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i/>
                <w:color w:val="000000"/>
              </w:rPr>
            </w:pPr>
            <w:r w:rsidRPr="00864BA4">
              <w:rPr>
                <w:rFonts w:asciiTheme="minorHAnsi" w:eastAsia="Times New Roman" w:hAnsiTheme="minorHAnsi" w:cstheme="minorHAnsi"/>
                <w:i/>
                <w:color w:val="000000"/>
              </w:rPr>
              <w:t>TO_044</w:t>
            </w:r>
          </w:p>
        </w:tc>
        <w:tc>
          <w:tcPr>
            <w:tcW w:w="2519" w:type="dxa"/>
            <w:shd w:val="clear" w:color="000000" w:fill="FFFFFF"/>
            <w:noWrap/>
            <w:vAlign w:val="center"/>
            <w:hideMark/>
          </w:tcPr>
          <w:p w14:paraId="0EBB57E0"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Rivarolo (TO)</w:t>
            </w:r>
          </w:p>
        </w:tc>
        <w:tc>
          <w:tcPr>
            <w:tcW w:w="1561" w:type="dxa"/>
            <w:noWrap/>
            <w:vAlign w:val="center"/>
            <w:hideMark/>
          </w:tcPr>
          <w:p w14:paraId="4426F62E"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1</w:t>
            </w:r>
          </w:p>
        </w:tc>
        <w:tc>
          <w:tcPr>
            <w:tcW w:w="1299" w:type="dxa"/>
            <w:noWrap/>
            <w:vAlign w:val="center"/>
            <w:hideMark/>
          </w:tcPr>
          <w:p w14:paraId="25BF1954"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159</w:t>
            </w:r>
          </w:p>
        </w:tc>
        <w:tc>
          <w:tcPr>
            <w:tcW w:w="1152" w:type="dxa"/>
            <w:noWrap/>
            <w:vAlign w:val="center"/>
            <w:hideMark/>
          </w:tcPr>
          <w:p w14:paraId="2F3B8475"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24</w:t>
            </w:r>
          </w:p>
        </w:tc>
        <w:tc>
          <w:tcPr>
            <w:tcW w:w="1189" w:type="dxa"/>
            <w:noWrap/>
            <w:vAlign w:val="center"/>
            <w:hideMark/>
          </w:tcPr>
          <w:p w14:paraId="19554749"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87%</w:t>
            </w:r>
          </w:p>
        </w:tc>
      </w:tr>
      <w:tr w:rsidR="00FD2CBB" w:rsidRPr="000E7B50" w14:paraId="6937E467" w14:textId="77777777" w:rsidTr="00B50CF2">
        <w:trPr>
          <w:trHeight w:val="312"/>
        </w:trPr>
        <w:tc>
          <w:tcPr>
            <w:tcW w:w="1445" w:type="dxa"/>
            <w:shd w:val="clear" w:color="auto" w:fill="FF7C80"/>
            <w:noWrap/>
            <w:vAlign w:val="center"/>
            <w:hideMark/>
          </w:tcPr>
          <w:p w14:paraId="48F32BF2"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i/>
                <w:color w:val="000000"/>
              </w:rPr>
            </w:pPr>
            <w:r w:rsidRPr="00864BA4">
              <w:rPr>
                <w:rFonts w:asciiTheme="minorHAnsi" w:eastAsia="Times New Roman" w:hAnsiTheme="minorHAnsi" w:cstheme="minorHAnsi"/>
                <w:i/>
                <w:color w:val="000000"/>
              </w:rPr>
              <w:t>TO_045</w:t>
            </w:r>
          </w:p>
        </w:tc>
        <w:tc>
          <w:tcPr>
            <w:tcW w:w="2519" w:type="dxa"/>
            <w:shd w:val="clear" w:color="000000" w:fill="FFFFFF"/>
            <w:noWrap/>
            <w:vAlign w:val="center"/>
            <w:hideMark/>
          </w:tcPr>
          <w:p w14:paraId="33E9B290"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Pont Canavese (TO)</w:t>
            </w:r>
          </w:p>
        </w:tc>
        <w:tc>
          <w:tcPr>
            <w:tcW w:w="1561" w:type="dxa"/>
            <w:noWrap/>
            <w:vAlign w:val="center"/>
            <w:hideMark/>
          </w:tcPr>
          <w:p w14:paraId="27741B60"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12</w:t>
            </w:r>
          </w:p>
        </w:tc>
        <w:tc>
          <w:tcPr>
            <w:tcW w:w="1299" w:type="dxa"/>
            <w:noWrap/>
            <w:vAlign w:val="center"/>
            <w:hideMark/>
          </w:tcPr>
          <w:p w14:paraId="2C4AFC48"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2080</w:t>
            </w:r>
          </w:p>
        </w:tc>
        <w:tc>
          <w:tcPr>
            <w:tcW w:w="1152" w:type="dxa"/>
            <w:noWrap/>
            <w:vAlign w:val="center"/>
            <w:hideMark/>
          </w:tcPr>
          <w:p w14:paraId="53BD17CB"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230</w:t>
            </w:r>
          </w:p>
        </w:tc>
        <w:tc>
          <w:tcPr>
            <w:tcW w:w="1189" w:type="dxa"/>
            <w:noWrap/>
            <w:vAlign w:val="center"/>
            <w:hideMark/>
          </w:tcPr>
          <w:p w14:paraId="1846A515"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90%</w:t>
            </w:r>
          </w:p>
        </w:tc>
      </w:tr>
      <w:tr w:rsidR="00FD2CBB" w:rsidRPr="000E7B50" w14:paraId="7DE02EA0" w14:textId="77777777" w:rsidTr="00B50CF2">
        <w:trPr>
          <w:trHeight w:val="312"/>
        </w:trPr>
        <w:tc>
          <w:tcPr>
            <w:tcW w:w="1445" w:type="dxa"/>
            <w:shd w:val="clear" w:color="auto" w:fill="FF7C80"/>
            <w:noWrap/>
            <w:vAlign w:val="center"/>
            <w:hideMark/>
          </w:tcPr>
          <w:p w14:paraId="20423217"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i/>
                <w:color w:val="000000"/>
              </w:rPr>
            </w:pPr>
            <w:r w:rsidRPr="00864BA4">
              <w:rPr>
                <w:rFonts w:asciiTheme="minorHAnsi" w:eastAsia="Times New Roman" w:hAnsiTheme="minorHAnsi" w:cstheme="minorHAnsi"/>
                <w:i/>
                <w:color w:val="000000"/>
              </w:rPr>
              <w:t>TO_047</w:t>
            </w:r>
          </w:p>
        </w:tc>
        <w:tc>
          <w:tcPr>
            <w:tcW w:w="2519" w:type="dxa"/>
            <w:shd w:val="clear" w:color="000000" w:fill="FFFFFF"/>
            <w:noWrap/>
            <w:vAlign w:val="center"/>
            <w:hideMark/>
          </w:tcPr>
          <w:p w14:paraId="26885AB3"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Torino (TO)</w:t>
            </w:r>
          </w:p>
        </w:tc>
        <w:tc>
          <w:tcPr>
            <w:tcW w:w="1561" w:type="dxa"/>
            <w:noWrap/>
            <w:vAlign w:val="center"/>
            <w:hideMark/>
          </w:tcPr>
          <w:p w14:paraId="580C3D4C"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3</w:t>
            </w:r>
          </w:p>
        </w:tc>
        <w:tc>
          <w:tcPr>
            <w:tcW w:w="1299" w:type="dxa"/>
            <w:noWrap/>
            <w:vAlign w:val="center"/>
            <w:hideMark/>
          </w:tcPr>
          <w:p w14:paraId="68987642"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648</w:t>
            </w:r>
          </w:p>
        </w:tc>
        <w:tc>
          <w:tcPr>
            <w:tcW w:w="1152" w:type="dxa"/>
            <w:noWrap/>
            <w:vAlign w:val="center"/>
            <w:hideMark/>
          </w:tcPr>
          <w:p w14:paraId="3BFDA029"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81</w:t>
            </w:r>
          </w:p>
        </w:tc>
        <w:tc>
          <w:tcPr>
            <w:tcW w:w="1189" w:type="dxa"/>
            <w:noWrap/>
            <w:vAlign w:val="center"/>
            <w:hideMark/>
          </w:tcPr>
          <w:p w14:paraId="0BF62B1A"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89%</w:t>
            </w:r>
          </w:p>
        </w:tc>
      </w:tr>
      <w:tr w:rsidR="00FD2CBB" w:rsidRPr="000E7B50" w14:paraId="55CB5B30" w14:textId="77777777" w:rsidTr="00B50CF2">
        <w:trPr>
          <w:trHeight w:val="312"/>
        </w:trPr>
        <w:tc>
          <w:tcPr>
            <w:tcW w:w="1445" w:type="dxa"/>
            <w:shd w:val="clear" w:color="auto" w:fill="FF7C80"/>
            <w:noWrap/>
            <w:vAlign w:val="center"/>
            <w:hideMark/>
          </w:tcPr>
          <w:p w14:paraId="1C69BA72"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i/>
                <w:color w:val="000000"/>
              </w:rPr>
            </w:pPr>
            <w:r w:rsidRPr="00864BA4">
              <w:rPr>
                <w:rFonts w:asciiTheme="minorHAnsi" w:eastAsia="Times New Roman" w:hAnsiTheme="minorHAnsi" w:cstheme="minorHAnsi"/>
                <w:i/>
                <w:color w:val="000000"/>
              </w:rPr>
              <w:t>TO_049</w:t>
            </w:r>
          </w:p>
        </w:tc>
        <w:tc>
          <w:tcPr>
            <w:tcW w:w="2519" w:type="dxa"/>
            <w:shd w:val="clear" w:color="000000" w:fill="FFFFFF"/>
            <w:noWrap/>
            <w:vAlign w:val="center"/>
            <w:hideMark/>
          </w:tcPr>
          <w:p w14:paraId="1F2266E1"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Torino (TO)</w:t>
            </w:r>
          </w:p>
        </w:tc>
        <w:tc>
          <w:tcPr>
            <w:tcW w:w="1561" w:type="dxa"/>
            <w:noWrap/>
            <w:vAlign w:val="center"/>
            <w:hideMark/>
          </w:tcPr>
          <w:p w14:paraId="05D199D0"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2</w:t>
            </w:r>
          </w:p>
        </w:tc>
        <w:tc>
          <w:tcPr>
            <w:tcW w:w="1299" w:type="dxa"/>
            <w:noWrap/>
            <w:vAlign w:val="center"/>
            <w:hideMark/>
          </w:tcPr>
          <w:p w14:paraId="55066C65"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397</w:t>
            </w:r>
          </w:p>
        </w:tc>
        <w:tc>
          <w:tcPr>
            <w:tcW w:w="1152" w:type="dxa"/>
            <w:noWrap/>
            <w:vAlign w:val="center"/>
            <w:hideMark/>
          </w:tcPr>
          <w:p w14:paraId="7279427E"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43</w:t>
            </w:r>
          </w:p>
        </w:tc>
        <w:tc>
          <w:tcPr>
            <w:tcW w:w="1189" w:type="dxa"/>
            <w:noWrap/>
            <w:vAlign w:val="center"/>
            <w:hideMark/>
          </w:tcPr>
          <w:p w14:paraId="30F8D9E1"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90%</w:t>
            </w:r>
          </w:p>
        </w:tc>
      </w:tr>
      <w:tr w:rsidR="00FD2CBB" w:rsidRPr="000E7B50" w14:paraId="1B996E9B" w14:textId="77777777" w:rsidTr="00B50CF2">
        <w:trPr>
          <w:trHeight w:val="312"/>
        </w:trPr>
        <w:tc>
          <w:tcPr>
            <w:tcW w:w="1445" w:type="dxa"/>
            <w:shd w:val="clear" w:color="auto" w:fill="FF7C80"/>
            <w:noWrap/>
            <w:vAlign w:val="center"/>
            <w:hideMark/>
          </w:tcPr>
          <w:p w14:paraId="75762118"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i/>
                <w:color w:val="000000"/>
              </w:rPr>
            </w:pPr>
            <w:r w:rsidRPr="00864BA4">
              <w:rPr>
                <w:rFonts w:asciiTheme="minorHAnsi" w:eastAsia="Times New Roman" w:hAnsiTheme="minorHAnsi" w:cstheme="minorHAnsi"/>
                <w:i/>
                <w:color w:val="000000"/>
              </w:rPr>
              <w:t>TO_050</w:t>
            </w:r>
          </w:p>
        </w:tc>
        <w:tc>
          <w:tcPr>
            <w:tcW w:w="2519" w:type="dxa"/>
            <w:shd w:val="clear" w:color="000000" w:fill="FFFFFF"/>
            <w:noWrap/>
            <w:vAlign w:val="center"/>
            <w:hideMark/>
          </w:tcPr>
          <w:p w14:paraId="4FE07BB2"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Torino (TO)</w:t>
            </w:r>
          </w:p>
        </w:tc>
        <w:tc>
          <w:tcPr>
            <w:tcW w:w="1561" w:type="dxa"/>
            <w:noWrap/>
            <w:vAlign w:val="center"/>
            <w:hideMark/>
          </w:tcPr>
          <w:p w14:paraId="71F63DBE"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4</w:t>
            </w:r>
          </w:p>
        </w:tc>
        <w:tc>
          <w:tcPr>
            <w:tcW w:w="1299" w:type="dxa"/>
            <w:noWrap/>
            <w:vAlign w:val="center"/>
            <w:hideMark/>
          </w:tcPr>
          <w:p w14:paraId="0EAB9950"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696</w:t>
            </w:r>
          </w:p>
        </w:tc>
        <w:tc>
          <w:tcPr>
            <w:tcW w:w="1152" w:type="dxa"/>
            <w:noWrap/>
            <w:vAlign w:val="center"/>
            <w:hideMark/>
          </w:tcPr>
          <w:p w14:paraId="68254C21"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65</w:t>
            </w:r>
          </w:p>
        </w:tc>
        <w:tc>
          <w:tcPr>
            <w:tcW w:w="1189" w:type="dxa"/>
            <w:noWrap/>
            <w:vAlign w:val="center"/>
            <w:hideMark/>
          </w:tcPr>
          <w:p w14:paraId="79E6856C"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91%</w:t>
            </w:r>
          </w:p>
        </w:tc>
      </w:tr>
      <w:tr w:rsidR="00FD2CBB" w:rsidRPr="000E7B50" w14:paraId="56AC430C" w14:textId="77777777" w:rsidTr="00B50CF2">
        <w:trPr>
          <w:trHeight w:val="312"/>
        </w:trPr>
        <w:tc>
          <w:tcPr>
            <w:tcW w:w="1445" w:type="dxa"/>
            <w:shd w:val="clear" w:color="auto" w:fill="FF7C80"/>
            <w:noWrap/>
            <w:vAlign w:val="center"/>
            <w:hideMark/>
          </w:tcPr>
          <w:p w14:paraId="6834F936"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i/>
                <w:color w:val="000000"/>
              </w:rPr>
            </w:pPr>
            <w:r w:rsidRPr="00864BA4">
              <w:rPr>
                <w:rFonts w:asciiTheme="minorHAnsi" w:eastAsia="Times New Roman" w:hAnsiTheme="minorHAnsi" w:cstheme="minorHAnsi"/>
                <w:i/>
                <w:color w:val="000000"/>
              </w:rPr>
              <w:t>TO_052</w:t>
            </w:r>
          </w:p>
        </w:tc>
        <w:tc>
          <w:tcPr>
            <w:tcW w:w="2519" w:type="dxa"/>
            <w:shd w:val="clear" w:color="000000" w:fill="FFFFFF"/>
            <w:noWrap/>
            <w:vAlign w:val="center"/>
            <w:hideMark/>
          </w:tcPr>
          <w:p w14:paraId="534982B4"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Venaria Reale (TO)</w:t>
            </w:r>
          </w:p>
        </w:tc>
        <w:tc>
          <w:tcPr>
            <w:tcW w:w="1561" w:type="dxa"/>
            <w:noWrap/>
            <w:vAlign w:val="center"/>
            <w:hideMark/>
          </w:tcPr>
          <w:p w14:paraId="4628176B"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2</w:t>
            </w:r>
          </w:p>
        </w:tc>
        <w:tc>
          <w:tcPr>
            <w:tcW w:w="1299" w:type="dxa"/>
            <w:noWrap/>
            <w:vAlign w:val="center"/>
            <w:hideMark/>
          </w:tcPr>
          <w:p w14:paraId="0B175085"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331</w:t>
            </w:r>
          </w:p>
        </w:tc>
        <w:tc>
          <w:tcPr>
            <w:tcW w:w="1152" w:type="dxa"/>
            <w:noWrap/>
            <w:vAlign w:val="center"/>
            <w:hideMark/>
          </w:tcPr>
          <w:p w14:paraId="1878C055"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64</w:t>
            </w:r>
          </w:p>
        </w:tc>
        <w:tc>
          <w:tcPr>
            <w:tcW w:w="1189" w:type="dxa"/>
            <w:noWrap/>
            <w:vAlign w:val="center"/>
            <w:hideMark/>
          </w:tcPr>
          <w:p w14:paraId="6B773154"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84%</w:t>
            </w:r>
          </w:p>
        </w:tc>
      </w:tr>
      <w:tr w:rsidR="00FD2CBB" w:rsidRPr="000E7B50" w14:paraId="213C6155" w14:textId="77777777" w:rsidTr="00B50CF2">
        <w:trPr>
          <w:trHeight w:val="312"/>
        </w:trPr>
        <w:tc>
          <w:tcPr>
            <w:tcW w:w="1445" w:type="dxa"/>
            <w:shd w:val="clear" w:color="auto" w:fill="FF7C80"/>
            <w:noWrap/>
            <w:vAlign w:val="center"/>
            <w:hideMark/>
          </w:tcPr>
          <w:p w14:paraId="299513FA"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i/>
                <w:color w:val="000000"/>
              </w:rPr>
            </w:pPr>
            <w:r w:rsidRPr="00864BA4">
              <w:rPr>
                <w:rFonts w:asciiTheme="minorHAnsi" w:eastAsia="Times New Roman" w:hAnsiTheme="minorHAnsi" w:cstheme="minorHAnsi"/>
                <w:i/>
                <w:color w:val="000000"/>
              </w:rPr>
              <w:t>TO_053</w:t>
            </w:r>
          </w:p>
        </w:tc>
        <w:tc>
          <w:tcPr>
            <w:tcW w:w="2519" w:type="dxa"/>
            <w:shd w:val="clear" w:color="000000" w:fill="FFFFFF"/>
            <w:noWrap/>
            <w:vAlign w:val="center"/>
            <w:hideMark/>
          </w:tcPr>
          <w:p w14:paraId="572C37E2"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Cebrosa (TO)</w:t>
            </w:r>
          </w:p>
        </w:tc>
        <w:tc>
          <w:tcPr>
            <w:tcW w:w="1561" w:type="dxa"/>
            <w:noWrap/>
            <w:vAlign w:val="center"/>
            <w:hideMark/>
          </w:tcPr>
          <w:p w14:paraId="5668BFAD"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5</w:t>
            </w:r>
          </w:p>
        </w:tc>
        <w:tc>
          <w:tcPr>
            <w:tcW w:w="1299" w:type="dxa"/>
            <w:noWrap/>
            <w:vAlign w:val="center"/>
            <w:hideMark/>
          </w:tcPr>
          <w:p w14:paraId="0B8E433E"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456</w:t>
            </w:r>
          </w:p>
        </w:tc>
        <w:tc>
          <w:tcPr>
            <w:tcW w:w="1152" w:type="dxa"/>
            <w:noWrap/>
            <w:vAlign w:val="center"/>
            <w:hideMark/>
          </w:tcPr>
          <w:p w14:paraId="6BB64A82"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98</w:t>
            </w:r>
          </w:p>
        </w:tc>
        <w:tc>
          <w:tcPr>
            <w:tcW w:w="1189" w:type="dxa"/>
            <w:noWrap/>
            <w:vAlign w:val="center"/>
            <w:hideMark/>
          </w:tcPr>
          <w:p w14:paraId="4B5544C7"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r w:rsidRPr="00864BA4">
              <w:rPr>
                <w:rFonts w:asciiTheme="minorHAnsi" w:eastAsia="Times New Roman" w:hAnsiTheme="minorHAnsi" w:cstheme="minorHAnsi"/>
              </w:rPr>
              <w:t>82%</w:t>
            </w:r>
          </w:p>
        </w:tc>
      </w:tr>
      <w:tr w:rsidR="00FD2CBB" w:rsidRPr="000E7B50" w14:paraId="69895D0A" w14:textId="77777777" w:rsidTr="00B50CF2">
        <w:trPr>
          <w:trHeight w:val="312"/>
        </w:trPr>
        <w:tc>
          <w:tcPr>
            <w:tcW w:w="1445" w:type="dxa"/>
            <w:shd w:val="clear" w:color="auto" w:fill="FF7C80"/>
            <w:noWrap/>
            <w:vAlign w:val="center"/>
            <w:hideMark/>
          </w:tcPr>
          <w:p w14:paraId="246EC7F5"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b/>
                <w:i/>
                <w:color w:val="000000"/>
              </w:rPr>
            </w:pPr>
            <w:r w:rsidRPr="00864BA4">
              <w:rPr>
                <w:rFonts w:asciiTheme="minorHAnsi" w:eastAsia="Times New Roman" w:hAnsiTheme="minorHAnsi" w:cstheme="minorHAnsi"/>
                <w:b/>
                <w:i/>
                <w:color w:val="000000"/>
              </w:rPr>
              <w:t>Totale</w:t>
            </w:r>
          </w:p>
        </w:tc>
        <w:tc>
          <w:tcPr>
            <w:tcW w:w="2519" w:type="dxa"/>
            <w:shd w:val="clear" w:color="000000" w:fill="FFFFFF"/>
            <w:noWrap/>
            <w:vAlign w:val="center"/>
            <w:hideMark/>
          </w:tcPr>
          <w:p w14:paraId="48F9BFD2" w14:textId="7992C5BD"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p>
        </w:tc>
        <w:tc>
          <w:tcPr>
            <w:tcW w:w="1561" w:type="dxa"/>
            <w:noWrap/>
            <w:vAlign w:val="center"/>
            <w:hideMark/>
          </w:tcPr>
          <w:p w14:paraId="3040AF82"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b/>
              </w:rPr>
            </w:pPr>
            <w:r w:rsidRPr="00864BA4">
              <w:rPr>
                <w:rFonts w:asciiTheme="minorHAnsi" w:eastAsia="Times New Roman" w:hAnsiTheme="minorHAnsi" w:cstheme="minorHAnsi"/>
                <w:b/>
              </w:rPr>
              <w:t>478</w:t>
            </w:r>
          </w:p>
        </w:tc>
        <w:tc>
          <w:tcPr>
            <w:tcW w:w="1299" w:type="dxa"/>
            <w:noWrap/>
            <w:vAlign w:val="center"/>
            <w:hideMark/>
          </w:tcPr>
          <w:p w14:paraId="3C99EE5C"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b/>
              </w:rPr>
            </w:pPr>
            <w:r w:rsidRPr="00864BA4">
              <w:rPr>
                <w:rFonts w:asciiTheme="minorHAnsi" w:eastAsia="Times New Roman" w:hAnsiTheme="minorHAnsi" w:cstheme="minorHAnsi"/>
                <w:b/>
              </w:rPr>
              <w:t>88.006</w:t>
            </w:r>
          </w:p>
        </w:tc>
        <w:tc>
          <w:tcPr>
            <w:tcW w:w="1152" w:type="dxa"/>
            <w:noWrap/>
            <w:vAlign w:val="center"/>
            <w:hideMark/>
          </w:tcPr>
          <w:p w14:paraId="785A1AFB" w14:textId="77777777" w:rsidR="00FD2CBB" w:rsidRPr="00864BA4" w:rsidRDefault="00FD2CBB" w:rsidP="00B50CF2">
            <w:pPr>
              <w:spacing w:beforeLines="20" w:before="48" w:afterLines="20" w:after="48" w:line="240" w:lineRule="auto"/>
              <w:jc w:val="center"/>
              <w:rPr>
                <w:rFonts w:asciiTheme="minorHAnsi" w:eastAsia="Times New Roman" w:hAnsiTheme="minorHAnsi" w:cstheme="minorHAnsi"/>
                <w:b/>
              </w:rPr>
            </w:pPr>
            <w:r w:rsidRPr="00864BA4">
              <w:rPr>
                <w:rFonts w:asciiTheme="minorHAnsi" w:eastAsia="Times New Roman" w:hAnsiTheme="minorHAnsi" w:cstheme="minorHAnsi"/>
                <w:b/>
              </w:rPr>
              <w:t>8.847</w:t>
            </w:r>
          </w:p>
        </w:tc>
        <w:tc>
          <w:tcPr>
            <w:tcW w:w="1189" w:type="dxa"/>
            <w:noWrap/>
            <w:vAlign w:val="center"/>
            <w:hideMark/>
          </w:tcPr>
          <w:p w14:paraId="33CA0E0A" w14:textId="0EB8CED0" w:rsidR="00FD2CBB" w:rsidRPr="00864BA4" w:rsidRDefault="00FD2CBB" w:rsidP="00B50CF2">
            <w:pPr>
              <w:spacing w:beforeLines="20" w:before="48" w:afterLines="20" w:after="48" w:line="240" w:lineRule="auto"/>
              <w:jc w:val="center"/>
              <w:rPr>
                <w:rFonts w:asciiTheme="minorHAnsi" w:eastAsia="Times New Roman" w:hAnsiTheme="minorHAnsi" w:cstheme="minorHAnsi"/>
              </w:rPr>
            </w:pPr>
          </w:p>
        </w:tc>
      </w:tr>
    </w:tbl>
    <w:p w14:paraId="55C32671" w14:textId="0A9D7A61" w:rsidR="00FD2CBB" w:rsidRPr="00AD01C5" w:rsidRDefault="00FD2CBB" w:rsidP="009A6FA7">
      <w:pPr>
        <w:spacing w:after="240" w:line="240" w:lineRule="auto"/>
        <w:jc w:val="center"/>
        <w:rPr>
          <w:rFonts w:eastAsia="Calibri"/>
          <w:i/>
          <w:color w:val="003366"/>
          <w:sz w:val="18"/>
          <w:szCs w:val="18"/>
        </w:rPr>
      </w:pPr>
      <w:bookmarkStart w:id="373" w:name="_Ref212734566"/>
      <w:r w:rsidRPr="00AD01C5">
        <w:rPr>
          <w:rFonts w:eastAsia="Calibri"/>
          <w:i/>
          <w:color w:val="003366"/>
          <w:sz w:val="18"/>
          <w:szCs w:val="18"/>
        </w:rPr>
        <w:t xml:space="preserve">Tabella </w:t>
      </w:r>
      <w:r w:rsidRPr="00196688">
        <w:rPr>
          <w:rFonts w:cstheme="minorHAnsi"/>
          <w:i/>
          <w:color w:val="003366"/>
          <w:sz w:val="18"/>
          <w:szCs w:val="18"/>
        </w:rPr>
        <w:fldChar w:fldCharType="begin"/>
      </w:r>
      <w:r w:rsidRPr="00196688">
        <w:rPr>
          <w:rFonts w:cstheme="minorHAnsi"/>
          <w:i/>
          <w:color w:val="003366"/>
          <w:sz w:val="18"/>
          <w:szCs w:val="18"/>
        </w:rPr>
        <w:instrText xml:space="preserve"> SEQ Tabella \* ARABIC </w:instrText>
      </w:r>
      <w:r w:rsidRPr="00196688">
        <w:rPr>
          <w:rFonts w:cstheme="minorHAnsi"/>
          <w:i/>
          <w:color w:val="003366"/>
          <w:sz w:val="18"/>
          <w:szCs w:val="18"/>
        </w:rPr>
        <w:fldChar w:fldCharType="separate"/>
      </w:r>
      <w:r w:rsidR="00073B6D">
        <w:rPr>
          <w:rFonts w:cstheme="minorHAnsi"/>
          <w:i/>
          <w:noProof/>
          <w:color w:val="003366"/>
          <w:sz w:val="18"/>
          <w:szCs w:val="18"/>
        </w:rPr>
        <w:t>43</w:t>
      </w:r>
      <w:r w:rsidRPr="00196688">
        <w:rPr>
          <w:rFonts w:cstheme="minorHAnsi"/>
          <w:i/>
          <w:color w:val="003366"/>
          <w:sz w:val="18"/>
          <w:szCs w:val="18"/>
        </w:rPr>
        <w:fldChar w:fldCharType="end"/>
      </w:r>
      <w:bookmarkEnd w:id="373"/>
      <w:r w:rsidRPr="00196688">
        <w:rPr>
          <w:rFonts w:eastAsia="Calibri"/>
          <w:i/>
          <w:color w:val="003366"/>
          <w:sz w:val="18"/>
          <w:szCs w:val="18"/>
        </w:rPr>
        <w:t xml:space="preserve"> – </w:t>
      </w:r>
      <w:r w:rsidRPr="00AD01C5">
        <w:rPr>
          <w:rFonts w:eastAsia="Calibri"/>
          <w:i/>
          <w:color w:val="003366"/>
          <w:sz w:val="18"/>
          <w:szCs w:val="18"/>
        </w:rPr>
        <w:t>Descrizione indicatori scenario base</w:t>
      </w:r>
    </w:p>
    <w:p w14:paraId="3AA6A6C6" w14:textId="77777777" w:rsidR="00FD2CBB" w:rsidRDefault="00FD2CBB" w:rsidP="00864BA4">
      <w:pPr>
        <w:spacing w:before="120" w:after="0" w:line="240" w:lineRule="auto"/>
        <w:rPr>
          <w:rFonts w:eastAsia="Calibri"/>
        </w:rPr>
      </w:pPr>
      <w:r w:rsidRPr="00132A6F">
        <w:rPr>
          <w:rFonts w:eastAsia="Calibri"/>
        </w:rPr>
        <w:t>Nello “scenario base” così definito la produzione giornaliera dei servizi è gestita con 44 depositi e 478 veicoli, contro i 51 depositi e i 481</w:t>
      </w:r>
      <w:r w:rsidRPr="004F60D1">
        <w:rPr>
          <w:rFonts w:eastAsia="Calibri"/>
        </w:rPr>
        <w:t xml:space="preserve"> veicoli dello “scenario </w:t>
      </w:r>
      <w:r>
        <w:rPr>
          <w:rFonts w:eastAsia="Calibri"/>
        </w:rPr>
        <w:t>attuale</w:t>
      </w:r>
      <w:r w:rsidRPr="004F60D1">
        <w:rPr>
          <w:rFonts w:eastAsia="Calibri"/>
        </w:rPr>
        <w:t>”,</w:t>
      </w:r>
      <w:r w:rsidRPr="00AD01C5">
        <w:rPr>
          <w:rFonts w:eastAsia="Calibri"/>
        </w:rPr>
        <w:t xml:space="preserve"> tale organizzazione comporta una produzione di km a vuoto tale da generare un’efficienza media dei depositi </w:t>
      </w:r>
      <w:r w:rsidRPr="008C6803">
        <w:rPr>
          <w:rFonts w:eastAsia="Calibri"/>
        </w:rPr>
        <w:t>del 90% (km</w:t>
      </w:r>
      <w:r w:rsidRPr="00AD01C5">
        <w:rPr>
          <w:rFonts w:eastAsia="Calibri"/>
        </w:rPr>
        <w:t xml:space="preserve"> di servizio sul totale di km percorsi dagli autobus assegnati al deposito). </w:t>
      </w:r>
    </w:p>
    <w:p w14:paraId="2658DF16" w14:textId="77777777" w:rsidR="00FD2CBB" w:rsidRPr="00AD01C5" w:rsidRDefault="00FD2CBB" w:rsidP="00422950">
      <w:pPr>
        <w:pStyle w:val="Titolo3"/>
        <w:ind w:left="720"/>
      </w:pPr>
      <w:bookmarkStart w:id="374" w:name="_Toc204328761"/>
      <w:bookmarkStart w:id="375" w:name="_Toc213078401"/>
      <w:r w:rsidRPr="00AD01C5">
        <w:t>Generazione degli scenari di assegnazione</w:t>
      </w:r>
      <w:bookmarkEnd w:id="374"/>
      <w:bookmarkEnd w:id="375"/>
    </w:p>
    <w:p w14:paraId="3A730AB6" w14:textId="65742797" w:rsidR="00FD2CBB" w:rsidRPr="00AD01C5" w:rsidRDefault="00FD2CBB" w:rsidP="00422950">
      <w:pPr>
        <w:spacing w:before="120" w:after="0" w:line="240" w:lineRule="auto"/>
        <w:rPr>
          <w:rFonts w:eastAsia="Calibri"/>
        </w:rPr>
      </w:pPr>
      <w:r w:rsidRPr="00AD01C5">
        <w:rPr>
          <w:rFonts w:eastAsia="Calibri"/>
        </w:rPr>
        <w:t xml:space="preserve">Da questa prima assegnazione sono seguite due fasi di ottimizzazione successive con riduzione progressiva del numero di depositi, così come descritte nello schema di </w:t>
      </w:r>
      <w:r>
        <w:rPr>
          <w:rFonts w:eastAsia="Calibri"/>
        </w:rPr>
        <w:fldChar w:fldCharType="begin"/>
      </w:r>
      <w:r>
        <w:rPr>
          <w:rFonts w:eastAsia="Calibri"/>
        </w:rPr>
        <w:instrText xml:space="preserve"> REF _Ref205205762 \h  \* MERGEFORMAT </w:instrText>
      </w:r>
      <w:r>
        <w:rPr>
          <w:rFonts w:eastAsia="Calibri"/>
        </w:rPr>
      </w:r>
      <w:r>
        <w:rPr>
          <w:rFonts w:eastAsia="Calibri"/>
        </w:rPr>
        <w:fldChar w:fldCharType="separate"/>
      </w:r>
      <w:r w:rsidR="00073B6D" w:rsidRPr="00073B6D">
        <w:rPr>
          <w:rFonts w:eastAsia="Calibri"/>
        </w:rPr>
        <w:t xml:space="preserve">Figura </w:t>
      </w:r>
      <w:r w:rsidR="00073B6D" w:rsidRPr="00073B6D">
        <w:rPr>
          <w:rFonts w:asciiTheme="minorHAnsi" w:hAnsiTheme="minorHAnsi" w:cstheme="minorHAnsi"/>
          <w:i/>
          <w:iCs/>
          <w:noProof/>
          <w:color w:val="17406D" w:themeColor="text2"/>
          <w:sz w:val="18"/>
          <w:szCs w:val="18"/>
          <w14:textOutline w14:w="0" w14:cap="rnd" w14:cmpd="sng" w14:algn="ctr">
            <w14:solidFill>
              <w14:srgbClr w14:val="FF6C6C"/>
            </w14:solidFill>
            <w14:prstDash w14:val="solid"/>
            <w14:bevel/>
          </w14:textOutline>
        </w:rPr>
        <w:t>36</w:t>
      </w:r>
      <w:r>
        <w:rPr>
          <w:rFonts w:eastAsia="Calibri"/>
        </w:rPr>
        <w:fldChar w:fldCharType="end"/>
      </w:r>
      <w:r>
        <w:rPr>
          <w:rFonts w:eastAsia="Calibri"/>
        </w:rPr>
        <w:t>.</w:t>
      </w:r>
    </w:p>
    <w:p w14:paraId="6A6EB90A" w14:textId="77777777" w:rsidR="00FD2CBB" w:rsidRPr="00AD01C5" w:rsidRDefault="00FD2CBB" w:rsidP="00422950">
      <w:pPr>
        <w:spacing w:before="120" w:after="0" w:line="240" w:lineRule="auto"/>
        <w:rPr>
          <w:rFonts w:eastAsia="Calibri"/>
        </w:rPr>
      </w:pPr>
      <w:r w:rsidRPr="00AD01C5">
        <w:rPr>
          <w:rFonts w:eastAsia="Calibri"/>
          <w:noProof/>
        </w:rPr>
        <w:lastRenderedPageBreak/>
        <w:drawing>
          <wp:inline distT="0" distB="0" distL="0" distR="0" wp14:anchorId="7FA571D4" wp14:editId="7E977111">
            <wp:extent cx="5738948" cy="3327847"/>
            <wp:effectExtent l="0" t="0" r="0" b="6350"/>
            <wp:docPr id="772580443" name="Immagine 1" descr="Immagine che contiene testo, schermata, Carattere, Rettangol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833293" name="Immagine 1" descr="Immagine che contiene testo, schermata, Carattere, Rettangolo&#10;&#10;Descrizione generata automaticamente"/>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5792557" cy="3358933"/>
                    </a:xfrm>
                    <a:prstGeom prst="rect">
                      <a:avLst/>
                    </a:prstGeom>
                    <a:noFill/>
                  </pic:spPr>
                </pic:pic>
              </a:graphicData>
            </a:graphic>
          </wp:inline>
        </w:drawing>
      </w:r>
    </w:p>
    <w:p w14:paraId="34BD9511" w14:textId="02AA7CC4" w:rsidR="00FD2CBB" w:rsidRPr="00AD01C5" w:rsidRDefault="00FD2CBB" w:rsidP="00422950">
      <w:pPr>
        <w:spacing w:after="240" w:line="240" w:lineRule="auto"/>
        <w:jc w:val="center"/>
        <w:rPr>
          <w:rFonts w:eastAsia="Calibri"/>
          <w:color w:val="003366"/>
          <w:sz w:val="18"/>
          <w:szCs w:val="18"/>
        </w:rPr>
      </w:pPr>
      <w:bookmarkStart w:id="376" w:name="_Ref205205762"/>
      <w:bookmarkStart w:id="377" w:name="_Ref205205753"/>
      <w:r w:rsidRPr="00AD01C5">
        <w:rPr>
          <w:rFonts w:eastAsia="Calibri"/>
          <w:i/>
          <w:color w:val="003366"/>
          <w:sz w:val="18"/>
          <w:szCs w:val="18"/>
        </w:rPr>
        <w:t xml:space="preserve">Figura </w:t>
      </w:r>
      <w:r w:rsidRPr="00B50CF2">
        <w:rPr>
          <w:rFonts w:asciiTheme="minorHAnsi" w:hAnsiTheme="minorHAnsi" w:cstheme="minorHAnsi"/>
          <w:i/>
          <w:color w:val="003366"/>
          <w:sz w:val="18"/>
          <w:szCs w:val="18"/>
          <w14:textOutline w14:w="0" w14:cap="rnd" w14:cmpd="sng" w14:algn="ctr">
            <w14:solidFill>
              <w14:srgbClr w14:val="FF6C6C"/>
            </w14:solidFill>
            <w14:prstDash w14:val="solid"/>
            <w14:bevel/>
          </w14:textOutline>
        </w:rPr>
        <w:fldChar w:fldCharType="begin"/>
      </w:r>
      <w:r w:rsidRPr="00AD01C5">
        <w:rPr>
          <w:rFonts w:eastAsia="Calibri"/>
          <w:i/>
          <w:color w:val="003366"/>
          <w:sz w:val="18"/>
          <w:szCs w:val="18"/>
        </w:rPr>
        <w:instrText xml:space="preserve"> SEQ Figura \* ARABIC </w:instrText>
      </w:r>
      <w:r w:rsidRPr="00B50CF2">
        <w:rPr>
          <w:rFonts w:asciiTheme="minorHAnsi" w:hAnsiTheme="minorHAnsi" w:cstheme="minorHAnsi"/>
          <w:i/>
          <w:color w:val="003366"/>
          <w:sz w:val="18"/>
          <w:szCs w:val="18"/>
          <w14:textOutline w14:w="0" w14:cap="rnd" w14:cmpd="sng" w14:algn="ctr">
            <w14:solidFill>
              <w14:srgbClr w14:val="FF6C6C"/>
            </w14:solidFill>
            <w14:prstDash w14:val="solid"/>
            <w14:bevel/>
          </w14:textOutline>
        </w:rPr>
        <w:fldChar w:fldCharType="separate"/>
      </w:r>
      <w:r w:rsidR="00073B6D">
        <w:rPr>
          <w:rFonts w:eastAsia="Calibri"/>
          <w:i/>
          <w:noProof/>
          <w:color w:val="003366"/>
          <w:sz w:val="18"/>
          <w:szCs w:val="18"/>
        </w:rPr>
        <w:t>36</w:t>
      </w:r>
      <w:r w:rsidRPr="00B50CF2">
        <w:rPr>
          <w:rFonts w:asciiTheme="minorHAnsi" w:hAnsiTheme="minorHAnsi" w:cstheme="minorHAnsi"/>
          <w:i/>
          <w:color w:val="003366"/>
          <w:sz w:val="18"/>
          <w:szCs w:val="18"/>
          <w14:textOutline w14:w="0" w14:cap="rnd" w14:cmpd="sng" w14:algn="ctr">
            <w14:solidFill>
              <w14:srgbClr w14:val="FF6C6C"/>
            </w14:solidFill>
            <w14:prstDash w14:val="solid"/>
            <w14:bevel/>
          </w14:textOutline>
        </w:rPr>
        <w:fldChar w:fldCharType="end"/>
      </w:r>
      <w:bookmarkEnd w:id="376"/>
      <w:r w:rsidRPr="00AD01C5">
        <w:rPr>
          <w:rFonts w:eastAsia="Calibri"/>
          <w:color w:val="003366"/>
          <w:sz w:val="18"/>
          <w:szCs w:val="18"/>
        </w:rPr>
        <w:t xml:space="preserve"> – </w:t>
      </w:r>
      <w:r w:rsidRPr="00AD01C5">
        <w:rPr>
          <w:rFonts w:eastAsia="Calibri"/>
          <w:i/>
          <w:color w:val="003366"/>
          <w:sz w:val="18"/>
          <w:szCs w:val="18"/>
        </w:rPr>
        <w:t>Flusso processo di ottimizzazione</w:t>
      </w:r>
      <w:bookmarkEnd w:id="377"/>
    </w:p>
    <w:p w14:paraId="680C7E3F" w14:textId="77777777" w:rsidR="00FD2CBB" w:rsidRDefault="00FD2CBB" w:rsidP="00422950">
      <w:pPr>
        <w:spacing w:before="120" w:after="0" w:line="240" w:lineRule="auto"/>
        <w:rPr>
          <w:rFonts w:eastAsia="Calibri"/>
        </w:rPr>
      </w:pPr>
      <w:r w:rsidRPr="00AD01C5">
        <w:rPr>
          <w:rFonts w:eastAsia="Calibri"/>
        </w:rPr>
        <w:t xml:space="preserve">Analizzando il risultato dello scenario base è stato possibile identificare i depositi meno utilizzati e, per ogni linea, il numero di corse assegnate ad ogni deposito. Sono stati quindi gradualmente rimossi alcuni depositi in base al numero residuo di veicoli assegnati e alla posizione geografica (es. un solo deposito per comune), </w:t>
      </w:r>
      <w:r w:rsidRPr="0094470D">
        <w:rPr>
          <w:rFonts w:eastAsia="Calibri"/>
        </w:rPr>
        <w:t xml:space="preserve">verificando che l’impiego complessivo di veicoli fosse tale da ottenere una media di circa 30 veicoli a deposito. Lo scenario 1 </w:t>
      </w:r>
      <w:r>
        <w:rPr>
          <w:rFonts w:eastAsia="Calibri"/>
        </w:rPr>
        <w:t>si caratterizza per una sensibile riduzione del numero d</w:t>
      </w:r>
      <w:r w:rsidRPr="0094470D">
        <w:rPr>
          <w:rFonts w:eastAsia="Calibri"/>
        </w:rPr>
        <w:t xml:space="preserve">i depositi e </w:t>
      </w:r>
      <w:r>
        <w:rPr>
          <w:rFonts w:eastAsia="Calibri"/>
        </w:rPr>
        <w:t>una diminuzione del</w:t>
      </w:r>
      <w:r w:rsidRPr="0094470D">
        <w:rPr>
          <w:rFonts w:eastAsia="Calibri"/>
        </w:rPr>
        <w:t xml:space="preserve"> numero di veicoli, con un incremento </w:t>
      </w:r>
      <w:r>
        <w:rPr>
          <w:rFonts w:eastAsia="Calibri"/>
        </w:rPr>
        <w:t>modesto</w:t>
      </w:r>
      <w:r w:rsidRPr="0094470D">
        <w:rPr>
          <w:rFonts w:eastAsia="Calibri"/>
        </w:rPr>
        <w:t xml:space="preserve"> dei chilometri a vuoto rispetto allo scenario base, pur mantenendo invariata l’efficienza media dei depositi, pari al 90%.</w:t>
      </w:r>
    </w:p>
    <w:p w14:paraId="5BD11BDD" w14:textId="77777777" w:rsidR="00422950" w:rsidRDefault="00422950" w:rsidP="00422950">
      <w:pPr>
        <w:spacing w:before="120" w:after="0" w:line="240" w:lineRule="auto"/>
        <w:rPr>
          <w:rFonts w:eastAsia="Calibri"/>
        </w:rPr>
      </w:pPr>
    </w:p>
    <w:tbl>
      <w:tblPr>
        <w:tblW w:w="9077"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left w:w="70" w:type="dxa"/>
          <w:right w:w="70" w:type="dxa"/>
        </w:tblCellMar>
        <w:tblLook w:val="04A0" w:firstRow="1" w:lastRow="0" w:firstColumn="1" w:lastColumn="0" w:noHBand="0" w:noVBand="1"/>
      </w:tblPr>
      <w:tblGrid>
        <w:gridCol w:w="1437"/>
        <w:gridCol w:w="2527"/>
        <w:gridCol w:w="1493"/>
        <w:gridCol w:w="1292"/>
        <w:gridCol w:w="1146"/>
        <w:gridCol w:w="1182"/>
      </w:tblGrid>
      <w:tr w:rsidR="00FD2CBB" w:rsidRPr="00422950" w14:paraId="187774BC" w14:textId="77777777" w:rsidTr="00F567D4">
        <w:trPr>
          <w:trHeight w:val="309"/>
        </w:trPr>
        <w:tc>
          <w:tcPr>
            <w:tcW w:w="1437" w:type="dxa"/>
            <w:shd w:val="clear" w:color="auto" w:fill="EE3438"/>
            <w:vAlign w:val="center"/>
            <w:hideMark/>
          </w:tcPr>
          <w:p w14:paraId="42542542" w14:textId="77777777" w:rsidR="00FD2CBB" w:rsidRPr="00422950" w:rsidRDefault="00FD2CBB" w:rsidP="00F567D4">
            <w:pPr>
              <w:spacing w:beforeLines="20" w:before="48" w:afterLines="20" w:after="48" w:line="240" w:lineRule="auto"/>
              <w:jc w:val="center"/>
              <w:rPr>
                <w:rFonts w:asciiTheme="majorHAnsi" w:eastAsia="Times New Roman" w:hAnsiTheme="majorHAnsi" w:cstheme="majorHAnsi"/>
                <w:b/>
                <w:bCs/>
                <w:color w:val="FFFFFF" w:themeColor="background1"/>
              </w:rPr>
            </w:pPr>
            <w:r w:rsidRPr="00422950">
              <w:rPr>
                <w:rFonts w:asciiTheme="majorHAnsi" w:eastAsia="Times New Roman" w:hAnsiTheme="majorHAnsi" w:cstheme="majorHAnsi"/>
                <w:b/>
                <w:bCs/>
                <w:color w:val="FFFFFF" w:themeColor="background1"/>
              </w:rPr>
              <w:t>Nome Deposito</w:t>
            </w:r>
          </w:p>
        </w:tc>
        <w:tc>
          <w:tcPr>
            <w:tcW w:w="2527" w:type="dxa"/>
            <w:shd w:val="clear" w:color="auto" w:fill="EE3438"/>
            <w:vAlign w:val="center"/>
            <w:hideMark/>
          </w:tcPr>
          <w:p w14:paraId="31261DCF" w14:textId="77777777" w:rsidR="00FD2CBB" w:rsidRPr="00422950" w:rsidRDefault="00FD2CBB" w:rsidP="00F567D4">
            <w:pPr>
              <w:spacing w:beforeLines="20" w:before="48" w:afterLines="20" w:after="48" w:line="240" w:lineRule="auto"/>
              <w:jc w:val="center"/>
              <w:rPr>
                <w:rFonts w:asciiTheme="majorHAnsi" w:eastAsia="Times New Roman" w:hAnsiTheme="majorHAnsi" w:cstheme="majorHAnsi"/>
                <w:b/>
                <w:bCs/>
                <w:color w:val="FFFFFF" w:themeColor="background1"/>
              </w:rPr>
            </w:pPr>
            <w:r w:rsidRPr="00422950">
              <w:rPr>
                <w:rFonts w:asciiTheme="majorHAnsi" w:eastAsia="Times New Roman" w:hAnsiTheme="majorHAnsi" w:cstheme="majorHAnsi"/>
                <w:b/>
                <w:bCs/>
                <w:color w:val="FFFFFF" w:themeColor="background1"/>
              </w:rPr>
              <w:t>Localizzazione</w:t>
            </w:r>
          </w:p>
        </w:tc>
        <w:tc>
          <w:tcPr>
            <w:tcW w:w="1493" w:type="dxa"/>
            <w:shd w:val="clear" w:color="auto" w:fill="EE3438"/>
            <w:vAlign w:val="center"/>
            <w:hideMark/>
          </w:tcPr>
          <w:p w14:paraId="1E5256F5" w14:textId="77777777" w:rsidR="00FD2CBB" w:rsidRPr="00422950" w:rsidRDefault="00FD2CBB" w:rsidP="00F567D4">
            <w:pPr>
              <w:spacing w:beforeLines="20" w:before="48" w:afterLines="20" w:after="48" w:line="240" w:lineRule="auto"/>
              <w:jc w:val="center"/>
              <w:rPr>
                <w:rFonts w:asciiTheme="majorHAnsi" w:eastAsia="Times New Roman" w:hAnsiTheme="majorHAnsi" w:cstheme="majorHAnsi"/>
                <w:b/>
                <w:bCs/>
                <w:color w:val="FFFFFF" w:themeColor="background1"/>
              </w:rPr>
            </w:pPr>
            <w:r w:rsidRPr="00422950">
              <w:rPr>
                <w:rFonts w:asciiTheme="majorHAnsi" w:eastAsia="Times New Roman" w:hAnsiTheme="majorHAnsi" w:cstheme="majorHAnsi"/>
                <w:b/>
                <w:bCs/>
                <w:color w:val="FFFFFF" w:themeColor="background1"/>
              </w:rPr>
              <w:t>Numero Di Veicoli</w:t>
            </w:r>
          </w:p>
        </w:tc>
        <w:tc>
          <w:tcPr>
            <w:tcW w:w="1292" w:type="dxa"/>
            <w:shd w:val="clear" w:color="auto" w:fill="EE3438"/>
            <w:vAlign w:val="center"/>
            <w:hideMark/>
          </w:tcPr>
          <w:p w14:paraId="57DEB6CA" w14:textId="77777777" w:rsidR="00FD2CBB" w:rsidRPr="00422950" w:rsidRDefault="00FD2CBB" w:rsidP="00F567D4">
            <w:pPr>
              <w:spacing w:beforeLines="20" w:before="48" w:afterLines="20" w:after="48" w:line="240" w:lineRule="auto"/>
              <w:jc w:val="center"/>
              <w:rPr>
                <w:rFonts w:asciiTheme="majorHAnsi" w:eastAsia="Times New Roman" w:hAnsiTheme="majorHAnsi" w:cstheme="majorHAnsi"/>
                <w:b/>
                <w:bCs/>
                <w:color w:val="FFFFFF" w:themeColor="background1"/>
              </w:rPr>
            </w:pPr>
            <w:r w:rsidRPr="00422950">
              <w:rPr>
                <w:rFonts w:asciiTheme="majorHAnsi" w:eastAsia="Times New Roman" w:hAnsiTheme="majorHAnsi" w:cstheme="majorHAnsi"/>
                <w:b/>
                <w:bCs/>
                <w:color w:val="FFFFFF" w:themeColor="background1"/>
              </w:rPr>
              <w:t>KM di Servizio</w:t>
            </w:r>
          </w:p>
        </w:tc>
        <w:tc>
          <w:tcPr>
            <w:tcW w:w="1146" w:type="dxa"/>
            <w:shd w:val="clear" w:color="auto" w:fill="EE3438"/>
            <w:vAlign w:val="center"/>
            <w:hideMark/>
          </w:tcPr>
          <w:p w14:paraId="16174FA8" w14:textId="77777777" w:rsidR="00FD2CBB" w:rsidRPr="00422950" w:rsidRDefault="00FD2CBB" w:rsidP="00F567D4">
            <w:pPr>
              <w:spacing w:beforeLines="20" w:before="48" w:afterLines="20" w:after="48" w:line="240" w:lineRule="auto"/>
              <w:jc w:val="center"/>
              <w:rPr>
                <w:rFonts w:asciiTheme="majorHAnsi" w:eastAsia="Times New Roman" w:hAnsiTheme="majorHAnsi" w:cstheme="majorHAnsi"/>
                <w:b/>
                <w:bCs/>
                <w:color w:val="FFFFFF" w:themeColor="background1"/>
              </w:rPr>
            </w:pPr>
            <w:r w:rsidRPr="00422950">
              <w:rPr>
                <w:rFonts w:asciiTheme="majorHAnsi" w:eastAsia="Times New Roman" w:hAnsiTheme="majorHAnsi" w:cstheme="majorHAnsi"/>
                <w:b/>
                <w:bCs/>
                <w:color w:val="FFFFFF" w:themeColor="background1"/>
              </w:rPr>
              <w:t>KM di Vuoto</w:t>
            </w:r>
          </w:p>
        </w:tc>
        <w:tc>
          <w:tcPr>
            <w:tcW w:w="1182" w:type="dxa"/>
            <w:shd w:val="clear" w:color="auto" w:fill="EE3438"/>
            <w:vAlign w:val="center"/>
            <w:hideMark/>
          </w:tcPr>
          <w:p w14:paraId="1757A591" w14:textId="77777777" w:rsidR="00FD2CBB" w:rsidRPr="00422950" w:rsidRDefault="00FD2CBB" w:rsidP="00F567D4">
            <w:pPr>
              <w:spacing w:beforeLines="20" w:before="48" w:afterLines="20" w:after="48" w:line="240" w:lineRule="auto"/>
              <w:jc w:val="center"/>
              <w:rPr>
                <w:rFonts w:asciiTheme="majorHAnsi" w:eastAsia="Times New Roman" w:hAnsiTheme="majorHAnsi" w:cstheme="majorHAnsi"/>
                <w:b/>
                <w:bCs/>
                <w:color w:val="FFFFFF" w:themeColor="background1"/>
              </w:rPr>
            </w:pPr>
            <w:r w:rsidRPr="00422950">
              <w:rPr>
                <w:rFonts w:asciiTheme="majorHAnsi" w:eastAsia="Times New Roman" w:hAnsiTheme="majorHAnsi" w:cstheme="majorHAnsi"/>
                <w:b/>
                <w:bCs/>
                <w:color w:val="FFFFFF" w:themeColor="background1"/>
              </w:rPr>
              <w:t>Eff. Deposito</w:t>
            </w:r>
          </w:p>
        </w:tc>
      </w:tr>
      <w:tr w:rsidR="00FD2CBB" w:rsidRPr="00422950" w14:paraId="763A8E75" w14:textId="77777777" w:rsidTr="00F567D4">
        <w:trPr>
          <w:trHeight w:val="309"/>
        </w:trPr>
        <w:tc>
          <w:tcPr>
            <w:tcW w:w="1437" w:type="dxa"/>
            <w:shd w:val="clear" w:color="auto" w:fill="FF7C80"/>
            <w:noWrap/>
            <w:vAlign w:val="center"/>
            <w:hideMark/>
          </w:tcPr>
          <w:p w14:paraId="39C60798" w14:textId="77777777" w:rsidR="00FD2CBB" w:rsidRPr="00422950" w:rsidRDefault="00FD2CBB" w:rsidP="00F567D4">
            <w:pPr>
              <w:spacing w:beforeLines="20" w:before="48" w:afterLines="20" w:after="48" w:line="240" w:lineRule="auto"/>
              <w:jc w:val="center"/>
              <w:rPr>
                <w:rFonts w:asciiTheme="majorHAnsi" w:eastAsia="Times New Roman" w:hAnsiTheme="majorHAnsi" w:cstheme="majorHAnsi"/>
                <w:i/>
                <w:iCs/>
                <w:color w:val="000000"/>
              </w:rPr>
            </w:pPr>
            <w:r w:rsidRPr="00422950">
              <w:rPr>
                <w:rFonts w:asciiTheme="majorHAnsi" w:eastAsia="Times New Roman" w:hAnsiTheme="majorHAnsi" w:cstheme="majorHAnsi"/>
                <w:i/>
                <w:iCs/>
                <w:color w:val="000000"/>
              </w:rPr>
              <w:t>TO_001</w:t>
            </w:r>
          </w:p>
        </w:tc>
        <w:tc>
          <w:tcPr>
            <w:tcW w:w="2527" w:type="dxa"/>
            <w:shd w:val="clear" w:color="000000" w:fill="FFFFFF"/>
            <w:noWrap/>
            <w:vAlign w:val="center"/>
            <w:hideMark/>
          </w:tcPr>
          <w:p w14:paraId="7D1E2E01" w14:textId="24712E28" w:rsidR="00FD2CBB" w:rsidRPr="00422950" w:rsidRDefault="00FD2CBB" w:rsidP="00F567D4">
            <w:pPr>
              <w:spacing w:beforeLines="20" w:before="48" w:afterLines="20" w:after="48" w:line="240" w:lineRule="auto"/>
              <w:jc w:val="center"/>
              <w:rPr>
                <w:rFonts w:asciiTheme="majorHAnsi" w:eastAsia="Times New Roman" w:hAnsiTheme="majorHAnsi" w:cstheme="majorHAnsi"/>
              </w:rPr>
            </w:pPr>
            <w:r w:rsidRPr="00422950">
              <w:rPr>
                <w:rFonts w:asciiTheme="majorHAnsi" w:eastAsia="Times New Roman" w:hAnsiTheme="majorHAnsi" w:cstheme="majorHAnsi"/>
              </w:rPr>
              <w:t>Villafranca Piemonte (TO)</w:t>
            </w:r>
          </w:p>
        </w:tc>
        <w:tc>
          <w:tcPr>
            <w:tcW w:w="1493" w:type="dxa"/>
            <w:noWrap/>
            <w:vAlign w:val="center"/>
            <w:hideMark/>
          </w:tcPr>
          <w:p w14:paraId="09D7C9C3" w14:textId="77777777" w:rsidR="00FD2CBB" w:rsidRPr="00422950" w:rsidRDefault="00FD2CBB" w:rsidP="00F567D4">
            <w:pPr>
              <w:spacing w:beforeLines="20" w:before="48" w:afterLines="20" w:after="48" w:line="240" w:lineRule="auto"/>
              <w:jc w:val="center"/>
              <w:rPr>
                <w:rFonts w:asciiTheme="majorHAnsi" w:eastAsia="Times New Roman" w:hAnsiTheme="majorHAnsi" w:cstheme="majorHAnsi"/>
              </w:rPr>
            </w:pPr>
            <w:r w:rsidRPr="00422950">
              <w:rPr>
                <w:rFonts w:asciiTheme="majorHAnsi" w:eastAsia="Times New Roman" w:hAnsiTheme="majorHAnsi" w:cstheme="majorHAnsi"/>
              </w:rPr>
              <w:t>19</w:t>
            </w:r>
          </w:p>
        </w:tc>
        <w:tc>
          <w:tcPr>
            <w:tcW w:w="1292" w:type="dxa"/>
            <w:noWrap/>
            <w:vAlign w:val="center"/>
            <w:hideMark/>
          </w:tcPr>
          <w:p w14:paraId="3663F8CF" w14:textId="77777777" w:rsidR="00FD2CBB" w:rsidRPr="00422950" w:rsidRDefault="00FD2CBB" w:rsidP="00F567D4">
            <w:pPr>
              <w:spacing w:beforeLines="20" w:before="48" w:afterLines="20" w:after="48" w:line="240" w:lineRule="auto"/>
              <w:jc w:val="center"/>
              <w:rPr>
                <w:rFonts w:asciiTheme="majorHAnsi" w:eastAsia="Times New Roman" w:hAnsiTheme="majorHAnsi" w:cstheme="majorHAnsi"/>
              </w:rPr>
            </w:pPr>
            <w:r w:rsidRPr="00422950">
              <w:rPr>
                <w:rFonts w:asciiTheme="majorHAnsi" w:eastAsia="Times New Roman" w:hAnsiTheme="majorHAnsi" w:cstheme="majorHAnsi"/>
              </w:rPr>
              <w:t>4344</w:t>
            </w:r>
          </w:p>
        </w:tc>
        <w:tc>
          <w:tcPr>
            <w:tcW w:w="1146" w:type="dxa"/>
            <w:noWrap/>
            <w:vAlign w:val="center"/>
            <w:hideMark/>
          </w:tcPr>
          <w:p w14:paraId="344CF52B" w14:textId="77777777" w:rsidR="00FD2CBB" w:rsidRPr="00422950" w:rsidRDefault="00FD2CBB" w:rsidP="00F567D4">
            <w:pPr>
              <w:spacing w:beforeLines="20" w:before="48" w:afterLines="20" w:after="48" w:line="240" w:lineRule="auto"/>
              <w:jc w:val="center"/>
              <w:rPr>
                <w:rFonts w:asciiTheme="majorHAnsi" w:eastAsia="Times New Roman" w:hAnsiTheme="majorHAnsi" w:cstheme="majorHAnsi"/>
              </w:rPr>
            </w:pPr>
            <w:r w:rsidRPr="00422950">
              <w:rPr>
                <w:rFonts w:asciiTheme="majorHAnsi" w:eastAsia="Times New Roman" w:hAnsiTheme="majorHAnsi" w:cstheme="majorHAnsi"/>
              </w:rPr>
              <w:t>483</w:t>
            </w:r>
          </w:p>
        </w:tc>
        <w:tc>
          <w:tcPr>
            <w:tcW w:w="1182" w:type="dxa"/>
            <w:noWrap/>
            <w:vAlign w:val="center"/>
            <w:hideMark/>
          </w:tcPr>
          <w:p w14:paraId="07662F8B" w14:textId="77777777" w:rsidR="00FD2CBB" w:rsidRPr="00422950" w:rsidRDefault="00FD2CBB" w:rsidP="00F567D4">
            <w:pPr>
              <w:spacing w:beforeLines="20" w:before="48" w:afterLines="20" w:after="48" w:line="240" w:lineRule="auto"/>
              <w:jc w:val="center"/>
              <w:rPr>
                <w:rFonts w:asciiTheme="majorHAnsi" w:eastAsia="Times New Roman" w:hAnsiTheme="majorHAnsi" w:cstheme="majorHAnsi"/>
              </w:rPr>
            </w:pPr>
            <w:r w:rsidRPr="00422950">
              <w:rPr>
                <w:rFonts w:asciiTheme="majorHAnsi" w:eastAsia="Times New Roman" w:hAnsiTheme="majorHAnsi" w:cstheme="majorHAnsi"/>
              </w:rPr>
              <w:t>90%</w:t>
            </w:r>
          </w:p>
        </w:tc>
      </w:tr>
      <w:tr w:rsidR="00FD2CBB" w:rsidRPr="00422950" w14:paraId="57D6CFFC" w14:textId="77777777" w:rsidTr="00F567D4">
        <w:trPr>
          <w:trHeight w:val="309"/>
        </w:trPr>
        <w:tc>
          <w:tcPr>
            <w:tcW w:w="1437" w:type="dxa"/>
            <w:shd w:val="clear" w:color="auto" w:fill="FF7C80"/>
            <w:noWrap/>
            <w:vAlign w:val="center"/>
            <w:hideMark/>
          </w:tcPr>
          <w:p w14:paraId="3F7809BA" w14:textId="77777777" w:rsidR="00FD2CBB" w:rsidRPr="00422950" w:rsidRDefault="00FD2CBB" w:rsidP="00F567D4">
            <w:pPr>
              <w:spacing w:beforeLines="20" w:before="48" w:afterLines="20" w:after="48" w:line="240" w:lineRule="auto"/>
              <w:jc w:val="center"/>
              <w:rPr>
                <w:rFonts w:asciiTheme="majorHAnsi" w:eastAsia="Times New Roman" w:hAnsiTheme="majorHAnsi" w:cstheme="majorHAnsi"/>
                <w:i/>
                <w:iCs/>
                <w:color w:val="000000"/>
              </w:rPr>
            </w:pPr>
            <w:r w:rsidRPr="00422950">
              <w:rPr>
                <w:rFonts w:asciiTheme="majorHAnsi" w:eastAsia="Times New Roman" w:hAnsiTheme="majorHAnsi" w:cstheme="majorHAnsi"/>
                <w:i/>
                <w:iCs/>
                <w:color w:val="000000"/>
              </w:rPr>
              <w:t>TO_002</w:t>
            </w:r>
          </w:p>
        </w:tc>
        <w:tc>
          <w:tcPr>
            <w:tcW w:w="2527" w:type="dxa"/>
            <w:shd w:val="clear" w:color="000000" w:fill="FFFFFF"/>
            <w:noWrap/>
            <w:vAlign w:val="center"/>
            <w:hideMark/>
          </w:tcPr>
          <w:p w14:paraId="7B19FBB5" w14:textId="25048A2D" w:rsidR="00FD2CBB" w:rsidRPr="00422950" w:rsidRDefault="00FD2CBB" w:rsidP="00F567D4">
            <w:pPr>
              <w:spacing w:beforeLines="20" w:before="48" w:afterLines="20" w:after="48" w:line="240" w:lineRule="auto"/>
              <w:jc w:val="center"/>
              <w:rPr>
                <w:rFonts w:asciiTheme="majorHAnsi" w:eastAsia="Times New Roman" w:hAnsiTheme="majorHAnsi" w:cstheme="majorHAnsi"/>
              </w:rPr>
            </w:pPr>
            <w:r w:rsidRPr="00422950">
              <w:rPr>
                <w:rFonts w:asciiTheme="majorHAnsi" w:eastAsia="Times New Roman" w:hAnsiTheme="majorHAnsi" w:cstheme="majorHAnsi"/>
              </w:rPr>
              <w:t>Torino (TO)</w:t>
            </w:r>
          </w:p>
        </w:tc>
        <w:tc>
          <w:tcPr>
            <w:tcW w:w="1493" w:type="dxa"/>
            <w:noWrap/>
            <w:vAlign w:val="center"/>
            <w:hideMark/>
          </w:tcPr>
          <w:p w14:paraId="2EDA5879" w14:textId="77777777" w:rsidR="00FD2CBB" w:rsidRPr="00422950" w:rsidRDefault="00FD2CBB" w:rsidP="00F567D4">
            <w:pPr>
              <w:spacing w:beforeLines="20" w:before="48" w:afterLines="20" w:after="48" w:line="240" w:lineRule="auto"/>
              <w:jc w:val="center"/>
              <w:rPr>
                <w:rFonts w:asciiTheme="majorHAnsi" w:eastAsia="Times New Roman" w:hAnsiTheme="majorHAnsi" w:cstheme="majorHAnsi"/>
              </w:rPr>
            </w:pPr>
            <w:r w:rsidRPr="00422950">
              <w:rPr>
                <w:rFonts w:asciiTheme="majorHAnsi" w:eastAsia="Times New Roman" w:hAnsiTheme="majorHAnsi" w:cstheme="majorHAnsi"/>
              </w:rPr>
              <w:t>33</w:t>
            </w:r>
          </w:p>
        </w:tc>
        <w:tc>
          <w:tcPr>
            <w:tcW w:w="1292" w:type="dxa"/>
            <w:noWrap/>
            <w:vAlign w:val="center"/>
            <w:hideMark/>
          </w:tcPr>
          <w:p w14:paraId="0980EE68" w14:textId="77777777" w:rsidR="00FD2CBB" w:rsidRPr="00422950" w:rsidRDefault="00FD2CBB" w:rsidP="00F567D4">
            <w:pPr>
              <w:spacing w:beforeLines="20" w:before="48" w:afterLines="20" w:after="48" w:line="240" w:lineRule="auto"/>
              <w:jc w:val="center"/>
              <w:rPr>
                <w:rFonts w:asciiTheme="majorHAnsi" w:eastAsia="Times New Roman" w:hAnsiTheme="majorHAnsi" w:cstheme="majorHAnsi"/>
              </w:rPr>
            </w:pPr>
            <w:r w:rsidRPr="00422950">
              <w:rPr>
                <w:rFonts w:asciiTheme="majorHAnsi" w:eastAsia="Times New Roman" w:hAnsiTheme="majorHAnsi" w:cstheme="majorHAnsi"/>
              </w:rPr>
              <w:t>7729</w:t>
            </w:r>
          </w:p>
        </w:tc>
        <w:tc>
          <w:tcPr>
            <w:tcW w:w="1146" w:type="dxa"/>
            <w:noWrap/>
            <w:vAlign w:val="center"/>
            <w:hideMark/>
          </w:tcPr>
          <w:p w14:paraId="3246B418" w14:textId="77777777" w:rsidR="00FD2CBB" w:rsidRPr="00422950" w:rsidRDefault="00FD2CBB" w:rsidP="00F567D4">
            <w:pPr>
              <w:spacing w:beforeLines="20" w:before="48" w:afterLines="20" w:after="48" w:line="240" w:lineRule="auto"/>
              <w:jc w:val="center"/>
              <w:rPr>
                <w:rFonts w:asciiTheme="majorHAnsi" w:eastAsia="Times New Roman" w:hAnsiTheme="majorHAnsi" w:cstheme="majorHAnsi"/>
              </w:rPr>
            </w:pPr>
            <w:r w:rsidRPr="00422950">
              <w:rPr>
                <w:rFonts w:asciiTheme="majorHAnsi" w:eastAsia="Times New Roman" w:hAnsiTheme="majorHAnsi" w:cstheme="majorHAnsi"/>
              </w:rPr>
              <w:t>535</w:t>
            </w:r>
          </w:p>
        </w:tc>
        <w:tc>
          <w:tcPr>
            <w:tcW w:w="1182" w:type="dxa"/>
            <w:noWrap/>
            <w:vAlign w:val="center"/>
            <w:hideMark/>
          </w:tcPr>
          <w:p w14:paraId="5D77CBEB" w14:textId="77777777" w:rsidR="00FD2CBB" w:rsidRPr="00422950" w:rsidRDefault="00FD2CBB" w:rsidP="00F567D4">
            <w:pPr>
              <w:spacing w:beforeLines="20" w:before="48" w:afterLines="20" w:after="48" w:line="240" w:lineRule="auto"/>
              <w:jc w:val="center"/>
              <w:rPr>
                <w:rFonts w:asciiTheme="majorHAnsi" w:eastAsia="Times New Roman" w:hAnsiTheme="majorHAnsi" w:cstheme="majorHAnsi"/>
              </w:rPr>
            </w:pPr>
            <w:r w:rsidRPr="00422950">
              <w:rPr>
                <w:rFonts w:asciiTheme="majorHAnsi" w:eastAsia="Times New Roman" w:hAnsiTheme="majorHAnsi" w:cstheme="majorHAnsi"/>
              </w:rPr>
              <w:t>94%</w:t>
            </w:r>
          </w:p>
        </w:tc>
      </w:tr>
      <w:tr w:rsidR="00FD2CBB" w:rsidRPr="00422950" w14:paraId="0EFC983B" w14:textId="77777777" w:rsidTr="00F567D4">
        <w:trPr>
          <w:trHeight w:val="309"/>
        </w:trPr>
        <w:tc>
          <w:tcPr>
            <w:tcW w:w="1437" w:type="dxa"/>
            <w:shd w:val="clear" w:color="auto" w:fill="FF7C80"/>
            <w:noWrap/>
            <w:vAlign w:val="center"/>
            <w:hideMark/>
          </w:tcPr>
          <w:p w14:paraId="66F5D9AD" w14:textId="77777777" w:rsidR="00FD2CBB" w:rsidRPr="00422950" w:rsidRDefault="00FD2CBB" w:rsidP="00F567D4">
            <w:pPr>
              <w:spacing w:beforeLines="20" w:before="48" w:afterLines="20" w:after="48" w:line="240" w:lineRule="auto"/>
              <w:jc w:val="center"/>
              <w:rPr>
                <w:rFonts w:asciiTheme="majorHAnsi" w:eastAsia="Times New Roman" w:hAnsiTheme="majorHAnsi" w:cstheme="majorHAnsi"/>
                <w:i/>
                <w:iCs/>
                <w:color w:val="000000"/>
              </w:rPr>
            </w:pPr>
            <w:r w:rsidRPr="00422950">
              <w:rPr>
                <w:rFonts w:asciiTheme="majorHAnsi" w:eastAsia="Times New Roman" w:hAnsiTheme="majorHAnsi" w:cstheme="majorHAnsi"/>
                <w:i/>
                <w:iCs/>
                <w:color w:val="000000"/>
              </w:rPr>
              <w:t>TO_003</w:t>
            </w:r>
          </w:p>
        </w:tc>
        <w:tc>
          <w:tcPr>
            <w:tcW w:w="2527" w:type="dxa"/>
            <w:shd w:val="clear" w:color="000000" w:fill="FFFFFF"/>
            <w:noWrap/>
            <w:vAlign w:val="center"/>
            <w:hideMark/>
          </w:tcPr>
          <w:p w14:paraId="00ACA79B" w14:textId="3A35AB6D" w:rsidR="00FD2CBB" w:rsidRPr="00422950" w:rsidRDefault="00FD2CBB" w:rsidP="00F567D4">
            <w:pPr>
              <w:spacing w:beforeLines="20" w:before="48" w:afterLines="20" w:after="48" w:line="240" w:lineRule="auto"/>
              <w:jc w:val="center"/>
              <w:rPr>
                <w:rFonts w:asciiTheme="majorHAnsi" w:eastAsia="Times New Roman" w:hAnsiTheme="majorHAnsi" w:cstheme="majorHAnsi"/>
              </w:rPr>
            </w:pPr>
            <w:r w:rsidRPr="00422950">
              <w:rPr>
                <w:rFonts w:asciiTheme="majorHAnsi" w:eastAsia="Times New Roman" w:hAnsiTheme="majorHAnsi" w:cstheme="majorHAnsi"/>
              </w:rPr>
              <w:t>Chivasso (TO)</w:t>
            </w:r>
          </w:p>
        </w:tc>
        <w:tc>
          <w:tcPr>
            <w:tcW w:w="1493" w:type="dxa"/>
            <w:noWrap/>
            <w:vAlign w:val="center"/>
            <w:hideMark/>
          </w:tcPr>
          <w:p w14:paraId="7AA68C0B" w14:textId="77777777" w:rsidR="00FD2CBB" w:rsidRPr="00422950" w:rsidRDefault="00FD2CBB" w:rsidP="00F567D4">
            <w:pPr>
              <w:spacing w:beforeLines="20" w:before="48" w:afterLines="20" w:after="48" w:line="240" w:lineRule="auto"/>
              <w:jc w:val="center"/>
              <w:rPr>
                <w:rFonts w:asciiTheme="majorHAnsi" w:eastAsia="Times New Roman" w:hAnsiTheme="majorHAnsi" w:cstheme="majorHAnsi"/>
              </w:rPr>
            </w:pPr>
            <w:r w:rsidRPr="00422950">
              <w:rPr>
                <w:rFonts w:asciiTheme="majorHAnsi" w:eastAsia="Times New Roman" w:hAnsiTheme="majorHAnsi" w:cstheme="majorHAnsi"/>
              </w:rPr>
              <w:t>35</w:t>
            </w:r>
          </w:p>
        </w:tc>
        <w:tc>
          <w:tcPr>
            <w:tcW w:w="1292" w:type="dxa"/>
            <w:noWrap/>
            <w:vAlign w:val="center"/>
            <w:hideMark/>
          </w:tcPr>
          <w:p w14:paraId="62577EAD" w14:textId="77777777" w:rsidR="00FD2CBB" w:rsidRPr="00422950" w:rsidRDefault="00FD2CBB" w:rsidP="00F567D4">
            <w:pPr>
              <w:spacing w:beforeLines="20" w:before="48" w:afterLines="20" w:after="48" w:line="240" w:lineRule="auto"/>
              <w:jc w:val="center"/>
              <w:rPr>
                <w:rFonts w:asciiTheme="majorHAnsi" w:eastAsia="Times New Roman" w:hAnsiTheme="majorHAnsi" w:cstheme="majorHAnsi"/>
              </w:rPr>
            </w:pPr>
            <w:r w:rsidRPr="00422950">
              <w:rPr>
                <w:rFonts w:asciiTheme="majorHAnsi" w:eastAsia="Times New Roman" w:hAnsiTheme="majorHAnsi" w:cstheme="majorHAnsi"/>
              </w:rPr>
              <w:t>5560</w:t>
            </w:r>
          </w:p>
        </w:tc>
        <w:tc>
          <w:tcPr>
            <w:tcW w:w="1146" w:type="dxa"/>
            <w:noWrap/>
            <w:vAlign w:val="center"/>
            <w:hideMark/>
          </w:tcPr>
          <w:p w14:paraId="51A3A1D1" w14:textId="77777777" w:rsidR="00FD2CBB" w:rsidRPr="00422950" w:rsidRDefault="00FD2CBB" w:rsidP="00F567D4">
            <w:pPr>
              <w:spacing w:beforeLines="20" w:before="48" w:afterLines="20" w:after="48" w:line="240" w:lineRule="auto"/>
              <w:jc w:val="center"/>
              <w:rPr>
                <w:rFonts w:asciiTheme="majorHAnsi" w:eastAsia="Times New Roman" w:hAnsiTheme="majorHAnsi" w:cstheme="majorHAnsi"/>
              </w:rPr>
            </w:pPr>
            <w:r w:rsidRPr="00422950">
              <w:rPr>
                <w:rFonts w:asciiTheme="majorHAnsi" w:eastAsia="Times New Roman" w:hAnsiTheme="majorHAnsi" w:cstheme="majorHAnsi"/>
              </w:rPr>
              <w:t>857</w:t>
            </w:r>
          </w:p>
        </w:tc>
        <w:tc>
          <w:tcPr>
            <w:tcW w:w="1182" w:type="dxa"/>
            <w:noWrap/>
            <w:vAlign w:val="center"/>
            <w:hideMark/>
          </w:tcPr>
          <w:p w14:paraId="0D83A925" w14:textId="77777777" w:rsidR="00FD2CBB" w:rsidRPr="00422950" w:rsidRDefault="00FD2CBB" w:rsidP="00F567D4">
            <w:pPr>
              <w:spacing w:beforeLines="20" w:before="48" w:afterLines="20" w:after="48" w:line="240" w:lineRule="auto"/>
              <w:jc w:val="center"/>
              <w:rPr>
                <w:rFonts w:asciiTheme="majorHAnsi" w:eastAsia="Times New Roman" w:hAnsiTheme="majorHAnsi" w:cstheme="majorHAnsi"/>
              </w:rPr>
            </w:pPr>
            <w:r w:rsidRPr="00422950">
              <w:rPr>
                <w:rFonts w:asciiTheme="majorHAnsi" w:eastAsia="Times New Roman" w:hAnsiTheme="majorHAnsi" w:cstheme="majorHAnsi"/>
              </w:rPr>
              <w:t>87%</w:t>
            </w:r>
          </w:p>
        </w:tc>
      </w:tr>
      <w:tr w:rsidR="00FD2CBB" w:rsidRPr="00422950" w14:paraId="6637846B" w14:textId="77777777" w:rsidTr="00F567D4">
        <w:trPr>
          <w:trHeight w:val="309"/>
        </w:trPr>
        <w:tc>
          <w:tcPr>
            <w:tcW w:w="1437" w:type="dxa"/>
            <w:shd w:val="clear" w:color="auto" w:fill="FF7C80"/>
            <w:noWrap/>
            <w:vAlign w:val="center"/>
            <w:hideMark/>
          </w:tcPr>
          <w:p w14:paraId="0B68D439" w14:textId="77777777" w:rsidR="00FD2CBB" w:rsidRPr="00422950" w:rsidRDefault="00FD2CBB" w:rsidP="00F567D4">
            <w:pPr>
              <w:spacing w:beforeLines="20" w:before="48" w:afterLines="20" w:after="48" w:line="240" w:lineRule="auto"/>
              <w:jc w:val="center"/>
              <w:rPr>
                <w:rFonts w:asciiTheme="majorHAnsi" w:eastAsia="Times New Roman" w:hAnsiTheme="majorHAnsi" w:cstheme="majorHAnsi"/>
                <w:i/>
                <w:iCs/>
                <w:color w:val="000000"/>
              </w:rPr>
            </w:pPr>
            <w:r w:rsidRPr="00422950">
              <w:rPr>
                <w:rFonts w:asciiTheme="majorHAnsi" w:eastAsia="Times New Roman" w:hAnsiTheme="majorHAnsi" w:cstheme="majorHAnsi"/>
                <w:i/>
                <w:iCs/>
                <w:color w:val="000000"/>
              </w:rPr>
              <w:t>TO_007</w:t>
            </w:r>
          </w:p>
        </w:tc>
        <w:tc>
          <w:tcPr>
            <w:tcW w:w="2527" w:type="dxa"/>
            <w:shd w:val="clear" w:color="000000" w:fill="FFFFFF"/>
            <w:noWrap/>
            <w:vAlign w:val="center"/>
            <w:hideMark/>
          </w:tcPr>
          <w:p w14:paraId="4FA23871" w14:textId="77777777" w:rsidR="00FD2CBB" w:rsidRPr="00422950" w:rsidRDefault="00FD2CBB" w:rsidP="00F567D4">
            <w:pPr>
              <w:spacing w:beforeLines="20" w:before="48" w:afterLines="20" w:after="48" w:line="240" w:lineRule="auto"/>
              <w:jc w:val="center"/>
              <w:rPr>
                <w:rFonts w:asciiTheme="majorHAnsi" w:eastAsia="Times New Roman" w:hAnsiTheme="majorHAnsi" w:cstheme="majorHAnsi"/>
              </w:rPr>
            </w:pPr>
            <w:r w:rsidRPr="00422950">
              <w:rPr>
                <w:rFonts w:asciiTheme="majorHAnsi" w:eastAsia="Times New Roman" w:hAnsiTheme="majorHAnsi" w:cstheme="majorHAnsi"/>
              </w:rPr>
              <w:t>Chieri (TO)</w:t>
            </w:r>
          </w:p>
        </w:tc>
        <w:tc>
          <w:tcPr>
            <w:tcW w:w="1493" w:type="dxa"/>
            <w:noWrap/>
            <w:vAlign w:val="center"/>
            <w:hideMark/>
          </w:tcPr>
          <w:p w14:paraId="1D5C2790" w14:textId="77777777" w:rsidR="00FD2CBB" w:rsidRPr="00422950" w:rsidRDefault="00FD2CBB" w:rsidP="00F567D4">
            <w:pPr>
              <w:spacing w:beforeLines="20" w:before="48" w:afterLines="20" w:after="48" w:line="240" w:lineRule="auto"/>
              <w:jc w:val="center"/>
              <w:rPr>
                <w:rFonts w:asciiTheme="majorHAnsi" w:eastAsia="Times New Roman" w:hAnsiTheme="majorHAnsi" w:cstheme="majorHAnsi"/>
              </w:rPr>
            </w:pPr>
            <w:r w:rsidRPr="00422950">
              <w:rPr>
                <w:rFonts w:asciiTheme="majorHAnsi" w:eastAsia="Times New Roman" w:hAnsiTheme="majorHAnsi" w:cstheme="majorHAnsi"/>
              </w:rPr>
              <w:t>21</w:t>
            </w:r>
          </w:p>
        </w:tc>
        <w:tc>
          <w:tcPr>
            <w:tcW w:w="1292" w:type="dxa"/>
            <w:noWrap/>
            <w:vAlign w:val="center"/>
            <w:hideMark/>
          </w:tcPr>
          <w:p w14:paraId="736670FD" w14:textId="77777777" w:rsidR="00FD2CBB" w:rsidRPr="00422950" w:rsidRDefault="00FD2CBB" w:rsidP="00F567D4">
            <w:pPr>
              <w:spacing w:beforeLines="20" w:before="48" w:afterLines="20" w:after="48" w:line="240" w:lineRule="auto"/>
              <w:jc w:val="center"/>
              <w:rPr>
                <w:rFonts w:asciiTheme="majorHAnsi" w:eastAsia="Times New Roman" w:hAnsiTheme="majorHAnsi" w:cstheme="majorHAnsi"/>
              </w:rPr>
            </w:pPr>
            <w:r w:rsidRPr="00422950">
              <w:rPr>
                <w:rFonts w:asciiTheme="majorHAnsi" w:eastAsia="Times New Roman" w:hAnsiTheme="majorHAnsi" w:cstheme="majorHAnsi"/>
              </w:rPr>
              <w:t>4054</w:t>
            </w:r>
          </w:p>
        </w:tc>
        <w:tc>
          <w:tcPr>
            <w:tcW w:w="1146" w:type="dxa"/>
            <w:noWrap/>
            <w:vAlign w:val="center"/>
            <w:hideMark/>
          </w:tcPr>
          <w:p w14:paraId="3C098429" w14:textId="77777777" w:rsidR="00FD2CBB" w:rsidRPr="00422950" w:rsidRDefault="00FD2CBB" w:rsidP="00F567D4">
            <w:pPr>
              <w:spacing w:beforeLines="20" w:before="48" w:afterLines="20" w:after="48" w:line="240" w:lineRule="auto"/>
              <w:jc w:val="center"/>
              <w:rPr>
                <w:rFonts w:asciiTheme="majorHAnsi" w:eastAsia="Times New Roman" w:hAnsiTheme="majorHAnsi" w:cstheme="majorHAnsi"/>
              </w:rPr>
            </w:pPr>
            <w:r w:rsidRPr="00422950">
              <w:rPr>
                <w:rFonts w:asciiTheme="majorHAnsi" w:eastAsia="Times New Roman" w:hAnsiTheme="majorHAnsi" w:cstheme="majorHAnsi"/>
              </w:rPr>
              <w:t>367</w:t>
            </w:r>
          </w:p>
        </w:tc>
        <w:tc>
          <w:tcPr>
            <w:tcW w:w="1182" w:type="dxa"/>
            <w:noWrap/>
            <w:vAlign w:val="center"/>
            <w:hideMark/>
          </w:tcPr>
          <w:p w14:paraId="541FE240" w14:textId="77777777" w:rsidR="00FD2CBB" w:rsidRPr="00422950" w:rsidRDefault="00FD2CBB" w:rsidP="00F567D4">
            <w:pPr>
              <w:spacing w:beforeLines="20" w:before="48" w:afterLines="20" w:after="48" w:line="240" w:lineRule="auto"/>
              <w:jc w:val="center"/>
              <w:rPr>
                <w:rFonts w:asciiTheme="majorHAnsi" w:eastAsia="Times New Roman" w:hAnsiTheme="majorHAnsi" w:cstheme="majorHAnsi"/>
              </w:rPr>
            </w:pPr>
            <w:r w:rsidRPr="00422950">
              <w:rPr>
                <w:rFonts w:asciiTheme="majorHAnsi" w:eastAsia="Times New Roman" w:hAnsiTheme="majorHAnsi" w:cstheme="majorHAnsi"/>
              </w:rPr>
              <w:t>92%</w:t>
            </w:r>
          </w:p>
        </w:tc>
      </w:tr>
      <w:tr w:rsidR="00FD2CBB" w:rsidRPr="00422950" w14:paraId="05C3E16B" w14:textId="77777777" w:rsidTr="00F567D4">
        <w:trPr>
          <w:trHeight w:val="309"/>
        </w:trPr>
        <w:tc>
          <w:tcPr>
            <w:tcW w:w="1437" w:type="dxa"/>
            <w:shd w:val="clear" w:color="auto" w:fill="FF7C80"/>
            <w:noWrap/>
            <w:vAlign w:val="center"/>
            <w:hideMark/>
          </w:tcPr>
          <w:p w14:paraId="7ADFEE89" w14:textId="77777777" w:rsidR="00FD2CBB" w:rsidRPr="00422950" w:rsidRDefault="00FD2CBB" w:rsidP="00F567D4">
            <w:pPr>
              <w:spacing w:beforeLines="20" w:before="48" w:afterLines="20" w:after="48" w:line="240" w:lineRule="auto"/>
              <w:jc w:val="center"/>
              <w:rPr>
                <w:rFonts w:asciiTheme="majorHAnsi" w:eastAsia="Times New Roman" w:hAnsiTheme="majorHAnsi" w:cstheme="majorHAnsi"/>
                <w:i/>
                <w:iCs/>
                <w:color w:val="000000"/>
              </w:rPr>
            </w:pPr>
            <w:r w:rsidRPr="00422950">
              <w:rPr>
                <w:rFonts w:asciiTheme="majorHAnsi" w:eastAsia="Times New Roman" w:hAnsiTheme="majorHAnsi" w:cstheme="majorHAnsi"/>
                <w:i/>
                <w:iCs/>
                <w:color w:val="000000"/>
              </w:rPr>
              <w:t>TO_009</w:t>
            </w:r>
          </w:p>
        </w:tc>
        <w:tc>
          <w:tcPr>
            <w:tcW w:w="2527" w:type="dxa"/>
            <w:shd w:val="clear" w:color="000000" w:fill="FFFFFF"/>
            <w:noWrap/>
            <w:vAlign w:val="center"/>
            <w:hideMark/>
          </w:tcPr>
          <w:p w14:paraId="7BCEECA9" w14:textId="77777777" w:rsidR="00FD2CBB" w:rsidRPr="00422950" w:rsidRDefault="00FD2CBB" w:rsidP="00F567D4">
            <w:pPr>
              <w:spacing w:beforeLines="20" w:before="48" w:afterLines="20" w:after="48" w:line="240" w:lineRule="auto"/>
              <w:jc w:val="center"/>
              <w:rPr>
                <w:rFonts w:asciiTheme="majorHAnsi" w:eastAsia="Times New Roman" w:hAnsiTheme="majorHAnsi" w:cstheme="majorHAnsi"/>
              </w:rPr>
            </w:pPr>
            <w:r w:rsidRPr="00422950">
              <w:rPr>
                <w:rFonts w:asciiTheme="majorHAnsi" w:eastAsia="Times New Roman" w:hAnsiTheme="majorHAnsi" w:cstheme="majorHAnsi"/>
              </w:rPr>
              <w:t>Luserna San Giovanni (TO)</w:t>
            </w:r>
          </w:p>
        </w:tc>
        <w:tc>
          <w:tcPr>
            <w:tcW w:w="1493" w:type="dxa"/>
            <w:noWrap/>
            <w:vAlign w:val="center"/>
            <w:hideMark/>
          </w:tcPr>
          <w:p w14:paraId="4C5A0901" w14:textId="77777777" w:rsidR="00FD2CBB" w:rsidRPr="00422950" w:rsidRDefault="00FD2CBB" w:rsidP="00F567D4">
            <w:pPr>
              <w:spacing w:beforeLines="20" w:before="48" w:afterLines="20" w:after="48" w:line="240" w:lineRule="auto"/>
              <w:jc w:val="center"/>
              <w:rPr>
                <w:rFonts w:asciiTheme="majorHAnsi" w:eastAsia="Times New Roman" w:hAnsiTheme="majorHAnsi" w:cstheme="majorHAnsi"/>
              </w:rPr>
            </w:pPr>
            <w:r w:rsidRPr="00422950">
              <w:rPr>
                <w:rFonts w:asciiTheme="majorHAnsi" w:eastAsia="Times New Roman" w:hAnsiTheme="majorHAnsi" w:cstheme="majorHAnsi"/>
              </w:rPr>
              <w:t>38</w:t>
            </w:r>
          </w:p>
        </w:tc>
        <w:tc>
          <w:tcPr>
            <w:tcW w:w="1292" w:type="dxa"/>
            <w:noWrap/>
            <w:vAlign w:val="center"/>
            <w:hideMark/>
          </w:tcPr>
          <w:p w14:paraId="35183DB6" w14:textId="77777777" w:rsidR="00FD2CBB" w:rsidRPr="00422950" w:rsidRDefault="00FD2CBB" w:rsidP="00F567D4">
            <w:pPr>
              <w:spacing w:beforeLines="20" w:before="48" w:afterLines="20" w:after="48" w:line="240" w:lineRule="auto"/>
              <w:jc w:val="center"/>
              <w:rPr>
                <w:rFonts w:asciiTheme="majorHAnsi" w:eastAsia="Times New Roman" w:hAnsiTheme="majorHAnsi" w:cstheme="majorHAnsi"/>
              </w:rPr>
            </w:pPr>
            <w:r w:rsidRPr="00422950">
              <w:rPr>
                <w:rFonts w:asciiTheme="majorHAnsi" w:eastAsia="Times New Roman" w:hAnsiTheme="majorHAnsi" w:cstheme="majorHAnsi"/>
              </w:rPr>
              <w:t>7545</w:t>
            </w:r>
          </w:p>
        </w:tc>
        <w:tc>
          <w:tcPr>
            <w:tcW w:w="1146" w:type="dxa"/>
            <w:noWrap/>
            <w:vAlign w:val="center"/>
            <w:hideMark/>
          </w:tcPr>
          <w:p w14:paraId="7E043A7E" w14:textId="77777777" w:rsidR="00FD2CBB" w:rsidRPr="00422950" w:rsidRDefault="00FD2CBB" w:rsidP="00F567D4">
            <w:pPr>
              <w:spacing w:beforeLines="20" w:before="48" w:afterLines="20" w:after="48" w:line="240" w:lineRule="auto"/>
              <w:jc w:val="center"/>
              <w:rPr>
                <w:rFonts w:asciiTheme="majorHAnsi" w:eastAsia="Times New Roman" w:hAnsiTheme="majorHAnsi" w:cstheme="majorHAnsi"/>
              </w:rPr>
            </w:pPr>
            <w:r w:rsidRPr="00422950">
              <w:rPr>
                <w:rFonts w:asciiTheme="majorHAnsi" w:eastAsia="Times New Roman" w:hAnsiTheme="majorHAnsi" w:cstheme="majorHAnsi"/>
              </w:rPr>
              <w:t>721</w:t>
            </w:r>
          </w:p>
        </w:tc>
        <w:tc>
          <w:tcPr>
            <w:tcW w:w="1182" w:type="dxa"/>
            <w:noWrap/>
            <w:vAlign w:val="center"/>
            <w:hideMark/>
          </w:tcPr>
          <w:p w14:paraId="0344E9A4" w14:textId="77777777" w:rsidR="00FD2CBB" w:rsidRPr="00422950" w:rsidRDefault="00FD2CBB" w:rsidP="00F567D4">
            <w:pPr>
              <w:spacing w:beforeLines="20" w:before="48" w:afterLines="20" w:after="48" w:line="240" w:lineRule="auto"/>
              <w:jc w:val="center"/>
              <w:rPr>
                <w:rFonts w:asciiTheme="majorHAnsi" w:eastAsia="Times New Roman" w:hAnsiTheme="majorHAnsi" w:cstheme="majorHAnsi"/>
              </w:rPr>
            </w:pPr>
            <w:r w:rsidRPr="00422950">
              <w:rPr>
                <w:rFonts w:asciiTheme="majorHAnsi" w:eastAsia="Times New Roman" w:hAnsiTheme="majorHAnsi" w:cstheme="majorHAnsi"/>
              </w:rPr>
              <w:t>91%</w:t>
            </w:r>
          </w:p>
        </w:tc>
      </w:tr>
      <w:tr w:rsidR="00FD2CBB" w:rsidRPr="00422950" w14:paraId="7242149F" w14:textId="77777777" w:rsidTr="00F567D4">
        <w:trPr>
          <w:trHeight w:val="309"/>
        </w:trPr>
        <w:tc>
          <w:tcPr>
            <w:tcW w:w="1437" w:type="dxa"/>
            <w:shd w:val="clear" w:color="auto" w:fill="FF7C80"/>
            <w:noWrap/>
            <w:vAlign w:val="center"/>
            <w:hideMark/>
          </w:tcPr>
          <w:p w14:paraId="46AB7920" w14:textId="77777777" w:rsidR="00FD2CBB" w:rsidRPr="00422950" w:rsidRDefault="00FD2CBB" w:rsidP="00F567D4">
            <w:pPr>
              <w:spacing w:beforeLines="20" w:before="48" w:afterLines="20" w:after="48" w:line="240" w:lineRule="auto"/>
              <w:jc w:val="center"/>
              <w:rPr>
                <w:rFonts w:asciiTheme="majorHAnsi" w:eastAsia="Times New Roman" w:hAnsiTheme="majorHAnsi" w:cstheme="majorHAnsi"/>
                <w:i/>
                <w:iCs/>
                <w:color w:val="000000"/>
              </w:rPr>
            </w:pPr>
            <w:r w:rsidRPr="00422950">
              <w:rPr>
                <w:rFonts w:asciiTheme="majorHAnsi" w:eastAsia="Times New Roman" w:hAnsiTheme="majorHAnsi" w:cstheme="majorHAnsi"/>
                <w:i/>
                <w:iCs/>
                <w:color w:val="000000"/>
              </w:rPr>
              <w:t>TO_011</w:t>
            </w:r>
          </w:p>
        </w:tc>
        <w:tc>
          <w:tcPr>
            <w:tcW w:w="2527" w:type="dxa"/>
            <w:shd w:val="clear" w:color="000000" w:fill="FFFFFF"/>
            <w:noWrap/>
            <w:vAlign w:val="center"/>
            <w:hideMark/>
          </w:tcPr>
          <w:p w14:paraId="3B529463" w14:textId="77777777" w:rsidR="00FD2CBB" w:rsidRPr="00422950" w:rsidRDefault="00FD2CBB" w:rsidP="00F567D4">
            <w:pPr>
              <w:spacing w:beforeLines="20" w:before="48" w:afterLines="20" w:after="48" w:line="240" w:lineRule="auto"/>
              <w:jc w:val="center"/>
              <w:rPr>
                <w:rFonts w:asciiTheme="majorHAnsi" w:eastAsia="Times New Roman" w:hAnsiTheme="majorHAnsi" w:cstheme="majorHAnsi"/>
              </w:rPr>
            </w:pPr>
            <w:r w:rsidRPr="00422950">
              <w:rPr>
                <w:rFonts w:asciiTheme="majorHAnsi" w:eastAsia="Times New Roman" w:hAnsiTheme="majorHAnsi" w:cstheme="majorHAnsi"/>
              </w:rPr>
              <w:t>Torino (TO)</w:t>
            </w:r>
          </w:p>
        </w:tc>
        <w:tc>
          <w:tcPr>
            <w:tcW w:w="1493" w:type="dxa"/>
            <w:noWrap/>
            <w:vAlign w:val="center"/>
            <w:hideMark/>
          </w:tcPr>
          <w:p w14:paraId="6A13675D" w14:textId="77777777" w:rsidR="00FD2CBB" w:rsidRPr="00422950" w:rsidRDefault="00FD2CBB" w:rsidP="00F567D4">
            <w:pPr>
              <w:spacing w:beforeLines="20" w:before="48" w:afterLines="20" w:after="48" w:line="240" w:lineRule="auto"/>
              <w:jc w:val="center"/>
              <w:rPr>
                <w:rFonts w:asciiTheme="majorHAnsi" w:eastAsia="Times New Roman" w:hAnsiTheme="majorHAnsi" w:cstheme="majorHAnsi"/>
              </w:rPr>
            </w:pPr>
            <w:r w:rsidRPr="00422950">
              <w:rPr>
                <w:rFonts w:asciiTheme="majorHAnsi" w:eastAsia="Times New Roman" w:hAnsiTheme="majorHAnsi" w:cstheme="majorHAnsi"/>
              </w:rPr>
              <w:t>35</w:t>
            </w:r>
          </w:p>
        </w:tc>
        <w:tc>
          <w:tcPr>
            <w:tcW w:w="1292" w:type="dxa"/>
            <w:noWrap/>
            <w:vAlign w:val="center"/>
            <w:hideMark/>
          </w:tcPr>
          <w:p w14:paraId="05714CFB" w14:textId="77777777" w:rsidR="00FD2CBB" w:rsidRPr="00422950" w:rsidRDefault="00FD2CBB" w:rsidP="00F567D4">
            <w:pPr>
              <w:spacing w:beforeLines="20" w:before="48" w:afterLines="20" w:after="48" w:line="240" w:lineRule="auto"/>
              <w:jc w:val="center"/>
              <w:rPr>
                <w:rFonts w:asciiTheme="majorHAnsi" w:eastAsia="Times New Roman" w:hAnsiTheme="majorHAnsi" w:cstheme="majorHAnsi"/>
              </w:rPr>
            </w:pPr>
            <w:r w:rsidRPr="00422950">
              <w:rPr>
                <w:rFonts w:asciiTheme="majorHAnsi" w:eastAsia="Times New Roman" w:hAnsiTheme="majorHAnsi" w:cstheme="majorHAnsi"/>
              </w:rPr>
              <w:t>5517</w:t>
            </w:r>
          </w:p>
        </w:tc>
        <w:tc>
          <w:tcPr>
            <w:tcW w:w="1146" w:type="dxa"/>
            <w:noWrap/>
            <w:vAlign w:val="center"/>
            <w:hideMark/>
          </w:tcPr>
          <w:p w14:paraId="66A2E5C4" w14:textId="77777777" w:rsidR="00FD2CBB" w:rsidRPr="00422950" w:rsidRDefault="00FD2CBB" w:rsidP="00F567D4">
            <w:pPr>
              <w:spacing w:beforeLines="20" w:before="48" w:afterLines="20" w:after="48" w:line="240" w:lineRule="auto"/>
              <w:jc w:val="center"/>
              <w:rPr>
                <w:rFonts w:asciiTheme="majorHAnsi" w:eastAsia="Times New Roman" w:hAnsiTheme="majorHAnsi" w:cstheme="majorHAnsi"/>
              </w:rPr>
            </w:pPr>
            <w:r w:rsidRPr="00422950">
              <w:rPr>
                <w:rFonts w:asciiTheme="majorHAnsi" w:eastAsia="Times New Roman" w:hAnsiTheme="majorHAnsi" w:cstheme="majorHAnsi"/>
              </w:rPr>
              <w:t>808</w:t>
            </w:r>
          </w:p>
        </w:tc>
        <w:tc>
          <w:tcPr>
            <w:tcW w:w="1182" w:type="dxa"/>
            <w:noWrap/>
            <w:vAlign w:val="center"/>
            <w:hideMark/>
          </w:tcPr>
          <w:p w14:paraId="12556CF8" w14:textId="77777777" w:rsidR="00FD2CBB" w:rsidRPr="00422950" w:rsidRDefault="00FD2CBB" w:rsidP="00F567D4">
            <w:pPr>
              <w:spacing w:beforeLines="20" w:before="48" w:afterLines="20" w:after="48" w:line="240" w:lineRule="auto"/>
              <w:jc w:val="center"/>
              <w:rPr>
                <w:rFonts w:asciiTheme="majorHAnsi" w:eastAsia="Times New Roman" w:hAnsiTheme="majorHAnsi" w:cstheme="majorHAnsi"/>
              </w:rPr>
            </w:pPr>
            <w:r w:rsidRPr="00422950">
              <w:rPr>
                <w:rFonts w:asciiTheme="majorHAnsi" w:eastAsia="Times New Roman" w:hAnsiTheme="majorHAnsi" w:cstheme="majorHAnsi"/>
              </w:rPr>
              <w:t>87%</w:t>
            </w:r>
          </w:p>
        </w:tc>
      </w:tr>
      <w:tr w:rsidR="00FD2CBB" w:rsidRPr="00422950" w14:paraId="76D976B2" w14:textId="77777777" w:rsidTr="00F567D4">
        <w:trPr>
          <w:trHeight w:val="309"/>
        </w:trPr>
        <w:tc>
          <w:tcPr>
            <w:tcW w:w="1437" w:type="dxa"/>
            <w:shd w:val="clear" w:color="auto" w:fill="FF7C80"/>
            <w:noWrap/>
            <w:vAlign w:val="center"/>
            <w:hideMark/>
          </w:tcPr>
          <w:p w14:paraId="6C1E103E" w14:textId="77777777" w:rsidR="00FD2CBB" w:rsidRPr="00422950" w:rsidRDefault="00FD2CBB" w:rsidP="00F567D4">
            <w:pPr>
              <w:spacing w:beforeLines="20" w:before="48" w:afterLines="20" w:after="48" w:line="240" w:lineRule="auto"/>
              <w:jc w:val="center"/>
              <w:rPr>
                <w:rFonts w:asciiTheme="majorHAnsi" w:eastAsia="Times New Roman" w:hAnsiTheme="majorHAnsi" w:cstheme="majorHAnsi"/>
                <w:i/>
                <w:iCs/>
                <w:color w:val="000000"/>
              </w:rPr>
            </w:pPr>
            <w:r w:rsidRPr="00422950">
              <w:rPr>
                <w:rFonts w:asciiTheme="majorHAnsi" w:eastAsia="Times New Roman" w:hAnsiTheme="majorHAnsi" w:cstheme="majorHAnsi"/>
                <w:i/>
                <w:iCs/>
                <w:color w:val="000000"/>
              </w:rPr>
              <w:t>TO_018</w:t>
            </w:r>
          </w:p>
        </w:tc>
        <w:tc>
          <w:tcPr>
            <w:tcW w:w="2527" w:type="dxa"/>
            <w:shd w:val="clear" w:color="000000" w:fill="FFFFFF"/>
            <w:noWrap/>
            <w:vAlign w:val="center"/>
            <w:hideMark/>
          </w:tcPr>
          <w:p w14:paraId="58621DB9" w14:textId="37FE4E96" w:rsidR="00FD2CBB" w:rsidRPr="00422950" w:rsidRDefault="00FD2CBB" w:rsidP="00F567D4">
            <w:pPr>
              <w:spacing w:beforeLines="20" w:before="48" w:afterLines="20" w:after="48" w:line="240" w:lineRule="auto"/>
              <w:jc w:val="center"/>
              <w:rPr>
                <w:rFonts w:asciiTheme="majorHAnsi" w:eastAsia="Times New Roman" w:hAnsiTheme="majorHAnsi" w:cstheme="majorHAnsi"/>
              </w:rPr>
            </w:pPr>
            <w:r w:rsidRPr="00422950">
              <w:rPr>
                <w:rFonts w:asciiTheme="majorHAnsi" w:eastAsia="Times New Roman" w:hAnsiTheme="majorHAnsi" w:cstheme="majorHAnsi"/>
              </w:rPr>
              <w:t>Bussoleno (TO)</w:t>
            </w:r>
          </w:p>
        </w:tc>
        <w:tc>
          <w:tcPr>
            <w:tcW w:w="1493" w:type="dxa"/>
            <w:noWrap/>
            <w:vAlign w:val="center"/>
            <w:hideMark/>
          </w:tcPr>
          <w:p w14:paraId="471B1E25" w14:textId="77777777" w:rsidR="00FD2CBB" w:rsidRPr="00422950" w:rsidRDefault="00FD2CBB" w:rsidP="00F567D4">
            <w:pPr>
              <w:spacing w:beforeLines="20" w:before="48" w:afterLines="20" w:after="48" w:line="240" w:lineRule="auto"/>
              <w:jc w:val="center"/>
              <w:rPr>
                <w:rFonts w:asciiTheme="majorHAnsi" w:eastAsia="Times New Roman" w:hAnsiTheme="majorHAnsi" w:cstheme="majorHAnsi"/>
              </w:rPr>
            </w:pPr>
            <w:r w:rsidRPr="00422950">
              <w:rPr>
                <w:rFonts w:asciiTheme="majorHAnsi" w:eastAsia="Times New Roman" w:hAnsiTheme="majorHAnsi" w:cstheme="majorHAnsi"/>
              </w:rPr>
              <w:t>29</w:t>
            </w:r>
          </w:p>
        </w:tc>
        <w:tc>
          <w:tcPr>
            <w:tcW w:w="1292" w:type="dxa"/>
            <w:noWrap/>
            <w:vAlign w:val="center"/>
            <w:hideMark/>
          </w:tcPr>
          <w:p w14:paraId="76604668" w14:textId="77777777" w:rsidR="00FD2CBB" w:rsidRPr="00422950" w:rsidRDefault="00FD2CBB" w:rsidP="00F567D4">
            <w:pPr>
              <w:spacing w:beforeLines="20" w:before="48" w:afterLines="20" w:after="48" w:line="240" w:lineRule="auto"/>
              <w:jc w:val="center"/>
              <w:rPr>
                <w:rFonts w:asciiTheme="majorHAnsi" w:eastAsia="Times New Roman" w:hAnsiTheme="majorHAnsi" w:cstheme="majorHAnsi"/>
              </w:rPr>
            </w:pPr>
            <w:r w:rsidRPr="00422950">
              <w:rPr>
                <w:rFonts w:asciiTheme="majorHAnsi" w:eastAsia="Times New Roman" w:hAnsiTheme="majorHAnsi" w:cstheme="majorHAnsi"/>
              </w:rPr>
              <w:t>4008</w:t>
            </w:r>
          </w:p>
        </w:tc>
        <w:tc>
          <w:tcPr>
            <w:tcW w:w="1146" w:type="dxa"/>
            <w:noWrap/>
            <w:vAlign w:val="center"/>
            <w:hideMark/>
          </w:tcPr>
          <w:p w14:paraId="667A033B" w14:textId="77777777" w:rsidR="00FD2CBB" w:rsidRPr="00422950" w:rsidRDefault="00FD2CBB" w:rsidP="00F567D4">
            <w:pPr>
              <w:spacing w:beforeLines="20" w:before="48" w:afterLines="20" w:after="48" w:line="240" w:lineRule="auto"/>
              <w:jc w:val="center"/>
              <w:rPr>
                <w:rFonts w:asciiTheme="majorHAnsi" w:eastAsia="Times New Roman" w:hAnsiTheme="majorHAnsi" w:cstheme="majorHAnsi"/>
              </w:rPr>
            </w:pPr>
            <w:r w:rsidRPr="00422950">
              <w:rPr>
                <w:rFonts w:asciiTheme="majorHAnsi" w:eastAsia="Times New Roman" w:hAnsiTheme="majorHAnsi" w:cstheme="majorHAnsi"/>
              </w:rPr>
              <w:t>725</w:t>
            </w:r>
          </w:p>
        </w:tc>
        <w:tc>
          <w:tcPr>
            <w:tcW w:w="1182" w:type="dxa"/>
            <w:noWrap/>
            <w:vAlign w:val="center"/>
            <w:hideMark/>
          </w:tcPr>
          <w:p w14:paraId="71DAED96" w14:textId="77777777" w:rsidR="00FD2CBB" w:rsidRPr="00422950" w:rsidRDefault="00FD2CBB" w:rsidP="00F567D4">
            <w:pPr>
              <w:spacing w:beforeLines="20" w:before="48" w:afterLines="20" w:after="48" w:line="240" w:lineRule="auto"/>
              <w:jc w:val="center"/>
              <w:rPr>
                <w:rFonts w:asciiTheme="majorHAnsi" w:eastAsia="Times New Roman" w:hAnsiTheme="majorHAnsi" w:cstheme="majorHAnsi"/>
              </w:rPr>
            </w:pPr>
            <w:r w:rsidRPr="00422950">
              <w:rPr>
                <w:rFonts w:asciiTheme="majorHAnsi" w:eastAsia="Times New Roman" w:hAnsiTheme="majorHAnsi" w:cstheme="majorHAnsi"/>
              </w:rPr>
              <w:t>85%</w:t>
            </w:r>
          </w:p>
        </w:tc>
      </w:tr>
      <w:tr w:rsidR="00FD2CBB" w:rsidRPr="00422950" w14:paraId="691112AC" w14:textId="77777777" w:rsidTr="00F567D4">
        <w:trPr>
          <w:trHeight w:val="309"/>
        </w:trPr>
        <w:tc>
          <w:tcPr>
            <w:tcW w:w="1437" w:type="dxa"/>
            <w:shd w:val="clear" w:color="auto" w:fill="FF7C80"/>
            <w:noWrap/>
            <w:vAlign w:val="center"/>
            <w:hideMark/>
          </w:tcPr>
          <w:p w14:paraId="0FAB7763" w14:textId="77777777" w:rsidR="00FD2CBB" w:rsidRPr="00422950" w:rsidRDefault="00FD2CBB" w:rsidP="00F567D4">
            <w:pPr>
              <w:spacing w:beforeLines="20" w:before="48" w:afterLines="20" w:after="48" w:line="240" w:lineRule="auto"/>
              <w:jc w:val="center"/>
              <w:rPr>
                <w:rFonts w:asciiTheme="majorHAnsi" w:eastAsia="Times New Roman" w:hAnsiTheme="majorHAnsi" w:cstheme="majorHAnsi"/>
                <w:i/>
                <w:iCs/>
                <w:color w:val="000000"/>
              </w:rPr>
            </w:pPr>
            <w:r w:rsidRPr="00422950">
              <w:rPr>
                <w:rFonts w:asciiTheme="majorHAnsi" w:eastAsia="Times New Roman" w:hAnsiTheme="majorHAnsi" w:cstheme="majorHAnsi"/>
                <w:i/>
                <w:iCs/>
                <w:color w:val="000000"/>
              </w:rPr>
              <w:t>TO_020</w:t>
            </w:r>
          </w:p>
        </w:tc>
        <w:tc>
          <w:tcPr>
            <w:tcW w:w="2527" w:type="dxa"/>
            <w:shd w:val="clear" w:color="000000" w:fill="FFFFFF"/>
            <w:noWrap/>
            <w:vAlign w:val="center"/>
            <w:hideMark/>
          </w:tcPr>
          <w:p w14:paraId="400FDA05" w14:textId="3219B01A" w:rsidR="00FD2CBB" w:rsidRPr="00422950" w:rsidRDefault="00FD2CBB" w:rsidP="00F567D4">
            <w:pPr>
              <w:spacing w:beforeLines="20" w:before="48" w:afterLines="20" w:after="48" w:line="240" w:lineRule="auto"/>
              <w:jc w:val="center"/>
              <w:rPr>
                <w:rFonts w:asciiTheme="majorHAnsi" w:eastAsia="Times New Roman" w:hAnsiTheme="majorHAnsi" w:cstheme="majorHAnsi"/>
              </w:rPr>
            </w:pPr>
            <w:r w:rsidRPr="00422950">
              <w:rPr>
                <w:rFonts w:asciiTheme="majorHAnsi" w:eastAsia="Times New Roman" w:hAnsiTheme="majorHAnsi" w:cstheme="majorHAnsi"/>
              </w:rPr>
              <w:t>Carmagnola (TO)</w:t>
            </w:r>
          </w:p>
        </w:tc>
        <w:tc>
          <w:tcPr>
            <w:tcW w:w="1493" w:type="dxa"/>
            <w:noWrap/>
            <w:vAlign w:val="center"/>
            <w:hideMark/>
          </w:tcPr>
          <w:p w14:paraId="3B2BCF7A" w14:textId="77777777" w:rsidR="00FD2CBB" w:rsidRPr="00422950" w:rsidRDefault="00FD2CBB" w:rsidP="00F567D4">
            <w:pPr>
              <w:spacing w:beforeLines="20" w:before="48" w:afterLines="20" w:after="48" w:line="240" w:lineRule="auto"/>
              <w:jc w:val="center"/>
              <w:rPr>
                <w:rFonts w:asciiTheme="majorHAnsi" w:eastAsia="Times New Roman" w:hAnsiTheme="majorHAnsi" w:cstheme="majorHAnsi"/>
              </w:rPr>
            </w:pPr>
            <w:r w:rsidRPr="00422950">
              <w:rPr>
                <w:rFonts w:asciiTheme="majorHAnsi" w:eastAsia="Times New Roman" w:hAnsiTheme="majorHAnsi" w:cstheme="majorHAnsi"/>
              </w:rPr>
              <w:t>26</w:t>
            </w:r>
          </w:p>
        </w:tc>
        <w:tc>
          <w:tcPr>
            <w:tcW w:w="1292" w:type="dxa"/>
            <w:noWrap/>
            <w:vAlign w:val="center"/>
            <w:hideMark/>
          </w:tcPr>
          <w:p w14:paraId="1AC3571C" w14:textId="77777777" w:rsidR="00FD2CBB" w:rsidRPr="00422950" w:rsidRDefault="00FD2CBB" w:rsidP="00F567D4">
            <w:pPr>
              <w:spacing w:beforeLines="20" w:before="48" w:afterLines="20" w:after="48" w:line="240" w:lineRule="auto"/>
              <w:jc w:val="center"/>
              <w:rPr>
                <w:rFonts w:asciiTheme="majorHAnsi" w:eastAsia="Times New Roman" w:hAnsiTheme="majorHAnsi" w:cstheme="majorHAnsi"/>
              </w:rPr>
            </w:pPr>
            <w:r w:rsidRPr="00422950">
              <w:rPr>
                <w:rFonts w:asciiTheme="majorHAnsi" w:eastAsia="Times New Roman" w:hAnsiTheme="majorHAnsi" w:cstheme="majorHAnsi"/>
              </w:rPr>
              <w:t>4354</w:t>
            </w:r>
          </w:p>
        </w:tc>
        <w:tc>
          <w:tcPr>
            <w:tcW w:w="1146" w:type="dxa"/>
            <w:noWrap/>
            <w:vAlign w:val="center"/>
            <w:hideMark/>
          </w:tcPr>
          <w:p w14:paraId="52F19434" w14:textId="77777777" w:rsidR="00FD2CBB" w:rsidRPr="00422950" w:rsidRDefault="00FD2CBB" w:rsidP="00F567D4">
            <w:pPr>
              <w:spacing w:beforeLines="20" w:before="48" w:afterLines="20" w:after="48" w:line="240" w:lineRule="auto"/>
              <w:jc w:val="center"/>
              <w:rPr>
                <w:rFonts w:asciiTheme="majorHAnsi" w:eastAsia="Times New Roman" w:hAnsiTheme="majorHAnsi" w:cstheme="majorHAnsi"/>
              </w:rPr>
            </w:pPr>
            <w:r w:rsidRPr="00422950">
              <w:rPr>
                <w:rFonts w:asciiTheme="majorHAnsi" w:eastAsia="Times New Roman" w:hAnsiTheme="majorHAnsi" w:cstheme="majorHAnsi"/>
              </w:rPr>
              <w:t>332</w:t>
            </w:r>
          </w:p>
        </w:tc>
        <w:tc>
          <w:tcPr>
            <w:tcW w:w="1182" w:type="dxa"/>
            <w:noWrap/>
            <w:vAlign w:val="center"/>
            <w:hideMark/>
          </w:tcPr>
          <w:p w14:paraId="18CF703A" w14:textId="77777777" w:rsidR="00FD2CBB" w:rsidRPr="00422950" w:rsidRDefault="00FD2CBB" w:rsidP="00F567D4">
            <w:pPr>
              <w:spacing w:beforeLines="20" w:before="48" w:afterLines="20" w:after="48" w:line="240" w:lineRule="auto"/>
              <w:jc w:val="center"/>
              <w:rPr>
                <w:rFonts w:asciiTheme="majorHAnsi" w:eastAsia="Times New Roman" w:hAnsiTheme="majorHAnsi" w:cstheme="majorHAnsi"/>
              </w:rPr>
            </w:pPr>
            <w:r w:rsidRPr="00422950">
              <w:rPr>
                <w:rFonts w:asciiTheme="majorHAnsi" w:eastAsia="Times New Roman" w:hAnsiTheme="majorHAnsi" w:cstheme="majorHAnsi"/>
              </w:rPr>
              <w:t>93%</w:t>
            </w:r>
          </w:p>
        </w:tc>
      </w:tr>
      <w:tr w:rsidR="00FD2CBB" w:rsidRPr="00422950" w14:paraId="1B262DD1" w14:textId="77777777" w:rsidTr="00F567D4">
        <w:trPr>
          <w:trHeight w:val="309"/>
        </w:trPr>
        <w:tc>
          <w:tcPr>
            <w:tcW w:w="1437" w:type="dxa"/>
            <w:shd w:val="clear" w:color="auto" w:fill="FF7C80"/>
            <w:noWrap/>
            <w:vAlign w:val="center"/>
            <w:hideMark/>
          </w:tcPr>
          <w:p w14:paraId="4F0633C4" w14:textId="77777777" w:rsidR="00FD2CBB" w:rsidRPr="00422950" w:rsidRDefault="00FD2CBB" w:rsidP="00F567D4">
            <w:pPr>
              <w:spacing w:beforeLines="20" w:before="48" w:afterLines="20" w:after="48" w:line="240" w:lineRule="auto"/>
              <w:jc w:val="center"/>
              <w:rPr>
                <w:rFonts w:asciiTheme="majorHAnsi" w:eastAsia="Times New Roman" w:hAnsiTheme="majorHAnsi" w:cstheme="majorHAnsi"/>
                <w:i/>
                <w:iCs/>
                <w:color w:val="000000"/>
              </w:rPr>
            </w:pPr>
            <w:r w:rsidRPr="00422950">
              <w:rPr>
                <w:rFonts w:asciiTheme="majorHAnsi" w:eastAsia="Times New Roman" w:hAnsiTheme="majorHAnsi" w:cstheme="majorHAnsi"/>
                <w:i/>
                <w:iCs/>
                <w:color w:val="000000"/>
              </w:rPr>
              <w:t>TO_022</w:t>
            </w:r>
          </w:p>
        </w:tc>
        <w:tc>
          <w:tcPr>
            <w:tcW w:w="2527" w:type="dxa"/>
            <w:shd w:val="clear" w:color="000000" w:fill="FFFFFF"/>
            <w:noWrap/>
            <w:vAlign w:val="center"/>
            <w:hideMark/>
          </w:tcPr>
          <w:p w14:paraId="3BFCB388" w14:textId="1E85A698" w:rsidR="00FD2CBB" w:rsidRPr="00422950" w:rsidRDefault="00FD2CBB" w:rsidP="00F567D4">
            <w:pPr>
              <w:spacing w:beforeLines="20" w:before="48" w:afterLines="20" w:after="48" w:line="240" w:lineRule="auto"/>
              <w:jc w:val="center"/>
              <w:rPr>
                <w:rFonts w:asciiTheme="majorHAnsi" w:eastAsia="Times New Roman" w:hAnsiTheme="majorHAnsi" w:cstheme="majorHAnsi"/>
              </w:rPr>
            </w:pPr>
            <w:r w:rsidRPr="00422950">
              <w:rPr>
                <w:rFonts w:asciiTheme="majorHAnsi" w:eastAsia="Times New Roman" w:hAnsiTheme="majorHAnsi" w:cstheme="majorHAnsi"/>
              </w:rPr>
              <w:t>Castellamonte (TO)</w:t>
            </w:r>
          </w:p>
        </w:tc>
        <w:tc>
          <w:tcPr>
            <w:tcW w:w="1493" w:type="dxa"/>
            <w:noWrap/>
            <w:vAlign w:val="center"/>
            <w:hideMark/>
          </w:tcPr>
          <w:p w14:paraId="68802D43" w14:textId="77777777" w:rsidR="00FD2CBB" w:rsidRPr="00422950" w:rsidRDefault="00FD2CBB" w:rsidP="00F567D4">
            <w:pPr>
              <w:spacing w:beforeLines="20" w:before="48" w:afterLines="20" w:after="48" w:line="240" w:lineRule="auto"/>
              <w:jc w:val="center"/>
              <w:rPr>
                <w:rFonts w:asciiTheme="majorHAnsi" w:eastAsia="Times New Roman" w:hAnsiTheme="majorHAnsi" w:cstheme="majorHAnsi"/>
              </w:rPr>
            </w:pPr>
            <w:r w:rsidRPr="00422950">
              <w:rPr>
                <w:rFonts w:asciiTheme="majorHAnsi" w:eastAsia="Times New Roman" w:hAnsiTheme="majorHAnsi" w:cstheme="majorHAnsi"/>
              </w:rPr>
              <w:t>39</w:t>
            </w:r>
          </w:p>
        </w:tc>
        <w:tc>
          <w:tcPr>
            <w:tcW w:w="1292" w:type="dxa"/>
            <w:noWrap/>
            <w:vAlign w:val="center"/>
            <w:hideMark/>
          </w:tcPr>
          <w:p w14:paraId="185560C6" w14:textId="77777777" w:rsidR="00FD2CBB" w:rsidRPr="00422950" w:rsidRDefault="00FD2CBB" w:rsidP="00F567D4">
            <w:pPr>
              <w:spacing w:beforeLines="20" w:before="48" w:afterLines="20" w:after="48" w:line="240" w:lineRule="auto"/>
              <w:jc w:val="center"/>
              <w:rPr>
                <w:rFonts w:asciiTheme="majorHAnsi" w:eastAsia="Times New Roman" w:hAnsiTheme="majorHAnsi" w:cstheme="majorHAnsi"/>
              </w:rPr>
            </w:pPr>
            <w:r w:rsidRPr="00422950">
              <w:rPr>
                <w:rFonts w:asciiTheme="majorHAnsi" w:eastAsia="Times New Roman" w:hAnsiTheme="majorHAnsi" w:cstheme="majorHAnsi"/>
              </w:rPr>
              <w:t>6470</w:t>
            </w:r>
          </w:p>
        </w:tc>
        <w:tc>
          <w:tcPr>
            <w:tcW w:w="1146" w:type="dxa"/>
            <w:noWrap/>
            <w:vAlign w:val="center"/>
            <w:hideMark/>
          </w:tcPr>
          <w:p w14:paraId="1E6E41F5" w14:textId="77777777" w:rsidR="00FD2CBB" w:rsidRPr="00422950" w:rsidRDefault="00FD2CBB" w:rsidP="00F567D4">
            <w:pPr>
              <w:spacing w:beforeLines="20" w:before="48" w:afterLines="20" w:after="48" w:line="240" w:lineRule="auto"/>
              <w:jc w:val="center"/>
              <w:rPr>
                <w:rFonts w:asciiTheme="majorHAnsi" w:eastAsia="Times New Roman" w:hAnsiTheme="majorHAnsi" w:cstheme="majorHAnsi"/>
              </w:rPr>
            </w:pPr>
            <w:r w:rsidRPr="00422950">
              <w:rPr>
                <w:rFonts w:asciiTheme="majorHAnsi" w:eastAsia="Times New Roman" w:hAnsiTheme="majorHAnsi" w:cstheme="majorHAnsi"/>
              </w:rPr>
              <w:t>959</w:t>
            </w:r>
          </w:p>
        </w:tc>
        <w:tc>
          <w:tcPr>
            <w:tcW w:w="1182" w:type="dxa"/>
            <w:noWrap/>
            <w:vAlign w:val="center"/>
            <w:hideMark/>
          </w:tcPr>
          <w:p w14:paraId="06E5060F" w14:textId="77777777" w:rsidR="00FD2CBB" w:rsidRPr="00422950" w:rsidRDefault="00FD2CBB" w:rsidP="00F567D4">
            <w:pPr>
              <w:spacing w:beforeLines="20" w:before="48" w:afterLines="20" w:after="48" w:line="240" w:lineRule="auto"/>
              <w:jc w:val="center"/>
              <w:rPr>
                <w:rFonts w:asciiTheme="majorHAnsi" w:eastAsia="Times New Roman" w:hAnsiTheme="majorHAnsi" w:cstheme="majorHAnsi"/>
              </w:rPr>
            </w:pPr>
            <w:r w:rsidRPr="00422950">
              <w:rPr>
                <w:rFonts w:asciiTheme="majorHAnsi" w:eastAsia="Times New Roman" w:hAnsiTheme="majorHAnsi" w:cstheme="majorHAnsi"/>
              </w:rPr>
              <w:t>87%</w:t>
            </w:r>
          </w:p>
        </w:tc>
      </w:tr>
      <w:tr w:rsidR="00FD2CBB" w:rsidRPr="00422950" w14:paraId="3242329F" w14:textId="77777777" w:rsidTr="00F567D4">
        <w:trPr>
          <w:trHeight w:val="309"/>
        </w:trPr>
        <w:tc>
          <w:tcPr>
            <w:tcW w:w="1437" w:type="dxa"/>
            <w:shd w:val="clear" w:color="auto" w:fill="FF7C80"/>
            <w:noWrap/>
            <w:vAlign w:val="center"/>
            <w:hideMark/>
          </w:tcPr>
          <w:p w14:paraId="22B85F87" w14:textId="77777777" w:rsidR="00FD2CBB" w:rsidRPr="00422950" w:rsidRDefault="00FD2CBB" w:rsidP="00F567D4">
            <w:pPr>
              <w:spacing w:beforeLines="20" w:before="48" w:afterLines="20" w:after="48" w:line="240" w:lineRule="auto"/>
              <w:jc w:val="center"/>
              <w:rPr>
                <w:rFonts w:asciiTheme="majorHAnsi" w:eastAsia="Times New Roman" w:hAnsiTheme="majorHAnsi" w:cstheme="majorHAnsi"/>
                <w:i/>
                <w:iCs/>
                <w:color w:val="000000"/>
              </w:rPr>
            </w:pPr>
            <w:r w:rsidRPr="00422950">
              <w:rPr>
                <w:rFonts w:asciiTheme="majorHAnsi" w:eastAsia="Times New Roman" w:hAnsiTheme="majorHAnsi" w:cstheme="majorHAnsi"/>
                <w:i/>
                <w:iCs/>
                <w:color w:val="000000"/>
              </w:rPr>
              <w:t>TO_027</w:t>
            </w:r>
          </w:p>
        </w:tc>
        <w:tc>
          <w:tcPr>
            <w:tcW w:w="2527" w:type="dxa"/>
            <w:shd w:val="clear" w:color="000000" w:fill="FFFFFF"/>
            <w:noWrap/>
            <w:vAlign w:val="center"/>
            <w:hideMark/>
          </w:tcPr>
          <w:p w14:paraId="16358527" w14:textId="0854E432" w:rsidR="00FD2CBB" w:rsidRPr="00422950" w:rsidRDefault="00FD2CBB" w:rsidP="00F567D4">
            <w:pPr>
              <w:spacing w:beforeLines="20" w:before="48" w:afterLines="20" w:after="48" w:line="240" w:lineRule="auto"/>
              <w:jc w:val="center"/>
              <w:rPr>
                <w:rFonts w:asciiTheme="majorHAnsi" w:eastAsia="Times New Roman" w:hAnsiTheme="majorHAnsi" w:cstheme="majorHAnsi"/>
              </w:rPr>
            </w:pPr>
            <w:r w:rsidRPr="00422950">
              <w:rPr>
                <w:rFonts w:asciiTheme="majorHAnsi" w:eastAsia="Times New Roman" w:hAnsiTheme="majorHAnsi" w:cstheme="majorHAnsi"/>
              </w:rPr>
              <w:t>Cafasse (TO)</w:t>
            </w:r>
          </w:p>
        </w:tc>
        <w:tc>
          <w:tcPr>
            <w:tcW w:w="1493" w:type="dxa"/>
            <w:noWrap/>
            <w:vAlign w:val="center"/>
            <w:hideMark/>
          </w:tcPr>
          <w:p w14:paraId="1E41EB1B" w14:textId="77777777" w:rsidR="00FD2CBB" w:rsidRPr="00422950" w:rsidRDefault="00FD2CBB" w:rsidP="00F567D4">
            <w:pPr>
              <w:spacing w:beforeLines="20" w:before="48" w:afterLines="20" w:after="48" w:line="240" w:lineRule="auto"/>
              <w:jc w:val="center"/>
              <w:rPr>
                <w:rFonts w:asciiTheme="majorHAnsi" w:eastAsia="Times New Roman" w:hAnsiTheme="majorHAnsi" w:cstheme="majorHAnsi"/>
              </w:rPr>
            </w:pPr>
            <w:r w:rsidRPr="00422950">
              <w:rPr>
                <w:rFonts w:asciiTheme="majorHAnsi" w:eastAsia="Times New Roman" w:hAnsiTheme="majorHAnsi" w:cstheme="majorHAnsi"/>
              </w:rPr>
              <w:t>25</w:t>
            </w:r>
          </w:p>
        </w:tc>
        <w:tc>
          <w:tcPr>
            <w:tcW w:w="1292" w:type="dxa"/>
            <w:noWrap/>
            <w:vAlign w:val="center"/>
            <w:hideMark/>
          </w:tcPr>
          <w:p w14:paraId="61E53EA7" w14:textId="77777777" w:rsidR="00FD2CBB" w:rsidRPr="00422950" w:rsidRDefault="00FD2CBB" w:rsidP="00F567D4">
            <w:pPr>
              <w:spacing w:beforeLines="20" w:before="48" w:afterLines="20" w:after="48" w:line="240" w:lineRule="auto"/>
              <w:jc w:val="center"/>
              <w:rPr>
                <w:rFonts w:asciiTheme="majorHAnsi" w:eastAsia="Times New Roman" w:hAnsiTheme="majorHAnsi" w:cstheme="majorHAnsi"/>
              </w:rPr>
            </w:pPr>
            <w:r w:rsidRPr="00422950">
              <w:rPr>
                <w:rFonts w:asciiTheme="majorHAnsi" w:eastAsia="Times New Roman" w:hAnsiTheme="majorHAnsi" w:cstheme="majorHAnsi"/>
              </w:rPr>
              <w:t>3979</w:t>
            </w:r>
          </w:p>
        </w:tc>
        <w:tc>
          <w:tcPr>
            <w:tcW w:w="1146" w:type="dxa"/>
            <w:noWrap/>
            <w:vAlign w:val="center"/>
            <w:hideMark/>
          </w:tcPr>
          <w:p w14:paraId="32A17053" w14:textId="77777777" w:rsidR="00FD2CBB" w:rsidRPr="00422950" w:rsidRDefault="00FD2CBB" w:rsidP="00F567D4">
            <w:pPr>
              <w:spacing w:beforeLines="20" w:before="48" w:afterLines="20" w:after="48" w:line="240" w:lineRule="auto"/>
              <w:jc w:val="center"/>
              <w:rPr>
                <w:rFonts w:asciiTheme="majorHAnsi" w:eastAsia="Times New Roman" w:hAnsiTheme="majorHAnsi" w:cstheme="majorHAnsi"/>
              </w:rPr>
            </w:pPr>
            <w:r w:rsidRPr="00422950">
              <w:rPr>
                <w:rFonts w:asciiTheme="majorHAnsi" w:eastAsia="Times New Roman" w:hAnsiTheme="majorHAnsi" w:cstheme="majorHAnsi"/>
              </w:rPr>
              <w:t>776</w:t>
            </w:r>
          </w:p>
        </w:tc>
        <w:tc>
          <w:tcPr>
            <w:tcW w:w="1182" w:type="dxa"/>
            <w:noWrap/>
            <w:vAlign w:val="center"/>
            <w:hideMark/>
          </w:tcPr>
          <w:p w14:paraId="765EE9F4" w14:textId="77777777" w:rsidR="00FD2CBB" w:rsidRPr="00422950" w:rsidRDefault="00FD2CBB" w:rsidP="00F567D4">
            <w:pPr>
              <w:spacing w:beforeLines="20" w:before="48" w:afterLines="20" w:after="48" w:line="240" w:lineRule="auto"/>
              <w:jc w:val="center"/>
              <w:rPr>
                <w:rFonts w:asciiTheme="majorHAnsi" w:eastAsia="Times New Roman" w:hAnsiTheme="majorHAnsi" w:cstheme="majorHAnsi"/>
              </w:rPr>
            </w:pPr>
            <w:r w:rsidRPr="00422950">
              <w:rPr>
                <w:rFonts w:asciiTheme="majorHAnsi" w:eastAsia="Times New Roman" w:hAnsiTheme="majorHAnsi" w:cstheme="majorHAnsi"/>
              </w:rPr>
              <w:t>84%</w:t>
            </w:r>
          </w:p>
        </w:tc>
      </w:tr>
      <w:tr w:rsidR="00FD2CBB" w:rsidRPr="00422950" w14:paraId="505A346E" w14:textId="77777777" w:rsidTr="00F567D4">
        <w:trPr>
          <w:trHeight w:val="309"/>
        </w:trPr>
        <w:tc>
          <w:tcPr>
            <w:tcW w:w="1437" w:type="dxa"/>
            <w:shd w:val="clear" w:color="auto" w:fill="FF7C80"/>
            <w:noWrap/>
            <w:vAlign w:val="center"/>
            <w:hideMark/>
          </w:tcPr>
          <w:p w14:paraId="309CD6B4" w14:textId="77777777" w:rsidR="00FD2CBB" w:rsidRPr="00422950" w:rsidRDefault="00FD2CBB" w:rsidP="00F567D4">
            <w:pPr>
              <w:spacing w:beforeLines="20" w:before="48" w:afterLines="20" w:after="48" w:line="240" w:lineRule="auto"/>
              <w:jc w:val="center"/>
              <w:rPr>
                <w:rFonts w:asciiTheme="majorHAnsi" w:eastAsia="Times New Roman" w:hAnsiTheme="majorHAnsi" w:cstheme="majorHAnsi"/>
                <w:i/>
                <w:iCs/>
                <w:color w:val="000000"/>
              </w:rPr>
            </w:pPr>
            <w:r w:rsidRPr="00422950">
              <w:rPr>
                <w:rFonts w:asciiTheme="majorHAnsi" w:eastAsia="Times New Roman" w:hAnsiTheme="majorHAnsi" w:cstheme="majorHAnsi"/>
                <w:i/>
                <w:iCs/>
                <w:color w:val="000000"/>
              </w:rPr>
              <w:t>TO_031</w:t>
            </w:r>
          </w:p>
        </w:tc>
        <w:tc>
          <w:tcPr>
            <w:tcW w:w="2527" w:type="dxa"/>
            <w:shd w:val="clear" w:color="000000" w:fill="FFFFFF"/>
            <w:noWrap/>
            <w:vAlign w:val="center"/>
            <w:hideMark/>
          </w:tcPr>
          <w:p w14:paraId="0BE5822C" w14:textId="77777777" w:rsidR="00FD2CBB" w:rsidRPr="00422950" w:rsidRDefault="00FD2CBB" w:rsidP="00F567D4">
            <w:pPr>
              <w:spacing w:beforeLines="20" w:before="48" w:afterLines="20" w:after="48" w:line="240" w:lineRule="auto"/>
              <w:jc w:val="center"/>
              <w:rPr>
                <w:rFonts w:asciiTheme="majorHAnsi" w:eastAsia="Times New Roman" w:hAnsiTheme="majorHAnsi" w:cstheme="majorHAnsi"/>
              </w:rPr>
            </w:pPr>
            <w:r w:rsidRPr="00422950">
              <w:rPr>
                <w:rFonts w:asciiTheme="majorHAnsi" w:eastAsia="Times New Roman" w:hAnsiTheme="majorHAnsi" w:cstheme="majorHAnsi"/>
              </w:rPr>
              <w:t>Pinerolo (TO)</w:t>
            </w:r>
          </w:p>
        </w:tc>
        <w:tc>
          <w:tcPr>
            <w:tcW w:w="1493" w:type="dxa"/>
            <w:noWrap/>
            <w:vAlign w:val="center"/>
            <w:hideMark/>
          </w:tcPr>
          <w:p w14:paraId="7EBF9019" w14:textId="77777777" w:rsidR="00FD2CBB" w:rsidRPr="00422950" w:rsidRDefault="00FD2CBB" w:rsidP="00F567D4">
            <w:pPr>
              <w:spacing w:beforeLines="20" w:before="48" w:afterLines="20" w:after="48" w:line="240" w:lineRule="auto"/>
              <w:jc w:val="center"/>
              <w:rPr>
                <w:rFonts w:asciiTheme="majorHAnsi" w:eastAsia="Times New Roman" w:hAnsiTheme="majorHAnsi" w:cstheme="majorHAnsi"/>
              </w:rPr>
            </w:pPr>
            <w:r w:rsidRPr="00422950">
              <w:rPr>
                <w:rFonts w:asciiTheme="majorHAnsi" w:eastAsia="Times New Roman" w:hAnsiTheme="majorHAnsi" w:cstheme="majorHAnsi"/>
              </w:rPr>
              <w:t>23</w:t>
            </w:r>
          </w:p>
        </w:tc>
        <w:tc>
          <w:tcPr>
            <w:tcW w:w="1292" w:type="dxa"/>
            <w:noWrap/>
            <w:vAlign w:val="center"/>
            <w:hideMark/>
          </w:tcPr>
          <w:p w14:paraId="1607FF2D" w14:textId="77777777" w:rsidR="00FD2CBB" w:rsidRPr="00422950" w:rsidRDefault="00FD2CBB" w:rsidP="00F567D4">
            <w:pPr>
              <w:spacing w:beforeLines="20" w:before="48" w:afterLines="20" w:after="48" w:line="240" w:lineRule="auto"/>
              <w:jc w:val="center"/>
              <w:rPr>
                <w:rFonts w:asciiTheme="majorHAnsi" w:eastAsia="Times New Roman" w:hAnsiTheme="majorHAnsi" w:cstheme="majorHAnsi"/>
              </w:rPr>
            </w:pPr>
            <w:r w:rsidRPr="00422950">
              <w:rPr>
                <w:rFonts w:asciiTheme="majorHAnsi" w:eastAsia="Times New Roman" w:hAnsiTheme="majorHAnsi" w:cstheme="majorHAnsi"/>
              </w:rPr>
              <w:t>5204</w:t>
            </w:r>
          </w:p>
        </w:tc>
        <w:tc>
          <w:tcPr>
            <w:tcW w:w="1146" w:type="dxa"/>
            <w:noWrap/>
            <w:vAlign w:val="center"/>
            <w:hideMark/>
          </w:tcPr>
          <w:p w14:paraId="4BD530FF" w14:textId="77777777" w:rsidR="00FD2CBB" w:rsidRPr="00422950" w:rsidRDefault="00FD2CBB" w:rsidP="00F567D4">
            <w:pPr>
              <w:spacing w:beforeLines="20" w:before="48" w:afterLines="20" w:after="48" w:line="240" w:lineRule="auto"/>
              <w:jc w:val="center"/>
              <w:rPr>
                <w:rFonts w:asciiTheme="majorHAnsi" w:eastAsia="Times New Roman" w:hAnsiTheme="majorHAnsi" w:cstheme="majorHAnsi"/>
              </w:rPr>
            </w:pPr>
            <w:r w:rsidRPr="00422950">
              <w:rPr>
                <w:rFonts w:asciiTheme="majorHAnsi" w:eastAsia="Times New Roman" w:hAnsiTheme="majorHAnsi" w:cstheme="majorHAnsi"/>
              </w:rPr>
              <w:t>237</w:t>
            </w:r>
          </w:p>
        </w:tc>
        <w:tc>
          <w:tcPr>
            <w:tcW w:w="1182" w:type="dxa"/>
            <w:noWrap/>
            <w:vAlign w:val="center"/>
            <w:hideMark/>
          </w:tcPr>
          <w:p w14:paraId="4CC583B2" w14:textId="77777777" w:rsidR="00FD2CBB" w:rsidRPr="00422950" w:rsidRDefault="00FD2CBB" w:rsidP="00F567D4">
            <w:pPr>
              <w:spacing w:beforeLines="20" w:before="48" w:afterLines="20" w:after="48" w:line="240" w:lineRule="auto"/>
              <w:jc w:val="center"/>
              <w:rPr>
                <w:rFonts w:asciiTheme="majorHAnsi" w:eastAsia="Times New Roman" w:hAnsiTheme="majorHAnsi" w:cstheme="majorHAnsi"/>
              </w:rPr>
            </w:pPr>
            <w:r w:rsidRPr="00422950">
              <w:rPr>
                <w:rFonts w:asciiTheme="majorHAnsi" w:eastAsia="Times New Roman" w:hAnsiTheme="majorHAnsi" w:cstheme="majorHAnsi"/>
              </w:rPr>
              <w:t>96%</w:t>
            </w:r>
          </w:p>
        </w:tc>
      </w:tr>
      <w:tr w:rsidR="00FD2CBB" w:rsidRPr="00422950" w14:paraId="62AC1A75" w14:textId="77777777" w:rsidTr="00F567D4">
        <w:trPr>
          <w:trHeight w:val="309"/>
        </w:trPr>
        <w:tc>
          <w:tcPr>
            <w:tcW w:w="1437" w:type="dxa"/>
            <w:shd w:val="clear" w:color="auto" w:fill="FF7C80"/>
            <w:noWrap/>
            <w:vAlign w:val="center"/>
            <w:hideMark/>
          </w:tcPr>
          <w:p w14:paraId="2F9A47F6" w14:textId="77777777" w:rsidR="00FD2CBB" w:rsidRPr="00422950" w:rsidRDefault="00FD2CBB" w:rsidP="00F567D4">
            <w:pPr>
              <w:spacing w:beforeLines="20" w:before="48" w:afterLines="20" w:after="48" w:line="240" w:lineRule="auto"/>
              <w:jc w:val="center"/>
              <w:rPr>
                <w:rFonts w:asciiTheme="majorHAnsi" w:eastAsia="Times New Roman" w:hAnsiTheme="majorHAnsi" w:cstheme="majorHAnsi"/>
                <w:i/>
                <w:iCs/>
                <w:color w:val="000000"/>
              </w:rPr>
            </w:pPr>
            <w:r w:rsidRPr="00422950">
              <w:rPr>
                <w:rFonts w:asciiTheme="majorHAnsi" w:eastAsia="Times New Roman" w:hAnsiTheme="majorHAnsi" w:cstheme="majorHAnsi"/>
                <w:i/>
                <w:iCs/>
                <w:color w:val="000000"/>
              </w:rPr>
              <w:t>TO_032</w:t>
            </w:r>
          </w:p>
        </w:tc>
        <w:tc>
          <w:tcPr>
            <w:tcW w:w="2527" w:type="dxa"/>
            <w:shd w:val="clear" w:color="000000" w:fill="FFFFFF"/>
            <w:noWrap/>
            <w:vAlign w:val="center"/>
            <w:hideMark/>
          </w:tcPr>
          <w:p w14:paraId="4CC786B4" w14:textId="77777777" w:rsidR="00FD2CBB" w:rsidRPr="00422950" w:rsidRDefault="00FD2CBB" w:rsidP="00F567D4">
            <w:pPr>
              <w:spacing w:beforeLines="20" w:before="48" w:afterLines="20" w:after="48" w:line="240" w:lineRule="auto"/>
              <w:jc w:val="center"/>
              <w:rPr>
                <w:rFonts w:asciiTheme="majorHAnsi" w:eastAsia="Times New Roman" w:hAnsiTheme="majorHAnsi" w:cstheme="majorHAnsi"/>
              </w:rPr>
            </w:pPr>
            <w:r w:rsidRPr="00422950">
              <w:rPr>
                <w:rFonts w:asciiTheme="majorHAnsi" w:eastAsia="Times New Roman" w:hAnsiTheme="majorHAnsi" w:cstheme="majorHAnsi"/>
              </w:rPr>
              <w:t>Perosa (TO)</w:t>
            </w:r>
          </w:p>
        </w:tc>
        <w:tc>
          <w:tcPr>
            <w:tcW w:w="1493" w:type="dxa"/>
            <w:noWrap/>
            <w:vAlign w:val="center"/>
            <w:hideMark/>
          </w:tcPr>
          <w:p w14:paraId="1D87752B" w14:textId="77777777" w:rsidR="00FD2CBB" w:rsidRPr="00422950" w:rsidRDefault="00FD2CBB" w:rsidP="00F567D4">
            <w:pPr>
              <w:spacing w:beforeLines="20" w:before="48" w:afterLines="20" w:after="48" w:line="240" w:lineRule="auto"/>
              <w:jc w:val="center"/>
              <w:rPr>
                <w:rFonts w:asciiTheme="majorHAnsi" w:eastAsia="Times New Roman" w:hAnsiTheme="majorHAnsi" w:cstheme="majorHAnsi"/>
              </w:rPr>
            </w:pPr>
            <w:r w:rsidRPr="00422950">
              <w:rPr>
                <w:rFonts w:asciiTheme="majorHAnsi" w:eastAsia="Times New Roman" w:hAnsiTheme="majorHAnsi" w:cstheme="majorHAnsi"/>
              </w:rPr>
              <w:t>29</w:t>
            </w:r>
          </w:p>
        </w:tc>
        <w:tc>
          <w:tcPr>
            <w:tcW w:w="1292" w:type="dxa"/>
            <w:noWrap/>
            <w:vAlign w:val="center"/>
            <w:hideMark/>
          </w:tcPr>
          <w:p w14:paraId="70A6BAED" w14:textId="77777777" w:rsidR="00FD2CBB" w:rsidRPr="00422950" w:rsidRDefault="00FD2CBB" w:rsidP="00F567D4">
            <w:pPr>
              <w:spacing w:beforeLines="20" w:before="48" w:afterLines="20" w:after="48" w:line="240" w:lineRule="auto"/>
              <w:jc w:val="center"/>
              <w:rPr>
                <w:rFonts w:asciiTheme="majorHAnsi" w:eastAsia="Times New Roman" w:hAnsiTheme="majorHAnsi" w:cstheme="majorHAnsi"/>
              </w:rPr>
            </w:pPr>
            <w:r w:rsidRPr="00422950">
              <w:rPr>
                <w:rFonts w:asciiTheme="majorHAnsi" w:eastAsia="Times New Roman" w:hAnsiTheme="majorHAnsi" w:cstheme="majorHAnsi"/>
              </w:rPr>
              <w:t>5231</w:t>
            </w:r>
          </w:p>
        </w:tc>
        <w:tc>
          <w:tcPr>
            <w:tcW w:w="1146" w:type="dxa"/>
            <w:noWrap/>
            <w:vAlign w:val="center"/>
            <w:hideMark/>
          </w:tcPr>
          <w:p w14:paraId="475DFACD" w14:textId="77777777" w:rsidR="00FD2CBB" w:rsidRPr="00422950" w:rsidRDefault="00FD2CBB" w:rsidP="00F567D4">
            <w:pPr>
              <w:spacing w:beforeLines="20" w:before="48" w:afterLines="20" w:after="48" w:line="240" w:lineRule="auto"/>
              <w:jc w:val="center"/>
              <w:rPr>
                <w:rFonts w:asciiTheme="majorHAnsi" w:eastAsia="Times New Roman" w:hAnsiTheme="majorHAnsi" w:cstheme="majorHAnsi"/>
              </w:rPr>
            </w:pPr>
            <w:r w:rsidRPr="00422950">
              <w:rPr>
                <w:rFonts w:asciiTheme="majorHAnsi" w:eastAsia="Times New Roman" w:hAnsiTheme="majorHAnsi" w:cstheme="majorHAnsi"/>
              </w:rPr>
              <w:t>426</w:t>
            </w:r>
          </w:p>
        </w:tc>
        <w:tc>
          <w:tcPr>
            <w:tcW w:w="1182" w:type="dxa"/>
            <w:noWrap/>
            <w:vAlign w:val="center"/>
            <w:hideMark/>
          </w:tcPr>
          <w:p w14:paraId="7B6B691B" w14:textId="77777777" w:rsidR="00FD2CBB" w:rsidRPr="00422950" w:rsidRDefault="00FD2CBB" w:rsidP="00F567D4">
            <w:pPr>
              <w:spacing w:beforeLines="20" w:before="48" w:afterLines="20" w:after="48" w:line="240" w:lineRule="auto"/>
              <w:jc w:val="center"/>
              <w:rPr>
                <w:rFonts w:asciiTheme="majorHAnsi" w:eastAsia="Times New Roman" w:hAnsiTheme="majorHAnsi" w:cstheme="majorHAnsi"/>
              </w:rPr>
            </w:pPr>
            <w:r w:rsidRPr="00422950">
              <w:rPr>
                <w:rFonts w:asciiTheme="majorHAnsi" w:eastAsia="Times New Roman" w:hAnsiTheme="majorHAnsi" w:cstheme="majorHAnsi"/>
              </w:rPr>
              <w:t>92%</w:t>
            </w:r>
          </w:p>
        </w:tc>
      </w:tr>
      <w:tr w:rsidR="00FD2CBB" w:rsidRPr="00422950" w14:paraId="53ACFCD8" w14:textId="77777777" w:rsidTr="00F567D4">
        <w:trPr>
          <w:trHeight w:val="309"/>
        </w:trPr>
        <w:tc>
          <w:tcPr>
            <w:tcW w:w="1437" w:type="dxa"/>
            <w:shd w:val="clear" w:color="auto" w:fill="FF7C80"/>
            <w:noWrap/>
            <w:vAlign w:val="center"/>
            <w:hideMark/>
          </w:tcPr>
          <w:p w14:paraId="7F7FD8D6" w14:textId="77777777" w:rsidR="00FD2CBB" w:rsidRPr="00422950" w:rsidRDefault="00FD2CBB" w:rsidP="00F567D4">
            <w:pPr>
              <w:spacing w:beforeLines="20" w:before="48" w:afterLines="20" w:after="48" w:line="240" w:lineRule="auto"/>
              <w:jc w:val="center"/>
              <w:rPr>
                <w:rFonts w:asciiTheme="majorHAnsi" w:eastAsia="Times New Roman" w:hAnsiTheme="majorHAnsi" w:cstheme="majorHAnsi"/>
                <w:i/>
                <w:iCs/>
                <w:color w:val="000000"/>
              </w:rPr>
            </w:pPr>
            <w:r w:rsidRPr="00422950">
              <w:rPr>
                <w:rFonts w:asciiTheme="majorHAnsi" w:eastAsia="Times New Roman" w:hAnsiTheme="majorHAnsi" w:cstheme="majorHAnsi"/>
                <w:i/>
                <w:iCs/>
                <w:color w:val="000000"/>
              </w:rPr>
              <w:t>TO_035</w:t>
            </w:r>
          </w:p>
        </w:tc>
        <w:tc>
          <w:tcPr>
            <w:tcW w:w="2527" w:type="dxa"/>
            <w:shd w:val="clear" w:color="000000" w:fill="FFFFFF"/>
            <w:noWrap/>
            <w:vAlign w:val="center"/>
            <w:hideMark/>
          </w:tcPr>
          <w:p w14:paraId="66AE7DE1" w14:textId="3BC316E0" w:rsidR="00FD2CBB" w:rsidRPr="00422950" w:rsidRDefault="00FD2CBB" w:rsidP="00F567D4">
            <w:pPr>
              <w:spacing w:beforeLines="20" w:before="48" w:afterLines="20" w:after="48" w:line="240" w:lineRule="auto"/>
              <w:jc w:val="center"/>
              <w:rPr>
                <w:rFonts w:asciiTheme="majorHAnsi" w:eastAsia="Times New Roman" w:hAnsiTheme="majorHAnsi" w:cstheme="majorHAnsi"/>
              </w:rPr>
            </w:pPr>
            <w:r w:rsidRPr="00422950">
              <w:rPr>
                <w:rFonts w:asciiTheme="majorHAnsi" w:eastAsia="Times New Roman" w:hAnsiTheme="majorHAnsi" w:cstheme="majorHAnsi"/>
              </w:rPr>
              <w:t>Salbertrand (TO)</w:t>
            </w:r>
          </w:p>
        </w:tc>
        <w:tc>
          <w:tcPr>
            <w:tcW w:w="1493" w:type="dxa"/>
            <w:noWrap/>
            <w:vAlign w:val="center"/>
            <w:hideMark/>
          </w:tcPr>
          <w:p w14:paraId="4F200F8E" w14:textId="77777777" w:rsidR="00FD2CBB" w:rsidRPr="00422950" w:rsidRDefault="00FD2CBB" w:rsidP="00F567D4">
            <w:pPr>
              <w:spacing w:beforeLines="20" w:before="48" w:afterLines="20" w:after="48" w:line="240" w:lineRule="auto"/>
              <w:jc w:val="center"/>
              <w:rPr>
                <w:rFonts w:asciiTheme="majorHAnsi" w:eastAsia="Times New Roman" w:hAnsiTheme="majorHAnsi" w:cstheme="majorHAnsi"/>
              </w:rPr>
            </w:pPr>
            <w:r w:rsidRPr="00422950">
              <w:rPr>
                <w:rFonts w:asciiTheme="majorHAnsi" w:eastAsia="Times New Roman" w:hAnsiTheme="majorHAnsi" w:cstheme="majorHAnsi"/>
              </w:rPr>
              <w:t>10</w:t>
            </w:r>
          </w:p>
        </w:tc>
        <w:tc>
          <w:tcPr>
            <w:tcW w:w="1292" w:type="dxa"/>
            <w:noWrap/>
            <w:vAlign w:val="center"/>
            <w:hideMark/>
          </w:tcPr>
          <w:p w14:paraId="1C01AD3B" w14:textId="77777777" w:rsidR="00FD2CBB" w:rsidRPr="00422950" w:rsidRDefault="00FD2CBB" w:rsidP="00F567D4">
            <w:pPr>
              <w:spacing w:beforeLines="20" w:before="48" w:afterLines="20" w:after="48" w:line="240" w:lineRule="auto"/>
              <w:jc w:val="center"/>
              <w:rPr>
                <w:rFonts w:asciiTheme="majorHAnsi" w:eastAsia="Times New Roman" w:hAnsiTheme="majorHAnsi" w:cstheme="majorHAnsi"/>
              </w:rPr>
            </w:pPr>
            <w:r w:rsidRPr="00422950">
              <w:rPr>
                <w:rFonts w:asciiTheme="majorHAnsi" w:eastAsia="Times New Roman" w:hAnsiTheme="majorHAnsi" w:cstheme="majorHAnsi"/>
              </w:rPr>
              <w:t>1785</w:t>
            </w:r>
          </w:p>
        </w:tc>
        <w:tc>
          <w:tcPr>
            <w:tcW w:w="1146" w:type="dxa"/>
            <w:noWrap/>
            <w:vAlign w:val="center"/>
            <w:hideMark/>
          </w:tcPr>
          <w:p w14:paraId="075F6077" w14:textId="77777777" w:rsidR="00FD2CBB" w:rsidRPr="00422950" w:rsidRDefault="00FD2CBB" w:rsidP="00F567D4">
            <w:pPr>
              <w:spacing w:beforeLines="20" w:before="48" w:afterLines="20" w:after="48" w:line="240" w:lineRule="auto"/>
              <w:jc w:val="center"/>
              <w:rPr>
                <w:rFonts w:asciiTheme="majorHAnsi" w:eastAsia="Times New Roman" w:hAnsiTheme="majorHAnsi" w:cstheme="majorHAnsi"/>
              </w:rPr>
            </w:pPr>
            <w:r w:rsidRPr="00422950">
              <w:rPr>
                <w:rFonts w:asciiTheme="majorHAnsi" w:eastAsia="Times New Roman" w:hAnsiTheme="majorHAnsi" w:cstheme="majorHAnsi"/>
              </w:rPr>
              <w:t>258</w:t>
            </w:r>
          </w:p>
        </w:tc>
        <w:tc>
          <w:tcPr>
            <w:tcW w:w="1182" w:type="dxa"/>
            <w:noWrap/>
            <w:vAlign w:val="center"/>
            <w:hideMark/>
          </w:tcPr>
          <w:p w14:paraId="71047943" w14:textId="77777777" w:rsidR="00FD2CBB" w:rsidRPr="00422950" w:rsidRDefault="00FD2CBB" w:rsidP="00F567D4">
            <w:pPr>
              <w:spacing w:beforeLines="20" w:before="48" w:afterLines="20" w:after="48" w:line="240" w:lineRule="auto"/>
              <w:jc w:val="center"/>
              <w:rPr>
                <w:rFonts w:asciiTheme="majorHAnsi" w:eastAsia="Times New Roman" w:hAnsiTheme="majorHAnsi" w:cstheme="majorHAnsi"/>
              </w:rPr>
            </w:pPr>
            <w:r w:rsidRPr="00422950">
              <w:rPr>
                <w:rFonts w:asciiTheme="majorHAnsi" w:eastAsia="Times New Roman" w:hAnsiTheme="majorHAnsi" w:cstheme="majorHAnsi"/>
              </w:rPr>
              <w:t>87%</w:t>
            </w:r>
          </w:p>
        </w:tc>
      </w:tr>
      <w:tr w:rsidR="00FD2CBB" w:rsidRPr="00422950" w14:paraId="0F5D77BC" w14:textId="77777777" w:rsidTr="00F567D4">
        <w:trPr>
          <w:trHeight w:val="309"/>
        </w:trPr>
        <w:tc>
          <w:tcPr>
            <w:tcW w:w="1437" w:type="dxa"/>
            <w:shd w:val="clear" w:color="auto" w:fill="FF7C80"/>
            <w:noWrap/>
            <w:vAlign w:val="center"/>
            <w:hideMark/>
          </w:tcPr>
          <w:p w14:paraId="2E6CCDE6" w14:textId="77777777" w:rsidR="00FD2CBB" w:rsidRPr="00422950" w:rsidRDefault="00FD2CBB" w:rsidP="00F567D4">
            <w:pPr>
              <w:spacing w:beforeLines="20" w:before="48" w:afterLines="20" w:after="48" w:line="240" w:lineRule="auto"/>
              <w:jc w:val="center"/>
              <w:rPr>
                <w:rFonts w:asciiTheme="majorHAnsi" w:eastAsia="Times New Roman" w:hAnsiTheme="majorHAnsi" w:cstheme="majorHAnsi"/>
                <w:i/>
                <w:iCs/>
                <w:color w:val="000000"/>
              </w:rPr>
            </w:pPr>
            <w:r w:rsidRPr="00422950">
              <w:rPr>
                <w:rFonts w:asciiTheme="majorHAnsi" w:eastAsia="Times New Roman" w:hAnsiTheme="majorHAnsi" w:cstheme="majorHAnsi"/>
                <w:i/>
                <w:iCs/>
                <w:color w:val="000000"/>
              </w:rPr>
              <w:lastRenderedPageBreak/>
              <w:t>TO_037</w:t>
            </w:r>
          </w:p>
        </w:tc>
        <w:tc>
          <w:tcPr>
            <w:tcW w:w="2527" w:type="dxa"/>
            <w:shd w:val="clear" w:color="000000" w:fill="FFFFFF"/>
            <w:noWrap/>
            <w:vAlign w:val="center"/>
            <w:hideMark/>
          </w:tcPr>
          <w:p w14:paraId="1F23CBD2" w14:textId="77777777" w:rsidR="00FD2CBB" w:rsidRPr="00422950" w:rsidRDefault="00FD2CBB" w:rsidP="00F567D4">
            <w:pPr>
              <w:spacing w:beforeLines="20" w:before="48" w:afterLines="20" w:after="48" w:line="240" w:lineRule="auto"/>
              <w:jc w:val="center"/>
              <w:rPr>
                <w:rFonts w:asciiTheme="majorHAnsi" w:eastAsia="Times New Roman" w:hAnsiTheme="majorHAnsi" w:cstheme="majorHAnsi"/>
              </w:rPr>
            </w:pPr>
            <w:r w:rsidRPr="00422950">
              <w:rPr>
                <w:rFonts w:asciiTheme="majorHAnsi" w:eastAsia="Times New Roman" w:hAnsiTheme="majorHAnsi" w:cstheme="majorHAnsi"/>
              </w:rPr>
              <w:t>Cumiana (TO)</w:t>
            </w:r>
          </w:p>
        </w:tc>
        <w:tc>
          <w:tcPr>
            <w:tcW w:w="1493" w:type="dxa"/>
            <w:noWrap/>
            <w:vAlign w:val="center"/>
            <w:hideMark/>
          </w:tcPr>
          <w:p w14:paraId="3B4EF3E8" w14:textId="77777777" w:rsidR="00FD2CBB" w:rsidRPr="00422950" w:rsidRDefault="00FD2CBB" w:rsidP="00F567D4">
            <w:pPr>
              <w:spacing w:beforeLines="20" w:before="48" w:afterLines="20" w:after="48" w:line="240" w:lineRule="auto"/>
              <w:jc w:val="center"/>
              <w:rPr>
                <w:rFonts w:asciiTheme="majorHAnsi" w:eastAsia="Times New Roman" w:hAnsiTheme="majorHAnsi" w:cstheme="majorHAnsi"/>
              </w:rPr>
            </w:pPr>
            <w:r w:rsidRPr="00422950">
              <w:rPr>
                <w:rFonts w:asciiTheme="majorHAnsi" w:eastAsia="Times New Roman" w:hAnsiTheme="majorHAnsi" w:cstheme="majorHAnsi"/>
              </w:rPr>
              <w:t>20</w:t>
            </w:r>
          </w:p>
        </w:tc>
        <w:tc>
          <w:tcPr>
            <w:tcW w:w="1292" w:type="dxa"/>
            <w:noWrap/>
            <w:vAlign w:val="center"/>
            <w:hideMark/>
          </w:tcPr>
          <w:p w14:paraId="5EEFE318" w14:textId="77777777" w:rsidR="00FD2CBB" w:rsidRPr="00422950" w:rsidRDefault="00FD2CBB" w:rsidP="00F567D4">
            <w:pPr>
              <w:spacing w:beforeLines="20" w:before="48" w:afterLines="20" w:after="48" w:line="240" w:lineRule="auto"/>
              <w:jc w:val="center"/>
              <w:rPr>
                <w:rFonts w:asciiTheme="majorHAnsi" w:eastAsia="Times New Roman" w:hAnsiTheme="majorHAnsi" w:cstheme="majorHAnsi"/>
              </w:rPr>
            </w:pPr>
            <w:r w:rsidRPr="00422950">
              <w:rPr>
                <w:rFonts w:asciiTheme="majorHAnsi" w:eastAsia="Times New Roman" w:hAnsiTheme="majorHAnsi" w:cstheme="majorHAnsi"/>
              </w:rPr>
              <w:t>3551</w:t>
            </w:r>
          </w:p>
        </w:tc>
        <w:tc>
          <w:tcPr>
            <w:tcW w:w="1146" w:type="dxa"/>
            <w:noWrap/>
            <w:vAlign w:val="center"/>
            <w:hideMark/>
          </w:tcPr>
          <w:p w14:paraId="33E80B6D" w14:textId="77777777" w:rsidR="00FD2CBB" w:rsidRPr="00422950" w:rsidRDefault="00FD2CBB" w:rsidP="00F567D4">
            <w:pPr>
              <w:spacing w:beforeLines="20" w:before="48" w:afterLines="20" w:after="48" w:line="240" w:lineRule="auto"/>
              <w:jc w:val="center"/>
              <w:rPr>
                <w:rFonts w:asciiTheme="majorHAnsi" w:eastAsia="Times New Roman" w:hAnsiTheme="majorHAnsi" w:cstheme="majorHAnsi"/>
              </w:rPr>
            </w:pPr>
            <w:r w:rsidRPr="00422950">
              <w:rPr>
                <w:rFonts w:asciiTheme="majorHAnsi" w:eastAsia="Times New Roman" w:hAnsiTheme="majorHAnsi" w:cstheme="majorHAnsi"/>
              </w:rPr>
              <w:t>266</w:t>
            </w:r>
          </w:p>
        </w:tc>
        <w:tc>
          <w:tcPr>
            <w:tcW w:w="1182" w:type="dxa"/>
            <w:noWrap/>
            <w:vAlign w:val="center"/>
            <w:hideMark/>
          </w:tcPr>
          <w:p w14:paraId="680B2A2A" w14:textId="77777777" w:rsidR="00FD2CBB" w:rsidRPr="00422950" w:rsidRDefault="00FD2CBB" w:rsidP="00F567D4">
            <w:pPr>
              <w:spacing w:beforeLines="20" w:before="48" w:afterLines="20" w:after="48" w:line="240" w:lineRule="auto"/>
              <w:jc w:val="center"/>
              <w:rPr>
                <w:rFonts w:asciiTheme="majorHAnsi" w:eastAsia="Times New Roman" w:hAnsiTheme="majorHAnsi" w:cstheme="majorHAnsi"/>
              </w:rPr>
            </w:pPr>
            <w:r w:rsidRPr="00422950">
              <w:rPr>
                <w:rFonts w:asciiTheme="majorHAnsi" w:eastAsia="Times New Roman" w:hAnsiTheme="majorHAnsi" w:cstheme="majorHAnsi"/>
              </w:rPr>
              <w:t>93%</w:t>
            </w:r>
          </w:p>
        </w:tc>
      </w:tr>
      <w:tr w:rsidR="00FD2CBB" w:rsidRPr="00422950" w14:paraId="14824E63" w14:textId="77777777" w:rsidTr="00F567D4">
        <w:trPr>
          <w:trHeight w:val="309"/>
        </w:trPr>
        <w:tc>
          <w:tcPr>
            <w:tcW w:w="1437" w:type="dxa"/>
            <w:shd w:val="clear" w:color="auto" w:fill="FF7C80"/>
            <w:noWrap/>
            <w:vAlign w:val="center"/>
            <w:hideMark/>
          </w:tcPr>
          <w:p w14:paraId="0FC71F0C" w14:textId="77777777" w:rsidR="00FD2CBB" w:rsidRPr="00422950" w:rsidRDefault="00FD2CBB" w:rsidP="00F567D4">
            <w:pPr>
              <w:spacing w:beforeLines="20" w:before="48" w:afterLines="20" w:after="48" w:line="240" w:lineRule="auto"/>
              <w:jc w:val="center"/>
              <w:rPr>
                <w:rFonts w:asciiTheme="majorHAnsi" w:eastAsia="Times New Roman" w:hAnsiTheme="majorHAnsi" w:cstheme="majorHAnsi"/>
                <w:i/>
                <w:iCs/>
                <w:color w:val="000000"/>
              </w:rPr>
            </w:pPr>
            <w:r w:rsidRPr="00422950">
              <w:rPr>
                <w:rFonts w:asciiTheme="majorHAnsi" w:eastAsia="Times New Roman" w:hAnsiTheme="majorHAnsi" w:cstheme="majorHAnsi"/>
                <w:i/>
                <w:iCs/>
                <w:color w:val="000000"/>
              </w:rPr>
              <w:t>TO_039</w:t>
            </w:r>
          </w:p>
        </w:tc>
        <w:tc>
          <w:tcPr>
            <w:tcW w:w="2527" w:type="dxa"/>
            <w:shd w:val="clear" w:color="000000" w:fill="FFFFFF"/>
            <w:noWrap/>
            <w:vAlign w:val="center"/>
            <w:hideMark/>
          </w:tcPr>
          <w:p w14:paraId="64FEC83A" w14:textId="77777777" w:rsidR="00FD2CBB" w:rsidRPr="00422950" w:rsidRDefault="00FD2CBB" w:rsidP="00F567D4">
            <w:pPr>
              <w:spacing w:beforeLines="20" w:before="48" w:afterLines="20" w:after="48" w:line="240" w:lineRule="auto"/>
              <w:jc w:val="center"/>
              <w:rPr>
                <w:rFonts w:asciiTheme="majorHAnsi" w:eastAsia="Times New Roman" w:hAnsiTheme="majorHAnsi" w:cstheme="majorHAnsi"/>
              </w:rPr>
            </w:pPr>
            <w:r w:rsidRPr="00422950">
              <w:rPr>
                <w:rFonts w:asciiTheme="majorHAnsi" w:eastAsia="Times New Roman" w:hAnsiTheme="majorHAnsi" w:cstheme="majorHAnsi"/>
              </w:rPr>
              <w:t>Giaveno (TO)</w:t>
            </w:r>
          </w:p>
        </w:tc>
        <w:tc>
          <w:tcPr>
            <w:tcW w:w="1493" w:type="dxa"/>
            <w:noWrap/>
            <w:vAlign w:val="center"/>
            <w:hideMark/>
          </w:tcPr>
          <w:p w14:paraId="1D54541B" w14:textId="77777777" w:rsidR="00FD2CBB" w:rsidRPr="00422950" w:rsidRDefault="00FD2CBB" w:rsidP="00F567D4">
            <w:pPr>
              <w:spacing w:beforeLines="20" w:before="48" w:afterLines="20" w:after="48" w:line="240" w:lineRule="auto"/>
              <w:jc w:val="center"/>
              <w:rPr>
                <w:rFonts w:asciiTheme="majorHAnsi" w:eastAsia="Times New Roman" w:hAnsiTheme="majorHAnsi" w:cstheme="majorHAnsi"/>
              </w:rPr>
            </w:pPr>
            <w:r w:rsidRPr="00422950">
              <w:rPr>
                <w:rFonts w:asciiTheme="majorHAnsi" w:eastAsia="Times New Roman" w:hAnsiTheme="majorHAnsi" w:cstheme="majorHAnsi"/>
              </w:rPr>
              <w:t>28</w:t>
            </w:r>
          </w:p>
        </w:tc>
        <w:tc>
          <w:tcPr>
            <w:tcW w:w="1292" w:type="dxa"/>
            <w:noWrap/>
            <w:vAlign w:val="center"/>
            <w:hideMark/>
          </w:tcPr>
          <w:p w14:paraId="472B4D06" w14:textId="77777777" w:rsidR="00FD2CBB" w:rsidRPr="00422950" w:rsidRDefault="00FD2CBB" w:rsidP="00F567D4">
            <w:pPr>
              <w:spacing w:beforeLines="20" w:before="48" w:afterLines="20" w:after="48" w:line="240" w:lineRule="auto"/>
              <w:jc w:val="center"/>
              <w:rPr>
                <w:rFonts w:asciiTheme="majorHAnsi" w:eastAsia="Times New Roman" w:hAnsiTheme="majorHAnsi" w:cstheme="majorHAnsi"/>
              </w:rPr>
            </w:pPr>
            <w:r w:rsidRPr="00422950">
              <w:rPr>
                <w:rFonts w:asciiTheme="majorHAnsi" w:eastAsia="Times New Roman" w:hAnsiTheme="majorHAnsi" w:cstheme="majorHAnsi"/>
              </w:rPr>
              <w:t>5304</w:t>
            </w:r>
          </w:p>
        </w:tc>
        <w:tc>
          <w:tcPr>
            <w:tcW w:w="1146" w:type="dxa"/>
            <w:noWrap/>
            <w:vAlign w:val="center"/>
            <w:hideMark/>
          </w:tcPr>
          <w:p w14:paraId="6336C861" w14:textId="77777777" w:rsidR="00FD2CBB" w:rsidRPr="00422950" w:rsidRDefault="00FD2CBB" w:rsidP="00F567D4">
            <w:pPr>
              <w:spacing w:beforeLines="20" w:before="48" w:afterLines="20" w:after="48" w:line="240" w:lineRule="auto"/>
              <w:jc w:val="center"/>
              <w:rPr>
                <w:rFonts w:asciiTheme="majorHAnsi" w:eastAsia="Times New Roman" w:hAnsiTheme="majorHAnsi" w:cstheme="majorHAnsi"/>
              </w:rPr>
            </w:pPr>
            <w:r w:rsidRPr="00422950">
              <w:rPr>
                <w:rFonts w:asciiTheme="majorHAnsi" w:eastAsia="Times New Roman" w:hAnsiTheme="majorHAnsi" w:cstheme="majorHAnsi"/>
              </w:rPr>
              <w:t>430</w:t>
            </w:r>
          </w:p>
        </w:tc>
        <w:tc>
          <w:tcPr>
            <w:tcW w:w="1182" w:type="dxa"/>
            <w:noWrap/>
            <w:vAlign w:val="center"/>
            <w:hideMark/>
          </w:tcPr>
          <w:p w14:paraId="47B20BFA" w14:textId="77777777" w:rsidR="00FD2CBB" w:rsidRPr="00422950" w:rsidRDefault="00FD2CBB" w:rsidP="00F567D4">
            <w:pPr>
              <w:spacing w:beforeLines="20" w:before="48" w:afterLines="20" w:after="48" w:line="240" w:lineRule="auto"/>
              <w:jc w:val="center"/>
              <w:rPr>
                <w:rFonts w:asciiTheme="majorHAnsi" w:eastAsia="Times New Roman" w:hAnsiTheme="majorHAnsi" w:cstheme="majorHAnsi"/>
              </w:rPr>
            </w:pPr>
            <w:r w:rsidRPr="00422950">
              <w:rPr>
                <w:rFonts w:asciiTheme="majorHAnsi" w:eastAsia="Times New Roman" w:hAnsiTheme="majorHAnsi" w:cstheme="majorHAnsi"/>
              </w:rPr>
              <w:t>93%</w:t>
            </w:r>
          </w:p>
        </w:tc>
      </w:tr>
      <w:tr w:rsidR="00FD2CBB" w:rsidRPr="00422950" w14:paraId="28AE4173" w14:textId="77777777" w:rsidTr="00F567D4">
        <w:trPr>
          <w:trHeight w:val="309"/>
        </w:trPr>
        <w:tc>
          <w:tcPr>
            <w:tcW w:w="1437" w:type="dxa"/>
            <w:shd w:val="clear" w:color="auto" w:fill="FF7C80"/>
            <w:noWrap/>
            <w:vAlign w:val="center"/>
            <w:hideMark/>
          </w:tcPr>
          <w:p w14:paraId="6605FA43" w14:textId="77777777" w:rsidR="00FD2CBB" w:rsidRPr="00422950" w:rsidRDefault="00FD2CBB" w:rsidP="00F567D4">
            <w:pPr>
              <w:spacing w:beforeLines="20" w:before="48" w:afterLines="20" w:after="48" w:line="240" w:lineRule="auto"/>
              <w:jc w:val="center"/>
              <w:rPr>
                <w:rFonts w:asciiTheme="majorHAnsi" w:eastAsia="Times New Roman" w:hAnsiTheme="majorHAnsi" w:cstheme="majorHAnsi"/>
                <w:i/>
                <w:iCs/>
                <w:color w:val="000000"/>
              </w:rPr>
            </w:pPr>
            <w:r w:rsidRPr="00422950">
              <w:rPr>
                <w:rFonts w:asciiTheme="majorHAnsi" w:eastAsia="Times New Roman" w:hAnsiTheme="majorHAnsi" w:cstheme="majorHAnsi"/>
                <w:i/>
                <w:iCs/>
                <w:color w:val="000000"/>
              </w:rPr>
              <w:t>TO_040</w:t>
            </w:r>
          </w:p>
        </w:tc>
        <w:tc>
          <w:tcPr>
            <w:tcW w:w="2527" w:type="dxa"/>
            <w:shd w:val="clear" w:color="000000" w:fill="FFFFFF"/>
            <w:noWrap/>
            <w:vAlign w:val="center"/>
            <w:hideMark/>
          </w:tcPr>
          <w:p w14:paraId="0E5ED56D" w14:textId="77777777" w:rsidR="00FD2CBB" w:rsidRPr="00422950" w:rsidRDefault="00FD2CBB" w:rsidP="00F567D4">
            <w:pPr>
              <w:spacing w:beforeLines="20" w:before="48" w:afterLines="20" w:after="48" w:line="240" w:lineRule="auto"/>
              <w:jc w:val="center"/>
              <w:rPr>
                <w:rFonts w:asciiTheme="majorHAnsi" w:eastAsia="Times New Roman" w:hAnsiTheme="majorHAnsi" w:cstheme="majorHAnsi"/>
              </w:rPr>
            </w:pPr>
            <w:r w:rsidRPr="00422950">
              <w:rPr>
                <w:rFonts w:asciiTheme="majorHAnsi" w:eastAsia="Times New Roman" w:hAnsiTheme="majorHAnsi" w:cstheme="majorHAnsi"/>
              </w:rPr>
              <w:t>Ivrea (TO)</w:t>
            </w:r>
          </w:p>
        </w:tc>
        <w:tc>
          <w:tcPr>
            <w:tcW w:w="1493" w:type="dxa"/>
            <w:noWrap/>
            <w:vAlign w:val="center"/>
            <w:hideMark/>
          </w:tcPr>
          <w:p w14:paraId="672E7E74" w14:textId="77777777" w:rsidR="00FD2CBB" w:rsidRPr="00422950" w:rsidRDefault="00FD2CBB" w:rsidP="00F567D4">
            <w:pPr>
              <w:spacing w:beforeLines="20" w:before="48" w:afterLines="20" w:after="48" w:line="240" w:lineRule="auto"/>
              <w:jc w:val="center"/>
              <w:rPr>
                <w:rFonts w:asciiTheme="majorHAnsi" w:eastAsia="Times New Roman" w:hAnsiTheme="majorHAnsi" w:cstheme="majorHAnsi"/>
              </w:rPr>
            </w:pPr>
            <w:r w:rsidRPr="00422950">
              <w:rPr>
                <w:rFonts w:asciiTheme="majorHAnsi" w:eastAsia="Times New Roman" w:hAnsiTheme="majorHAnsi" w:cstheme="majorHAnsi"/>
              </w:rPr>
              <w:t>59</w:t>
            </w:r>
          </w:p>
        </w:tc>
        <w:tc>
          <w:tcPr>
            <w:tcW w:w="1292" w:type="dxa"/>
            <w:noWrap/>
            <w:vAlign w:val="center"/>
            <w:hideMark/>
          </w:tcPr>
          <w:p w14:paraId="7DB60965" w14:textId="77777777" w:rsidR="00FD2CBB" w:rsidRPr="00422950" w:rsidRDefault="00FD2CBB" w:rsidP="00F567D4">
            <w:pPr>
              <w:spacing w:beforeLines="20" w:before="48" w:afterLines="20" w:after="48" w:line="240" w:lineRule="auto"/>
              <w:jc w:val="center"/>
              <w:rPr>
                <w:rFonts w:asciiTheme="majorHAnsi" w:eastAsia="Times New Roman" w:hAnsiTheme="majorHAnsi" w:cstheme="majorHAnsi"/>
              </w:rPr>
            </w:pPr>
            <w:r w:rsidRPr="00422950">
              <w:rPr>
                <w:rFonts w:asciiTheme="majorHAnsi" w:eastAsia="Times New Roman" w:hAnsiTheme="majorHAnsi" w:cstheme="majorHAnsi"/>
              </w:rPr>
              <w:t>13370</w:t>
            </w:r>
          </w:p>
        </w:tc>
        <w:tc>
          <w:tcPr>
            <w:tcW w:w="1146" w:type="dxa"/>
            <w:noWrap/>
            <w:vAlign w:val="center"/>
            <w:hideMark/>
          </w:tcPr>
          <w:p w14:paraId="4B935F0D" w14:textId="77777777" w:rsidR="00FD2CBB" w:rsidRPr="00422950" w:rsidRDefault="00FD2CBB" w:rsidP="00F567D4">
            <w:pPr>
              <w:spacing w:beforeLines="20" w:before="48" w:afterLines="20" w:after="48" w:line="240" w:lineRule="auto"/>
              <w:jc w:val="center"/>
              <w:rPr>
                <w:rFonts w:asciiTheme="majorHAnsi" w:eastAsia="Times New Roman" w:hAnsiTheme="majorHAnsi" w:cstheme="majorHAnsi"/>
              </w:rPr>
            </w:pPr>
            <w:r w:rsidRPr="00422950">
              <w:rPr>
                <w:rFonts w:asciiTheme="majorHAnsi" w:eastAsia="Times New Roman" w:hAnsiTheme="majorHAnsi" w:cstheme="majorHAnsi"/>
              </w:rPr>
              <w:t>2298</w:t>
            </w:r>
          </w:p>
        </w:tc>
        <w:tc>
          <w:tcPr>
            <w:tcW w:w="1182" w:type="dxa"/>
            <w:noWrap/>
            <w:vAlign w:val="center"/>
            <w:hideMark/>
          </w:tcPr>
          <w:p w14:paraId="6FB25D32" w14:textId="77777777" w:rsidR="00FD2CBB" w:rsidRPr="00422950" w:rsidRDefault="00FD2CBB" w:rsidP="00F567D4">
            <w:pPr>
              <w:spacing w:beforeLines="20" w:before="48" w:afterLines="20" w:after="48" w:line="240" w:lineRule="auto"/>
              <w:jc w:val="center"/>
              <w:rPr>
                <w:rFonts w:asciiTheme="majorHAnsi" w:eastAsia="Times New Roman" w:hAnsiTheme="majorHAnsi" w:cstheme="majorHAnsi"/>
              </w:rPr>
            </w:pPr>
            <w:r w:rsidRPr="00422950">
              <w:rPr>
                <w:rFonts w:asciiTheme="majorHAnsi" w:eastAsia="Times New Roman" w:hAnsiTheme="majorHAnsi" w:cstheme="majorHAnsi"/>
              </w:rPr>
              <w:t>85%</w:t>
            </w:r>
          </w:p>
        </w:tc>
      </w:tr>
      <w:tr w:rsidR="00FD2CBB" w:rsidRPr="00422950" w14:paraId="7CFE6748" w14:textId="77777777" w:rsidTr="00F567D4">
        <w:trPr>
          <w:trHeight w:val="309"/>
        </w:trPr>
        <w:tc>
          <w:tcPr>
            <w:tcW w:w="1437" w:type="dxa"/>
            <w:shd w:val="clear" w:color="auto" w:fill="FF7C80"/>
            <w:noWrap/>
            <w:vAlign w:val="center"/>
            <w:hideMark/>
          </w:tcPr>
          <w:p w14:paraId="40119D0A" w14:textId="77777777" w:rsidR="00FD2CBB" w:rsidRPr="00422950" w:rsidRDefault="00FD2CBB" w:rsidP="00F567D4">
            <w:pPr>
              <w:spacing w:beforeLines="20" w:before="48" w:afterLines="20" w:after="48" w:line="240" w:lineRule="auto"/>
              <w:jc w:val="center"/>
              <w:rPr>
                <w:rFonts w:asciiTheme="majorHAnsi" w:eastAsia="Times New Roman" w:hAnsiTheme="majorHAnsi" w:cstheme="majorHAnsi"/>
                <w:b/>
                <w:i/>
                <w:iCs/>
                <w:color w:val="000000"/>
              </w:rPr>
            </w:pPr>
            <w:r w:rsidRPr="00422950">
              <w:rPr>
                <w:rFonts w:asciiTheme="majorHAnsi" w:eastAsia="Times New Roman" w:hAnsiTheme="majorHAnsi" w:cstheme="majorHAnsi"/>
                <w:b/>
                <w:i/>
                <w:iCs/>
                <w:color w:val="000000"/>
              </w:rPr>
              <w:t>Totale</w:t>
            </w:r>
          </w:p>
        </w:tc>
        <w:tc>
          <w:tcPr>
            <w:tcW w:w="2527" w:type="dxa"/>
            <w:shd w:val="clear" w:color="000000" w:fill="FFFFFF"/>
            <w:noWrap/>
            <w:vAlign w:val="center"/>
            <w:hideMark/>
          </w:tcPr>
          <w:p w14:paraId="7EC24E50" w14:textId="46515881" w:rsidR="00FD2CBB" w:rsidRPr="00422950" w:rsidRDefault="00FD2CBB" w:rsidP="00F567D4">
            <w:pPr>
              <w:spacing w:beforeLines="20" w:before="48" w:afterLines="20" w:after="48" w:line="240" w:lineRule="auto"/>
              <w:jc w:val="center"/>
              <w:rPr>
                <w:rFonts w:asciiTheme="majorHAnsi" w:eastAsia="Times New Roman" w:hAnsiTheme="majorHAnsi" w:cstheme="majorHAnsi"/>
                <w:b/>
              </w:rPr>
            </w:pPr>
          </w:p>
        </w:tc>
        <w:tc>
          <w:tcPr>
            <w:tcW w:w="1493" w:type="dxa"/>
            <w:noWrap/>
            <w:vAlign w:val="center"/>
            <w:hideMark/>
          </w:tcPr>
          <w:p w14:paraId="7F43506A" w14:textId="77777777" w:rsidR="00FD2CBB" w:rsidRPr="00422950" w:rsidRDefault="00FD2CBB" w:rsidP="00F567D4">
            <w:pPr>
              <w:spacing w:beforeLines="20" w:before="48" w:afterLines="20" w:after="48" w:line="240" w:lineRule="auto"/>
              <w:jc w:val="center"/>
              <w:rPr>
                <w:rFonts w:asciiTheme="majorHAnsi" w:eastAsia="Times New Roman" w:hAnsiTheme="majorHAnsi" w:cstheme="majorHAnsi"/>
                <w:b/>
              </w:rPr>
            </w:pPr>
            <w:r w:rsidRPr="00422950">
              <w:rPr>
                <w:rFonts w:asciiTheme="majorHAnsi" w:eastAsia="Times New Roman" w:hAnsiTheme="majorHAnsi" w:cstheme="majorHAnsi"/>
                <w:b/>
              </w:rPr>
              <w:t>469</w:t>
            </w:r>
          </w:p>
        </w:tc>
        <w:tc>
          <w:tcPr>
            <w:tcW w:w="1292" w:type="dxa"/>
            <w:noWrap/>
            <w:vAlign w:val="center"/>
            <w:hideMark/>
          </w:tcPr>
          <w:p w14:paraId="5470EE5D" w14:textId="77777777" w:rsidR="00FD2CBB" w:rsidRPr="00422950" w:rsidRDefault="00FD2CBB" w:rsidP="00F567D4">
            <w:pPr>
              <w:spacing w:beforeLines="20" w:before="48" w:afterLines="20" w:after="48" w:line="240" w:lineRule="auto"/>
              <w:jc w:val="center"/>
              <w:rPr>
                <w:rFonts w:asciiTheme="majorHAnsi" w:eastAsia="Times New Roman" w:hAnsiTheme="majorHAnsi" w:cstheme="majorHAnsi"/>
                <w:b/>
              </w:rPr>
            </w:pPr>
            <w:r w:rsidRPr="00422950">
              <w:rPr>
                <w:rFonts w:asciiTheme="majorHAnsi" w:eastAsia="Times New Roman" w:hAnsiTheme="majorHAnsi" w:cstheme="majorHAnsi"/>
                <w:b/>
              </w:rPr>
              <w:t>88.006</w:t>
            </w:r>
          </w:p>
        </w:tc>
        <w:tc>
          <w:tcPr>
            <w:tcW w:w="1146" w:type="dxa"/>
            <w:noWrap/>
            <w:vAlign w:val="center"/>
            <w:hideMark/>
          </w:tcPr>
          <w:p w14:paraId="0B75495E" w14:textId="77777777" w:rsidR="00FD2CBB" w:rsidRPr="00422950" w:rsidRDefault="00FD2CBB" w:rsidP="00F567D4">
            <w:pPr>
              <w:spacing w:beforeLines="20" w:before="48" w:afterLines="20" w:after="48" w:line="240" w:lineRule="auto"/>
              <w:jc w:val="center"/>
              <w:rPr>
                <w:rFonts w:asciiTheme="majorHAnsi" w:eastAsia="Times New Roman" w:hAnsiTheme="majorHAnsi" w:cstheme="majorHAnsi"/>
                <w:b/>
              </w:rPr>
            </w:pPr>
            <w:r w:rsidRPr="00422950">
              <w:rPr>
                <w:rFonts w:asciiTheme="majorHAnsi" w:eastAsia="Times New Roman" w:hAnsiTheme="majorHAnsi" w:cstheme="majorHAnsi"/>
                <w:b/>
              </w:rPr>
              <w:t>10.480</w:t>
            </w:r>
          </w:p>
        </w:tc>
        <w:tc>
          <w:tcPr>
            <w:tcW w:w="1182" w:type="dxa"/>
            <w:noWrap/>
            <w:vAlign w:val="center"/>
            <w:hideMark/>
          </w:tcPr>
          <w:p w14:paraId="2D8C5DFC" w14:textId="39BD317E" w:rsidR="00FD2CBB" w:rsidRPr="00422950" w:rsidRDefault="00FD2CBB" w:rsidP="00F567D4">
            <w:pPr>
              <w:spacing w:beforeLines="20" w:before="48" w:afterLines="20" w:after="48" w:line="240" w:lineRule="auto"/>
              <w:jc w:val="center"/>
              <w:rPr>
                <w:rFonts w:asciiTheme="majorHAnsi" w:eastAsia="Times New Roman" w:hAnsiTheme="majorHAnsi" w:cstheme="majorHAnsi"/>
              </w:rPr>
            </w:pPr>
          </w:p>
        </w:tc>
      </w:tr>
    </w:tbl>
    <w:p w14:paraId="46CD3416" w14:textId="30C32133" w:rsidR="00FD2CBB" w:rsidRPr="00AD01C5" w:rsidRDefault="00FD2CBB" w:rsidP="00FD2CBB">
      <w:pPr>
        <w:spacing w:after="200" w:line="240" w:lineRule="auto"/>
        <w:jc w:val="center"/>
        <w:rPr>
          <w:rFonts w:eastAsia="Calibri"/>
          <w:i/>
          <w:color w:val="003366"/>
          <w:sz w:val="18"/>
          <w:szCs w:val="18"/>
        </w:rPr>
      </w:pPr>
      <w:r w:rsidRPr="00AD01C5">
        <w:rPr>
          <w:rFonts w:eastAsia="Calibri"/>
          <w:i/>
          <w:color w:val="003366"/>
          <w:sz w:val="18"/>
          <w:szCs w:val="18"/>
        </w:rPr>
        <w:t xml:space="preserve">Tabella </w:t>
      </w:r>
      <w:r w:rsidRPr="00196688">
        <w:rPr>
          <w:rFonts w:cstheme="minorHAnsi"/>
          <w:i/>
          <w:color w:val="003366"/>
          <w:sz w:val="18"/>
          <w:szCs w:val="18"/>
        </w:rPr>
        <w:fldChar w:fldCharType="begin"/>
      </w:r>
      <w:r w:rsidRPr="00196688">
        <w:rPr>
          <w:rFonts w:cstheme="minorHAnsi"/>
          <w:i/>
          <w:color w:val="003366"/>
          <w:sz w:val="18"/>
          <w:szCs w:val="18"/>
        </w:rPr>
        <w:instrText xml:space="preserve"> SEQ Tabella \* ARABIC </w:instrText>
      </w:r>
      <w:r w:rsidRPr="00196688">
        <w:rPr>
          <w:rFonts w:cstheme="minorHAnsi"/>
          <w:i/>
          <w:color w:val="003366"/>
          <w:sz w:val="18"/>
          <w:szCs w:val="18"/>
        </w:rPr>
        <w:fldChar w:fldCharType="separate"/>
      </w:r>
      <w:r w:rsidR="00073B6D">
        <w:rPr>
          <w:rFonts w:cstheme="minorHAnsi"/>
          <w:i/>
          <w:noProof/>
          <w:color w:val="003366"/>
          <w:sz w:val="18"/>
          <w:szCs w:val="18"/>
        </w:rPr>
        <w:t>44</w:t>
      </w:r>
      <w:r w:rsidRPr="00196688">
        <w:rPr>
          <w:rFonts w:cstheme="minorHAnsi"/>
          <w:i/>
          <w:color w:val="003366"/>
          <w:sz w:val="18"/>
          <w:szCs w:val="18"/>
        </w:rPr>
        <w:fldChar w:fldCharType="end"/>
      </w:r>
      <w:r>
        <w:rPr>
          <w:rFonts w:cstheme="minorHAnsi"/>
          <w:i/>
          <w:color w:val="003366"/>
          <w:sz w:val="18"/>
          <w:szCs w:val="18"/>
        </w:rPr>
        <w:t xml:space="preserve"> </w:t>
      </w:r>
      <w:r w:rsidRPr="00AD01C5">
        <w:rPr>
          <w:rFonts w:eastAsia="Calibri"/>
          <w:color w:val="003366"/>
          <w:sz w:val="18"/>
          <w:szCs w:val="18"/>
        </w:rPr>
        <w:t xml:space="preserve">– </w:t>
      </w:r>
      <w:r w:rsidRPr="00AD01C5">
        <w:rPr>
          <w:rFonts w:eastAsia="Calibri"/>
          <w:i/>
          <w:color w:val="003366"/>
          <w:sz w:val="18"/>
          <w:szCs w:val="18"/>
        </w:rPr>
        <w:t>Scenario 1</w:t>
      </w:r>
    </w:p>
    <w:p w14:paraId="4953FE71" w14:textId="77777777" w:rsidR="00FD2CBB" w:rsidRDefault="00FD2CBB" w:rsidP="009B35AC">
      <w:pPr>
        <w:spacing w:before="120" w:after="0" w:line="240" w:lineRule="auto"/>
        <w:rPr>
          <w:rFonts w:eastAsia="Calibri"/>
        </w:rPr>
      </w:pPr>
      <w:r>
        <w:rPr>
          <w:rFonts w:eastAsia="Calibri"/>
        </w:rPr>
        <w:t>L’obiettivo della f</w:t>
      </w:r>
      <w:r w:rsidRPr="0094470D">
        <w:rPr>
          <w:rFonts w:eastAsia="Calibri"/>
        </w:rPr>
        <w:t>ase 2 dell’assegnazione è individuare uno scenario finale in cui ogni linea sia attribuita in modo univoco a un singolo deposito. Procedendo per gradi, è stato elaborato uno scenario in cui la quasi totalità delle linee risulta assegnata a un unico deposito, ad eccezione di 24 linee che rimangono suddivise tra due depositi. Questo scenario ha comportato un incremento contenuto sia nel numero di veicoli sia nei chilometri a vuoto.</w:t>
      </w:r>
    </w:p>
    <w:p w14:paraId="2A9E5CCE" w14:textId="77777777" w:rsidR="009B35AC" w:rsidRPr="00AD01C5" w:rsidRDefault="009B35AC" w:rsidP="009B35AC">
      <w:pPr>
        <w:spacing w:before="120" w:after="0" w:line="240" w:lineRule="auto"/>
        <w:rPr>
          <w:rFonts w:eastAsia="Calibri"/>
        </w:rPr>
      </w:pPr>
    </w:p>
    <w:tbl>
      <w:tblPr>
        <w:tblW w:w="9067"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left w:w="70" w:type="dxa"/>
          <w:right w:w="70" w:type="dxa"/>
        </w:tblCellMar>
        <w:tblLook w:val="04A0" w:firstRow="1" w:lastRow="0" w:firstColumn="1" w:lastColumn="0" w:noHBand="0" w:noVBand="1"/>
      </w:tblPr>
      <w:tblGrid>
        <w:gridCol w:w="1448"/>
        <w:gridCol w:w="2516"/>
        <w:gridCol w:w="1537"/>
        <w:gridCol w:w="1302"/>
        <w:gridCol w:w="1155"/>
        <w:gridCol w:w="1109"/>
      </w:tblGrid>
      <w:tr w:rsidR="00FD2CBB" w:rsidRPr="009B35AC" w14:paraId="4314CA4F" w14:textId="77777777" w:rsidTr="0062730E">
        <w:trPr>
          <w:trHeight w:val="309"/>
        </w:trPr>
        <w:tc>
          <w:tcPr>
            <w:tcW w:w="1448" w:type="dxa"/>
            <w:shd w:val="clear" w:color="auto" w:fill="EE3438"/>
            <w:vAlign w:val="center"/>
            <w:hideMark/>
          </w:tcPr>
          <w:p w14:paraId="365515B6" w14:textId="77777777" w:rsidR="00FD2CBB" w:rsidRPr="0062730E" w:rsidRDefault="00FD2CBB" w:rsidP="00CD256D">
            <w:pPr>
              <w:spacing w:beforeLines="20" w:before="48" w:afterLines="20" w:after="48" w:line="240" w:lineRule="auto"/>
              <w:jc w:val="center"/>
              <w:rPr>
                <w:rFonts w:asciiTheme="minorHAnsi" w:eastAsia="Times New Roman" w:hAnsiTheme="minorHAnsi" w:cstheme="minorHAnsi"/>
                <w:b/>
                <w:color w:val="FFFFFF" w:themeColor="background1"/>
              </w:rPr>
            </w:pPr>
            <w:r w:rsidRPr="0062730E">
              <w:rPr>
                <w:rFonts w:asciiTheme="minorHAnsi" w:eastAsia="Times New Roman" w:hAnsiTheme="minorHAnsi" w:cstheme="minorHAnsi"/>
                <w:b/>
                <w:color w:val="FFFFFF" w:themeColor="background1"/>
              </w:rPr>
              <w:t>Nome Deposito</w:t>
            </w:r>
          </w:p>
        </w:tc>
        <w:tc>
          <w:tcPr>
            <w:tcW w:w="2516" w:type="dxa"/>
            <w:shd w:val="clear" w:color="auto" w:fill="EE3438"/>
            <w:vAlign w:val="center"/>
            <w:hideMark/>
          </w:tcPr>
          <w:p w14:paraId="792EA6BA" w14:textId="77777777" w:rsidR="00FD2CBB" w:rsidRPr="0062730E" w:rsidRDefault="00FD2CBB" w:rsidP="00CD256D">
            <w:pPr>
              <w:spacing w:beforeLines="20" w:before="48" w:afterLines="20" w:after="48" w:line="240" w:lineRule="auto"/>
              <w:jc w:val="center"/>
              <w:rPr>
                <w:rFonts w:asciiTheme="minorHAnsi" w:eastAsia="Times New Roman" w:hAnsiTheme="minorHAnsi" w:cstheme="minorHAnsi"/>
                <w:b/>
                <w:color w:val="FFFFFF" w:themeColor="background1"/>
              </w:rPr>
            </w:pPr>
            <w:r w:rsidRPr="0062730E">
              <w:rPr>
                <w:rFonts w:asciiTheme="minorHAnsi" w:eastAsia="Times New Roman" w:hAnsiTheme="minorHAnsi" w:cstheme="minorHAnsi"/>
                <w:b/>
                <w:color w:val="FFFFFF" w:themeColor="background1"/>
              </w:rPr>
              <w:t>Localizzazione</w:t>
            </w:r>
          </w:p>
        </w:tc>
        <w:tc>
          <w:tcPr>
            <w:tcW w:w="1537" w:type="dxa"/>
            <w:shd w:val="clear" w:color="auto" w:fill="EE3438"/>
            <w:vAlign w:val="center"/>
            <w:hideMark/>
          </w:tcPr>
          <w:p w14:paraId="0DBF35F1" w14:textId="77777777" w:rsidR="00FD2CBB" w:rsidRPr="0062730E" w:rsidRDefault="00FD2CBB" w:rsidP="00CD256D">
            <w:pPr>
              <w:spacing w:beforeLines="20" w:before="48" w:afterLines="20" w:after="48" w:line="240" w:lineRule="auto"/>
              <w:jc w:val="center"/>
              <w:rPr>
                <w:rFonts w:asciiTheme="minorHAnsi" w:eastAsia="Times New Roman" w:hAnsiTheme="minorHAnsi" w:cstheme="minorHAnsi"/>
                <w:b/>
                <w:color w:val="FFFFFF" w:themeColor="background1"/>
              </w:rPr>
            </w:pPr>
            <w:r w:rsidRPr="0062730E">
              <w:rPr>
                <w:rFonts w:asciiTheme="minorHAnsi" w:eastAsia="Times New Roman" w:hAnsiTheme="minorHAnsi" w:cstheme="minorHAnsi"/>
                <w:b/>
                <w:color w:val="FFFFFF" w:themeColor="background1"/>
              </w:rPr>
              <w:t>Numero Di Veicoli</w:t>
            </w:r>
          </w:p>
        </w:tc>
        <w:tc>
          <w:tcPr>
            <w:tcW w:w="1302" w:type="dxa"/>
            <w:shd w:val="clear" w:color="auto" w:fill="EE3438"/>
            <w:vAlign w:val="center"/>
            <w:hideMark/>
          </w:tcPr>
          <w:p w14:paraId="7B852880" w14:textId="77777777" w:rsidR="00FD2CBB" w:rsidRPr="0062730E" w:rsidRDefault="00FD2CBB" w:rsidP="00CD256D">
            <w:pPr>
              <w:spacing w:beforeLines="20" w:before="48" w:afterLines="20" w:after="48" w:line="240" w:lineRule="auto"/>
              <w:jc w:val="center"/>
              <w:rPr>
                <w:rFonts w:asciiTheme="minorHAnsi" w:eastAsia="Times New Roman" w:hAnsiTheme="minorHAnsi" w:cstheme="minorHAnsi"/>
                <w:b/>
                <w:color w:val="FFFFFF" w:themeColor="background1"/>
              </w:rPr>
            </w:pPr>
            <w:r w:rsidRPr="0062730E">
              <w:rPr>
                <w:rFonts w:asciiTheme="minorHAnsi" w:eastAsia="Times New Roman" w:hAnsiTheme="minorHAnsi" w:cstheme="minorHAnsi"/>
                <w:b/>
                <w:color w:val="FFFFFF" w:themeColor="background1"/>
              </w:rPr>
              <w:t>KM di Servizio</w:t>
            </w:r>
          </w:p>
        </w:tc>
        <w:tc>
          <w:tcPr>
            <w:tcW w:w="1155" w:type="dxa"/>
            <w:shd w:val="clear" w:color="auto" w:fill="EE3438"/>
            <w:vAlign w:val="center"/>
            <w:hideMark/>
          </w:tcPr>
          <w:p w14:paraId="3E6FC16B" w14:textId="77777777" w:rsidR="00FD2CBB" w:rsidRPr="0062730E" w:rsidRDefault="00FD2CBB" w:rsidP="00CD256D">
            <w:pPr>
              <w:spacing w:beforeLines="20" w:before="48" w:afterLines="20" w:after="48" w:line="240" w:lineRule="auto"/>
              <w:jc w:val="center"/>
              <w:rPr>
                <w:rFonts w:asciiTheme="minorHAnsi" w:eastAsia="Times New Roman" w:hAnsiTheme="minorHAnsi" w:cstheme="minorHAnsi"/>
                <w:b/>
                <w:color w:val="FFFFFF" w:themeColor="background1"/>
              </w:rPr>
            </w:pPr>
            <w:r w:rsidRPr="0062730E">
              <w:rPr>
                <w:rFonts w:asciiTheme="minorHAnsi" w:eastAsia="Times New Roman" w:hAnsiTheme="minorHAnsi" w:cstheme="minorHAnsi"/>
                <w:b/>
                <w:color w:val="FFFFFF" w:themeColor="background1"/>
              </w:rPr>
              <w:t>KM di Vuoto</w:t>
            </w:r>
          </w:p>
        </w:tc>
        <w:tc>
          <w:tcPr>
            <w:tcW w:w="1109" w:type="dxa"/>
            <w:shd w:val="clear" w:color="auto" w:fill="EE3438"/>
            <w:vAlign w:val="center"/>
            <w:hideMark/>
          </w:tcPr>
          <w:p w14:paraId="605BF6B8" w14:textId="77777777" w:rsidR="00FD2CBB" w:rsidRPr="0062730E" w:rsidRDefault="00FD2CBB" w:rsidP="00CD256D">
            <w:pPr>
              <w:spacing w:beforeLines="20" w:before="48" w:afterLines="20" w:after="48" w:line="240" w:lineRule="auto"/>
              <w:jc w:val="center"/>
              <w:rPr>
                <w:rFonts w:asciiTheme="minorHAnsi" w:eastAsia="Times New Roman" w:hAnsiTheme="minorHAnsi" w:cstheme="minorHAnsi"/>
                <w:b/>
                <w:color w:val="FFFFFF" w:themeColor="background1"/>
              </w:rPr>
            </w:pPr>
            <w:r w:rsidRPr="0062730E">
              <w:rPr>
                <w:rFonts w:asciiTheme="minorHAnsi" w:eastAsia="Times New Roman" w:hAnsiTheme="minorHAnsi" w:cstheme="minorHAnsi"/>
                <w:b/>
                <w:color w:val="FFFFFF" w:themeColor="background1"/>
              </w:rPr>
              <w:t>Eff. Deposito</w:t>
            </w:r>
          </w:p>
        </w:tc>
      </w:tr>
      <w:tr w:rsidR="00FD2CBB" w:rsidRPr="009B35AC" w14:paraId="2C626E26" w14:textId="77777777" w:rsidTr="0062730E">
        <w:trPr>
          <w:trHeight w:val="309"/>
        </w:trPr>
        <w:tc>
          <w:tcPr>
            <w:tcW w:w="1448" w:type="dxa"/>
            <w:shd w:val="clear" w:color="auto" w:fill="FF7C80"/>
            <w:noWrap/>
            <w:vAlign w:val="center"/>
            <w:hideMark/>
          </w:tcPr>
          <w:p w14:paraId="0FA20DE5" w14:textId="77777777" w:rsidR="00FD2CBB" w:rsidRPr="0062730E" w:rsidRDefault="00FD2CBB" w:rsidP="00CD256D">
            <w:pPr>
              <w:spacing w:beforeLines="20" w:before="48" w:afterLines="20" w:after="48" w:line="240" w:lineRule="auto"/>
              <w:jc w:val="center"/>
              <w:rPr>
                <w:rFonts w:asciiTheme="minorHAnsi" w:eastAsia="Times New Roman" w:hAnsiTheme="minorHAnsi" w:cstheme="minorHAnsi"/>
                <w:i/>
                <w:color w:val="000000"/>
              </w:rPr>
            </w:pPr>
            <w:r w:rsidRPr="0062730E">
              <w:rPr>
                <w:rFonts w:asciiTheme="minorHAnsi" w:eastAsia="Times New Roman" w:hAnsiTheme="minorHAnsi" w:cstheme="minorHAnsi"/>
                <w:i/>
                <w:color w:val="000000"/>
              </w:rPr>
              <w:t>TO_001</w:t>
            </w:r>
          </w:p>
        </w:tc>
        <w:tc>
          <w:tcPr>
            <w:tcW w:w="2516" w:type="dxa"/>
            <w:shd w:val="clear" w:color="000000" w:fill="FFFFFF"/>
            <w:noWrap/>
            <w:vAlign w:val="center"/>
            <w:hideMark/>
          </w:tcPr>
          <w:p w14:paraId="56FBD1D2" w14:textId="3FFA264C" w:rsidR="00FD2CBB" w:rsidRPr="0062730E" w:rsidRDefault="00FD2CBB" w:rsidP="00CD256D">
            <w:pPr>
              <w:spacing w:beforeLines="20" w:before="48" w:afterLines="20" w:after="48" w:line="240" w:lineRule="auto"/>
              <w:jc w:val="center"/>
              <w:rPr>
                <w:rFonts w:asciiTheme="minorHAnsi" w:eastAsia="Times New Roman" w:hAnsiTheme="minorHAnsi" w:cstheme="minorHAnsi"/>
              </w:rPr>
            </w:pPr>
            <w:r w:rsidRPr="0062730E">
              <w:rPr>
                <w:rFonts w:asciiTheme="minorHAnsi" w:eastAsia="Times New Roman" w:hAnsiTheme="minorHAnsi" w:cstheme="minorHAnsi"/>
              </w:rPr>
              <w:t>Villafranca Piemonte (TO)</w:t>
            </w:r>
          </w:p>
        </w:tc>
        <w:tc>
          <w:tcPr>
            <w:tcW w:w="1537" w:type="dxa"/>
            <w:noWrap/>
            <w:vAlign w:val="center"/>
            <w:hideMark/>
          </w:tcPr>
          <w:p w14:paraId="15AD5802" w14:textId="77777777" w:rsidR="00FD2CBB" w:rsidRPr="0062730E" w:rsidRDefault="00FD2CBB" w:rsidP="00CD256D">
            <w:pPr>
              <w:spacing w:beforeLines="20" w:before="48" w:afterLines="20" w:after="48" w:line="240" w:lineRule="auto"/>
              <w:jc w:val="center"/>
              <w:rPr>
                <w:rFonts w:asciiTheme="minorHAnsi" w:eastAsia="Times New Roman" w:hAnsiTheme="minorHAnsi" w:cstheme="minorHAnsi"/>
              </w:rPr>
            </w:pPr>
            <w:r w:rsidRPr="0062730E">
              <w:rPr>
                <w:rFonts w:asciiTheme="minorHAnsi" w:eastAsia="Times New Roman" w:hAnsiTheme="minorHAnsi" w:cstheme="minorHAnsi"/>
              </w:rPr>
              <w:t>15</w:t>
            </w:r>
          </w:p>
        </w:tc>
        <w:tc>
          <w:tcPr>
            <w:tcW w:w="1302" w:type="dxa"/>
            <w:noWrap/>
            <w:vAlign w:val="center"/>
            <w:hideMark/>
          </w:tcPr>
          <w:p w14:paraId="3615FBBA" w14:textId="77777777" w:rsidR="00FD2CBB" w:rsidRPr="0062730E" w:rsidRDefault="00FD2CBB" w:rsidP="00CD256D">
            <w:pPr>
              <w:spacing w:beforeLines="20" w:before="48" w:afterLines="20" w:after="48" w:line="240" w:lineRule="auto"/>
              <w:jc w:val="center"/>
              <w:rPr>
                <w:rFonts w:asciiTheme="minorHAnsi" w:eastAsia="Times New Roman" w:hAnsiTheme="minorHAnsi" w:cstheme="minorHAnsi"/>
              </w:rPr>
            </w:pPr>
            <w:r w:rsidRPr="0062730E">
              <w:rPr>
                <w:rFonts w:asciiTheme="minorHAnsi" w:eastAsia="Times New Roman" w:hAnsiTheme="minorHAnsi" w:cstheme="minorHAnsi"/>
              </w:rPr>
              <w:t>4078</w:t>
            </w:r>
          </w:p>
        </w:tc>
        <w:tc>
          <w:tcPr>
            <w:tcW w:w="1155" w:type="dxa"/>
            <w:noWrap/>
            <w:vAlign w:val="center"/>
            <w:hideMark/>
          </w:tcPr>
          <w:p w14:paraId="0466CE7D" w14:textId="77777777" w:rsidR="00FD2CBB" w:rsidRPr="0062730E" w:rsidRDefault="00FD2CBB" w:rsidP="00CD256D">
            <w:pPr>
              <w:spacing w:beforeLines="20" w:before="48" w:afterLines="20" w:after="48" w:line="240" w:lineRule="auto"/>
              <w:jc w:val="center"/>
              <w:rPr>
                <w:rFonts w:asciiTheme="minorHAnsi" w:eastAsia="Times New Roman" w:hAnsiTheme="minorHAnsi" w:cstheme="minorHAnsi"/>
              </w:rPr>
            </w:pPr>
            <w:r w:rsidRPr="0062730E">
              <w:rPr>
                <w:rFonts w:asciiTheme="minorHAnsi" w:eastAsia="Times New Roman" w:hAnsiTheme="minorHAnsi" w:cstheme="minorHAnsi"/>
              </w:rPr>
              <w:t>414</w:t>
            </w:r>
          </w:p>
        </w:tc>
        <w:tc>
          <w:tcPr>
            <w:tcW w:w="1109" w:type="dxa"/>
            <w:noWrap/>
            <w:vAlign w:val="center"/>
            <w:hideMark/>
          </w:tcPr>
          <w:p w14:paraId="770C428F" w14:textId="77777777" w:rsidR="00FD2CBB" w:rsidRPr="0062730E" w:rsidRDefault="00FD2CBB" w:rsidP="00CD256D">
            <w:pPr>
              <w:spacing w:beforeLines="20" w:before="48" w:afterLines="20" w:after="48" w:line="240" w:lineRule="auto"/>
              <w:jc w:val="center"/>
              <w:rPr>
                <w:rFonts w:asciiTheme="minorHAnsi" w:eastAsia="Times New Roman" w:hAnsiTheme="minorHAnsi" w:cstheme="minorHAnsi"/>
              </w:rPr>
            </w:pPr>
            <w:r w:rsidRPr="0062730E">
              <w:rPr>
                <w:rFonts w:asciiTheme="minorHAnsi" w:eastAsia="Times New Roman" w:hAnsiTheme="minorHAnsi" w:cstheme="minorHAnsi"/>
              </w:rPr>
              <w:t>91%</w:t>
            </w:r>
          </w:p>
        </w:tc>
      </w:tr>
      <w:tr w:rsidR="00FD2CBB" w:rsidRPr="009B35AC" w14:paraId="1EA18B9C" w14:textId="77777777" w:rsidTr="0062730E">
        <w:trPr>
          <w:trHeight w:val="309"/>
        </w:trPr>
        <w:tc>
          <w:tcPr>
            <w:tcW w:w="1448" w:type="dxa"/>
            <w:shd w:val="clear" w:color="auto" w:fill="FF7C80"/>
            <w:noWrap/>
            <w:vAlign w:val="center"/>
            <w:hideMark/>
          </w:tcPr>
          <w:p w14:paraId="57286791" w14:textId="77777777" w:rsidR="00FD2CBB" w:rsidRPr="0062730E" w:rsidRDefault="00FD2CBB" w:rsidP="00CD256D">
            <w:pPr>
              <w:spacing w:beforeLines="20" w:before="48" w:afterLines="20" w:after="48" w:line="240" w:lineRule="auto"/>
              <w:jc w:val="center"/>
              <w:rPr>
                <w:rFonts w:asciiTheme="minorHAnsi" w:eastAsia="Times New Roman" w:hAnsiTheme="minorHAnsi" w:cstheme="minorHAnsi"/>
                <w:i/>
                <w:color w:val="000000"/>
              </w:rPr>
            </w:pPr>
            <w:r w:rsidRPr="0062730E">
              <w:rPr>
                <w:rFonts w:asciiTheme="minorHAnsi" w:eastAsia="Times New Roman" w:hAnsiTheme="minorHAnsi" w:cstheme="minorHAnsi"/>
                <w:i/>
                <w:color w:val="000000"/>
              </w:rPr>
              <w:t>TO_002</w:t>
            </w:r>
          </w:p>
        </w:tc>
        <w:tc>
          <w:tcPr>
            <w:tcW w:w="2516" w:type="dxa"/>
            <w:shd w:val="clear" w:color="000000" w:fill="FFFFFF"/>
            <w:noWrap/>
            <w:vAlign w:val="center"/>
            <w:hideMark/>
          </w:tcPr>
          <w:p w14:paraId="441A159E" w14:textId="7A9BF51E" w:rsidR="00FD2CBB" w:rsidRPr="0062730E" w:rsidRDefault="00FD2CBB" w:rsidP="00CD256D">
            <w:pPr>
              <w:spacing w:beforeLines="20" w:before="48" w:afterLines="20" w:after="48" w:line="240" w:lineRule="auto"/>
              <w:jc w:val="center"/>
              <w:rPr>
                <w:rFonts w:asciiTheme="minorHAnsi" w:eastAsia="Times New Roman" w:hAnsiTheme="minorHAnsi" w:cstheme="minorHAnsi"/>
              </w:rPr>
            </w:pPr>
            <w:r w:rsidRPr="0062730E">
              <w:rPr>
                <w:rFonts w:asciiTheme="minorHAnsi" w:eastAsia="Times New Roman" w:hAnsiTheme="minorHAnsi" w:cstheme="minorHAnsi"/>
              </w:rPr>
              <w:t>Torino (TO)</w:t>
            </w:r>
          </w:p>
        </w:tc>
        <w:tc>
          <w:tcPr>
            <w:tcW w:w="1537" w:type="dxa"/>
            <w:noWrap/>
            <w:vAlign w:val="center"/>
            <w:hideMark/>
          </w:tcPr>
          <w:p w14:paraId="37BC367A" w14:textId="77777777" w:rsidR="00FD2CBB" w:rsidRPr="0062730E" w:rsidRDefault="00FD2CBB" w:rsidP="00CD256D">
            <w:pPr>
              <w:spacing w:beforeLines="20" w:before="48" w:afterLines="20" w:after="48" w:line="240" w:lineRule="auto"/>
              <w:jc w:val="center"/>
              <w:rPr>
                <w:rFonts w:asciiTheme="minorHAnsi" w:eastAsia="Times New Roman" w:hAnsiTheme="minorHAnsi" w:cstheme="minorHAnsi"/>
              </w:rPr>
            </w:pPr>
            <w:r w:rsidRPr="0062730E">
              <w:rPr>
                <w:rFonts w:asciiTheme="minorHAnsi" w:eastAsia="Times New Roman" w:hAnsiTheme="minorHAnsi" w:cstheme="minorHAnsi"/>
              </w:rPr>
              <w:t>36</w:t>
            </w:r>
          </w:p>
        </w:tc>
        <w:tc>
          <w:tcPr>
            <w:tcW w:w="1302" w:type="dxa"/>
            <w:noWrap/>
            <w:vAlign w:val="center"/>
            <w:hideMark/>
          </w:tcPr>
          <w:p w14:paraId="4A82A542" w14:textId="77777777" w:rsidR="00FD2CBB" w:rsidRPr="0062730E" w:rsidRDefault="00FD2CBB" w:rsidP="00CD256D">
            <w:pPr>
              <w:spacing w:beforeLines="20" w:before="48" w:afterLines="20" w:after="48" w:line="240" w:lineRule="auto"/>
              <w:jc w:val="center"/>
              <w:rPr>
                <w:rFonts w:asciiTheme="minorHAnsi" w:eastAsia="Times New Roman" w:hAnsiTheme="minorHAnsi" w:cstheme="minorHAnsi"/>
              </w:rPr>
            </w:pPr>
            <w:r w:rsidRPr="0062730E">
              <w:rPr>
                <w:rFonts w:asciiTheme="minorHAnsi" w:eastAsia="Times New Roman" w:hAnsiTheme="minorHAnsi" w:cstheme="minorHAnsi"/>
              </w:rPr>
              <w:t>7608</w:t>
            </w:r>
          </w:p>
        </w:tc>
        <w:tc>
          <w:tcPr>
            <w:tcW w:w="1155" w:type="dxa"/>
            <w:noWrap/>
            <w:vAlign w:val="center"/>
            <w:hideMark/>
          </w:tcPr>
          <w:p w14:paraId="110AC4FF" w14:textId="77777777" w:rsidR="00FD2CBB" w:rsidRPr="0062730E" w:rsidRDefault="00FD2CBB" w:rsidP="00CD256D">
            <w:pPr>
              <w:spacing w:beforeLines="20" w:before="48" w:afterLines="20" w:after="48" w:line="240" w:lineRule="auto"/>
              <w:jc w:val="center"/>
              <w:rPr>
                <w:rFonts w:asciiTheme="minorHAnsi" w:eastAsia="Times New Roman" w:hAnsiTheme="minorHAnsi" w:cstheme="minorHAnsi"/>
              </w:rPr>
            </w:pPr>
            <w:r w:rsidRPr="0062730E">
              <w:rPr>
                <w:rFonts w:asciiTheme="minorHAnsi" w:eastAsia="Times New Roman" w:hAnsiTheme="minorHAnsi" w:cstheme="minorHAnsi"/>
              </w:rPr>
              <w:t>644</w:t>
            </w:r>
          </w:p>
        </w:tc>
        <w:tc>
          <w:tcPr>
            <w:tcW w:w="1109" w:type="dxa"/>
            <w:noWrap/>
            <w:vAlign w:val="center"/>
            <w:hideMark/>
          </w:tcPr>
          <w:p w14:paraId="65343351" w14:textId="77777777" w:rsidR="00FD2CBB" w:rsidRPr="0062730E" w:rsidRDefault="00FD2CBB" w:rsidP="00CD256D">
            <w:pPr>
              <w:spacing w:beforeLines="20" w:before="48" w:afterLines="20" w:after="48" w:line="240" w:lineRule="auto"/>
              <w:jc w:val="center"/>
              <w:rPr>
                <w:rFonts w:asciiTheme="minorHAnsi" w:eastAsia="Times New Roman" w:hAnsiTheme="minorHAnsi" w:cstheme="minorHAnsi"/>
              </w:rPr>
            </w:pPr>
            <w:r w:rsidRPr="0062730E">
              <w:rPr>
                <w:rFonts w:asciiTheme="minorHAnsi" w:eastAsia="Times New Roman" w:hAnsiTheme="minorHAnsi" w:cstheme="minorHAnsi"/>
              </w:rPr>
              <w:t>92%</w:t>
            </w:r>
          </w:p>
        </w:tc>
      </w:tr>
      <w:tr w:rsidR="00FD2CBB" w:rsidRPr="009B35AC" w14:paraId="77013572" w14:textId="77777777" w:rsidTr="0062730E">
        <w:trPr>
          <w:trHeight w:val="309"/>
        </w:trPr>
        <w:tc>
          <w:tcPr>
            <w:tcW w:w="1448" w:type="dxa"/>
            <w:shd w:val="clear" w:color="auto" w:fill="FF7C80"/>
            <w:noWrap/>
            <w:vAlign w:val="center"/>
            <w:hideMark/>
          </w:tcPr>
          <w:p w14:paraId="3675A9B4" w14:textId="77777777" w:rsidR="00FD2CBB" w:rsidRPr="0062730E" w:rsidRDefault="00FD2CBB" w:rsidP="00CD256D">
            <w:pPr>
              <w:spacing w:beforeLines="20" w:before="48" w:afterLines="20" w:after="48" w:line="240" w:lineRule="auto"/>
              <w:jc w:val="center"/>
              <w:rPr>
                <w:rFonts w:asciiTheme="minorHAnsi" w:eastAsia="Times New Roman" w:hAnsiTheme="minorHAnsi" w:cstheme="minorHAnsi"/>
                <w:i/>
                <w:color w:val="000000"/>
              </w:rPr>
            </w:pPr>
            <w:r w:rsidRPr="0062730E">
              <w:rPr>
                <w:rFonts w:asciiTheme="minorHAnsi" w:eastAsia="Times New Roman" w:hAnsiTheme="minorHAnsi" w:cstheme="minorHAnsi"/>
                <w:i/>
                <w:color w:val="000000"/>
              </w:rPr>
              <w:t>TO_003</w:t>
            </w:r>
          </w:p>
        </w:tc>
        <w:tc>
          <w:tcPr>
            <w:tcW w:w="2516" w:type="dxa"/>
            <w:shd w:val="clear" w:color="000000" w:fill="FFFFFF"/>
            <w:noWrap/>
            <w:vAlign w:val="center"/>
            <w:hideMark/>
          </w:tcPr>
          <w:p w14:paraId="5AFC238C" w14:textId="4C1772FD" w:rsidR="00FD2CBB" w:rsidRPr="0062730E" w:rsidRDefault="00FD2CBB" w:rsidP="00CD256D">
            <w:pPr>
              <w:spacing w:beforeLines="20" w:before="48" w:afterLines="20" w:after="48" w:line="240" w:lineRule="auto"/>
              <w:jc w:val="center"/>
              <w:rPr>
                <w:rFonts w:asciiTheme="minorHAnsi" w:eastAsia="Times New Roman" w:hAnsiTheme="minorHAnsi" w:cstheme="minorHAnsi"/>
              </w:rPr>
            </w:pPr>
            <w:r w:rsidRPr="0062730E">
              <w:rPr>
                <w:rFonts w:asciiTheme="minorHAnsi" w:eastAsia="Times New Roman" w:hAnsiTheme="minorHAnsi" w:cstheme="minorHAnsi"/>
              </w:rPr>
              <w:t>Chivasso (TO)</w:t>
            </w:r>
          </w:p>
        </w:tc>
        <w:tc>
          <w:tcPr>
            <w:tcW w:w="1537" w:type="dxa"/>
            <w:noWrap/>
            <w:vAlign w:val="center"/>
            <w:hideMark/>
          </w:tcPr>
          <w:p w14:paraId="15ECA4CD" w14:textId="77777777" w:rsidR="00FD2CBB" w:rsidRPr="0062730E" w:rsidRDefault="00FD2CBB" w:rsidP="00CD256D">
            <w:pPr>
              <w:spacing w:beforeLines="20" w:before="48" w:afterLines="20" w:after="48" w:line="240" w:lineRule="auto"/>
              <w:jc w:val="center"/>
              <w:rPr>
                <w:rFonts w:asciiTheme="minorHAnsi" w:eastAsia="Times New Roman" w:hAnsiTheme="minorHAnsi" w:cstheme="minorHAnsi"/>
              </w:rPr>
            </w:pPr>
            <w:r w:rsidRPr="0062730E">
              <w:rPr>
                <w:rFonts w:asciiTheme="minorHAnsi" w:eastAsia="Times New Roman" w:hAnsiTheme="minorHAnsi" w:cstheme="minorHAnsi"/>
              </w:rPr>
              <w:t>38</w:t>
            </w:r>
          </w:p>
        </w:tc>
        <w:tc>
          <w:tcPr>
            <w:tcW w:w="1302" w:type="dxa"/>
            <w:noWrap/>
            <w:vAlign w:val="center"/>
            <w:hideMark/>
          </w:tcPr>
          <w:p w14:paraId="327B1860" w14:textId="77777777" w:rsidR="00FD2CBB" w:rsidRPr="0062730E" w:rsidRDefault="00FD2CBB" w:rsidP="00CD256D">
            <w:pPr>
              <w:spacing w:beforeLines="20" w:before="48" w:afterLines="20" w:after="48" w:line="240" w:lineRule="auto"/>
              <w:jc w:val="center"/>
              <w:rPr>
                <w:rFonts w:asciiTheme="minorHAnsi" w:eastAsia="Times New Roman" w:hAnsiTheme="minorHAnsi" w:cstheme="minorHAnsi"/>
              </w:rPr>
            </w:pPr>
            <w:r w:rsidRPr="0062730E">
              <w:rPr>
                <w:rFonts w:asciiTheme="minorHAnsi" w:eastAsia="Times New Roman" w:hAnsiTheme="minorHAnsi" w:cstheme="minorHAnsi"/>
              </w:rPr>
              <w:t>5400</w:t>
            </w:r>
          </w:p>
        </w:tc>
        <w:tc>
          <w:tcPr>
            <w:tcW w:w="1155" w:type="dxa"/>
            <w:noWrap/>
            <w:vAlign w:val="center"/>
            <w:hideMark/>
          </w:tcPr>
          <w:p w14:paraId="3762F4CA" w14:textId="77777777" w:rsidR="00FD2CBB" w:rsidRPr="0062730E" w:rsidRDefault="00FD2CBB" w:rsidP="00CD256D">
            <w:pPr>
              <w:spacing w:beforeLines="20" w:before="48" w:afterLines="20" w:after="48" w:line="240" w:lineRule="auto"/>
              <w:jc w:val="center"/>
              <w:rPr>
                <w:rFonts w:asciiTheme="minorHAnsi" w:eastAsia="Times New Roman" w:hAnsiTheme="minorHAnsi" w:cstheme="minorHAnsi"/>
              </w:rPr>
            </w:pPr>
            <w:r w:rsidRPr="0062730E">
              <w:rPr>
                <w:rFonts w:asciiTheme="minorHAnsi" w:eastAsia="Times New Roman" w:hAnsiTheme="minorHAnsi" w:cstheme="minorHAnsi"/>
              </w:rPr>
              <w:t>1067</w:t>
            </w:r>
          </w:p>
        </w:tc>
        <w:tc>
          <w:tcPr>
            <w:tcW w:w="1109" w:type="dxa"/>
            <w:noWrap/>
            <w:vAlign w:val="center"/>
            <w:hideMark/>
          </w:tcPr>
          <w:p w14:paraId="6A55C205" w14:textId="77777777" w:rsidR="00FD2CBB" w:rsidRPr="0062730E" w:rsidRDefault="00FD2CBB" w:rsidP="00CD256D">
            <w:pPr>
              <w:spacing w:beforeLines="20" w:before="48" w:afterLines="20" w:after="48" w:line="240" w:lineRule="auto"/>
              <w:jc w:val="center"/>
              <w:rPr>
                <w:rFonts w:asciiTheme="minorHAnsi" w:eastAsia="Times New Roman" w:hAnsiTheme="minorHAnsi" w:cstheme="minorHAnsi"/>
              </w:rPr>
            </w:pPr>
            <w:r w:rsidRPr="0062730E">
              <w:rPr>
                <w:rFonts w:asciiTheme="minorHAnsi" w:eastAsia="Times New Roman" w:hAnsiTheme="minorHAnsi" w:cstheme="minorHAnsi"/>
              </w:rPr>
              <w:t>84%</w:t>
            </w:r>
          </w:p>
        </w:tc>
      </w:tr>
      <w:tr w:rsidR="00FD2CBB" w:rsidRPr="009B35AC" w14:paraId="331B896A" w14:textId="77777777" w:rsidTr="0062730E">
        <w:trPr>
          <w:trHeight w:val="309"/>
        </w:trPr>
        <w:tc>
          <w:tcPr>
            <w:tcW w:w="1448" w:type="dxa"/>
            <w:shd w:val="clear" w:color="auto" w:fill="FF7C80"/>
            <w:noWrap/>
            <w:vAlign w:val="center"/>
            <w:hideMark/>
          </w:tcPr>
          <w:p w14:paraId="046C4B62" w14:textId="77777777" w:rsidR="00FD2CBB" w:rsidRPr="0062730E" w:rsidRDefault="00FD2CBB" w:rsidP="00CD256D">
            <w:pPr>
              <w:spacing w:beforeLines="20" w:before="48" w:afterLines="20" w:after="48" w:line="240" w:lineRule="auto"/>
              <w:jc w:val="center"/>
              <w:rPr>
                <w:rFonts w:asciiTheme="minorHAnsi" w:eastAsia="Times New Roman" w:hAnsiTheme="minorHAnsi" w:cstheme="minorHAnsi"/>
                <w:i/>
                <w:color w:val="000000"/>
              </w:rPr>
            </w:pPr>
            <w:r w:rsidRPr="0062730E">
              <w:rPr>
                <w:rFonts w:asciiTheme="minorHAnsi" w:eastAsia="Times New Roman" w:hAnsiTheme="minorHAnsi" w:cstheme="minorHAnsi"/>
                <w:i/>
                <w:color w:val="000000"/>
              </w:rPr>
              <w:t>TO_007</w:t>
            </w:r>
          </w:p>
        </w:tc>
        <w:tc>
          <w:tcPr>
            <w:tcW w:w="2516" w:type="dxa"/>
            <w:shd w:val="clear" w:color="000000" w:fill="FFFFFF"/>
            <w:noWrap/>
            <w:vAlign w:val="center"/>
            <w:hideMark/>
          </w:tcPr>
          <w:p w14:paraId="4994908B" w14:textId="77777777" w:rsidR="00FD2CBB" w:rsidRPr="0062730E" w:rsidRDefault="00FD2CBB" w:rsidP="00CD256D">
            <w:pPr>
              <w:spacing w:beforeLines="20" w:before="48" w:afterLines="20" w:after="48" w:line="240" w:lineRule="auto"/>
              <w:jc w:val="center"/>
              <w:rPr>
                <w:rFonts w:asciiTheme="minorHAnsi" w:eastAsia="Times New Roman" w:hAnsiTheme="minorHAnsi" w:cstheme="minorHAnsi"/>
              </w:rPr>
            </w:pPr>
            <w:r w:rsidRPr="0062730E">
              <w:rPr>
                <w:rFonts w:asciiTheme="minorHAnsi" w:eastAsia="Times New Roman" w:hAnsiTheme="minorHAnsi" w:cstheme="minorHAnsi"/>
              </w:rPr>
              <w:t>Chieri (TO)</w:t>
            </w:r>
          </w:p>
        </w:tc>
        <w:tc>
          <w:tcPr>
            <w:tcW w:w="1537" w:type="dxa"/>
            <w:noWrap/>
            <w:vAlign w:val="center"/>
            <w:hideMark/>
          </w:tcPr>
          <w:p w14:paraId="637A0933" w14:textId="77777777" w:rsidR="00FD2CBB" w:rsidRPr="0062730E" w:rsidRDefault="00FD2CBB" w:rsidP="00CD256D">
            <w:pPr>
              <w:spacing w:beforeLines="20" w:before="48" w:afterLines="20" w:after="48" w:line="240" w:lineRule="auto"/>
              <w:jc w:val="center"/>
              <w:rPr>
                <w:rFonts w:asciiTheme="minorHAnsi" w:eastAsia="Times New Roman" w:hAnsiTheme="minorHAnsi" w:cstheme="minorHAnsi"/>
              </w:rPr>
            </w:pPr>
            <w:r w:rsidRPr="0062730E">
              <w:rPr>
                <w:rFonts w:asciiTheme="minorHAnsi" w:eastAsia="Times New Roman" w:hAnsiTheme="minorHAnsi" w:cstheme="minorHAnsi"/>
              </w:rPr>
              <w:t>22</w:t>
            </w:r>
          </w:p>
        </w:tc>
        <w:tc>
          <w:tcPr>
            <w:tcW w:w="1302" w:type="dxa"/>
            <w:noWrap/>
            <w:vAlign w:val="center"/>
            <w:hideMark/>
          </w:tcPr>
          <w:p w14:paraId="5BBFC829" w14:textId="77777777" w:rsidR="00FD2CBB" w:rsidRPr="0062730E" w:rsidRDefault="00FD2CBB" w:rsidP="00CD256D">
            <w:pPr>
              <w:spacing w:beforeLines="20" w:before="48" w:afterLines="20" w:after="48" w:line="240" w:lineRule="auto"/>
              <w:jc w:val="center"/>
              <w:rPr>
                <w:rFonts w:asciiTheme="minorHAnsi" w:eastAsia="Times New Roman" w:hAnsiTheme="minorHAnsi" w:cstheme="minorHAnsi"/>
              </w:rPr>
            </w:pPr>
            <w:r w:rsidRPr="0062730E">
              <w:rPr>
                <w:rFonts w:asciiTheme="minorHAnsi" w:eastAsia="Times New Roman" w:hAnsiTheme="minorHAnsi" w:cstheme="minorHAnsi"/>
              </w:rPr>
              <w:t>4332</w:t>
            </w:r>
          </w:p>
        </w:tc>
        <w:tc>
          <w:tcPr>
            <w:tcW w:w="1155" w:type="dxa"/>
            <w:noWrap/>
            <w:vAlign w:val="center"/>
            <w:hideMark/>
          </w:tcPr>
          <w:p w14:paraId="676EB68B" w14:textId="77777777" w:rsidR="00FD2CBB" w:rsidRPr="0062730E" w:rsidRDefault="00FD2CBB" w:rsidP="00CD256D">
            <w:pPr>
              <w:spacing w:beforeLines="20" w:before="48" w:afterLines="20" w:after="48" w:line="240" w:lineRule="auto"/>
              <w:jc w:val="center"/>
              <w:rPr>
                <w:rFonts w:asciiTheme="minorHAnsi" w:eastAsia="Times New Roman" w:hAnsiTheme="minorHAnsi" w:cstheme="minorHAnsi"/>
              </w:rPr>
            </w:pPr>
            <w:r w:rsidRPr="0062730E">
              <w:rPr>
                <w:rFonts w:asciiTheme="minorHAnsi" w:eastAsia="Times New Roman" w:hAnsiTheme="minorHAnsi" w:cstheme="minorHAnsi"/>
              </w:rPr>
              <w:t>442</w:t>
            </w:r>
          </w:p>
        </w:tc>
        <w:tc>
          <w:tcPr>
            <w:tcW w:w="1109" w:type="dxa"/>
            <w:noWrap/>
            <w:vAlign w:val="center"/>
            <w:hideMark/>
          </w:tcPr>
          <w:p w14:paraId="1D5DD0AF" w14:textId="77777777" w:rsidR="00FD2CBB" w:rsidRPr="0062730E" w:rsidRDefault="00FD2CBB" w:rsidP="00CD256D">
            <w:pPr>
              <w:spacing w:beforeLines="20" w:before="48" w:afterLines="20" w:after="48" w:line="240" w:lineRule="auto"/>
              <w:jc w:val="center"/>
              <w:rPr>
                <w:rFonts w:asciiTheme="minorHAnsi" w:eastAsia="Times New Roman" w:hAnsiTheme="minorHAnsi" w:cstheme="minorHAnsi"/>
              </w:rPr>
            </w:pPr>
            <w:r w:rsidRPr="0062730E">
              <w:rPr>
                <w:rFonts w:asciiTheme="minorHAnsi" w:eastAsia="Times New Roman" w:hAnsiTheme="minorHAnsi" w:cstheme="minorHAnsi"/>
              </w:rPr>
              <w:t>91%</w:t>
            </w:r>
          </w:p>
        </w:tc>
      </w:tr>
      <w:tr w:rsidR="00FD2CBB" w:rsidRPr="009B35AC" w14:paraId="0362E6CA" w14:textId="77777777" w:rsidTr="0062730E">
        <w:trPr>
          <w:trHeight w:val="309"/>
        </w:trPr>
        <w:tc>
          <w:tcPr>
            <w:tcW w:w="1448" w:type="dxa"/>
            <w:shd w:val="clear" w:color="auto" w:fill="FF7C80"/>
            <w:noWrap/>
            <w:vAlign w:val="center"/>
            <w:hideMark/>
          </w:tcPr>
          <w:p w14:paraId="4273780E" w14:textId="77777777" w:rsidR="00FD2CBB" w:rsidRPr="0062730E" w:rsidRDefault="00FD2CBB" w:rsidP="00CD256D">
            <w:pPr>
              <w:spacing w:beforeLines="20" w:before="48" w:afterLines="20" w:after="48" w:line="240" w:lineRule="auto"/>
              <w:jc w:val="center"/>
              <w:rPr>
                <w:rFonts w:asciiTheme="minorHAnsi" w:eastAsia="Times New Roman" w:hAnsiTheme="minorHAnsi" w:cstheme="minorHAnsi"/>
                <w:i/>
                <w:color w:val="000000"/>
              </w:rPr>
            </w:pPr>
            <w:r w:rsidRPr="0062730E">
              <w:rPr>
                <w:rFonts w:asciiTheme="minorHAnsi" w:eastAsia="Times New Roman" w:hAnsiTheme="minorHAnsi" w:cstheme="minorHAnsi"/>
                <w:i/>
                <w:color w:val="000000"/>
              </w:rPr>
              <w:t>TO_009</w:t>
            </w:r>
          </w:p>
        </w:tc>
        <w:tc>
          <w:tcPr>
            <w:tcW w:w="2516" w:type="dxa"/>
            <w:shd w:val="clear" w:color="000000" w:fill="FFFFFF"/>
            <w:noWrap/>
            <w:vAlign w:val="center"/>
            <w:hideMark/>
          </w:tcPr>
          <w:p w14:paraId="62D1950A" w14:textId="77777777" w:rsidR="00FD2CBB" w:rsidRPr="0062730E" w:rsidRDefault="00FD2CBB" w:rsidP="00CD256D">
            <w:pPr>
              <w:spacing w:beforeLines="20" w:before="48" w:afterLines="20" w:after="48" w:line="240" w:lineRule="auto"/>
              <w:jc w:val="center"/>
              <w:rPr>
                <w:rFonts w:asciiTheme="minorHAnsi" w:eastAsia="Times New Roman" w:hAnsiTheme="minorHAnsi" w:cstheme="minorHAnsi"/>
              </w:rPr>
            </w:pPr>
            <w:r w:rsidRPr="0062730E">
              <w:rPr>
                <w:rFonts w:asciiTheme="minorHAnsi" w:eastAsia="Times New Roman" w:hAnsiTheme="minorHAnsi" w:cstheme="minorHAnsi"/>
              </w:rPr>
              <w:t>Luserna San Giovanni (TO)</w:t>
            </w:r>
          </w:p>
        </w:tc>
        <w:tc>
          <w:tcPr>
            <w:tcW w:w="1537" w:type="dxa"/>
            <w:noWrap/>
            <w:vAlign w:val="center"/>
            <w:hideMark/>
          </w:tcPr>
          <w:p w14:paraId="1D4F8650" w14:textId="77777777" w:rsidR="00FD2CBB" w:rsidRPr="0062730E" w:rsidRDefault="00FD2CBB" w:rsidP="00CD256D">
            <w:pPr>
              <w:spacing w:beforeLines="20" w:before="48" w:afterLines="20" w:after="48" w:line="240" w:lineRule="auto"/>
              <w:jc w:val="center"/>
              <w:rPr>
                <w:rFonts w:asciiTheme="minorHAnsi" w:eastAsia="Times New Roman" w:hAnsiTheme="minorHAnsi" w:cstheme="minorHAnsi"/>
              </w:rPr>
            </w:pPr>
            <w:r w:rsidRPr="0062730E">
              <w:rPr>
                <w:rFonts w:asciiTheme="minorHAnsi" w:eastAsia="Times New Roman" w:hAnsiTheme="minorHAnsi" w:cstheme="minorHAnsi"/>
              </w:rPr>
              <w:t>32</w:t>
            </w:r>
          </w:p>
        </w:tc>
        <w:tc>
          <w:tcPr>
            <w:tcW w:w="1302" w:type="dxa"/>
            <w:noWrap/>
            <w:vAlign w:val="center"/>
            <w:hideMark/>
          </w:tcPr>
          <w:p w14:paraId="0EE07133" w14:textId="77777777" w:rsidR="00FD2CBB" w:rsidRPr="0062730E" w:rsidRDefault="00FD2CBB" w:rsidP="00CD256D">
            <w:pPr>
              <w:spacing w:beforeLines="20" w:before="48" w:afterLines="20" w:after="48" w:line="240" w:lineRule="auto"/>
              <w:jc w:val="center"/>
              <w:rPr>
                <w:rFonts w:asciiTheme="minorHAnsi" w:eastAsia="Times New Roman" w:hAnsiTheme="minorHAnsi" w:cstheme="minorHAnsi"/>
              </w:rPr>
            </w:pPr>
            <w:r w:rsidRPr="0062730E">
              <w:rPr>
                <w:rFonts w:asciiTheme="minorHAnsi" w:eastAsia="Times New Roman" w:hAnsiTheme="minorHAnsi" w:cstheme="minorHAnsi"/>
              </w:rPr>
              <w:t>6545</w:t>
            </w:r>
          </w:p>
        </w:tc>
        <w:tc>
          <w:tcPr>
            <w:tcW w:w="1155" w:type="dxa"/>
            <w:noWrap/>
            <w:vAlign w:val="center"/>
            <w:hideMark/>
          </w:tcPr>
          <w:p w14:paraId="5363659A" w14:textId="77777777" w:rsidR="00FD2CBB" w:rsidRPr="0062730E" w:rsidRDefault="00FD2CBB" w:rsidP="00CD256D">
            <w:pPr>
              <w:spacing w:beforeLines="20" w:before="48" w:afterLines="20" w:after="48" w:line="240" w:lineRule="auto"/>
              <w:jc w:val="center"/>
              <w:rPr>
                <w:rFonts w:asciiTheme="minorHAnsi" w:eastAsia="Times New Roman" w:hAnsiTheme="minorHAnsi" w:cstheme="minorHAnsi"/>
              </w:rPr>
            </w:pPr>
            <w:r w:rsidRPr="0062730E">
              <w:rPr>
                <w:rFonts w:asciiTheme="minorHAnsi" w:eastAsia="Times New Roman" w:hAnsiTheme="minorHAnsi" w:cstheme="minorHAnsi"/>
              </w:rPr>
              <w:t>997</w:t>
            </w:r>
          </w:p>
        </w:tc>
        <w:tc>
          <w:tcPr>
            <w:tcW w:w="1109" w:type="dxa"/>
            <w:noWrap/>
            <w:vAlign w:val="center"/>
            <w:hideMark/>
          </w:tcPr>
          <w:p w14:paraId="273DA801" w14:textId="77777777" w:rsidR="00FD2CBB" w:rsidRPr="0062730E" w:rsidRDefault="00FD2CBB" w:rsidP="00CD256D">
            <w:pPr>
              <w:spacing w:beforeLines="20" w:before="48" w:afterLines="20" w:after="48" w:line="240" w:lineRule="auto"/>
              <w:jc w:val="center"/>
              <w:rPr>
                <w:rFonts w:asciiTheme="minorHAnsi" w:eastAsia="Times New Roman" w:hAnsiTheme="minorHAnsi" w:cstheme="minorHAnsi"/>
              </w:rPr>
            </w:pPr>
            <w:r w:rsidRPr="0062730E">
              <w:rPr>
                <w:rFonts w:asciiTheme="minorHAnsi" w:eastAsia="Times New Roman" w:hAnsiTheme="minorHAnsi" w:cstheme="minorHAnsi"/>
              </w:rPr>
              <w:t>87%</w:t>
            </w:r>
          </w:p>
        </w:tc>
      </w:tr>
      <w:tr w:rsidR="00FD2CBB" w:rsidRPr="009B35AC" w14:paraId="5948A1F7" w14:textId="77777777" w:rsidTr="0062730E">
        <w:trPr>
          <w:trHeight w:val="309"/>
        </w:trPr>
        <w:tc>
          <w:tcPr>
            <w:tcW w:w="1448" w:type="dxa"/>
            <w:shd w:val="clear" w:color="auto" w:fill="FF7C80"/>
            <w:noWrap/>
            <w:vAlign w:val="center"/>
            <w:hideMark/>
          </w:tcPr>
          <w:p w14:paraId="043C7E3F" w14:textId="77777777" w:rsidR="00FD2CBB" w:rsidRPr="0062730E" w:rsidRDefault="00FD2CBB" w:rsidP="00CD256D">
            <w:pPr>
              <w:spacing w:beforeLines="20" w:before="48" w:afterLines="20" w:after="48" w:line="240" w:lineRule="auto"/>
              <w:jc w:val="center"/>
              <w:rPr>
                <w:rFonts w:asciiTheme="minorHAnsi" w:eastAsia="Times New Roman" w:hAnsiTheme="minorHAnsi" w:cstheme="minorHAnsi"/>
                <w:i/>
                <w:color w:val="000000"/>
              </w:rPr>
            </w:pPr>
            <w:r w:rsidRPr="0062730E">
              <w:rPr>
                <w:rFonts w:asciiTheme="minorHAnsi" w:eastAsia="Times New Roman" w:hAnsiTheme="minorHAnsi" w:cstheme="minorHAnsi"/>
                <w:i/>
                <w:color w:val="000000"/>
              </w:rPr>
              <w:t>TO_011</w:t>
            </w:r>
          </w:p>
        </w:tc>
        <w:tc>
          <w:tcPr>
            <w:tcW w:w="2516" w:type="dxa"/>
            <w:shd w:val="clear" w:color="000000" w:fill="FFFFFF"/>
            <w:noWrap/>
            <w:vAlign w:val="center"/>
            <w:hideMark/>
          </w:tcPr>
          <w:p w14:paraId="1FC3E678" w14:textId="77777777" w:rsidR="00FD2CBB" w:rsidRPr="0062730E" w:rsidRDefault="00FD2CBB" w:rsidP="00CD256D">
            <w:pPr>
              <w:spacing w:beforeLines="20" w:before="48" w:afterLines="20" w:after="48" w:line="240" w:lineRule="auto"/>
              <w:jc w:val="center"/>
              <w:rPr>
                <w:rFonts w:asciiTheme="minorHAnsi" w:eastAsia="Times New Roman" w:hAnsiTheme="minorHAnsi" w:cstheme="minorHAnsi"/>
              </w:rPr>
            </w:pPr>
            <w:r w:rsidRPr="0062730E">
              <w:rPr>
                <w:rFonts w:asciiTheme="minorHAnsi" w:eastAsia="Times New Roman" w:hAnsiTheme="minorHAnsi" w:cstheme="minorHAnsi"/>
              </w:rPr>
              <w:t>Torino (TO)</w:t>
            </w:r>
          </w:p>
        </w:tc>
        <w:tc>
          <w:tcPr>
            <w:tcW w:w="1537" w:type="dxa"/>
            <w:noWrap/>
            <w:vAlign w:val="center"/>
            <w:hideMark/>
          </w:tcPr>
          <w:p w14:paraId="396D4A2F" w14:textId="77777777" w:rsidR="00FD2CBB" w:rsidRPr="0062730E" w:rsidRDefault="00FD2CBB" w:rsidP="00CD256D">
            <w:pPr>
              <w:spacing w:beforeLines="20" w:before="48" w:afterLines="20" w:after="48" w:line="240" w:lineRule="auto"/>
              <w:jc w:val="center"/>
              <w:rPr>
                <w:rFonts w:asciiTheme="minorHAnsi" w:eastAsia="Times New Roman" w:hAnsiTheme="minorHAnsi" w:cstheme="minorHAnsi"/>
              </w:rPr>
            </w:pPr>
            <w:r w:rsidRPr="0062730E">
              <w:rPr>
                <w:rFonts w:asciiTheme="minorHAnsi" w:eastAsia="Times New Roman" w:hAnsiTheme="minorHAnsi" w:cstheme="minorHAnsi"/>
              </w:rPr>
              <w:t>32</w:t>
            </w:r>
          </w:p>
        </w:tc>
        <w:tc>
          <w:tcPr>
            <w:tcW w:w="1302" w:type="dxa"/>
            <w:noWrap/>
            <w:vAlign w:val="center"/>
            <w:hideMark/>
          </w:tcPr>
          <w:p w14:paraId="30C3B695" w14:textId="77777777" w:rsidR="00FD2CBB" w:rsidRPr="0062730E" w:rsidRDefault="00FD2CBB" w:rsidP="00CD256D">
            <w:pPr>
              <w:spacing w:beforeLines="20" w:before="48" w:afterLines="20" w:after="48" w:line="240" w:lineRule="auto"/>
              <w:jc w:val="center"/>
              <w:rPr>
                <w:rFonts w:asciiTheme="minorHAnsi" w:eastAsia="Times New Roman" w:hAnsiTheme="minorHAnsi" w:cstheme="minorHAnsi"/>
              </w:rPr>
            </w:pPr>
            <w:r w:rsidRPr="0062730E">
              <w:rPr>
                <w:rFonts w:asciiTheme="minorHAnsi" w:eastAsia="Times New Roman" w:hAnsiTheme="minorHAnsi" w:cstheme="minorHAnsi"/>
              </w:rPr>
              <w:t>5579</w:t>
            </w:r>
          </w:p>
        </w:tc>
        <w:tc>
          <w:tcPr>
            <w:tcW w:w="1155" w:type="dxa"/>
            <w:noWrap/>
            <w:vAlign w:val="center"/>
            <w:hideMark/>
          </w:tcPr>
          <w:p w14:paraId="5F402CDF" w14:textId="77777777" w:rsidR="00FD2CBB" w:rsidRPr="0062730E" w:rsidRDefault="00FD2CBB" w:rsidP="00CD256D">
            <w:pPr>
              <w:spacing w:beforeLines="20" w:before="48" w:afterLines="20" w:after="48" w:line="240" w:lineRule="auto"/>
              <w:jc w:val="center"/>
              <w:rPr>
                <w:rFonts w:asciiTheme="minorHAnsi" w:eastAsia="Times New Roman" w:hAnsiTheme="minorHAnsi" w:cstheme="minorHAnsi"/>
              </w:rPr>
            </w:pPr>
            <w:r w:rsidRPr="0062730E">
              <w:rPr>
                <w:rFonts w:asciiTheme="minorHAnsi" w:eastAsia="Times New Roman" w:hAnsiTheme="minorHAnsi" w:cstheme="minorHAnsi"/>
              </w:rPr>
              <w:t>944</w:t>
            </w:r>
          </w:p>
        </w:tc>
        <w:tc>
          <w:tcPr>
            <w:tcW w:w="1109" w:type="dxa"/>
            <w:noWrap/>
            <w:vAlign w:val="center"/>
            <w:hideMark/>
          </w:tcPr>
          <w:p w14:paraId="3C065070" w14:textId="77777777" w:rsidR="00FD2CBB" w:rsidRPr="0062730E" w:rsidRDefault="00FD2CBB" w:rsidP="00CD256D">
            <w:pPr>
              <w:spacing w:beforeLines="20" w:before="48" w:afterLines="20" w:after="48" w:line="240" w:lineRule="auto"/>
              <w:jc w:val="center"/>
              <w:rPr>
                <w:rFonts w:asciiTheme="minorHAnsi" w:eastAsia="Times New Roman" w:hAnsiTheme="minorHAnsi" w:cstheme="minorHAnsi"/>
              </w:rPr>
            </w:pPr>
            <w:r w:rsidRPr="0062730E">
              <w:rPr>
                <w:rFonts w:asciiTheme="minorHAnsi" w:eastAsia="Times New Roman" w:hAnsiTheme="minorHAnsi" w:cstheme="minorHAnsi"/>
              </w:rPr>
              <w:t>86%</w:t>
            </w:r>
          </w:p>
        </w:tc>
      </w:tr>
      <w:tr w:rsidR="00FD2CBB" w:rsidRPr="009B35AC" w14:paraId="33ADFFB0" w14:textId="77777777" w:rsidTr="0062730E">
        <w:trPr>
          <w:trHeight w:val="309"/>
        </w:trPr>
        <w:tc>
          <w:tcPr>
            <w:tcW w:w="1448" w:type="dxa"/>
            <w:shd w:val="clear" w:color="auto" w:fill="FF7C80"/>
            <w:noWrap/>
            <w:vAlign w:val="center"/>
            <w:hideMark/>
          </w:tcPr>
          <w:p w14:paraId="527A734C" w14:textId="77777777" w:rsidR="00FD2CBB" w:rsidRPr="0062730E" w:rsidRDefault="00FD2CBB" w:rsidP="00CD256D">
            <w:pPr>
              <w:spacing w:beforeLines="20" w:before="48" w:afterLines="20" w:after="48" w:line="240" w:lineRule="auto"/>
              <w:jc w:val="center"/>
              <w:rPr>
                <w:rFonts w:asciiTheme="minorHAnsi" w:eastAsia="Times New Roman" w:hAnsiTheme="minorHAnsi" w:cstheme="minorHAnsi"/>
                <w:i/>
                <w:color w:val="000000"/>
              </w:rPr>
            </w:pPr>
            <w:r w:rsidRPr="0062730E">
              <w:rPr>
                <w:rFonts w:asciiTheme="minorHAnsi" w:eastAsia="Times New Roman" w:hAnsiTheme="minorHAnsi" w:cstheme="minorHAnsi"/>
                <w:i/>
                <w:color w:val="000000"/>
              </w:rPr>
              <w:t>TO_018</w:t>
            </w:r>
          </w:p>
        </w:tc>
        <w:tc>
          <w:tcPr>
            <w:tcW w:w="2516" w:type="dxa"/>
            <w:shd w:val="clear" w:color="000000" w:fill="FFFFFF"/>
            <w:noWrap/>
            <w:vAlign w:val="center"/>
            <w:hideMark/>
          </w:tcPr>
          <w:p w14:paraId="3EA5FA09" w14:textId="3AA32DC0" w:rsidR="00FD2CBB" w:rsidRPr="0062730E" w:rsidRDefault="00FD2CBB" w:rsidP="00CD256D">
            <w:pPr>
              <w:spacing w:beforeLines="20" w:before="48" w:afterLines="20" w:after="48" w:line="240" w:lineRule="auto"/>
              <w:jc w:val="center"/>
              <w:rPr>
                <w:rFonts w:asciiTheme="minorHAnsi" w:eastAsia="Times New Roman" w:hAnsiTheme="minorHAnsi" w:cstheme="minorHAnsi"/>
              </w:rPr>
            </w:pPr>
            <w:r w:rsidRPr="0062730E">
              <w:rPr>
                <w:rFonts w:asciiTheme="minorHAnsi" w:eastAsia="Times New Roman" w:hAnsiTheme="minorHAnsi" w:cstheme="minorHAnsi"/>
              </w:rPr>
              <w:t>Bussoleno (TO)</w:t>
            </w:r>
          </w:p>
        </w:tc>
        <w:tc>
          <w:tcPr>
            <w:tcW w:w="1537" w:type="dxa"/>
            <w:noWrap/>
            <w:vAlign w:val="center"/>
            <w:hideMark/>
          </w:tcPr>
          <w:p w14:paraId="0075F36E" w14:textId="77777777" w:rsidR="00FD2CBB" w:rsidRPr="0062730E" w:rsidRDefault="00FD2CBB" w:rsidP="00CD256D">
            <w:pPr>
              <w:spacing w:beforeLines="20" w:before="48" w:afterLines="20" w:after="48" w:line="240" w:lineRule="auto"/>
              <w:jc w:val="center"/>
              <w:rPr>
                <w:rFonts w:asciiTheme="minorHAnsi" w:eastAsia="Times New Roman" w:hAnsiTheme="minorHAnsi" w:cstheme="minorHAnsi"/>
              </w:rPr>
            </w:pPr>
            <w:r w:rsidRPr="0062730E">
              <w:rPr>
                <w:rFonts w:asciiTheme="minorHAnsi" w:eastAsia="Times New Roman" w:hAnsiTheme="minorHAnsi" w:cstheme="minorHAnsi"/>
              </w:rPr>
              <w:t>31</w:t>
            </w:r>
          </w:p>
        </w:tc>
        <w:tc>
          <w:tcPr>
            <w:tcW w:w="1302" w:type="dxa"/>
            <w:noWrap/>
            <w:vAlign w:val="center"/>
            <w:hideMark/>
          </w:tcPr>
          <w:p w14:paraId="4808735D" w14:textId="77777777" w:rsidR="00FD2CBB" w:rsidRPr="0062730E" w:rsidRDefault="00FD2CBB" w:rsidP="00CD256D">
            <w:pPr>
              <w:spacing w:beforeLines="20" w:before="48" w:afterLines="20" w:after="48" w:line="240" w:lineRule="auto"/>
              <w:jc w:val="center"/>
              <w:rPr>
                <w:rFonts w:asciiTheme="minorHAnsi" w:eastAsia="Times New Roman" w:hAnsiTheme="minorHAnsi" w:cstheme="minorHAnsi"/>
              </w:rPr>
            </w:pPr>
            <w:r w:rsidRPr="0062730E">
              <w:rPr>
                <w:rFonts w:asciiTheme="minorHAnsi" w:eastAsia="Times New Roman" w:hAnsiTheme="minorHAnsi" w:cstheme="minorHAnsi"/>
              </w:rPr>
              <w:t>4264</w:t>
            </w:r>
          </w:p>
        </w:tc>
        <w:tc>
          <w:tcPr>
            <w:tcW w:w="1155" w:type="dxa"/>
            <w:noWrap/>
            <w:vAlign w:val="center"/>
            <w:hideMark/>
          </w:tcPr>
          <w:p w14:paraId="073E9DAB" w14:textId="77777777" w:rsidR="00FD2CBB" w:rsidRPr="0062730E" w:rsidRDefault="00FD2CBB" w:rsidP="00CD256D">
            <w:pPr>
              <w:spacing w:beforeLines="20" w:before="48" w:afterLines="20" w:after="48" w:line="240" w:lineRule="auto"/>
              <w:jc w:val="center"/>
              <w:rPr>
                <w:rFonts w:asciiTheme="minorHAnsi" w:eastAsia="Times New Roman" w:hAnsiTheme="minorHAnsi" w:cstheme="minorHAnsi"/>
              </w:rPr>
            </w:pPr>
            <w:r w:rsidRPr="0062730E">
              <w:rPr>
                <w:rFonts w:asciiTheme="minorHAnsi" w:eastAsia="Times New Roman" w:hAnsiTheme="minorHAnsi" w:cstheme="minorHAnsi"/>
              </w:rPr>
              <w:t>838</w:t>
            </w:r>
          </w:p>
        </w:tc>
        <w:tc>
          <w:tcPr>
            <w:tcW w:w="1109" w:type="dxa"/>
            <w:noWrap/>
            <w:vAlign w:val="center"/>
            <w:hideMark/>
          </w:tcPr>
          <w:p w14:paraId="083350C3" w14:textId="77777777" w:rsidR="00FD2CBB" w:rsidRPr="0062730E" w:rsidRDefault="00FD2CBB" w:rsidP="00CD256D">
            <w:pPr>
              <w:spacing w:beforeLines="20" w:before="48" w:afterLines="20" w:after="48" w:line="240" w:lineRule="auto"/>
              <w:jc w:val="center"/>
              <w:rPr>
                <w:rFonts w:asciiTheme="minorHAnsi" w:eastAsia="Times New Roman" w:hAnsiTheme="minorHAnsi" w:cstheme="minorHAnsi"/>
              </w:rPr>
            </w:pPr>
            <w:r w:rsidRPr="0062730E">
              <w:rPr>
                <w:rFonts w:asciiTheme="minorHAnsi" w:eastAsia="Times New Roman" w:hAnsiTheme="minorHAnsi" w:cstheme="minorHAnsi"/>
              </w:rPr>
              <w:t>84%</w:t>
            </w:r>
          </w:p>
        </w:tc>
      </w:tr>
      <w:tr w:rsidR="00FD2CBB" w:rsidRPr="009B35AC" w14:paraId="1B544498" w14:textId="77777777" w:rsidTr="0062730E">
        <w:trPr>
          <w:trHeight w:val="309"/>
        </w:trPr>
        <w:tc>
          <w:tcPr>
            <w:tcW w:w="1448" w:type="dxa"/>
            <w:shd w:val="clear" w:color="auto" w:fill="FF7C80"/>
            <w:noWrap/>
            <w:vAlign w:val="center"/>
            <w:hideMark/>
          </w:tcPr>
          <w:p w14:paraId="3536DB47" w14:textId="77777777" w:rsidR="00FD2CBB" w:rsidRPr="0062730E" w:rsidRDefault="00FD2CBB" w:rsidP="00CD256D">
            <w:pPr>
              <w:spacing w:beforeLines="20" w:before="48" w:afterLines="20" w:after="48" w:line="240" w:lineRule="auto"/>
              <w:jc w:val="center"/>
              <w:rPr>
                <w:rFonts w:asciiTheme="minorHAnsi" w:eastAsia="Times New Roman" w:hAnsiTheme="minorHAnsi" w:cstheme="minorHAnsi"/>
                <w:i/>
                <w:color w:val="000000"/>
              </w:rPr>
            </w:pPr>
            <w:r w:rsidRPr="0062730E">
              <w:rPr>
                <w:rFonts w:asciiTheme="minorHAnsi" w:eastAsia="Times New Roman" w:hAnsiTheme="minorHAnsi" w:cstheme="minorHAnsi"/>
                <w:i/>
                <w:color w:val="000000"/>
              </w:rPr>
              <w:t>TO_020</w:t>
            </w:r>
          </w:p>
        </w:tc>
        <w:tc>
          <w:tcPr>
            <w:tcW w:w="2516" w:type="dxa"/>
            <w:shd w:val="clear" w:color="000000" w:fill="FFFFFF"/>
            <w:noWrap/>
            <w:vAlign w:val="center"/>
            <w:hideMark/>
          </w:tcPr>
          <w:p w14:paraId="1487128E" w14:textId="211EF06D" w:rsidR="00FD2CBB" w:rsidRPr="0062730E" w:rsidRDefault="00FD2CBB" w:rsidP="00CD256D">
            <w:pPr>
              <w:spacing w:beforeLines="20" w:before="48" w:afterLines="20" w:after="48" w:line="240" w:lineRule="auto"/>
              <w:jc w:val="center"/>
              <w:rPr>
                <w:rFonts w:asciiTheme="minorHAnsi" w:eastAsia="Times New Roman" w:hAnsiTheme="minorHAnsi" w:cstheme="minorHAnsi"/>
              </w:rPr>
            </w:pPr>
            <w:r w:rsidRPr="0062730E">
              <w:rPr>
                <w:rFonts w:asciiTheme="minorHAnsi" w:eastAsia="Times New Roman" w:hAnsiTheme="minorHAnsi" w:cstheme="minorHAnsi"/>
              </w:rPr>
              <w:t>Carmagnola (TO)</w:t>
            </w:r>
          </w:p>
        </w:tc>
        <w:tc>
          <w:tcPr>
            <w:tcW w:w="1537" w:type="dxa"/>
            <w:noWrap/>
            <w:vAlign w:val="center"/>
            <w:hideMark/>
          </w:tcPr>
          <w:p w14:paraId="1CDF8A4F" w14:textId="77777777" w:rsidR="00FD2CBB" w:rsidRPr="0062730E" w:rsidRDefault="00FD2CBB" w:rsidP="00CD256D">
            <w:pPr>
              <w:spacing w:beforeLines="20" w:before="48" w:afterLines="20" w:after="48" w:line="240" w:lineRule="auto"/>
              <w:jc w:val="center"/>
              <w:rPr>
                <w:rFonts w:asciiTheme="minorHAnsi" w:eastAsia="Times New Roman" w:hAnsiTheme="minorHAnsi" w:cstheme="minorHAnsi"/>
              </w:rPr>
            </w:pPr>
            <w:r w:rsidRPr="0062730E">
              <w:rPr>
                <w:rFonts w:asciiTheme="minorHAnsi" w:eastAsia="Times New Roman" w:hAnsiTheme="minorHAnsi" w:cstheme="minorHAnsi"/>
              </w:rPr>
              <w:t>23</w:t>
            </w:r>
          </w:p>
        </w:tc>
        <w:tc>
          <w:tcPr>
            <w:tcW w:w="1302" w:type="dxa"/>
            <w:noWrap/>
            <w:vAlign w:val="center"/>
            <w:hideMark/>
          </w:tcPr>
          <w:p w14:paraId="46C9BF6E" w14:textId="77777777" w:rsidR="00FD2CBB" w:rsidRPr="0062730E" w:rsidRDefault="00FD2CBB" w:rsidP="00CD256D">
            <w:pPr>
              <w:spacing w:beforeLines="20" w:before="48" w:afterLines="20" w:after="48" w:line="240" w:lineRule="auto"/>
              <w:jc w:val="center"/>
              <w:rPr>
                <w:rFonts w:asciiTheme="minorHAnsi" w:eastAsia="Times New Roman" w:hAnsiTheme="minorHAnsi" w:cstheme="minorHAnsi"/>
              </w:rPr>
            </w:pPr>
            <w:r w:rsidRPr="0062730E">
              <w:rPr>
                <w:rFonts w:asciiTheme="minorHAnsi" w:eastAsia="Times New Roman" w:hAnsiTheme="minorHAnsi" w:cstheme="minorHAnsi"/>
              </w:rPr>
              <w:t>3774</w:t>
            </w:r>
          </w:p>
        </w:tc>
        <w:tc>
          <w:tcPr>
            <w:tcW w:w="1155" w:type="dxa"/>
            <w:noWrap/>
            <w:vAlign w:val="center"/>
            <w:hideMark/>
          </w:tcPr>
          <w:p w14:paraId="44C1CAC8" w14:textId="77777777" w:rsidR="00FD2CBB" w:rsidRPr="0062730E" w:rsidRDefault="00FD2CBB" w:rsidP="00CD256D">
            <w:pPr>
              <w:spacing w:beforeLines="20" w:before="48" w:afterLines="20" w:after="48" w:line="240" w:lineRule="auto"/>
              <w:jc w:val="center"/>
              <w:rPr>
                <w:rFonts w:asciiTheme="minorHAnsi" w:eastAsia="Times New Roman" w:hAnsiTheme="minorHAnsi" w:cstheme="minorHAnsi"/>
              </w:rPr>
            </w:pPr>
            <w:r w:rsidRPr="0062730E">
              <w:rPr>
                <w:rFonts w:asciiTheme="minorHAnsi" w:eastAsia="Times New Roman" w:hAnsiTheme="minorHAnsi" w:cstheme="minorHAnsi"/>
              </w:rPr>
              <w:t>255</w:t>
            </w:r>
          </w:p>
        </w:tc>
        <w:tc>
          <w:tcPr>
            <w:tcW w:w="1109" w:type="dxa"/>
            <w:noWrap/>
            <w:vAlign w:val="center"/>
            <w:hideMark/>
          </w:tcPr>
          <w:p w14:paraId="598D431B" w14:textId="77777777" w:rsidR="00FD2CBB" w:rsidRPr="0062730E" w:rsidRDefault="00FD2CBB" w:rsidP="00CD256D">
            <w:pPr>
              <w:spacing w:beforeLines="20" w:before="48" w:afterLines="20" w:after="48" w:line="240" w:lineRule="auto"/>
              <w:jc w:val="center"/>
              <w:rPr>
                <w:rFonts w:asciiTheme="minorHAnsi" w:eastAsia="Times New Roman" w:hAnsiTheme="minorHAnsi" w:cstheme="minorHAnsi"/>
              </w:rPr>
            </w:pPr>
            <w:r w:rsidRPr="0062730E">
              <w:rPr>
                <w:rFonts w:asciiTheme="minorHAnsi" w:eastAsia="Times New Roman" w:hAnsiTheme="minorHAnsi" w:cstheme="minorHAnsi"/>
              </w:rPr>
              <w:t>94%</w:t>
            </w:r>
          </w:p>
        </w:tc>
      </w:tr>
      <w:tr w:rsidR="00FD2CBB" w:rsidRPr="009B35AC" w14:paraId="140DFAE0" w14:textId="77777777" w:rsidTr="0062730E">
        <w:trPr>
          <w:trHeight w:val="309"/>
        </w:trPr>
        <w:tc>
          <w:tcPr>
            <w:tcW w:w="1448" w:type="dxa"/>
            <w:shd w:val="clear" w:color="auto" w:fill="FF7C80"/>
            <w:noWrap/>
            <w:vAlign w:val="center"/>
            <w:hideMark/>
          </w:tcPr>
          <w:p w14:paraId="0AD83046" w14:textId="77777777" w:rsidR="00FD2CBB" w:rsidRPr="0062730E" w:rsidRDefault="00FD2CBB" w:rsidP="00CD256D">
            <w:pPr>
              <w:spacing w:beforeLines="20" w:before="48" w:afterLines="20" w:after="48" w:line="240" w:lineRule="auto"/>
              <w:jc w:val="center"/>
              <w:rPr>
                <w:rFonts w:asciiTheme="minorHAnsi" w:eastAsia="Times New Roman" w:hAnsiTheme="minorHAnsi" w:cstheme="minorHAnsi"/>
                <w:i/>
                <w:color w:val="000000"/>
              </w:rPr>
            </w:pPr>
            <w:r w:rsidRPr="0062730E">
              <w:rPr>
                <w:rFonts w:asciiTheme="minorHAnsi" w:eastAsia="Times New Roman" w:hAnsiTheme="minorHAnsi" w:cstheme="minorHAnsi"/>
                <w:i/>
                <w:color w:val="000000"/>
              </w:rPr>
              <w:t>TO_022</w:t>
            </w:r>
          </w:p>
        </w:tc>
        <w:tc>
          <w:tcPr>
            <w:tcW w:w="2516" w:type="dxa"/>
            <w:shd w:val="clear" w:color="000000" w:fill="FFFFFF"/>
            <w:noWrap/>
            <w:vAlign w:val="center"/>
            <w:hideMark/>
          </w:tcPr>
          <w:p w14:paraId="22C0919F" w14:textId="3AFA38A0" w:rsidR="00FD2CBB" w:rsidRPr="0062730E" w:rsidRDefault="00FD2CBB" w:rsidP="00CD256D">
            <w:pPr>
              <w:spacing w:beforeLines="20" w:before="48" w:afterLines="20" w:after="48" w:line="240" w:lineRule="auto"/>
              <w:jc w:val="center"/>
              <w:rPr>
                <w:rFonts w:asciiTheme="minorHAnsi" w:eastAsia="Times New Roman" w:hAnsiTheme="minorHAnsi" w:cstheme="minorHAnsi"/>
              </w:rPr>
            </w:pPr>
            <w:r w:rsidRPr="0062730E">
              <w:rPr>
                <w:rFonts w:asciiTheme="minorHAnsi" w:eastAsia="Times New Roman" w:hAnsiTheme="minorHAnsi" w:cstheme="minorHAnsi"/>
              </w:rPr>
              <w:t>Castellamonte (TO)</w:t>
            </w:r>
          </w:p>
        </w:tc>
        <w:tc>
          <w:tcPr>
            <w:tcW w:w="1537" w:type="dxa"/>
            <w:noWrap/>
            <w:vAlign w:val="center"/>
            <w:hideMark/>
          </w:tcPr>
          <w:p w14:paraId="509F5056" w14:textId="77777777" w:rsidR="00FD2CBB" w:rsidRPr="0062730E" w:rsidRDefault="00FD2CBB" w:rsidP="00CD256D">
            <w:pPr>
              <w:spacing w:beforeLines="20" w:before="48" w:afterLines="20" w:after="48" w:line="240" w:lineRule="auto"/>
              <w:jc w:val="center"/>
              <w:rPr>
                <w:rFonts w:asciiTheme="minorHAnsi" w:eastAsia="Times New Roman" w:hAnsiTheme="minorHAnsi" w:cstheme="minorHAnsi"/>
              </w:rPr>
            </w:pPr>
            <w:r w:rsidRPr="0062730E">
              <w:rPr>
                <w:rFonts w:asciiTheme="minorHAnsi" w:eastAsia="Times New Roman" w:hAnsiTheme="minorHAnsi" w:cstheme="minorHAnsi"/>
              </w:rPr>
              <w:t>40</w:t>
            </w:r>
          </w:p>
        </w:tc>
        <w:tc>
          <w:tcPr>
            <w:tcW w:w="1302" w:type="dxa"/>
            <w:noWrap/>
            <w:vAlign w:val="center"/>
            <w:hideMark/>
          </w:tcPr>
          <w:p w14:paraId="0AD9C957" w14:textId="77777777" w:rsidR="00FD2CBB" w:rsidRPr="0062730E" w:rsidRDefault="00FD2CBB" w:rsidP="00CD256D">
            <w:pPr>
              <w:spacing w:beforeLines="20" w:before="48" w:afterLines="20" w:after="48" w:line="240" w:lineRule="auto"/>
              <w:jc w:val="center"/>
              <w:rPr>
                <w:rFonts w:asciiTheme="minorHAnsi" w:eastAsia="Times New Roman" w:hAnsiTheme="minorHAnsi" w:cstheme="minorHAnsi"/>
              </w:rPr>
            </w:pPr>
            <w:r w:rsidRPr="0062730E">
              <w:rPr>
                <w:rFonts w:asciiTheme="minorHAnsi" w:eastAsia="Times New Roman" w:hAnsiTheme="minorHAnsi" w:cstheme="minorHAnsi"/>
              </w:rPr>
              <w:t>6532</w:t>
            </w:r>
          </w:p>
        </w:tc>
        <w:tc>
          <w:tcPr>
            <w:tcW w:w="1155" w:type="dxa"/>
            <w:noWrap/>
            <w:vAlign w:val="center"/>
            <w:hideMark/>
          </w:tcPr>
          <w:p w14:paraId="600DB6C4" w14:textId="77777777" w:rsidR="00FD2CBB" w:rsidRPr="0062730E" w:rsidRDefault="00FD2CBB" w:rsidP="00CD256D">
            <w:pPr>
              <w:spacing w:beforeLines="20" w:before="48" w:afterLines="20" w:after="48" w:line="240" w:lineRule="auto"/>
              <w:jc w:val="center"/>
              <w:rPr>
                <w:rFonts w:asciiTheme="minorHAnsi" w:eastAsia="Times New Roman" w:hAnsiTheme="minorHAnsi" w:cstheme="minorHAnsi"/>
              </w:rPr>
            </w:pPr>
            <w:r w:rsidRPr="0062730E">
              <w:rPr>
                <w:rFonts w:asciiTheme="minorHAnsi" w:eastAsia="Times New Roman" w:hAnsiTheme="minorHAnsi" w:cstheme="minorHAnsi"/>
              </w:rPr>
              <w:t>1228</w:t>
            </w:r>
          </w:p>
        </w:tc>
        <w:tc>
          <w:tcPr>
            <w:tcW w:w="1109" w:type="dxa"/>
            <w:noWrap/>
            <w:vAlign w:val="center"/>
            <w:hideMark/>
          </w:tcPr>
          <w:p w14:paraId="092964D5" w14:textId="77777777" w:rsidR="00FD2CBB" w:rsidRPr="0062730E" w:rsidRDefault="00FD2CBB" w:rsidP="00CD256D">
            <w:pPr>
              <w:spacing w:beforeLines="20" w:before="48" w:afterLines="20" w:after="48" w:line="240" w:lineRule="auto"/>
              <w:jc w:val="center"/>
              <w:rPr>
                <w:rFonts w:asciiTheme="minorHAnsi" w:eastAsia="Times New Roman" w:hAnsiTheme="minorHAnsi" w:cstheme="minorHAnsi"/>
              </w:rPr>
            </w:pPr>
            <w:r w:rsidRPr="0062730E">
              <w:rPr>
                <w:rFonts w:asciiTheme="minorHAnsi" w:eastAsia="Times New Roman" w:hAnsiTheme="minorHAnsi" w:cstheme="minorHAnsi"/>
              </w:rPr>
              <w:t>84%</w:t>
            </w:r>
          </w:p>
        </w:tc>
      </w:tr>
      <w:tr w:rsidR="00FD2CBB" w:rsidRPr="009B35AC" w14:paraId="1EA6AF3D" w14:textId="77777777" w:rsidTr="0062730E">
        <w:trPr>
          <w:trHeight w:val="309"/>
        </w:trPr>
        <w:tc>
          <w:tcPr>
            <w:tcW w:w="1448" w:type="dxa"/>
            <w:shd w:val="clear" w:color="auto" w:fill="FF7C80"/>
            <w:noWrap/>
            <w:vAlign w:val="center"/>
            <w:hideMark/>
          </w:tcPr>
          <w:p w14:paraId="775E1F64" w14:textId="77777777" w:rsidR="00FD2CBB" w:rsidRPr="0062730E" w:rsidRDefault="00FD2CBB" w:rsidP="00CD256D">
            <w:pPr>
              <w:spacing w:beforeLines="20" w:before="48" w:afterLines="20" w:after="48" w:line="240" w:lineRule="auto"/>
              <w:jc w:val="center"/>
              <w:rPr>
                <w:rFonts w:asciiTheme="minorHAnsi" w:eastAsia="Times New Roman" w:hAnsiTheme="minorHAnsi" w:cstheme="minorHAnsi"/>
                <w:i/>
                <w:color w:val="000000"/>
              </w:rPr>
            </w:pPr>
            <w:r w:rsidRPr="0062730E">
              <w:rPr>
                <w:rFonts w:asciiTheme="minorHAnsi" w:eastAsia="Times New Roman" w:hAnsiTheme="minorHAnsi" w:cstheme="minorHAnsi"/>
                <w:i/>
                <w:color w:val="000000"/>
              </w:rPr>
              <w:t>TO_027</w:t>
            </w:r>
          </w:p>
        </w:tc>
        <w:tc>
          <w:tcPr>
            <w:tcW w:w="2516" w:type="dxa"/>
            <w:shd w:val="clear" w:color="000000" w:fill="FFFFFF"/>
            <w:noWrap/>
            <w:vAlign w:val="center"/>
            <w:hideMark/>
          </w:tcPr>
          <w:p w14:paraId="70E72C1F" w14:textId="2C5B205A" w:rsidR="00FD2CBB" w:rsidRPr="0062730E" w:rsidRDefault="00FD2CBB" w:rsidP="00CD256D">
            <w:pPr>
              <w:spacing w:beforeLines="20" w:before="48" w:afterLines="20" w:after="48" w:line="240" w:lineRule="auto"/>
              <w:jc w:val="center"/>
              <w:rPr>
                <w:rFonts w:asciiTheme="minorHAnsi" w:eastAsia="Times New Roman" w:hAnsiTheme="minorHAnsi" w:cstheme="minorHAnsi"/>
              </w:rPr>
            </w:pPr>
            <w:r w:rsidRPr="0062730E">
              <w:rPr>
                <w:rFonts w:asciiTheme="minorHAnsi" w:eastAsia="Times New Roman" w:hAnsiTheme="minorHAnsi" w:cstheme="minorHAnsi"/>
              </w:rPr>
              <w:t>Cafasse (TO)</w:t>
            </w:r>
          </w:p>
        </w:tc>
        <w:tc>
          <w:tcPr>
            <w:tcW w:w="1537" w:type="dxa"/>
            <w:noWrap/>
            <w:vAlign w:val="center"/>
            <w:hideMark/>
          </w:tcPr>
          <w:p w14:paraId="6F949792" w14:textId="77777777" w:rsidR="00FD2CBB" w:rsidRPr="0062730E" w:rsidRDefault="00FD2CBB" w:rsidP="00CD256D">
            <w:pPr>
              <w:spacing w:beforeLines="20" w:before="48" w:afterLines="20" w:after="48" w:line="240" w:lineRule="auto"/>
              <w:jc w:val="center"/>
              <w:rPr>
                <w:rFonts w:asciiTheme="minorHAnsi" w:eastAsia="Times New Roman" w:hAnsiTheme="minorHAnsi" w:cstheme="minorHAnsi"/>
              </w:rPr>
            </w:pPr>
            <w:r w:rsidRPr="0062730E">
              <w:rPr>
                <w:rFonts w:asciiTheme="minorHAnsi" w:eastAsia="Times New Roman" w:hAnsiTheme="minorHAnsi" w:cstheme="minorHAnsi"/>
              </w:rPr>
              <w:t>24</w:t>
            </w:r>
          </w:p>
        </w:tc>
        <w:tc>
          <w:tcPr>
            <w:tcW w:w="1302" w:type="dxa"/>
            <w:noWrap/>
            <w:vAlign w:val="center"/>
            <w:hideMark/>
          </w:tcPr>
          <w:p w14:paraId="3287B50D" w14:textId="77777777" w:rsidR="00FD2CBB" w:rsidRPr="0062730E" w:rsidRDefault="00FD2CBB" w:rsidP="00CD256D">
            <w:pPr>
              <w:spacing w:beforeLines="20" w:before="48" w:afterLines="20" w:after="48" w:line="240" w:lineRule="auto"/>
              <w:jc w:val="center"/>
              <w:rPr>
                <w:rFonts w:asciiTheme="minorHAnsi" w:eastAsia="Times New Roman" w:hAnsiTheme="minorHAnsi" w:cstheme="minorHAnsi"/>
              </w:rPr>
            </w:pPr>
            <w:r w:rsidRPr="0062730E">
              <w:rPr>
                <w:rFonts w:asciiTheme="minorHAnsi" w:eastAsia="Times New Roman" w:hAnsiTheme="minorHAnsi" w:cstheme="minorHAnsi"/>
              </w:rPr>
              <w:t>3609</w:t>
            </w:r>
          </w:p>
        </w:tc>
        <w:tc>
          <w:tcPr>
            <w:tcW w:w="1155" w:type="dxa"/>
            <w:noWrap/>
            <w:vAlign w:val="center"/>
            <w:hideMark/>
          </w:tcPr>
          <w:p w14:paraId="1B3974B0" w14:textId="77777777" w:rsidR="00FD2CBB" w:rsidRPr="0062730E" w:rsidRDefault="00FD2CBB" w:rsidP="00CD256D">
            <w:pPr>
              <w:spacing w:beforeLines="20" w:before="48" w:afterLines="20" w:after="48" w:line="240" w:lineRule="auto"/>
              <w:jc w:val="center"/>
              <w:rPr>
                <w:rFonts w:asciiTheme="minorHAnsi" w:eastAsia="Times New Roman" w:hAnsiTheme="minorHAnsi" w:cstheme="minorHAnsi"/>
              </w:rPr>
            </w:pPr>
            <w:r w:rsidRPr="0062730E">
              <w:rPr>
                <w:rFonts w:asciiTheme="minorHAnsi" w:eastAsia="Times New Roman" w:hAnsiTheme="minorHAnsi" w:cstheme="minorHAnsi"/>
              </w:rPr>
              <w:t>719</w:t>
            </w:r>
          </w:p>
        </w:tc>
        <w:tc>
          <w:tcPr>
            <w:tcW w:w="1109" w:type="dxa"/>
            <w:noWrap/>
            <w:vAlign w:val="center"/>
            <w:hideMark/>
          </w:tcPr>
          <w:p w14:paraId="063E49ED" w14:textId="77777777" w:rsidR="00FD2CBB" w:rsidRPr="0062730E" w:rsidRDefault="00FD2CBB" w:rsidP="00CD256D">
            <w:pPr>
              <w:spacing w:beforeLines="20" w:before="48" w:afterLines="20" w:after="48" w:line="240" w:lineRule="auto"/>
              <w:jc w:val="center"/>
              <w:rPr>
                <w:rFonts w:asciiTheme="minorHAnsi" w:eastAsia="Times New Roman" w:hAnsiTheme="minorHAnsi" w:cstheme="minorHAnsi"/>
              </w:rPr>
            </w:pPr>
            <w:r w:rsidRPr="0062730E">
              <w:rPr>
                <w:rFonts w:asciiTheme="minorHAnsi" w:eastAsia="Times New Roman" w:hAnsiTheme="minorHAnsi" w:cstheme="minorHAnsi"/>
              </w:rPr>
              <w:t>83%</w:t>
            </w:r>
          </w:p>
        </w:tc>
      </w:tr>
      <w:tr w:rsidR="00FD2CBB" w:rsidRPr="009B35AC" w14:paraId="7C099D85" w14:textId="77777777" w:rsidTr="0062730E">
        <w:trPr>
          <w:trHeight w:val="309"/>
        </w:trPr>
        <w:tc>
          <w:tcPr>
            <w:tcW w:w="1448" w:type="dxa"/>
            <w:shd w:val="clear" w:color="auto" w:fill="FF7C80"/>
            <w:noWrap/>
            <w:vAlign w:val="center"/>
            <w:hideMark/>
          </w:tcPr>
          <w:p w14:paraId="7B9D7C17" w14:textId="77777777" w:rsidR="00FD2CBB" w:rsidRPr="0062730E" w:rsidRDefault="00FD2CBB" w:rsidP="00CD256D">
            <w:pPr>
              <w:spacing w:beforeLines="20" w:before="48" w:afterLines="20" w:after="48" w:line="240" w:lineRule="auto"/>
              <w:jc w:val="center"/>
              <w:rPr>
                <w:rFonts w:asciiTheme="minorHAnsi" w:eastAsia="Times New Roman" w:hAnsiTheme="minorHAnsi" w:cstheme="minorHAnsi"/>
                <w:i/>
                <w:color w:val="000000"/>
              </w:rPr>
            </w:pPr>
            <w:r w:rsidRPr="0062730E">
              <w:rPr>
                <w:rFonts w:asciiTheme="minorHAnsi" w:eastAsia="Times New Roman" w:hAnsiTheme="minorHAnsi" w:cstheme="minorHAnsi"/>
                <w:i/>
                <w:color w:val="000000"/>
              </w:rPr>
              <w:t>TO_031</w:t>
            </w:r>
          </w:p>
        </w:tc>
        <w:tc>
          <w:tcPr>
            <w:tcW w:w="2516" w:type="dxa"/>
            <w:shd w:val="clear" w:color="000000" w:fill="FFFFFF"/>
            <w:noWrap/>
            <w:vAlign w:val="center"/>
            <w:hideMark/>
          </w:tcPr>
          <w:p w14:paraId="63AE82C0" w14:textId="77777777" w:rsidR="00FD2CBB" w:rsidRPr="0062730E" w:rsidRDefault="00FD2CBB" w:rsidP="00CD256D">
            <w:pPr>
              <w:spacing w:beforeLines="20" w:before="48" w:afterLines="20" w:after="48" w:line="240" w:lineRule="auto"/>
              <w:jc w:val="center"/>
              <w:rPr>
                <w:rFonts w:asciiTheme="minorHAnsi" w:eastAsia="Times New Roman" w:hAnsiTheme="minorHAnsi" w:cstheme="minorHAnsi"/>
              </w:rPr>
            </w:pPr>
            <w:r w:rsidRPr="0062730E">
              <w:rPr>
                <w:rFonts w:asciiTheme="minorHAnsi" w:eastAsia="Times New Roman" w:hAnsiTheme="minorHAnsi" w:cstheme="minorHAnsi"/>
              </w:rPr>
              <w:t>Pinerolo (TO)</w:t>
            </w:r>
          </w:p>
        </w:tc>
        <w:tc>
          <w:tcPr>
            <w:tcW w:w="1537" w:type="dxa"/>
            <w:noWrap/>
            <w:vAlign w:val="center"/>
            <w:hideMark/>
          </w:tcPr>
          <w:p w14:paraId="38DAFE74" w14:textId="77777777" w:rsidR="00FD2CBB" w:rsidRPr="0062730E" w:rsidRDefault="00FD2CBB" w:rsidP="00CD256D">
            <w:pPr>
              <w:spacing w:beforeLines="20" w:before="48" w:afterLines="20" w:after="48" w:line="240" w:lineRule="auto"/>
              <w:jc w:val="center"/>
              <w:rPr>
                <w:rFonts w:asciiTheme="minorHAnsi" w:eastAsia="Times New Roman" w:hAnsiTheme="minorHAnsi" w:cstheme="minorHAnsi"/>
              </w:rPr>
            </w:pPr>
            <w:r w:rsidRPr="0062730E">
              <w:rPr>
                <w:rFonts w:asciiTheme="minorHAnsi" w:eastAsia="Times New Roman" w:hAnsiTheme="minorHAnsi" w:cstheme="minorHAnsi"/>
              </w:rPr>
              <w:t>40</w:t>
            </w:r>
          </w:p>
        </w:tc>
        <w:tc>
          <w:tcPr>
            <w:tcW w:w="1302" w:type="dxa"/>
            <w:noWrap/>
            <w:vAlign w:val="center"/>
            <w:hideMark/>
          </w:tcPr>
          <w:p w14:paraId="446087E6" w14:textId="77777777" w:rsidR="00FD2CBB" w:rsidRPr="0062730E" w:rsidRDefault="00FD2CBB" w:rsidP="00CD256D">
            <w:pPr>
              <w:spacing w:beforeLines="20" w:before="48" w:afterLines="20" w:after="48" w:line="240" w:lineRule="auto"/>
              <w:jc w:val="center"/>
              <w:rPr>
                <w:rFonts w:asciiTheme="minorHAnsi" w:eastAsia="Times New Roman" w:hAnsiTheme="minorHAnsi" w:cstheme="minorHAnsi"/>
              </w:rPr>
            </w:pPr>
            <w:r w:rsidRPr="0062730E">
              <w:rPr>
                <w:rFonts w:asciiTheme="minorHAnsi" w:eastAsia="Times New Roman" w:hAnsiTheme="minorHAnsi" w:cstheme="minorHAnsi"/>
              </w:rPr>
              <w:t>8493</w:t>
            </w:r>
          </w:p>
        </w:tc>
        <w:tc>
          <w:tcPr>
            <w:tcW w:w="1155" w:type="dxa"/>
            <w:noWrap/>
            <w:vAlign w:val="center"/>
            <w:hideMark/>
          </w:tcPr>
          <w:p w14:paraId="464A61A3" w14:textId="77777777" w:rsidR="00FD2CBB" w:rsidRPr="0062730E" w:rsidRDefault="00FD2CBB" w:rsidP="00CD256D">
            <w:pPr>
              <w:spacing w:beforeLines="20" w:before="48" w:afterLines="20" w:after="48" w:line="240" w:lineRule="auto"/>
              <w:jc w:val="center"/>
              <w:rPr>
                <w:rFonts w:asciiTheme="minorHAnsi" w:eastAsia="Times New Roman" w:hAnsiTheme="minorHAnsi" w:cstheme="minorHAnsi"/>
              </w:rPr>
            </w:pPr>
            <w:r w:rsidRPr="0062730E">
              <w:rPr>
                <w:rFonts w:asciiTheme="minorHAnsi" w:eastAsia="Times New Roman" w:hAnsiTheme="minorHAnsi" w:cstheme="minorHAnsi"/>
              </w:rPr>
              <w:t>767</w:t>
            </w:r>
          </w:p>
        </w:tc>
        <w:tc>
          <w:tcPr>
            <w:tcW w:w="1109" w:type="dxa"/>
            <w:noWrap/>
            <w:vAlign w:val="center"/>
            <w:hideMark/>
          </w:tcPr>
          <w:p w14:paraId="2E909750" w14:textId="77777777" w:rsidR="00FD2CBB" w:rsidRPr="0062730E" w:rsidRDefault="00FD2CBB" w:rsidP="00CD256D">
            <w:pPr>
              <w:spacing w:beforeLines="20" w:before="48" w:afterLines="20" w:after="48" w:line="240" w:lineRule="auto"/>
              <w:jc w:val="center"/>
              <w:rPr>
                <w:rFonts w:asciiTheme="minorHAnsi" w:eastAsia="Times New Roman" w:hAnsiTheme="minorHAnsi" w:cstheme="minorHAnsi"/>
              </w:rPr>
            </w:pPr>
            <w:r w:rsidRPr="0062730E">
              <w:rPr>
                <w:rFonts w:asciiTheme="minorHAnsi" w:eastAsia="Times New Roman" w:hAnsiTheme="minorHAnsi" w:cstheme="minorHAnsi"/>
              </w:rPr>
              <w:t>92%</w:t>
            </w:r>
          </w:p>
        </w:tc>
      </w:tr>
      <w:tr w:rsidR="00FD2CBB" w:rsidRPr="009B35AC" w14:paraId="4DE5394E" w14:textId="77777777" w:rsidTr="0062730E">
        <w:trPr>
          <w:trHeight w:val="309"/>
        </w:trPr>
        <w:tc>
          <w:tcPr>
            <w:tcW w:w="1448" w:type="dxa"/>
            <w:shd w:val="clear" w:color="auto" w:fill="FF7C80"/>
            <w:noWrap/>
            <w:vAlign w:val="center"/>
            <w:hideMark/>
          </w:tcPr>
          <w:p w14:paraId="17ECDFC5" w14:textId="77777777" w:rsidR="00FD2CBB" w:rsidRPr="0062730E" w:rsidRDefault="00FD2CBB" w:rsidP="00CD256D">
            <w:pPr>
              <w:spacing w:beforeLines="20" w:before="48" w:afterLines="20" w:after="48" w:line="240" w:lineRule="auto"/>
              <w:jc w:val="center"/>
              <w:rPr>
                <w:rFonts w:asciiTheme="minorHAnsi" w:eastAsia="Times New Roman" w:hAnsiTheme="minorHAnsi" w:cstheme="minorHAnsi"/>
                <w:i/>
                <w:color w:val="000000"/>
              </w:rPr>
            </w:pPr>
            <w:r w:rsidRPr="0062730E">
              <w:rPr>
                <w:rFonts w:asciiTheme="minorHAnsi" w:eastAsia="Times New Roman" w:hAnsiTheme="minorHAnsi" w:cstheme="minorHAnsi"/>
                <w:i/>
                <w:color w:val="000000"/>
              </w:rPr>
              <w:t>TO_032</w:t>
            </w:r>
          </w:p>
        </w:tc>
        <w:tc>
          <w:tcPr>
            <w:tcW w:w="2516" w:type="dxa"/>
            <w:shd w:val="clear" w:color="000000" w:fill="FFFFFF"/>
            <w:noWrap/>
            <w:vAlign w:val="center"/>
            <w:hideMark/>
          </w:tcPr>
          <w:p w14:paraId="75514422" w14:textId="77777777" w:rsidR="00FD2CBB" w:rsidRPr="0062730E" w:rsidRDefault="00FD2CBB" w:rsidP="00CD256D">
            <w:pPr>
              <w:spacing w:beforeLines="20" w:before="48" w:afterLines="20" w:after="48" w:line="240" w:lineRule="auto"/>
              <w:jc w:val="center"/>
              <w:rPr>
                <w:rFonts w:asciiTheme="minorHAnsi" w:eastAsia="Times New Roman" w:hAnsiTheme="minorHAnsi" w:cstheme="minorHAnsi"/>
              </w:rPr>
            </w:pPr>
            <w:r w:rsidRPr="0062730E">
              <w:rPr>
                <w:rFonts w:asciiTheme="minorHAnsi" w:eastAsia="Times New Roman" w:hAnsiTheme="minorHAnsi" w:cstheme="minorHAnsi"/>
              </w:rPr>
              <w:t>Perosa (TO)</w:t>
            </w:r>
          </w:p>
        </w:tc>
        <w:tc>
          <w:tcPr>
            <w:tcW w:w="1537" w:type="dxa"/>
            <w:noWrap/>
            <w:vAlign w:val="center"/>
            <w:hideMark/>
          </w:tcPr>
          <w:p w14:paraId="49AFB5B3" w14:textId="77777777" w:rsidR="00FD2CBB" w:rsidRPr="0062730E" w:rsidRDefault="00FD2CBB" w:rsidP="00CD256D">
            <w:pPr>
              <w:spacing w:beforeLines="20" w:before="48" w:afterLines="20" w:after="48" w:line="240" w:lineRule="auto"/>
              <w:jc w:val="center"/>
              <w:rPr>
                <w:rFonts w:asciiTheme="minorHAnsi" w:eastAsia="Times New Roman" w:hAnsiTheme="minorHAnsi" w:cstheme="minorHAnsi"/>
              </w:rPr>
            </w:pPr>
            <w:r w:rsidRPr="0062730E">
              <w:rPr>
                <w:rFonts w:asciiTheme="minorHAnsi" w:eastAsia="Times New Roman" w:hAnsiTheme="minorHAnsi" w:cstheme="minorHAnsi"/>
              </w:rPr>
              <w:t>28</w:t>
            </w:r>
          </w:p>
        </w:tc>
        <w:tc>
          <w:tcPr>
            <w:tcW w:w="1302" w:type="dxa"/>
            <w:noWrap/>
            <w:vAlign w:val="center"/>
            <w:hideMark/>
          </w:tcPr>
          <w:p w14:paraId="74DA7CD9" w14:textId="77777777" w:rsidR="00FD2CBB" w:rsidRPr="0062730E" w:rsidRDefault="00FD2CBB" w:rsidP="00CD256D">
            <w:pPr>
              <w:spacing w:beforeLines="20" w:before="48" w:afterLines="20" w:after="48" w:line="240" w:lineRule="auto"/>
              <w:jc w:val="center"/>
              <w:rPr>
                <w:rFonts w:asciiTheme="minorHAnsi" w:eastAsia="Times New Roman" w:hAnsiTheme="minorHAnsi" w:cstheme="minorHAnsi"/>
              </w:rPr>
            </w:pPr>
            <w:r w:rsidRPr="0062730E">
              <w:rPr>
                <w:rFonts w:asciiTheme="minorHAnsi" w:eastAsia="Times New Roman" w:hAnsiTheme="minorHAnsi" w:cstheme="minorHAnsi"/>
              </w:rPr>
              <w:t>4704</w:t>
            </w:r>
          </w:p>
        </w:tc>
        <w:tc>
          <w:tcPr>
            <w:tcW w:w="1155" w:type="dxa"/>
            <w:noWrap/>
            <w:vAlign w:val="center"/>
            <w:hideMark/>
          </w:tcPr>
          <w:p w14:paraId="7CF49574" w14:textId="77777777" w:rsidR="00FD2CBB" w:rsidRPr="0062730E" w:rsidRDefault="00FD2CBB" w:rsidP="00CD256D">
            <w:pPr>
              <w:spacing w:beforeLines="20" w:before="48" w:afterLines="20" w:after="48" w:line="240" w:lineRule="auto"/>
              <w:jc w:val="center"/>
              <w:rPr>
                <w:rFonts w:asciiTheme="minorHAnsi" w:eastAsia="Times New Roman" w:hAnsiTheme="minorHAnsi" w:cstheme="minorHAnsi"/>
              </w:rPr>
            </w:pPr>
            <w:r w:rsidRPr="0062730E">
              <w:rPr>
                <w:rFonts w:asciiTheme="minorHAnsi" w:eastAsia="Times New Roman" w:hAnsiTheme="minorHAnsi" w:cstheme="minorHAnsi"/>
              </w:rPr>
              <w:t>540</w:t>
            </w:r>
          </w:p>
        </w:tc>
        <w:tc>
          <w:tcPr>
            <w:tcW w:w="1109" w:type="dxa"/>
            <w:noWrap/>
            <w:vAlign w:val="center"/>
            <w:hideMark/>
          </w:tcPr>
          <w:p w14:paraId="4E167076" w14:textId="77777777" w:rsidR="00FD2CBB" w:rsidRPr="0062730E" w:rsidRDefault="00FD2CBB" w:rsidP="00CD256D">
            <w:pPr>
              <w:spacing w:beforeLines="20" w:before="48" w:afterLines="20" w:after="48" w:line="240" w:lineRule="auto"/>
              <w:jc w:val="center"/>
              <w:rPr>
                <w:rFonts w:asciiTheme="minorHAnsi" w:eastAsia="Times New Roman" w:hAnsiTheme="minorHAnsi" w:cstheme="minorHAnsi"/>
              </w:rPr>
            </w:pPr>
            <w:r w:rsidRPr="0062730E">
              <w:rPr>
                <w:rFonts w:asciiTheme="minorHAnsi" w:eastAsia="Times New Roman" w:hAnsiTheme="minorHAnsi" w:cstheme="minorHAnsi"/>
              </w:rPr>
              <w:t>90%</w:t>
            </w:r>
          </w:p>
        </w:tc>
      </w:tr>
      <w:tr w:rsidR="00FD2CBB" w:rsidRPr="009B35AC" w14:paraId="30DBEE03" w14:textId="77777777" w:rsidTr="0062730E">
        <w:trPr>
          <w:trHeight w:val="309"/>
        </w:trPr>
        <w:tc>
          <w:tcPr>
            <w:tcW w:w="1448" w:type="dxa"/>
            <w:shd w:val="clear" w:color="auto" w:fill="FF7C80"/>
            <w:noWrap/>
            <w:vAlign w:val="center"/>
            <w:hideMark/>
          </w:tcPr>
          <w:p w14:paraId="6DD44863" w14:textId="77777777" w:rsidR="00FD2CBB" w:rsidRPr="0062730E" w:rsidRDefault="00FD2CBB" w:rsidP="00CD256D">
            <w:pPr>
              <w:spacing w:beforeLines="20" w:before="48" w:afterLines="20" w:after="48" w:line="240" w:lineRule="auto"/>
              <w:jc w:val="center"/>
              <w:rPr>
                <w:rFonts w:asciiTheme="minorHAnsi" w:eastAsia="Times New Roman" w:hAnsiTheme="minorHAnsi" w:cstheme="minorHAnsi"/>
                <w:i/>
                <w:color w:val="000000"/>
              </w:rPr>
            </w:pPr>
            <w:r w:rsidRPr="0062730E">
              <w:rPr>
                <w:rFonts w:asciiTheme="minorHAnsi" w:eastAsia="Times New Roman" w:hAnsiTheme="minorHAnsi" w:cstheme="minorHAnsi"/>
                <w:i/>
                <w:color w:val="000000"/>
              </w:rPr>
              <w:t>TO_035</w:t>
            </w:r>
          </w:p>
        </w:tc>
        <w:tc>
          <w:tcPr>
            <w:tcW w:w="2516" w:type="dxa"/>
            <w:shd w:val="clear" w:color="000000" w:fill="FFFFFF"/>
            <w:noWrap/>
            <w:vAlign w:val="center"/>
            <w:hideMark/>
          </w:tcPr>
          <w:p w14:paraId="03EA031E" w14:textId="3EF4E873" w:rsidR="00FD2CBB" w:rsidRPr="0062730E" w:rsidRDefault="00FD2CBB" w:rsidP="00CD256D">
            <w:pPr>
              <w:spacing w:beforeLines="20" w:before="48" w:afterLines="20" w:after="48" w:line="240" w:lineRule="auto"/>
              <w:jc w:val="center"/>
              <w:rPr>
                <w:rFonts w:asciiTheme="minorHAnsi" w:eastAsia="Times New Roman" w:hAnsiTheme="minorHAnsi" w:cstheme="minorHAnsi"/>
              </w:rPr>
            </w:pPr>
            <w:r w:rsidRPr="0062730E">
              <w:rPr>
                <w:rFonts w:asciiTheme="minorHAnsi" w:eastAsia="Times New Roman" w:hAnsiTheme="minorHAnsi" w:cstheme="minorHAnsi"/>
              </w:rPr>
              <w:t>Salbertrand (TO)</w:t>
            </w:r>
          </w:p>
        </w:tc>
        <w:tc>
          <w:tcPr>
            <w:tcW w:w="1537" w:type="dxa"/>
            <w:noWrap/>
            <w:vAlign w:val="center"/>
            <w:hideMark/>
          </w:tcPr>
          <w:p w14:paraId="438640D5" w14:textId="77777777" w:rsidR="00FD2CBB" w:rsidRPr="0062730E" w:rsidRDefault="00FD2CBB" w:rsidP="00CD256D">
            <w:pPr>
              <w:spacing w:beforeLines="20" w:before="48" w:afterLines="20" w:after="48" w:line="240" w:lineRule="auto"/>
              <w:jc w:val="center"/>
              <w:rPr>
                <w:rFonts w:asciiTheme="minorHAnsi" w:eastAsia="Times New Roman" w:hAnsiTheme="minorHAnsi" w:cstheme="minorHAnsi"/>
              </w:rPr>
            </w:pPr>
            <w:r w:rsidRPr="0062730E">
              <w:rPr>
                <w:rFonts w:asciiTheme="minorHAnsi" w:eastAsia="Times New Roman" w:hAnsiTheme="minorHAnsi" w:cstheme="minorHAnsi"/>
              </w:rPr>
              <w:t>11</w:t>
            </w:r>
          </w:p>
        </w:tc>
        <w:tc>
          <w:tcPr>
            <w:tcW w:w="1302" w:type="dxa"/>
            <w:noWrap/>
            <w:vAlign w:val="center"/>
            <w:hideMark/>
          </w:tcPr>
          <w:p w14:paraId="1072084B" w14:textId="77777777" w:rsidR="00FD2CBB" w:rsidRPr="0062730E" w:rsidRDefault="00FD2CBB" w:rsidP="00CD256D">
            <w:pPr>
              <w:spacing w:beforeLines="20" w:before="48" w:afterLines="20" w:after="48" w:line="240" w:lineRule="auto"/>
              <w:jc w:val="center"/>
              <w:rPr>
                <w:rFonts w:asciiTheme="minorHAnsi" w:eastAsia="Times New Roman" w:hAnsiTheme="minorHAnsi" w:cstheme="minorHAnsi"/>
              </w:rPr>
            </w:pPr>
            <w:r w:rsidRPr="0062730E">
              <w:rPr>
                <w:rFonts w:asciiTheme="minorHAnsi" w:eastAsia="Times New Roman" w:hAnsiTheme="minorHAnsi" w:cstheme="minorHAnsi"/>
              </w:rPr>
              <w:t>1555</w:t>
            </w:r>
          </w:p>
        </w:tc>
        <w:tc>
          <w:tcPr>
            <w:tcW w:w="1155" w:type="dxa"/>
            <w:noWrap/>
            <w:vAlign w:val="center"/>
            <w:hideMark/>
          </w:tcPr>
          <w:p w14:paraId="01B4E1B8" w14:textId="77777777" w:rsidR="00FD2CBB" w:rsidRPr="0062730E" w:rsidRDefault="00FD2CBB" w:rsidP="00CD256D">
            <w:pPr>
              <w:spacing w:beforeLines="20" w:before="48" w:afterLines="20" w:after="48" w:line="240" w:lineRule="auto"/>
              <w:jc w:val="center"/>
              <w:rPr>
                <w:rFonts w:asciiTheme="minorHAnsi" w:eastAsia="Times New Roman" w:hAnsiTheme="minorHAnsi" w:cstheme="minorHAnsi"/>
              </w:rPr>
            </w:pPr>
            <w:r w:rsidRPr="0062730E">
              <w:rPr>
                <w:rFonts w:asciiTheme="minorHAnsi" w:eastAsia="Times New Roman" w:hAnsiTheme="minorHAnsi" w:cstheme="minorHAnsi"/>
              </w:rPr>
              <w:t>355</w:t>
            </w:r>
          </w:p>
        </w:tc>
        <w:tc>
          <w:tcPr>
            <w:tcW w:w="1109" w:type="dxa"/>
            <w:noWrap/>
            <w:vAlign w:val="center"/>
            <w:hideMark/>
          </w:tcPr>
          <w:p w14:paraId="1343F35D" w14:textId="77777777" w:rsidR="00FD2CBB" w:rsidRPr="0062730E" w:rsidRDefault="00FD2CBB" w:rsidP="00CD256D">
            <w:pPr>
              <w:spacing w:beforeLines="20" w:before="48" w:afterLines="20" w:after="48" w:line="240" w:lineRule="auto"/>
              <w:jc w:val="center"/>
              <w:rPr>
                <w:rFonts w:asciiTheme="minorHAnsi" w:eastAsia="Times New Roman" w:hAnsiTheme="minorHAnsi" w:cstheme="minorHAnsi"/>
              </w:rPr>
            </w:pPr>
            <w:r w:rsidRPr="0062730E">
              <w:rPr>
                <w:rFonts w:asciiTheme="minorHAnsi" w:eastAsia="Times New Roman" w:hAnsiTheme="minorHAnsi" w:cstheme="minorHAnsi"/>
              </w:rPr>
              <w:t>81%</w:t>
            </w:r>
          </w:p>
        </w:tc>
      </w:tr>
      <w:tr w:rsidR="00FD2CBB" w:rsidRPr="009B35AC" w14:paraId="51F64E5A" w14:textId="77777777" w:rsidTr="0062730E">
        <w:trPr>
          <w:trHeight w:val="309"/>
        </w:trPr>
        <w:tc>
          <w:tcPr>
            <w:tcW w:w="1448" w:type="dxa"/>
            <w:shd w:val="clear" w:color="auto" w:fill="FF7C80"/>
            <w:noWrap/>
            <w:vAlign w:val="center"/>
            <w:hideMark/>
          </w:tcPr>
          <w:p w14:paraId="0046AE8D" w14:textId="77777777" w:rsidR="00FD2CBB" w:rsidRPr="0062730E" w:rsidRDefault="00FD2CBB" w:rsidP="00CD256D">
            <w:pPr>
              <w:spacing w:beforeLines="20" w:before="48" w:afterLines="20" w:after="48" w:line="240" w:lineRule="auto"/>
              <w:jc w:val="center"/>
              <w:rPr>
                <w:rFonts w:asciiTheme="minorHAnsi" w:eastAsia="Times New Roman" w:hAnsiTheme="minorHAnsi" w:cstheme="minorHAnsi"/>
                <w:i/>
                <w:color w:val="000000"/>
              </w:rPr>
            </w:pPr>
            <w:r w:rsidRPr="0062730E">
              <w:rPr>
                <w:rFonts w:asciiTheme="minorHAnsi" w:eastAsia="Times New Roman" w:hAnsiTheme="minorHAnsi" w:cstheme="minorHAnsi"/>
                <w:i/>
                <w:color w:val="000000"/>
              </w:rPr>
              <w:t>TO_037</w:t>
            </w:r>
          </w:p>
        </w:tc>
        <w:tc>
          <w:tcPr>
            <w:tcW w:w="2516" w:type="dxa"/>
            <w:shd w:val="clear" w:color="000000" w:fill="FFFFFF"/>
            <w:noWrap/>
            <w:vAlign w:val="center"/>
            <w:hideMark/>
          </w:tcPr>
          <w:p w14:paraId="32A31950" w14:textId="77777777" w:rsidR="00FD2CBB" w:rsidRPr="0062730E" w:rsidRDefault="00FD2CBB" w:rsidP="00CD256D">
            <w:pPr>
              <w:spacing w:beforeLines="20" w:before="48" w:afterLines="20" w:after="48" w:line="240" w:lineRule="auto"/>
              <w:jc w:val="center"/>
              <w:rPr>
                <w:rFonts w:asciiTheme="minorHAnsi" w:eastAsia="Times New Roman" w:hAnsiTheme="minorHAnsi" w:cstheme="minorHAnsi"/>
              </w:rPr>
            </w:pPr>
            <w:r w:rsidRPr="0062730E">
              <w:rPr>
                <w:rFonts w:asciiTheme="minorHAnsi" w:eastAsia="Times New Roman" w:hAnsiTheme="minorHAnsi" w:cstheme="minorHAnsi"/>
              </w:rPr>
              <w:t>Cumiana (TO)</w:t>
            </w:r>
          </w:p>
        </w:tc>
        <w:tc>
          <w:tcPr>
            <w:tcW w:w="1537" w:type="dxa"/>
            <w:noWrap/>
            <w:vAlign w:val="center"/>
            <w:hideMark/>
          </w:tcPr>
          <w:p w14:paraId="360ECD7C" w14:textId="77777777" w:rsidR="00FD2CBB" w:rsidRPr="0062730E" w:rsidRDefault="00FD2CBB" w:rsidP="00CD256D">
            <w:pPr>
              <w:spacing w:beforeLines="20" w:before="48" w:afterLines="20" w:after="48" w:line="240" w:lineRule="auto"/>
              <w:jc w:val="center"/>
              <w:rPr>
                <w:rFonts w:asciiTheme="minorHAnsi" w:eastAsia="Times New Roman" w:hAnsiTheme="minorHAnsi" w:cstheme="minorHAnsi"/>
              </w:rPr>
            </w:pPr>
            <w:r w:rsidRPr="0062730E">
              <w:rPr>
                <w:rFonts w:asciiTheme="minorHAnsi" w:eastAsia="Times New Roman" w:hAnsiTheme="minorHAnsi" w:cstheme="minorHAnsi"/>
              </w:rPr>
              <w:t>24</w:t>
            </w:r>
          </w:p>
        </w:tc>
        <w:tc>
          <w:tcPr>
            <w:tcW w:w="1302" w:type="dxa"/>
            <w:noWrap/>
            <w:vAlign w:val="center"/>
            <w:hideMark/>
          </w:tcPr>
          <w:p w14:paraId="70EDD17B" w14:textId="77777777" w:rsidR="00FD2CBB" w:rsidRPr="0062730E" w:rsidRDefault="00FD2CBB" w:rsidP="00CD256D">
            <w:pPr>
              <w:spacing w:beforeLines="20" w:before="48" w:afterLines="20" w:after="48" w:line="240" w:lineRule="auto"/>
              <w:jc w:val="center"/>
              <w:rPr>
                <w:rFonts w:asciiTheme="minorHAnsi" w:eastAsia="Times New Roman" w:hAnsiTheme="minorHAnsi" w:cstheme="minorHAnsi"/>
              </w:rPr>
            </w:pPr>
            <w:r w:rsidRPr="0062730E">
              <w:rPr>
                <w:rFonts w:asciiTheme="minorHAnsi" w:eastAsia="Times New Roman" w:hAnsiTheme="minorHAnsi" w:cstheme="minorHAnsi"/>
              </w:rPr>
              <w:t>3397</w:t>
            </w:r>
          </w:p>
        </w:tc>
        <w:tc>
          <w:tcPr>
            <w:tcW w:w="1155" w:type="dxa"/>
            <w:noWrap/>
            <w:vAlign w:val="center"/>
            <w:hideMark/>
          </w:tcPr>
          <w:p w14:paraId="6E8A47CD" w14:textId="77777777" w:rsidR="00FD2CBB" w:rsidRPr="0062730E" w:rsidRDefault="00FD2CBB" w:rsidP="00CD256D">
            <w:pPr>
              <w:spacing w:beforeLines="20" w:before="48" w:afterLines="20" w:after="48" w:line="240" w:lineRule="auto"/>
              <w:jc w:val="center"/>
              <w:rPr>
                <w:rFonts w:asciiTheme="minorHAnsi" w:eastAsia="Times New Roman" w:hAnsiTheme="minorHAnsi" w:cstheme="minorHAnsi"/>
              </w:rPr>
            </w:pPr>
            <w:r w:rsidRPr="0062730E">
              <w:rPr>
                <w:rFonts w:asciiTheme="minorHAnsi" w:eastAsia="Times New Roman" w:hAnsiTheme="minorHAnsi" w:cstheme="minorHAnsi"/>
              </w:rPr>
              <w:t>403</w:t>
            </w:r>
          </w:p>
        </w:tc>
        <w:tc>
          <w:tcPr>
            <w:tcW w:w="1109" w:type="dxa"/>
            <w:noWrap/>
            <w:vAlign w:val="center"/>
            <w:hideMark/>
          </w:tcPr>
          <w:p w14:paraId="49F187DF" w14:textId="77777777" w:rsidR="00FD2CBB" w:rsidRPr="0062730E" w:rsidRDefault="00FD2CBB" w:rsidP="00CD256D">
            <w:pPr>
              <w:spacing w:beforeLines="20" w:before="48" w:afterLines="20" w:after="48" w:line="240" w:lineRule="auto"/>
              <w:jc w:val="center"/>
              <w:rPr>
                <w:rFonts w:asciiTheme="minorHAnsi" w:eastAsia="Times New Roman" w:hAnsiTheme="minorHAnsi" w:cstheme="minorHAnsi"/>
              </w:rPr>
            </w:pPr>
            <w:r w:rsidRPr="0062730E">
              <w:rPr>
                <w:rFonts w:asciiTheme="minorHAnsi" w:eastAsia="Times New Roman" w:hAnsiTheme="minorHAnsi" w:cstheme="minorHAnsi"/>
              </w:rPr>
              <w:t>89%</w:t>
            </w:r>
          </w:p>
        </w:tc>
      </w:tr>
      <w:tr w:rsidR="00FD2CBB" w:rsidRPr="009B35AC" w14:paraId="16333512" w14:textId="77777777" w:rsidTr="0062730E">
        <w:trPr>
          <w:trHeight w:val="309"/>
        </w:trPr>
        <w:tc>
          <w:tcPr>
            <w:tcW w:w="1448" w:type="dxa"/>
            <w:shd w:val="clear" w:color="auto" w:fill="FF7C80"/>
            <w:noWrap/>
            <w:vAlign w:val="center"/>
            <w:hideMark/>
          </w:tcPr>
          <w:p w14:paraId="7128B273" w14:textId="77777777" w:rsidR="00FD2CBB" w:rsidRPr="0062730E" w:rsidRDefault="00FD2CBB" w:rsidP="00CD256D">
            <w:pPr>
              <w:spacing w:beforeLines="20" w:before="48" w:afterLines="20" w:after="48" w:line="240" w:lineRule="auto"/>
              <w:jc w:val="center"/>
              <w:rPr>
                <w:rFonts w:asciiTheme="minorHAnsi" w:eastAsia="Times New Roman" w:hAnsiTheme="minorHAnsi" w:cstheme="minorHAnsi"/>
                <w:i/>
                <w:color w:val="000000"/>
              </w:rPr>
            </w:pPr>
            <w:r w:rsidRPr="0062730E">
              <w:rPr>
                <w:rFonts w:asciiTheme="minorHAnsi" w:eastAsia="Times New Roman" w:hAnsiTheme="minorHAnsi" w:cstheme="minorHAnsi"/>
                <w:i/>
                <w:color w:val="000000"/>
              </w:rPr>
              <w:t>TO_039</w:t>
            </w:r>
          </w:p>
        </w:tc>
        <w:tc>
          <w:tcPr>
            <w:tcW w:w="2516" w:type="dxa"/>
            <w:shd w:val="clear" w:color="000000" w:fill="FFFFFF"/>
            <w:noWrap/>
            <w:vAlign w:val="center"/>
            <w:hideMark/>
          </w:tcPr>
          <w:p w14:paraId="4152EB3A" w14:textId="77777777" w:rsidR="00FD2CBB" w:rsidRPr="0062730E" w:rsidRDefault="00FD2CBB" w:rsidP="00CD256D">
            <w:pPr>
              <w:spacing w:beforeLines="20" w:before="48" w:afterLines="20" w:after="48" w:line="240" w:lineRule="auto"/>
              <w:jc w:val="center"/>
              <w:rPr>
                <w:rFonts w:asciiTheme="minorHAnsi" w:eastAsia="Times New Roman" w:hAnsiTheme="minorHAnsi" w:cstheme="minorHAnsi"/>
              </w:rPr>
            </w:pPr>
            <w:r w:rsidRPr="0062730E">
              <w:rPr>
                <w:rFonts w:asciiTheme="minorHAnsi" w:eastAsia="Times New Roman" w:hAnsiTheme="minorHAnsi" w:cstheme="minorHAnsi"/>
              </w:rPr>
              <w:t>Giaveno (TO)</w:t>
            </w:r>
          </w:p>
        </w:tc>
        <w:tc>
          <w:tcPr>
            <w:tcW w:w="1537" w:type="dxa"/>
            <w:noWrap/>
            <w:vAlign w:val="center"/>
            <w:hideMark/>
          </w:tcPr>
          <w:p w14:paraId="2516D6E1" w14:textId="77777777" w:rsidR="00FD2CBB" w:rsidRPr="0062730E" w:rsidRDefault="00FD2CBB" w:rsidP="00CD256D">
            <w:pPr>
              <w:spacing w:beforeLines="20" w:before="48" w:afterLines="20" w:after="48" w:line="240" w:lineRule="auto"/>
              <w:jc w:val="center"/>
              <w:rPr>
                <w:rFonts w:asciiTheme="minorHAnsi" w:eastAsia="Times New Roman" w:hAnsiTheme="minorHAnsi" w:cstheme="minorHAnsi"/>
              </w:rPr>
            </w:pPr>
            <w:r w:rsidRPr="0062730E">
              <w:rPr>
                <w:rFonts w:asciiTheme="minorHAnsi" w:eastAsia="Times New Roman" w:hAnsiTheme="minorHAnsi" w:cstheme="minorHAnsi"/>
              </w:rPr>
              <w:t>27</w:t>
            </w:r>
          </w:p>
        </w:tc>
        <w:tc>
          <w:tcPr>
            <w:tcW w:w="1302" w:type="dxa"/>
            <w:noWrap/>
            <w:vAlign w:val="center"/>
            <w:hideMark/>
          </w:tcPr>
          <w:p w14:paraId="783E4229" w14:textId="77777777" w:rsidR="00FD2CBB" w:rsidRPr="0062730E" w:rsidRDefault="00FD2CBB" w:rsidP="00CD256D">
            <w:pPr>
              <w:spacing w:beforeLines="20" w:before="48" w:afterLines="20" w:after="48" w:line="240" w:lineRule="auto"/>
              <w:jc w:val="center"/>
              <w:rPr>
                <w:rFonts w:asciiTheme="minorHAnsi" w:eastAsia="Times New Roman" w:hAnsiTheme="minorHAnsi" w:cstheme="minorHAnsi"/>
              </w:rPr>
            </w:pPr>
            <w:r w:rsidRPr="0062730E">
              <w:rPr>
                <w:rFonts w:asciiTheme="minorHAnsi" w:eastAsia="Times New Roman" w:hAnsiTheme="minorHAnsi" w:cstheme="minorHAnsi"/>
              </w:rPr>
              <w:t>4534</w:t>
            </w:r>
          </w:p>
        </w:tc>
        <w:tc>
          <w:tcPr>
            <w:tcW w:w="1155" w:type="dxa"/>
            <w:noWrap/>
            <w:vAlign w:val="center"/>
            <w:hideMark/>
          </w:tcPr>
          <w:p w14:paraId="077D2997" w14:textId="77777777" w:rsidR="00FD2CBB" w:rsidRPr="0062730E" w:rsidRDefault="00FD2CBB" w:rsidP="00CD256D">
            <w:pPr>
              <w:spacing w:beforeLines="20" w:before="48" w:afterLines="20" w:after="48" w:line="240" w:lineRule="auto"/>
              <w:jc w:val="center"/>
              <w:rPr>
                <w:rFonts w:asciiTheme="minorHAnsi" w:eastAsia="Times New Roman" w:hAnsiTheme="minorHAnsi" w:cstheme="minorHAnsi"/>
              </w:rPr>
            </w:pPr>
            <w:r w:rsidRPr="0062730E">
              <w:rPr>
                <w:rFonts w:asciiTheme="minorHAnsi" w:eastAsia="Times New Roman" w:hAnsiTheme="minorHAnsi" w:cstheme="minorHAnsi"/>
              </w:rPr>
              <w:t>600</w:t>
            </w:r>
          </w:p>
        </w:tc>
        <w:tc>
          <w:tcPr>
            <w:tcW w:w="1109" w:type="dxa"/>
            <w:noWrap/>
            <w:vAlign w:val="center"/>
            <w:hideMark/>
          </w:tcPr>
          <w:p w14:paraId="67B141B9" w14:textId="77777777" w:rsidR="00FD2CBB" w:rsidRPr="0062730E" w:rsidRDefault="00FD2CBB" w:rsidP="00CD256D">
            <w:pPr>
              <w:spacing w:beforeLines="20" w:before="48" w:afterLines="20" w:after="48" w:line="240" w:lineRule="auto"/>
              <w:jc w:val="center"/>
              <w:rPr>
                <w:rFonts w:asciiTheme="minorHAnsi" w:eastAsia="Times New Roman" w:hAnsiTheme="minorHAnsi" w:cstheme="minorHAnsi"/>
              </w:rPr>
            </w:pPr>
            <w:r w:rsidRPr="0062730E">
              <w:rPr>
                <w:rFonts w:asciiTheme="minorHAnsi" w:eastAsia="Times New Roman" w:hAnsiTheme="minorHAnsi" w:cstheme="minorHAnsi"/>
              </w:rPr>
              <w:t>88%</w:t>
            </w:r>
          </w:p>
        </w:tc>
      </w:tr>
      <w:tr w:rsidR="00FD2CBB" w:rsidRPr="009B35AC" w14:paraId="125D6472" w14:textId="77777777" w:rsidTr="0062730E">
        <w:trPr>
          <w:trHeight w:val="309"/>
        </w:trPr>
        <w:tc>
          <w:tcPr>
            <w:tcW w:w="1448" w:type="dxa"/>
            <w:shd w:val="clear" w:color="auto" w:fill="FF7C80"/>
            <w:noWrap/>
            <w:vAlign w:val="center"/>
            <w:hideMark/>
          </w:tcPr>
          <w:p w14:paraId="4587A55E" w14:textId="77777777" w:rsidR="00FD2CBB" w:rsidRPr="0062730E" w:rsidRDefault="00FD2CBB" w:rsidP="00CD256D">
            <w:pPr>
              <w:spacing w:beforeLines="20" w:before="48" w:afterLines="20" w:after="48" w:line="240" w:lineRule="auto"/>
              <w:jc w:val="center"/>
              <w:rPr>
                <w:rFonts w:asciiTheme="minorHAnsi" w:eastAsia="Times New Roman" w:hAnsiTheme="minorHAnsi" w:cstheme="minorHAnsi"/>
                <w:i/>
                <w:color w:val="000000"/>
              </w:rPr>
            </w:pPr>
            <w:r w:rsidRPr="0062730E">
              <w:rPr>
                <w:rFonts w:asciiTheme="minorHAnsi" w:eastAsia="Times New Roman" w:hAnsiTheme="minorHAnsi" w:cstheme="minorHAnsi"/>
                <w:i/>
                <w:color w:val="000000"/>
              </w:rPr>
              <w:t>TO_040</w:t>
            </w:r>
          </w:p>
        </w:tc>
        <w:tc>
          <w:tcPr>
            <w:tcW w:w="2516" w:type="dxa"/>
            <w:shd w:val="clear" w:color="000000" w:fill="FFFFFF"/>
            <w:noWrap/>
            <w:vAlign w:val="center"/>
            <w:hideMark/>
          </w:tcPr>
          <w:p w14:paraId="7FDFD8F7" w14:textId="77777777" w:rsidR="00FD2CBB" w:rsidRPr="0062730E" w:rsidRDefault="00FD2CBB" w:rsidP="00CD256D">
            <w:pPr>
              <w:spacing w:beforeLines="20" w:before="48" w:afterLines="20" w:after="48" w:line="240" w:lineRule="auto"/>
              <w:jc w:val="center"/>
              <w:rPr>
                <w:rFonts w:asciiTheme="minorHAnsi" w:eastAsia="Times New Roman" w:hAnsiTheme="minorHAnsi" w:cstheme="minorHAnsi"/>
              </w:rPr>
            </w:pPr>
            <w:r w:rsidRPr="0062730E">
              <w:rPr>
                <w:rFonts w:asciiTheme="minorHAnsi" w:eastAsia="Times New Roman" w:hAnsiTheme="minorHAnsi" w:cstheme="minorHAnsi"/>
              </w:rPr>
              <w:t>Ivrea (TO)</w:t>
            </w:r>
          </w:p>
        </w:tc>
        <w:tc>
          <w:tcPr>
            <w:tcW w:w="1537" w:type="dxa"/>
            <w:noWrap/>
            <w:vAlign w:val="center"/>
            <w:hideMark/>
          </w:tcPr>
          <w:p w14:paraId="4993896B" w14:textId="77777777" w:rsidR="00FD2CBB" w:rsidRPr="0062730E" w:rsidRDefault="00FD2CBB" w:rsidP="00CD256D">
            <w:pPr>
              <w:spacing w:beforeLines="20" w:before="48" w:afterLines="20" w:after="48" w:line="240" w:lineRule="auto"/>
              <w:jc w:val="center"/>
              <w:rPr>
                <w:rFonts w:asciiTheme="minorHAnsi" w:eastAsia="Times New Roman" w:hAnsiTheme="minorHAnsi" w:cstheme="minorHAnsi"/>
              </w:rPr>
            </w:pPr>
            <w:r w:rsidRPr="0062730E">
              <w:rPr>
                <w:rFonts w:asciiTheme="minorHAnsi" w:eastAsia="Times New Roman" w:hAnsiTheme="minorHAnsi" w:cstheme="minorHAnsi"/>
              </w:rPr>
              <w:t>60</w:t>
            </w:r>
          </w:p>
        </w:tc>
        <w:tc>
          <w:tcPr>
            <w:tcW w:w="1302" w:type="dxa"/>
            <w:noWrap/>
            <w:vAlign w:val="center"/>
            <w:hideMark/>
          </w:tcPr>
          <w:p w14:paraId="3C0BBA4B" w14:textId="77777777" w:rsidR="00FD2CBB" w:rsidRPr="0062730E" w:rsidRDefault="00FD2CBB" w:rsidP="00CD256D">
            <w:pPr>
              <w:spacing w:beforeLines="20" w:before="48" w:afterLines="20" w:after="48" w:line="240" w:lineRule="auto"/>
              <w:jc w:val="center"/>
              <w:rPr>
                <w:rFonts w:asciiTheme="minorHAnsi" w:eastAsia="Times New Roman" w:hAnsiTheme="minorHAnsi" w:cstheme="minorHAnsi"/>
              </w:rPr>
            </w:pPr>
            <w:r w:rsidRPr="0062730E">
              <w:rPr>
                <w:rFonts w:asciiTheme="minorHAnsi" w:eastAsia="Times New Roman" w:hAnsiTheme="minorHAnsi" w:cstheme="minorHAnsi"/>
              </w:rPr>
              <w:t>13602</w:t>
            </w:r>
          </w:p>
        </w:tc>
        <w:tc>
          <w:tcPr>
            <w:tcW w:w="1155" w:type="dxa"/>
            <w:noWrap/>
            <w:vAlign w:val="center"/>
            <w:hideMark/>
          </w:tcPr>
          <w:p w14:paraId="28F6A2B8" w14:textId="77777777" w:rsidR="00FD2CBB" w:rsidRPr="0062730E" w:rsidRDefault="00FD2CBB" w:rsidP="00CD256D">
            <w:pPr>
              <w:spacing w:beforeLines="20" w:before="48" w:afterLines="20" w:after="48" w:line="240" w:lineRule="auto"/>
              <w:jc w:val="center"/>
              <w:rPr>
                <w:rFonts w:asciiTheme="minorHAnsi" w:eastAsia="Times New Roman" w:hAnsiTheme="minorHAnsi" w:cstheme="minorHAnsi"/>
              </w:rPr>
            </w:pPr>
            <w:r w:rsidRPr="0062730E">
              <w:rPr>
                <w:rFonts w:asciiTheme="minorHAnsi" w:eastAsia="Times New Roman" w:hAnsiTheme="minorHAnsi" w:cstheme="minorHAnsi"/>
              </w:rPr>
              <w:t>2455</w:t>
            </w:r>
          </w:p>
        </w:tc>
        <w:tc>
          <w:tcPr>
            <w:tcW w:w="1109" w:type="dxa"/>
            <w:noWrap/>
            <w:vAlign w:val="center"/>
            <w:hideMark/>
          </w:tcPr>
          <w:p w14:paraId="18CD2DA9" w14:textId="77777777" w:rsidR="00FD2CBB" w:rsidRPr="0062730E" w:rsidRDefault="00FD2CBB" w:rsidP="00CD256D">
            <w:pPr>
              <w:spacing w:beforeLines="20" w:before="48" w:afterLines="20" w:after="48" w:line="240" w:lineRule="auto"/>
              <w:jc w:val="center"/>
              <w:rPr>
                <w:rFonts w:asciiTheme="minorHAnsi" w:eastAsia="Times New Roman" w:hAnsiTheme="minorHAnsi" w:cstheme="minorHAnsi"/>
              </w:rPr>
            </w:pPr>
            <w:r w:rsidRPr="0062730E">
              <w:rPr>
                <w:rFonts w:asciiTheme="minorHAnsi" w:eastAsia="Times New Roman" w:hAnsiTheme="minorHAnsi" w:cstheme="minorHAnsi"/>
              </w:rPr>
              <w:t>85%</w:t>
            </w:r>
          </w:p>
        </w:tc>
      </w:tr>
      <w:tr w:rsidR="00FD2CBB" w:rsidRPr="009B35AC" w14:paraId="356B1029" w14:textId="77777777" w:rsidTr="0062730E">
        <w:trPr>
          <w:trHeight w:val="309"/>
        </w:trPr>
        <w:tc>
          <w:tcPr>
            <w:tcW w:w="1448" w:type="dxa"/>
            <w:shd w:val="clear" w:color="auto" w:fill="FF7C80"/>
            <w:noWrap/>
            <w:vAlign w:val="center"/>
            <w:hideMark/>
          </w:tcPr>
          <w:p w14:paraId="23E317CC" w14:textId="77777777" w:rsidR="00FD2CBB" w:rsidRPr="0062730E" w:rsidRDefault="00FD2CBB" w:rsidP="00CD256D">
            <w:pPr>
              <w:spacing w:beforeLines="20" w:before="48" w:afterLines="20" w:after="48" w:line="240" w:lineRule="auto"/>
              <w:jc w:val="center"/>
              <w:rPr>
                <w:rFonts w:asciiTheme="minorHAnsi" w:eastAsia="Times New Roman" w:hAnsiTheme="minorHAnsi" w:cstheme="minorHAnsi"/>
                <w:b/>
                <w:i/>
                <w:color w:val="000000"/>
              </w:rPr>
            </w:pPr>
            <w:r w:rsidRPr="0062730E">
              <w:rPr>
                <w:rFonts w:asciiTheme="minorHAnsi" w:eastAsia="Times New Roman" w:hAnsiTheme="minorHAnsi" w:cstheme="minorHAnsi"/>
                <w:b/>
                <w:i/>
                <w:color w:val="000000"/>
              </w:rPr>
              <w:t>Totale</w:t>
            </w:r>
          </w:p>
        </w:tc>
        <w:tc>
          <w:tcPr>
            <w:tcW w:w="2516" w:type="dxa"/>
            <w:shd w:val="clear" w:color="000000" w:fill="FFFFFF"/>
            <w:noWrap/>
            <w:vAlign w:val="center"/>
            <w:hideMark/>
          </w:tcPr>
          <w:p w14:paraId="5A14B14B" w14:textId="54864FC1" w:rsidR="00FD2CBB" w:rsidRPr="0062730E" w:rsidRDefault="00FD2CBB" w:rsidP="00CD256D">
            <w:pPr>
              <w:spacing w:beforeLines="20" w:before="48" w:afterLines="20" w:after="48" w:line="240" w:lineRule="auto"/>
              <w:jc w:val="center"/>
              <w:rPr>
                <w:rFonts w:asciiTheme="minorHAnsi" w:eastAsia="Times New Roman" w:hAnsiTheme="minorHAnsi" w:cstheme="minorHAnsi"/>
                <w:b/>
              </w:rPr>
            </w:pPr>
          </w:p>
        </w:tc>
        <w:tc>
          <w:tcPr>
            <w:tcW w:w="1537" w:type="dxa"/>
            <w:noWrap/>
            <w:vAlign w:val="center"/>
            <w:hideMark/>
          </w:tcPr>
          <w:p w14:paraId="66E26F53" w14:textId="77777777" w:rsidR="00FD2CBB" w:rsidRPr="0062730E" w:rsidRDefault="00FD2CBB" w:rsidP="00CD256D">
            <w:pPr>
              <w:spacing w:beforeLines="20" w:before="48" w:afterLines="20" w:after="48" w:line="240" w:lineRule="auto"/>
              <w:jc w:val="center"/>
              <w:rPr>
                <w:rFonts w:asciiTheme="minorHAnsi" w:eastAsia="Times New Roman" w:hAnsiTheme="minorHAnsi" w:cstheme="minorHAnsi"/>
                <w:b/>
              </w:rPr>
            </w:pPr>
            <w:r w:rsidRPr="0062730E">
              <w:rPr>
                <w:rFonts w:asciiTheme="minorHAnsi" w:eastAsia="Times New Roman" w:hAnsiTheme="minorHAnsi" w:cstheme="minorHAnsi"/>
                <w:b/>
              </w:rPr>
              <w:t>483</w:t>
            </w:r>
          </w:p>
        </w:tc>
        <w:tc>
          <w:tcPr>
            <w:tcW w:w="1302" w:type="dxa"/>
            <w:noWrap/>
            <w:vAlign w:val="center"/>
            <w:hideMark/>
          </w:tcPr>
          <w:p w14:paraId="17D59E45" w14:textId="77777777" w:rsidR="00FD2CBB" w:rsidRPr="0062730E" w:rsidRDefault="00FD2CBB" w:rsidP="00CD256D">
            <w:pPr>
              <w:spacing w:beforeLines="20" w:before="48" w:afterLines="20" w:after="48" w:line="240" w:lineRule="auto"/>
              <w:jc w:val="center"/>
              <w:rPr>
                <w:rFonts w:asciiTheme="minorHAnsi" w:eastAsia="Times New Roman" w:hAnsiTheme="minorHAnsi" w:cstheme="minorHAnsi"/>
                <w:b/>
              </w:rPr>
            </w:pPr>
            <w:r w:rsidRPr="0062730E">
              <w:rPr>
                <w:rFonts w:asciiTheme="minorHAnsi" w:eastAsia="Times New Roman" w:hAnsiTheme="minorHAnsi" w:cstheme="minorHAnsi"/>
                <w:b/>
              </w:rPr>
              <w:t>88.006</w:t>
            </w:r>
          </w:p>
        </w:tc>
        <w:tc>
          <w:tcPr>
            <w:tcW w:w="1155" w:type="dxa"/>
            <w:noWrap/>
            <w:vAlign w:val="center"/>
            <w:hideMark/>
          </w:tcPr>
          <w:p w14:paraId="79256BBE" w14:textId="77777777" w:rsidR="00FD2CBB" w:rsidRPr="0062730E" w:rsidRDefault="00FD2CBB" w:rsidP="00CD256D">
            <w:pPr>
              <w:spacing w:beforeLines="20" w:before="48" w:afterLines="20" w:after="48" w:line="240" w:lineRule="auto"/>
              <w:jc w:val="center"/>
              <w:rPr>
                <w:rFonts w:asciiTheme="minorHAnsi" w:eastAsia="Times New Roman" w:hAnsiTheme="minorHAnsi" w:cstheme="minorHAnsi"/>
                <w:b/>
              </w:rPr>
            </w:pPr>
            <w:r w:rsidRPr="0062730E">
              <w:rPr>
                <w:rFonts w:asciiTheme="minorHAnsi" w:eastAsia="Times New Roman" w:hAnsiTheme="minorHAnsi" w:cstheme="minorHAnsi"/>
                <w:b/>
              </w:rPr>
              <w:t>12.670</w:t>
            </w:r>
          </w:p>
        </w:tc>
        <w:tc>
          <w:tcPr>
            <w:tcW w:w="1109" w:type="dxa"/>
            <w:noWrap/>
            <w:vAlign w:val="center"/>
            <w:hideMark/>
          </w:tcPr>
          <w:p w14:paraId="2BA35E72" w14:textId="3FAE7FFF" w:rsidR="00FD2CBB" w:rsidRPr="0062730E" w:rsidRDefault="00FD2CBB" w:rsidP="00CD256D">
            <w:pPr>
              <w:spacing w:beforeLines="20" w:before="48" w:afterLines="20" w:after="48" w:line="240" w:lineRule="auto"/>
              <w:jc w:val="center"/>
              <w:rPr>
                <w:rFonts w:asciiTheme="minorHAnsi" w:eastAsia="Times New Roman" w:hAnsiTheme="minorHAnsi" w:cstheme="minorHAnsi"/>
              </w:rPr>
            </w:pPr>
          </w:p>
        </w:tc>
      </w:tr>
    </w:tbl>
    <w:p w14:paraId="6757B914" w14:textId="7279DD6E" w:rsidR="00FD2CBB" w:rsidRPr="00AD01C5" w:rsidRDefault="00FD2CBB" w:rsidP="009B4EF8">
      <w:pPr>
        <w:spacing w:after="200" w:line="240" w:lineRule="auto"/>
        <w:jc w:val="center"/>
        <w:rPr>
          <w:rFonts w:eastAsia="Calibri"/>
          <w:color w:val="003366"/>
          <w:sz w:val="18"/>
          <w:szCs w:val="18"/>
        </w:rPr>
      </w:pPr>
      <w:r w:rsidRPr="00AD01C5">
        <w:rPr>
          <w:rFonts w:eastAsia="Calibri"/>
          <w:i/>
          <w:color w:val="003366"/>
          <w:sz w:val="18"/>
          <w:szCs w:val="18"/>
        </w:rPr>
        <w:t xml:space="preserve">Tabella </w:t>
      </w:r>
      <w:r w:rsidRPr="00196688">
        <w:rPr>
          <w:rFonts w:cstheme="minorHAnsi"/>
          <w:i/>
          <w:color w:val="003366"/>
          <w:sz w:val="18"/>
          <w:szCs w:val="18"/>
        </w:rPr>
        <w:fldChar w:fldCharType="begin"/>
      </w:r>
      <w:r w:rsidRPr="00196688">
        <w:rPr>
          <w:rFonts w:cstheme="minorHAnsi"/>
          <w:i/>
          <w:color w:val="003366"/>
          <w:sz w:val="18"/>
          <w:szCs w:val="18"/>
        </w:rPr>
        <w:instrText xml:space="preserve"> SEQ Tabella \* ARABIC </w:instrText>
      </w:r>
      <w:r w:rsidRPr="00196688">
        <w:rPr>
          <w:rFonts w:cstheme="minorHAnsi"/>
          <w:i/>
          <w:color w:val="003366"/>
          <w:sz w:val="18"/>
          <w:szCs w:val="18"/>
        </w:rPr>
        <w:fldChar w:fldCharType="separate"/>
      </w:r>
      <w:r w:rsidR="00073B6D">
        <w:rPr>
          <w:rFonts w:cstheme="minorHAnsi"/>
          <w:i/>
          <w:noProof/>
          <w:color w:val="003366"/>
          <w:sz w:val="18"/>
          <w:szCs w:val="18"/>
        </w:rPr>
        <w:t>45</w:t>
      </w:r>
      <w:r w:rsidRPr="00196688">
        <w:rPr>
          <w:rFonts w:cstheme="minorHAnsi"/>
          <w:i/>
          <w:color w:val="003366"/>
          <w:sz w:val="18"/>
          <w:szCs w:val="18"/>
        </w:rPr>
        <w:fldChar w:fldCharType="end"/>
      </w:r>
      <w:r>
        <w:rPr>
          <w:rFonts w:cstheme="minorHAnsi"/>
          <w:i/>
          <w:color w:val="003366"/>
          <w:sz w:val="18"/>
          <w:szCs w:val="18"/>
        </w:rPr>
        <w:t xml:space="preserve"> </w:t>
      </w:r>
      <w:r w:rsidRPr="00AD01C5">
        <w:rPr>
          <w:rFonts w:eastAsia="Calibri"/>
          <w:color w:val="003366"/>
          <w:sz w:val="18"/>
          <w:szCs w:val="18"/>
        </w:rPr>
        <w:t xml:space="preserve">– </w:t>
      </w:r>
      <w:r>
        <w:rPr>
          <w:rFonts w:eastAsia="Calibri"/>
          <w:i/>
          <w:color w:val="003366"/>
          <w:sz w:val="18"/>
          <w:szCs w:val="18"/>
        </w:rPr>
        <w:t>Scenario 2</w:t>
      </w:r>
    </w:p>
    <w:p w14:paraId="2B641958" w14:textId="77777777" w:rsidR="00FD2CBB" w:rsidRDefault="00FD2CBB" w:rsidP="009B4EF8">
      <w:pPr>
        <w:spacing w:before="120" w:after="0" w:line="240" w:lineRule="auto"/>
        <w:rPr>
          <w:rFonts w:eastAsia="Calibri"/>
        </w:rPr>
      </w:pPr>
      <w:r w:rsidRPr="00CB1EBF">
        <w:rPr>
          <w:rFonts w:eastAsia="Calibri"/>
        </w:rPr>
        <w:t>Nello scenario 3.1 il servizio è stato riorganizzato in modo da avere tutte le linee assegnate in modo esclusivo ad un unico deposito di riferimento.</w:t>
      </w:r>
    </w:p>
    <w:p w14:paraId="6A538780" w14:textId="77777777" w:rsidR="00B732D5" w:rsidRPr="00AD01C5" w:rsidRDefault="00B732D5" w:rsidP="009B4EF8">
      <w:pPr>
        <w:spacing w:before="120" w:after="0" w:line="240" w:lineRule="auto"/>
        <w:rPr>
          <w:rFonts w:eastAsia="Calibri"/>
        </w:rPr>
      </w:pPr>
    </w:p>
    <w:tbl>
      <w:tblPr>
        <w:tblW w:w="903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left w:w="70" w:type="dxa"/>
          <w:right w:w="70" w:type="dxa"/>
        </w:tblCellMar>
        <w:tblLook w:val="04A0" w:firstRow="1" w:lastRow="0" w:firstColumn="1" w:lastColumn="0" w:noHBand="0" w:noVBand="1"/>
      </w:tblPr>
      <w:tblGrid>
        <w:gridCol w:w="1429"/>
        <w:gridCol w:w="2535"/>
        <w:gridCol w:w="1465"/>
        <w:gridCol w:w="1285"/>
        <w:gridCol w:w="1140"/>
        <w:gridCol w:w="1176"/>
      </w:tblGrid>
      <w:tr w:rsidR="00FD2CBB" w:rsidRPr="007B7C00" w14:paraId="2BC79D7E" w14:textId="77777777" w:rsidTr="00643943">
        <w:trPr>
          <w:trHeight w:val="309"/>
        </w:trPr>
        <w:tc>
          <w:tcPr>
            <w:tcW w:w="1429" w:type="dxa"/>
            <w:shd w:val="clear" w:color="auto" w:fill="EE3438"/>
            <w:vAlign w:val="center"/>
            <w:hideMark/>
          </w:tcPr>
          <w:p w14:paraId="3A2D2015" w14:textId="77777777" w:rsidR="00FD2CBB" w:rsidRPr="007B7C00" w:rsidRDefault="00FD2CBB" w:rsidP="006771E7">
            <w:pPr>
              <w:spacing w:beforeLines="20" w:before="48" w:afterLines="20" w:after="48" w:line="240" w:lineRule="auto"/>
              <w:jc w:val="center"/>
              <w:rPr>
                <w:rFonts w:asciiTheme="majorHAnsi" w:eastAsia="Times New Roman" w:hAnsiTheme="majorHAnsi" w:cstheme="majorHAnsi"/>
                <w:b/>
                <w:bCs/>
                <w:color w:val="FFFFFF" w:themeColor="background1"/>
              </w:rPr>
            </w:pPr>
            <w:r w:rsidRPr="007B7C00">
              <w:rPr>
                <w:rFonts w:asciiTheme="majorHAnsi" w:eastAsia="Times New Roman" w:hAnsiTheme="majorHAnsi" w:cstheme="majorHAnsi"/>
                <w:b/>
                <w:bCs/>
                <w:color w:val="FFFFFF" w:themeColor="background1"/>
              </w:rPr>
              <w:t>Nome Deposito</w:t>
            </w:r>
          </w:p>
        </w:tc>
        <w:tc>
          <w:tcPr>
            <w:tcW w:w="2535" w:type="dxa"/>
            <w:shd w:val="clear" w:color="auto" w:fill="EE3438"/>
            <w:vAlign w:val="center"/>
            <w:hideMark/>
          </w:tcPr>
          <w:p w14:paraId="70349AAB" w14:textId="77777777" w:rsidR="00FD2CBB" w:rsidRPr="007B7C00" w:rsidRDefault="00FD2CBB" w:rsidP="006771E7">
            <w:pPr>
              <w:spacing w:beforeLines="20" w:before="48" w:afterLines="20" w:after="48" w:line="240" w:lineRule="auto"/>
              <w:jc w:val="center"/>
              <w:rPr>
                <w:rFonts w:asciiTheme="majorHAnsi" w:eastAsia="Times New Roman" w:hAnsiTheme="majorHAnsi" w:cstheme="majorHAnsi"/>
                <w:b/>
                <w:bCs/>
                <w:color w:val="FFFFFF" w:themeColor="background1"/>
              </w:rPr>
            </w:pPr>
            <w:r w:rsidRPr="007B7C00">
              <w:rPr>
                <w:rFonts w:asciiTheme="majorHAnsi" w:eastAsia="Times New Roman" w:hAnsiTheme="majorHAnsi" w:cstheme="majorHAnsi"/>
                <w:b/>
                <w:bCs/>
                <w:color w:val="FFFFFF" w:themeColor="background1"/>
              </w:rPr>
              <w:t>Localizzazione</w:t>
            </w:r>
          </w:p>
        </w:tc>
        <w:tc>
          <w:tcPr>
            <w:tcW w:w="1465" w:type="dxa"/>
            <w:shd w:val="clear" w:color="auto" w:fill="EE3438"/>
            <w:vAlign w:val="center"/>
            <w:hideMark/>
          </w:tcPr>
          <w:p w14:paraId="2D1E988B" w14:textId="77777777" w:rsidR="00FD2CBB" w:rsidRPr="007B7C00" w:rsidRDefault="00FD2CBB" w:rsidP="006771E7">
            <w:pPr>
              <w:spacing w:beforeLines="20" w:before="48" w:afterLines="20" w:after="48" w:line="240" w:lineRule="auto"/>
              <w:jc w:val="center"/>
              <w:rPr>
                <w:rFonts w:asciiTheme="majorHAnsi" w:eastAsia="Times New Roman" w:hAnsiTheme="majorHAnsi" w:cstheme="majorHAnsi"/>
                <w:b/>
                <w:bCs/>
                <w:color w:val="FFFFFF" w:themeColor="background1"/>
              </w:rPr>
            </w:pPr>
            <w:r w:rsidRPr="007B7C00">
              <w:rPr>
                <w:rFonts w:asciiTheme="majorHAnsi" w:eastAsia="Times New Roman" w:hAnsiTheme="majorHAnsi" w:cstheme="majorHAnsi"/>
                <w:b/>
                <w:bCs/>
                <w:color w:val="FFFFFF" w:themeColor="background1"/>
              </w:rPr>
              <w:t>Numero Di Veicoli</w:t>
            </w:r>
          </w:p>
        </w:tc>
        <w:tc>
          <w:tcPr>
            <w:tcW w:w="1285" w:type="dxa"/>
            <w:shd w:val="clear" w:color="auto" w:fill="EE3438"/>
            <w:vAlign w:val="center"/>
            <w:hideMark/>
          </w:tcPr>
          <w:p w14:paraId="09CEE13E" w14:textId="77777777" w:rsidR="00FD2CBB" w:rsidRPr="007B7C00" w:rsidRDefault="00FD2CBB" w:rsidP="006771E7">
            <w:pPr>
              <w:spacing w:beforeLines="20" w:before="48" w:afterLines="20" w:after="48" w:line="240" w:lineRule="auto"/>
              <w:jc w:val="center"/>
              <w:rPr>
                <w:rFonts w:asciiTheme="majorHAnsi" w:eastAsia="Times New Roman" w:hAnsiTheme="majorHAnsi" w:cstheme="majorHAnsi"/>
                <w:b/>
                <w:bCs/>
                <w:color w:val="FFFFFF" w:themeColor="background1"/>
              </w:rPr>
            </w:pPr>
            <w:r w:rsidRPr="007B7C00">
              <w:rPr>
                <w:rFonts w:asciiTheme="majorHAnsi" w:eastAsia="Times New Roman" w:hAnsiTheme="majorHAnsi" w:cstheme="majorHAnsi"/>
                <w:b/>
                <w:bCs/>
                <w:color w:val="FFFFFF" w:themeColor="background1"/>
              </w:rPr>
              <w:t>KM di Servizio</w:t>
            </w:r>
          </w:p>
        </w:tc>
        <w:tc>
          <w:tcPr>
            <w:tcW w:w="1140" w:type="dxa"/>
            <w:shd w:val="clear" w:color="auto" w:fill="EE3438"/>
            <w:vAlign w:val="center"/>
            <w:hideMark/>
          </w:tcPr>
          <w:p w14:paraId="60A3CBB5" w14:textId="77777777" w:rsidR="00FD2CBB" w:rsidRPr="007B7C00" w:rsidRDefault="00FD2CBB" w:rsidP="006771E7">
            <w:pPr>
              <w:spacing w:beforeLines="20" w:before="48" w:afterLines="20" w:after="48" w:line="240" w:lineRule="auto"/>
              <w:jc w:val="center"/>
              <w:rPr>
                <w:rFonts w:asciiTheme="majorHAnsi" w:eastAsia="Times New Roman" w:hAnsiTheme="majorHAnsi" w:cstheme="majorHAnsi"/>
                <w:b/>
                <w:bCs/>
                <w:color w:val="FFFFFF" w:themeColor="background1"/>
              </w:rPr>
            </w:pPr>
            <w:r w:rsidRPr="007B7C00">
              <w:rPr>
                <w:rFonts w:asciiTheme="majorHAnsi" w:eastAsia="Times New Roman" w:hAnsiTheme="majorHAnsi" w:cstheme="majorHAnsi"/>
                <w:b/>
                <w:bCs/>
                <w:color w:val="FFFFFF" w:themeColor="background1"/>
              </w:rPr>
              <w:t>KM di Vuoto</w:t>
            </w:r>
          </w:p>
        </w:tc>
        <w:tc>
          <w:tcPr>
            <w:tcW w:w="1176" w:type="dxa"/>
            <w:shd w:val="clear" w:color="auto" w:fill="EE3438"/>
            <w:vAlign w:val="center"/>
            <w:hideMark/>
          </w:tcPr>
          <w:p w14:paraId="06CAC3D6" w14:textId="77777777" w:rsidR="00FD2CBB" w:rsidRPr="007B7C00" w:rsidRDefault="00FD2CBB" w:rsidP="006771E7">
            <w:pPr>
              <w:spacing w:beforeLines="20" w:before="48" w:afterLines="20" w:after="48" w:line="240" w:lineRule="auto"/>
              <w:jc w:val="center"/>
              <w:rPr>
                <w:rFonts w:asciiTheme="majorHAnsi" w:eastAsia="Times New Roman" w:hAnsiTheme="majorHAnsi" w:cstheme="majorHAnsi"/>
                <w:b/>
                <w:bCs/>
                <w:color w:val="FFFFFF" w:themeColor="background1"/>
              </w:rPr>
            </w:pPr>
            <w:r w:rsidRPr="007B7C00">
              <w:rPr>
                <w:rFonts w:asciiTheme="majorHAnsi" w:eastAsia="Times New Roman" w:hAnsiTheme="majorHAnsi" w:cstheme="majorHAnsi"/>
                <w:b/>
                <w:bCs/>
                <w:color w:val="FFFFFF" w:themeColor="background1"/>
              </w:rPr>
              <w:t>Eff. Deposito</w:t>
            </w:r>
          </w:p>
        </w:tc>
      </w:tr>
      <w:tr w:rsidR="00FD2CBB" w:rsidRPr="007B7C00" w14:paraId="1A8FD8B3" w14:textId="77777777" w:rsidTr="00643943">
        <w:trPr>
          <w:trHeight w:val="309"/>
        </w:trPr>
        <w:tc>
          <w:tcPr>
            <w:tcW w:w="1429" w:type="dxa"/>
            <w:shd w:val="clear" w:color="auto" w:fill="FF7C80"/>
            <w:noWrap/>
            <w:vAlign w:val="center"/>
            <w:hideMark/>
          </w:tcPr>
          <w:p w14:paraId="23F1BFD2" w14:textId="77777777" w:rsidR="00FD2CBB" w:rsidRPr="007B7C00" w:rsidRDefault="00FD2CBB" w:rsidP="006771E7">
            <w:pPr>
              <w:spacing w:beforeLines="20" w:before="48" w:afterLines="20" w:after="48" w:line="240" w:lineRule="auto"/>
              <w:jc w:val="center"/>
              <w:rPr>
                <w:rFonts w:asciiTheme="majorHAnsi" w:eastAsia="Times New Roman" w:hAnsiTheme="majorHAnsi" w:cstheme="majorHAnsi"/>
                <w:i/>
                <w:iCs/>
                <w:color w:val="000000"/>
              </w:rPr>
            </w:pPr>
            <w:r w:rsidRPr="007B7C00">
              <w:rPr>
                <w:rFonts w:asciiTheme="majorHAnsi" w:eastAsia="Times New Roman" w:hAnsiTheme="majorHAnsi" w:cstheme="majorHAnsi"/>
                <w:i/>
                <w:iCs/>
                <w:color w:val="000000"/>
              </w:rPr>
              <w:t>TO_001</w:t>
            </w:r>
          </w:p>
        </w:tc>
        <w:tc>
          <w:tcPr>
            <w:tcW w:w="2535" w:type="dxa"/>
            <w:shd w:val="clear" w:color="000000" w:fill="FFFFFF"/>
            <w:noWrap/>
            <w:vAlign w:val="center"/>
            <w:hideMark/>
          </w:tcPr>
          <w:p w14:paraId="0C5894FD" w14:textId="576DBCCB" w:rsidR="00FD2CBB" w:rsidRPr="007B7C00" w:rsidRDefault="00FD2CBB" w:rsidP="006771E7">
            <w:pPr>
              <w:spacing w:beforeLines="20" w:before="48" w:afterLines="20" w:after="48" w:line="240" w:lineRule="auto"/>
              <w:jc w:val="center"/>
              <w:rPr>
                <w:rFonts w:asciiTheme="majorHAnsi" w:eastAsia="Times New Roman" w:hAnsiTheme="majorHAnsi" w:cstheme="majorHAnsi"/>
              </w:rPr>
            </w:pPr>
            <w:r w:rsidRPr="007B7C00">
              <w:rPr>
                <w:rFonts w:asciiTheme="majorHAnsi" w:eastAsia="Times New Roman" w:hAnsiTheme="majorHAnsi" w:cstheme="majorHAnsi"/>
              </w:rPr>
              <w:t>Villafranca Piemonte (TO)</w:t>
            </w:r>
          </w:p>
        </w:tc>
        <w:tc>
          <w:tcPr>
            <w:tcW w:w="1465" w:type="dxa"/>
            <w:noWrap/>
            <w:vAlign w:val="center"/>
            <w:hideMark/>
          </w:tcPr>
          <w:p w14:paraId="3D585C24" w14:textId="77777777" w:rsidR="00FD2CBB" w:rsidRPr="007B7C00" w:rsidRDefault="00FD2CBB" w:rsidP="006771E7">
            <w:pPr>
              <w:spacing w:beforeLines="20" w:before="48" w:afterLines="20" w:after="48" w:line="240" w:lineRule="auto"/>
              <w:jc w:val="center"/>
              <w:rPr>
                <w:rFonts w:asciiTheme="majorHAnsi" w:eastAsia="Times New Roman" w:hAnsiTheme="majorHAnsi" w:cstheme="majorHAnsi"/>
              </w:rPr>
            </w:pPr>
            <w:r w:rsidRPr="007B7C00">
              <w:rPr>
                <w:rFonts w:asciiTheme="majorHAnsi" w:eastAsia="Times New Roman" w:hAnsiTheme="majorHAnsi" w:cstheme="majorHAnsi"/>
              </w:rPr>
              <w:t>15</w:t>
            </w:r>
          </w:p>
        </w:tc>
        <w:tc>
          <w:tcPr>
            <w:tcW w:w="1285" w:type="dxa"/>
            <w:noWrap/>
            <w:vAlign w:val="center"/>
            <w:hideMark/>
          </w:tcPr>
          <w:p w14:paraId="01D3ADB2" w14:textId="77777777" w:rsidR="00FD2CBB" w:rsidRPr="007B7C00" w:rsidRDefault="00FD2CBB" w:rsidP="006771E7">
            <w:pPr>
              <w:spacing w:beforeLines="20" w:before="48" w:afterLines="20" w:after="48" w:line="240" w:lineRule="auto"/>
              <w:jc w:val="center"/>
              <w:rPr>
                <w:rFonts w:asciiTheme="majorHAnsi" w:eastAsia="Times New Roman" w:hAnsiTheme="majorHAnsi" w:cstheme="majorHAnsi"/>
              </w:rPr>
            </w:pPr>
            <w:r w:rsidRPr="007B7C00">
              <w:rPr>
                <w:rFonts w:asciiTheme="majorHAnsi" w:eastAsia="Times New Roman" w:hAnsiTheme="majorHAnsi" w:cstheme="majorHAnsi"/>
              </w:rPr>
              <w:t>4078</w:t>
            </w:r>
          </w:p>
        </w:tc>
        <w:tc>
          <w:tcPr>
            <w:tcW w:w="1140" w:type="dxa"/>
            <w:noWrap/>
            <w:vAlign w:val="center"/>
            <w:hideMark/>
          </w:tcPr>
          <w:p w14:paraId="30BB2642" w14:textId="77777777" w:rsidR="00FD2CBB" w:rsidRPr="007B7C00" w:rsidRDefault="00FD2CBB" w:rsidP="006771E7">
            <w:pPr>
              <w:spacing w:beforeLines="20" w:before="48" w:afterLines="20" w:after="48" w:line="240" w:lineRule="auto"/>
              <w:jc w:val="center"/>
              <w:rPr>
                <w:rFonts w:asciiTheme="majorHAnsi" w:eastAsia="Times New Roman" w:hAnsiTheme="majorHAnsi" w:cstheme="majorHAnsi"/>
              </w:rPr>
            </w:pPr>
            <w:r w:rsidRPr="007B7C00">
              <w:rPr>
                <w:rFonts w:asciiTheme="majorHAnsi" w:eastAsia="Times New Roman" w:hAnsiTheme="majorHAnsi" w:cstheme="majorHAnsi"/>
              </w:rPr>
              <w:t>414</w:t>
            </w:r>
          </w:p>
        </w:tc>
        <w:tc>
          <w:tcPr>
            <w:tcW w:w="1176" w:type="dxa"/>
            <w:noWrap/>
            <w:vAlign w:val="center"/>
            <w:hideMark/>
          </w:tcPr>
          <w:p w14:paraId="16B78C58" w14:textId="77777777" w:rsidR="00FD2CBB" w:rsidRPr="007B7C00" w:rsidRDefault="00FD2CBB" w:rsidP="006771E7">
            <w:pPr>
              <w:spacing w:beforeLines="20" w:before="48" w:afterLines="20" w:after="48" w:line="240" w:lineRule="auto"/>
              <w:jc w:val="center"/>
              <w:rPr>
                <w:rFonts w:asciiTheme="majorHAnsi" w:eastAsia="Times New Roman" w:hAnsiTheme="majorHAnsi" w:cstheme="majorHAnsi"/>
              </w:rPr>
            </w:pPr>
            <w:r w:rsidRPr="007B7C00">
              <w:rPr>
                <w:rFonts w:asciiTheme="majorHAnsi" w:eastAsia="Times New Roman" w:hAnsiTheme="majorHAnsi" w:cstheme="majorHAnsi"/>
              </w:rPr>
              <w:t>91%</w:t>
            </w:r>
          </w:p>
        </w:tc>
      </w:tr>
      <w:tr w:rsidR="00FD2CBB" w:rsidRPr="007B7C00" w14:paraId="2E71B2D8" w14:textId="77777777" w:rsidTr="00B235D7">
        <w:trPr>
          <w:trHeight w:val="309"/>
        </w:trPr>
        <w:tc>
          <w:tcPr>
            <w:tcW w:w="1429" w:type="dxa"/>
            <w:shd w:val="clear" w:color="auto" w:fill="FF7C80"/>
            <w:noWrap/>
            <w:vAlign w:val="center"/>
            <w:hideMark/>
          </w:tcPr>
          <w:p w14:paraId="1B78FE81" w14:textId="77777777" w:rsidR="00FD2CBB" w:rsidRPr="007B7C00" w:rsidRDefault="00FD2CBB" w:rsidP="006771E7">
            <w:pPr>
              <w:spacing w:beforeLines="20" w:before="48" w:afterLines="20" w:after="48" w:line="240" w:lineRule="auto"/>
              <w:jc w:val="center"/>
              <w:rPr>
                <w:rFonts w:asciiTheme="majorHAnsi" w:eastAsia="Times New Roman" w:hAnsiTheme="majorHAnsi" w:cstheme="majorHAnsi"/>
                <w:i/>
                <w:iCs/>
                <w:color w:val="000000"/>
              </w:rPr>
            </w:pPr>
            <w:r w:rsidRPr="007B7C00">
              <w:rPr>
                <w:rFonts w:asciiTheme="majorHAnsi" w:eastAsia="Times New Roman" w:hAnsiTheme="majorHAnsi" w:cstheme="majorHAnsi"/>
                <w:i/>
                <w:iCs/>
                <w:color w:val="000000"/>
              </w:rPr>
              <w:t>TO_002</w:t>
            </w:r>
          </w:p>
        </w:tc>
        <w:tc>
          <w:tcPr>
            <w:tcW w:w="2535" w:type="dxa"/>
            <w:shd w:val="clear" w:color="000000" w:fill="FFFFFF"/>
            <w:noWrap/>
            <w:vAlign w:val="center"/>
            <w:hideMark/>
          </w:tcPr>
          <w:p w14:paraId="0BC86C8A" w14:textId="27F092DC" w:rsidR="00FD2CBB" w:rsidRPr="007B7C00" w:rsidRDefault="00FD2CBB" w:rsidP="006771E7">
            <w:pPr>
              <w:spacing w:beforeLines="20" w:before="48" w:afterLines="20" w:after="48" w:line="240" w:lineRule="auto"/>
              <w:jc w:val="center"/>
              <w:rPr>
                <w:rFonts w:asciiTheme="majorHAnsi" w:eastAsia="Times New Roman" w:hAnsiTheme="majorHAnsi" w:cstheme="majorHAnsi"/>
              </w:rPr>
            </w:pPr>
            <w:r w:rsidRPr="007B7C00">
              <w:rPr>
                <w:rFonts w:asciiTheme="majorHAnsi" w:eastAsia="Times New Roman" w:hAnsiTheme="majorHAnsi" w:cstheme="majorHAnsi"/>
              </w:rPr>
              <w:t>Torino (TO)</w:t>
            </w:r>
          </w:p>
        </w:tc>
        <w:tc>
          <w:tcPr>
            <w:tcW w:w="1465" w:type="dxa"/>
            <w:noWrap/>
            <w:vAlign w:val="center"/>
            <w:hideMark/>
          </w:tcPr>
          <w:p w14:paraId="22F89D29" w14:textId="77777777" w:rsidR="00FD2CBB" w:rsidRPr="007B7C00" w:rsidRDefault="00FD2CBB" w:rsidP="006771E7">
            <w:pPr>
              <w:spacing w:beforeLines="20" w:before="48" w:afterLines="20" w:after="48" w:line="240" w:lineRule="auto"/>
              <w:jc w:val="center"/>
              <w:rPr>
                <w:rFonts w:asciiTheme="majorHAnsi" w:eastAsia="Times New Roman" w:hAnsiTheme="majorHAnsi" w:cstheme="majorHAnsi"/>
              </w:rPr>
            </w:pPr>
            <w:r w:rsidRPr="007B7C00">
              <w:rPr>
                <w:rFonts w:asciiTheme="majorHAnsi" w:eastAsia="Times New Roman" w:hAnsiTheme="majorHAnsi" w:cstheme="majorHAnsi"/>
              </w:rPr>
              <w:t>22</w:t>
            </w:r>
          </w:p>
        </w:tc>
        <w:tc>
          <w:tcPr>
            <w:tcW w:w="1285" w:type="dxa"/>
            <w:noWrap/>
            <w:vAlign w:val="center"/>
            <w:hideMark/>
          </w:tcPr>
          <w:p w14:paraId="36B1FC1F" w14:textId="77777777" w:rsidR="00FD2CBB" w:rsidRPr="007B7C00" w:rsidRDefault="00FD2CBB" w:rsidP="006771E7">
            <w:pPr>
              <w:spacing w:beforeLines="20" w:before="48" w:afterLines="20" w:after="48" w:line="240" w:lineRule="auto"/>
              <w:jc w:val="center"/>
              <w:rPr>
                <w:rFonts w:asciiTheme="majorHAnsi" w:eastAsia="Times New Roman" w:hAnsiTheme="majorHAnsi" w:cstheme="majorHAnsi"/>
              </w:rPr>
            </w:pPr>
            <w:r w:rsidRPr="007B7C00">
              <w:rPr>
                <w:rFonts w:asciiTheme="majorHAnsi" w:eastAsia="Times New Roman" w:hAnsiTheme="majorHAnsi" w:cstheme="majorHAnsi"/>
              </w:rPr>
              <w:t>4659</w:t>
            </w:r>
          </w:p>
        </w:tc>
        <w:tc>
          <w:tcPr>
            <w:tcW w:w="1140" w:type="dxa"/>
            <w:noWrap/>
            <w:vAlign w:val="center"/>
            <w:hideMark/>
          </w:tcPr>
          <w:p w14:paraId="6521FD03" w14:textId="77777777" w:rsidR="00FD2CBB" w:rsidRPr="007B7C00" w:rsidRDefault="00FD2CBB" w:rsidP="006771E7">
            <w:pPr>
              <w:spacing w:beforeLines="20" w:before="48" w:afterLines="20" w:after="48" w:line="240" w:lineRule="auto"/>
              <w:jc w:val="center"/>
              <w:rPr>
                <w:rFonts w:asciiTheme="majorHAnsi" w:eastAsia="Times New Roman" w:hAnsiTheme="majorHAnsi" w:cstheme="majorHAnsi"/>
              </w:rPr>
            </w:pPr>
            <w:r w:rsidRPr="007B7C00">
              <w:rPr>
                <w:rFonts w:asciiTheme="majorHAnsi" w:eastAsia="Times New Roman" w:hAnsiTheme="majorHAnsi" w:cstheme="majorHAnsi"/>
              </w:rPr>
              <w:t>593</w:t>
            </w:r>
          </w:p>
        </w:tc>
        <w:tc>
          <w:tcPr>
            <w:tcW w:w="1176" w:type="dxa"/>
            <w:noWrap/>
            <w:vAlign w:val="center"/>
            <w:hideMark/>
          </w:tcPr>
          <w:p w14:paraId="63F44E6E" w14:textId="77777777" w:rsidR="00FD2CBB" w:rsidRPr="007B7C00" w:rsidRDefault="00FD2CBB" w:rsidP="006771E7">
            <w:pPr>
              <w:spacing w:beforeLines="20" w:before="48" w:afterLines="20" w:after="48" w:line="240" w:lineRule="auto"/>
              <w:jc w:val="center"/>
              <w:rPr>
                <w:rFonts w:asciiTheme="majorHAnsi" w:eastAsia="Times New Roman" w:hAnsiTheme="majorHAnsi" w:cstheme="majorHAnsi"/>
              </w:rPr>
            </w:pPr>
            <w:r w:rsidRPr="007B7C00">
              <w:rPr>
                <w:rFonts w:asciiTheme="majorHAnsi" w:eastAsia="Times New Roman" w:hAnsiTheme="majorHAnsi" w:cstheme="majorHAnsi"/>
              </w:rPr>
              <w:t>89%</w:t>
            </w:r>
          </w:p>
        </w:tc>
      </w:tr>
      <w:tr w:rsidR="00FD2CBB" w:rsidRPr="007B7C00" w14:paraId="76CF70E2" w14:textId="77777777" w:rsidTr="00B235D7">
        <w:trPr>
          <w:trHeight w:val="309"/>
        </w:trPr>
        <w:tc>
          <w:tcPr>
            <w:tcW w:w="1429" w:type="dxa"/>
            <w:shd w:val="clear" w:color="auto" w:fill="FF7C80"/>
            <w:noWrap/>
            <w:vAlign w:val="center"/>
            <w:hideMark/>
          </w:tcPr>
          <w:p w14:paraId="5AE6DCFD" w14:textId="77777777" w:rsidR="00FD2CBB" w:rsidRPr="007B7C00" w:rsidRDefault="00FD2CBB" w:rsidP="006771E7">
            <w:pPr>
              <w:spacing w:beforeLines="20" w:before="48" w:afterLines="20" w:after="48" w:line="240" w:lineRule="auto"/>
              <w:jc w:val="center"/>
              <w:rPr>
                <w:rFonts w:asciiTheme="majorHAnsi" w:eastAsia="Times New Roman" w:hAnsiTheme="majorHAnsi" w:cstheme="majorHAnsi"/>
                <w:i/>
                <w:iCs/>
                <w:color w:val="000000"/>
              </w:rPr>
            </w:pPr>
            <w:r w:rsidRPr="007B7C00">
              <w:rPr>
                <w:rFonts w:asciiTheme="majorHAnsi" w:eastAsia="Times New Roman" w:hAnsiTheme="majorHAnsi" w:cstheme="majorHAnsi"/>
                <w:i/>
                <w:iCs/>
                <w:color w:val="000000"/>
              </w:rPr>
              <w:lastRenderedPageBreak/>
              <w:t>TO_003</w:t>
            </w:r>
          </w:p>
        </w:tc>
        <w:tc>
          <w:tcPr>
            <w:tcW w:w="2535" w:type="dxa"/>
            <w:shd w:val="clear" w:color="000000" w:fill="FFFFFF"/>
            <w:noWrap/>
            <w:vAlign w:val="center"/>
            <w:hideMark/>
          </w:tcPr>
          <w:p w14:paraId="65B8AB8D" w14:textId="533ED6F7" w:rsidR="00FD2CBB" w:rsidRPr="007B7C00" w:rsidRDefault="00FD2CBB" w:rsidP="006771E7">
            <w:pPr>
              <w:spacing w:beforeLines="20" w:before="48" w:afterLines="20" w:after="48" w:line="240" w:lineRule="auto"/>
              <w:jc w:val="center"/>
              <w:rPr>
                <w:rFonts w:asciiTheme="majorHAnsi" w:eastAsia="Times New Roman" w:hAnsiTheme="majorHAnsi" w:cstheme="majorHAnsi"/>
              </w:rPr>
            </w:pPr>
            <w:r w:rsidRPr="007B7C00">
              <w:rPr>
                <w:rFonts w:asciiTheme="majorHAnsi" w:eastAsia="Times New Roman" w:hAnsiTheme="majorHAnsi" w:cstheme="majorHAnsi"/>
              </w:rPr>
              <w:t>Chivasso (TO)</w:t>
            </w:r>
          </w:p>
        </w:tc>
        <w:tc>
          <w:tcPr>
            <w:tcW w:w="1465" w:type="dxa"/>
            <w:noWrap/>
            <w:vAlign w:val="center"/>
            <w:hideMark/>
          </w:tcPr>
          <w:p w14:paraId="789A31A9" w14:textId="77777777" w:rsidR="00FD2CBB" w:rsidRPr="007B7C00" w:rsidRDefault="00FD2CBB" w:rsidP="006771E7">
            <w:pPr>
              <w:spacing w:beforeLines="20" w:before="48" w:afterLines="20" w:after="48" w:line="240" w:lineRule="auto"/>
              <w:jc w:val="center"/>
              <w:rPr>
                <w:rFonts w:asciiTheme="majorHAnsi" w:eastAsia="Times New Roman" w:hAnsiTheme="majorHAnsi" w:cstheme="majorHAnsi"/>
              </w:rPr>
            </w:pPr>
            <w:r w:rsidRPr="007B7C00">
              <w:rPr>
                <w:rFonts w:asciiTheme="majorHAnsi" w:eastAsia="Times New Roman" w:hAnsiTheme="majorHAnsi" w:cstheme="majorHAnsi"/>
              </w:rPr>
              <w:t>46</w:t>
            </w:r>
          </w:p>
        </w:tc>
        <w:tc>
          <w:tcPr>
            <w:tcW w:w="1285" w:type="dxa"/>
            <w:noWrap/>
            <w:vAlign w:val="center"/>
            <w:hideMark/>
          </w:tcPr>
          <w:p w14:paraId="4E7020BF" w14:textId="77777777" w:rsidR="00FD2CBB" w:rsidRPr="007B7C00" w:rsidRDefault="00FD2CBB" w:rsidP="006771E7">
            <w:pPr>
              <w:spacing w:beforeLines="20" w:before="48" w:afterLines="20" w:after="48" w:line="240" w:lineRule="auto"/>
              <w:jc w:val="center"/>
              <w:rPr>
                <w:rFonts w:asciiTheme="majorHAnsi" w:eastAsia="Times New Roman" w:hAnsiTheme="majorHAnsi" w:cstheme="majorHAnsi"/>
              </w:rPr>
            </w:pPr>
            <w:r w:rsidRPr="007B7C00">
              <w:rPr>
                <w:rFonts w:asciiTheme="majorHAnsi" w:eastAsia="Times New Roman" w:hAnsiTheme="majorHAnsi" w:cstheme="majorHAnsi"/>
              </w:rPr>
              <w:t>6940</w:t>
            </w:r>
          </w:p>
        </w:tc>
        <w:tc>
          <w:tcPr>
            <w:tcW w:w="1140" w:type="dxa"/>
            <w:noWrap/>
            <w:vAlign w:val="center"/>
            <w:hideMark/>
          </w:tcPr>
          <w:p w14:paraId="3EA51F12" w14:textId="77777777" w:rsidR="00FD2CBB" w:rsidRPr="007B7C00" w:rsidRDefault="00FD2CBB" w:rsidP="006771E7">
            <w:pPr>
              <w:spacing w:beforeLines="20" w:before="48" w:afterLines="20" w:after="48" w:line="240" w:lineRule="auto"/>
              <w:jc w:val="center"/>
              <w:rPr>
                <w:rFonts w:asciiTheme="majorHAnsi" w:eastAsia="Times New Roman" w:hAnsiTheme="majorHAnsi" w:cstheme="majorHAnsi"/>
              </w:rPr>
            </w:pPr>
            <w:r w:rsidRPr="007B7C00">
              <w:rPr>
                <w:rFonts w:asciiTheme="majorHAnsi" w:eastAsia="Times New Roman" w:hAnsiTheme="majorHAnsi" w:cstheme="majorHAnsi"/>
              </w:rPr>
              <w:t>1617</w:t>
            </w:r>
          </w:p>
        </w:tc>
        <w:tc>
          <w:tcPr>
            <w:tcW w:w="1176" w:type="dxa"/>
            <w:noWrap/>
            <w:vAlign w:val="center"/>
            <w:hideMark/>
          </w:tcPr>
          <w:p w14:paraId="5FA5CDA7" w14:textId="77777777" w:rsidR="00FD2CBB" w:rsidRPr="007B7C00" w:rsidRDefault="00FD2CBB" w:rsidP="006771E7">
            <w:pPr>
              <w:spacing w:beforeLines="20" w:before="48" w:afterLines="20" w:after="48" w:line="240" w:lineRule="auto"/>
              <w:jc w:val="center"/>
              <w:rPr>
                <w:rFonts w:asciiTheme="majorHAnsi" w:eastAsia="Times New Roman" w:hAnsiTheme="majorHAnsi" w:cstheme="majorHAnsi"/>
              </w:rPr>
            </w:pPr>
            <w:r w:rsidRPr="007B7C00">
              <w:rPr>
                <w:rFonts w:asciiTheme="majorHAnsi" w:eastAsia="Times New Roman" w:hAnsiTheme="majorHAnsi" w:cstheme="majorHAnsi"/>
              </w:rPr>
              <w:t>81%</w:t>
            </w:r>
          </w:p>
        </w:tc>
      </w:tr>
      <w:tr w:rsidR="00FD2CBB" w:rsidRPr="007B7C00" w14:paraId="3B11894C" w14:textId="77777777" w:rsidTr="00643943">
        <w:trPr>
          <w:trHeight w:val="309"/>
        </w:trPr>
        <w:tc>
          <w:tcPr>
            <w:tcW w:w="1429" w:type="dxa"/>
            <w:shd w:val="clear" w:color="auto" w:fill="FF7C80"/>
            <w:noWrap/>
            <w:vAlign w:val="center"/>
            <w:hideMark/>
          </w:tcPr>
          <w:p w14:paraId="0F2A798D" w14:textId="77777777" w:rsidR="00FD2CBB" w:rsidRPr="007B7C00" w:rsidRDefault="00FD2CBB" w:rsidP="006771E7">
            <w:pPr>
              <w:spacing w:beforeLines="20" w:before="48" w:afterLines="20" w:after="48" w:line="240" w:lineRule="auto"/>
              <w:jc w:val="center"/>
              <w:rPr>
                <w:rFonts w:asciiTheme="majorHAnsi" w:eastAsia="Times New Roman" w:hAnsiTheme="majorHAnsi" w:cstheme="majorHAnsi"/>
                <w:i/>
                <w:iCs/>
                <w:color w:val="000000"/>
              </w:rPr>
            </w:pPr>
            <w:r w:rsidRPr="007B7C00">
              <w:rPr>
                <w:rFonts w:asciiTheme="majorHAnsi" w:eastAsia="Times New Roman" w:hAnsiTheme="majorHAnsi" w:cstheme="majorHAnsi"/>
                <w:i/>
                <w:iCs/>
                <w:color w:val="000000"/>
              </w:rPr>
              <w:t>TO_007</w:t>
            </w:r>
          </w:p>
        </w:tc>
        <w:tc>
          <w:tcPr>
            <w:tcW w:w="2535" w:type="dxa"/>
            <w:shd w:val="clear" w:color="000000" w:fill="FFFFFF"/>
            <w:noWrap/>
            <w:vAlign w:val="center"/>
            <w:hideMark/>
          </w:tcPr>
          <w:p w14:paraId="6B85DBFB" w14:textId="77777777" w:rsidR="00FD2CBB" w:rsidRPr="007B7C00" w:rsidRDefault="00FD2CBB" w:rsidP="006771E7">
            <w:pPr>
              <w:spacing w:beforeLines="20" w:before="48" w:afterLines="20" w:after="48" w:line="240" w:lineRule="auto"/>
              <w:jc w:val="center"/>
              <w:rPr>
                <w:rFonts w:asciiTheme="majorHAnsi" w:eastAsia="Times New Roman" w:hAnsiTheme="majorHAnsi" w:cstheme="majorHAnsi"/>
              </w:rPr>
            </w:pPr>
            <w:r w:rsidRPr="007B7C00">
              <w:rPr>
                <w:rFonts w:asciiTheme="majorHAnsi" w:eastAsia="Times New Roman" w:hAnsiTheme="majorHAnsi" w:cstheme="majorHAnsi"/>
              </w:rPr>
              <w:t>Chieri (TO)</w:t>
            </w:r>
          </w:p>
        </w:tc>
        <w:tc>
          <w:tcPr>
            <w:tcW w:w="1465" w:type="dxa"/>
            <w:noWrap/>
            <w:vAlign w:val="center"/>
            <w:hideMark/>
          </w:tcPr>
          <w:p w14:paraId="09550A26" w14:textId="77777777" w:rsidR="00FD2CBB" w:rsidRPr="007B7C00" w:rsidRDefault="00FD2CBB" w:rsidP="006771E7">
            <w:pPr>
              <w:spacing w:beforeLines="20" w:before="48" w:afterLines="20" w:after="48" w:line="240" w:lineRule="auto"/>
              <w:jc w:val="center"/>
              <w:rPr>
                <w:rFonts w:asciiTheme="majorHAnsi" w:eastAsia="Times New Roman" w:hAnsiTheme="majorHAnsi" w:cstheme="majorHAnsi"/>
              </w:rPr>
            </w:pPr>
            <w:r w:rsidRPr="007B7C00">
              <w:rPr>
                <w:rFonts w:asciiTheme="majorHAnsi" w:eastAsia="Times New Roman" w:hAnsiTheme="majorHAnsi" w:cstheme="majorHAnsi"/>
              </w:rPr>
              <w:t>22</w:t>
            </w:r>
          </w:p>
        </w:tc>
        <w:tc>
          <w:tcPr>
            <w:tcW w:w="1285" w:type="dxa"/>
            <w:noWrap/>
            <w:vAlign w:val="center"/>
            <w:hideMark/>
          </w:tcPr>
          <w:p w14:paraId="1E72FEE4" w14:textId="77777777" w:rsidR="00FD2CBB" w:rsidRPr="007B7C00" w:rsidRDefault="00FD2CBB" w:rsidP="006771E7">
            <w:pPr>
              <w:spacing w:beforeLines="20" w:before="48" w:afterLines="20" w:after="48" w:line="240" w:lineRule="auto"/>
              <w:jc w:val="center"/>
              <w:rPr>
                <w:rFonts w:asciiTheme="majorHAnsi" w:eastAsia="Times New Roman" w:hAnsiTheme="majorHAnsi" w:cstheme="majorHAnsi"/>
              </w:rPr>
            </w:pPr>
            <w:r w:rsidRPr="007B7C00">
              <w:rPr>
                <w:rFonts w:asciiTheme="majorHAnsi" w:eastAsia="Times New Roman" w:hAnsiTheme="majorHAnsi" w:cstheme="majorHAnsi"/>
              </w:rPr>
              <w:t>4312</w:t>
            </w:r>
          </w:p>
        </w:tc>
        <w:tc>
          <w:tcPr>
            <w:tcW w:w="1140" w:type="dxa"/>
            <w:noWrap/>
            <w:vAlign w:val="center"/>
            <w:hideMark/>
          </w:tcPr>
          <w:p w14:paraId="3CA93550" w14:textId="77777777" w:rsidR="00FD2CBB" w:rsidRPr="007B7C00" w:rsidRDefault="00FD2CBB" w:rsidP="006771E7">
            <w:pPr>
              <w:spacing w:beforeLines="20" w:before="48" w:afterLines="20" w:after="48" w:line="240" w:lineRule="auto"/>
              <w:jc w:val="center"/>
              <w:rPr>
                <w:rFonts w:asciiTheme="majorHAnsi" w:eastAsia="Times New Roman" w:hAnsiTheme="majorHAnsi" w:cstheme="majorHAnsi"/>
              </w:rPr>
            </w:pPr>
            <w:r w:rsidRPr="007B7C00">
              <w:rPr>
                <w:rFonts w:asciiTheme="majorHAnsi" w:eastAsia="Times New Roman" w:hAnsiTheme="majorHAnsi" w:cstheme="majorHAnsi"/>
              </w:rPr>
              <w:t>406</w:t>
            </w:r>
          </w:p>
        </w:tc>
        <w:tc>
          <w:tcPr>
            <w:tcW w:w="1176" w:type="dxa"/>
            <w:noWrap/>
            <w:vAlign w:val="center"/>
            <w:hideMark/>
          </w:tcPr>
          <w:p w14:paraId="426F18A7" w14:textId="77777777" w:rsidR="00FD2CBB" w:rsidRPr="007B7C00" w:rsidRDefault="00FD2CBB" w:rsidP="006771E7">
            <w:pPr>
              <w:spacing w:beforeLines="20" w:before="48" w:afterLines="20" w:after="48" w:line="240" w:lineRule="auto"/>
              <w:jc w:val="center"/>
              <w:rPr>
                <w:rFonts w:asciiTheme="majorHAnsi" w:eastAsia="Times New Roman" w:hAnsiTheme="majorHAnsi" w:cstheme="majorHAnsi"/>
              </w:rPr>
            </w:pPr>
            <w:r w:rsidRPr="007B7C00">
              <w:rPr>
                <w:rFonts w:asciiTheme="majorHAnsi" w:eastAsia="Times New Roman" w:hAnsiTheme="majorHAnsi" w:cstheme="majorHAnsi"/>
              </w:rPr>
              <w:t>91%</w:t>
            </w:r>
          </w:p>
        </w:tc>
      </w:tr>
      <w:tr w:rsidR="00FD2CBB" w:rsidRPr="007B7C00" w14:paraId="2E03AEAE" w14:textId="77777777" w:rsidTr="00643943">
        <w:trPr>
          <w:trHeight w:val="309"/>
        </w:trPr>
        <w:tc>
          <w:tcPr>
            <w:tcW w:w="1429" w:type="dxa"/>
            <w:shd w:val="clear" w:color="auto" w:fill="FF7C80"/>
            <w:noWrap/>
            <w:vAlign w:val="center"/>
            <w:hideMark/>
          </w:tcPr>
          <w:p w14:paraId="2ACCFF27" w14:textId="77777777" w:rsidR="00FD2CBB" w:rsidRPr="007B7C00" w:rsidRDefault="00FD2CBB" w:rsidP="006771E7">
            <w:pPr>
              <w:spacing w:beforeLines="20" w:before="48" w:afterLines="20" w:after="48" w:line="240" w:lineRule="auto"/>
              <w:jc w:val="center"/>
              <w:rPr>
                <w:rFonts w:asciiTheme="majorHAnsi" w:eastAsia="Times New Roman" w:hAnsiTheme="majorHAnsi" w:cstheme="majorHAnsi"/>
                <w:i/>
                <w:iCs/>
                <w:color w:val="000000"/>
              </w:rPr>
            </w:pPr>
            <w:r w:rsidRPr="007B7C00">
              <w:rPr>
                <w:rFonts w:asciiTheme="majorHAnsi" w:eastAsia="Times New Roman" w:hAnsiTheme="majorHAnsi" w:cstheme="majorHAnsi"/>
                <w:i/>
                <w:iCs/>
                <w:color w:val="000000"/>
              </w:rPr>
              <w:t>TO_009</w:t>
            </w:r>
          </w:p>
        </w:tc>
        <w:tc>
          <w:tcPr>
            <w:tcW w:w="2535" w:type="dxa"/>
            <w:shd w:val="clear" w:color="000000" w:fill="FFFFFF"/>
            <w:noWrap/>
            <w:vAlign w:val="center"/>
            <w:hideMark/>
          </w:tcPr>
          <w:p w14:paraId="15654D24" w14:textId="77777777" w:rsidR="00FD2CBB" w:rsidRPr="007B7C00" w:rsidRDefault="00FD2CBB" w:rsidP="006771E7">
            <w:pPr>
              <w:spacing w:beforeLines="20" w:before="48" w:afterLines="20" w:after="48" w:line="240" w:lineRule="auto"/>
              <w:jc w:val="center"/>
              <w:rPr>
                <w:rFonts w:asciiTheme="majorHAnsi" w:eastAsia="Times New Roman" w:hAnsiTheme="majorHAnsi" w:cstheme="majorHAnsi"/>
              </w:rPr>
            </w:pPr>
            <w:r w:rsidRPr="007B7C00">
              <w:rPr>
                <w:rFonts w:asciiTheme="majorHAnsi" w:eastAsia="Times New Roman" w:hAnsiTheme="majorHAnsi" w:cstheme="majorHAnsi"/>
              </w:rPr>
              <w:t>Luserna San Giovanni (TO)</w:t>
            </w:r>
          </w:p>
        </w:tc>
        <w:tc>
          <w:tcPr>
            <w:tcW w:w="1465" w:type="dxa"/>
            <w:noWrap/>
            <w:vAlign w:val="center"/>
            <w:hideMark/>
          </w:tcPr>
          <w:p w14:paraId="6A4D2CFA" w14:textId="77777777" w:rsidR="00FD2CBB" w:rsidRPr="007B7C00" w:rsidRDefault="00FD2CBB" w:rsidP="006771E7">
            <w:pPr>
              <w:spacing w:beforeLines="20" w:before="48" w:afterLines="20" w:after="48" w:line="240" w:lineRule="auto"/>
              <w:jc w:val="center"/>
              <w:rPr>
                <w:rFonts w:asciiTheme="majorHAnsi" w:eastAsia="Times New Roman" w:hAnsiTheme="majorHAnsi" w:cstheme="majorHAnsi"/>
              </w:rPr>
            </w:pPr>
            <w:r w:rsidRPr="007B7C00">
              <w:rPr>
                <w:rFonts w:asciiTheme="majorHAnsi" w:eastAsia="Times New Roman" w:hAnsiTheme="majorHAnsi" w:cstheme="majorHAnsi"/>
              </w:rPr>
              <w:t>33</w:t>
            </w:r>
          </w:p>
        </w:tc>
        <w:tc>
          <w:tcPr>
            <w:tcW w:w="1285" w:type="dxa"/>
            <w:noWrap/>
            <w:vAlign w:val="center"/>
            <w:hideMark/>
          </w:tcPr>
          <w:p w14:paraId="2DC356ED" w14:textId="77777777" w:rsidR="00FD2CBB" w:rsidRPr="007B7C00" w:rsidRDefault="00FD2CBB" w:rsidP="006771E7">
            <w:pPr>
              <w:spacing w:beforeLines="20" w:before="48" w:afterLines="20" w:after="48" w:line="240" w:lineRule="auto"/>
              <w:jc w:val="center"/>
              <w:rPr>
                <w:rFonts w:asciiTheme="majorHAnsi" w:eastAsia="Times New Roman" w:hAnsiTheme="majorHAnsi" w:cstheme="majorHAnsi"/>
              </w:rPr>
            </w:pPr>
            <w:r w:rsidRPr="007B7C00">
              <w:rPr>
                <w:rFonts w:asciiTheme="majorHAnsi" w:eastAsia="Times New Roman" w:hAnsiTheme="majorHAnsi" w:cstheme="majorHAnsi"/>
              </w:rPr>
              <w:t>6772</w:t>
            </w:r>
          </w:p>
        </w:tc>
        <w:tc>
          <w:tcPr>
            <w:tcW w:w="1140" w:type="dxa"/>
            <w:noWrap/>
            <w:vAlign w:val="center"/>
            <w:hideMark/>
          </w:tcPr>
          <w:p w14:paraId="39EA8F59" w14:textId="77777777" w:rsidR="00FD2CBB" w:rsidRPr="007B7C00" w:rsidRDefault="00FD2CBB" w:rsidP="006771E7">
            <w:pPr>
              <w:spacing w:beforeLines="20" w:before="48" w:afterLines="20" w:after="48" w:line="240" w:lineRule="auto"/>
              <w:jc w:val="center"/>
              <w:rPr>
                <w:rFonts w:asciiTheme="majorHAnsi" w:eastAsia="Times New Roman" w:hAnsiTheme="majorHAnsi" w:cstheme="majorHAnsi"/>
              </w:rPr>
            </w:pPr>
            <w:r w:rsidRPr="007B7C00">
              <w:rPr>
                <w:rFonts w:asciiTheme="majorHAnsi" w:eastAsia="Times New Roman" w:hAnsiTheme="majorHAnsi" w:cstheme="majorHAnsi"/>
              </w:rPr>
              <w:t>1037</w:t>
            </w:r>
          </w:p>
        </w:tc>
        <w:tc>
          <w:tcPr>
            <w:tcW w:w="1176" w:type="dxa"/>
            <w:noWrap/>
            <w:vAlign w:val="center"/>
            <w:hideMark/>
          </w:tcPr>
          <w:p w14:paraId="768A2D95" w14:textId="77777777" w:rsidR="00FD2CBB" w:rsidRPr="007B7C00" w:rsidRDefault="00FD2CBB" w:rsidP="006771E7">
            <w:pPr>
              <w:spacing w:beforeLines="20" w:before="48" w:afterLines="20" w:after="48" w:line="240" w:lineRule="auto"/>
              <w:jc w:val="center"/>
              <w:rPr>
                <w:rFonts w:asciiTheme="majorHAnsi" w:eastAsia="Times New Roman" w:hAnsiTheme="majorHAnsi" w:cstheme="majorHAnsi"/>
              </w:rPr>
            </w:pPr>
            <w:r w:rsidRPr="007B7C00">
              <w:rPr>
                <w:rFonts w:asciiTheme="majorHAnsi" w:eastAsia="Times New Roman" w:hAnsiTheme="majorHAnsi" w:cstheme="majorHAnsi"/>
              </w:rPr>
              <w:t>87%</w:t>
            </w:r>
          </w:p>
        </w:tc>
      </w:tr>
      <w:tr w:rsidR="00FD2CBB" w:rsidRPr="007B7C00" w14:paraId="4C6C6905" w14:textId="77777777" w:rsidTr="00643943">
        <w:trPr>
          <w:trHeight w:val="309"/>
        </w:trPr>
        <w:tc>
          <w:tcPr>
            <w:tcW w:w="1429" w:type="dxa"/>
            <w:shd w:val="clear" w:color="auto" w:fill="FF7C80"/>
            <w:noWrap/>
            <w:vAlign w:val="center"/>
            <w:hideMark/>
          </w:tcPr>
          <w:p w14:paraId="5E51254C" w14:textId="77777777" w:rsidR="00FD2CBB" w:rsidRPr="007B7C00" w:rsidRDefault="00FD2CBB" w:rsidP="006771E7">
            <w:pPr>
              <w:spacing w:beforeLines="20" w:before="48" w:afterLines="20" w:after="48" w:line="240" w:lineRule="auto"/>
              <w:jc w:val="center"/>
              <w:rPr>
                <w:rFonts w:asciiTheme="majorHAnsi" w:eastAsia="Times New Roman" w:hAnsiTheme="majorHAnsi" w:cstheme="majorHAnsi"/>
                <w:i/>
                <w:iCs/>
                <w:color w:val="000000"/>
              </w:rPr>
            </w:pPr>
            <w:r w:rsidRPr="007B7C00">
              <w:rPr>
                <w:rFonts w:asciiTheme="majorHAnsi" w:eastAsia="Times New Roman" w:hAnsiTheme="majorHAnsi" w:cstheme="majorHAnsi"/>
                <w:i/>
                <w:iCs/>
                <w:color w:val="000000"/>
              </w:rPr>
              <w:t>TO_011</w:t>
            </w:r>
          </w:p>
        </w:tc>
        <w:tc>
          <w:tcPr>
            <w:tcW w:w="2535" w:type="dxa"/>
            <w:shd w:val="clear" w:color="000000" w:fill="FFFFFF"/>
            <w:noWrap/>
            <w:vAlign w:val="center"/>
            <w:hideMark/>
          </w:tcPr>
          <w:p w14:paraId="6A10B783" w14:textId="77777777" w:rsidR="00FD2CBB" w:rsidRPr="007B7C00" w:rsidRDefault="00FD2CBB" w:rsidP="006771E7">
            <w:pPr>
              <w:spacing w:beforeLines="20" w:before="48" w:afterLines="20" w:after="48" w:line="240" w:lineRule="auto"/>
              <w:jc w:val="center"/>
              <w:rPr>
                <w:rFonts w:asciiTheme="majorHAnsi" w:eastAsia="Times New Roman" w:hAnsiTheme="majorHAnsi" w:cstheme="majorHAnsi"/>
              </w:rPr>
            </w:pPr>
            <w:r w:rsidRPr="007B7C00">
              <w:rPr>
                <w:rFonts w:asciiTheme="majorHAnsi" w:eastAsia="Times New Roman" w:hAnsiTheme="majorHAnsi" w:cstheme="majorHAnsi"/>
              </w:rPr>
              <w:t>Torino (TO)</w:t>
            </w:r>
          </w:p>
        </w:tc>
        <w:tc>
          <w:tcPr>
            <w:tcW w:w="1465" w:type="dxa"/>
            <w:noWrap/>
            <w:vAlign w:val="center"/>
            <w:hideMark/>
          </w:tcPr>
          <w:p w14:paraId="1E5D13CE" w14:textId="77777777" w:rsidR="00FD2CBB" w:rsidRPr="007B7C00" w:rsidRDefault="00FD2CBB" w:rsidP="006771E7">
            <w:pPr>
              <w:spacing w:beforeLines="20" w:before="48" w:afterLines="20" w:after="48" w:line="240" w:lineRule="auto"/>
              <w:jc w:val="center"/>
              <w:rPr>
                <w:rFonts w:asciiTheme="majorHAnsi" w:eastAsia="Times New Roman" w:hAnsiTheme="majorHAnsi" w:cstheme="majorHAnsi"/>
              </w:rPr>
            </w:pPr>
            <w:r w:rsidRPr="007B7C00">
              <w:rPr>
                <w:rFonts w:asciiTheme="majorHAnsi" w:eastAsia="Times New Roman" w:hAnsiTheme="majorHAnsi" w:cstheme="majorHAnsi"/>
              </w:rPr>
              <w:t>28</w:t>
            </w:r>
          </w:p>
        </w:tc>
        <w:tc>
          <w:tcPr>
            <w:tcW w:w="1285" w:type="dxa"/>
            <w:noWrap/>
            <w:vAlign w:val="center"/>
            <w:hideMark/>
          </w:tcPr>
          <w:p w14:paraId="73CD78EF" w14:textId="77777777" w:rsidR="00FD2CBB" w:rsidRPr="007B7C00" w:rsidRDefault="00FD2CBB" w:rsidP="006771E7">
            <w:pPr>
              <w:spacing w:beforeLines="20" w:before="48" w:afterLines="20" w:after="48" w:line="240" w:lineRule="auto"/>
              <w:jc w:val="center"/>
              <w:rPr>
                <w:rFonts w:asciiTheme="majorHAnsi" w:eastAsia="Times New Roman" w:hAnsiTheme="majorHAnsi" w:cstheme="majorHAnsi"/>
              </w:rPr>
            </w:pPr>
            <w:r w:rsidRPr="007B7C00">
              <w:rPr>
                <w:rFonts w:asciiTheme="majorHAnsi" w:eastAsia="Times New Roman" w:hAnsiTheme="majorHAnsi" w:cstheme="majorHAnsi"/>
              </w:rPr>
              <w:t>4682</w:t>
            </w:r>
          </w:p>
        </w:tc>
        <w:tc>
          <w:tcPr>
            <w:tcW w:w="1140" w:type="dxa"/>
            <w:noWrap/>
            <w:vAlign w:val="center"/>
            <w:hideMark/>
          </w:tcPr>
          <w:p w14:paraId="2CA56462" w14:textId="77777777" w:rsidR="00FD2CBB" w:rsidRPr="007B7C00" w:rsidRDefault="00FD2CBB" w:rsidP="006771E7">
            <w:pPr>
              <w:spacing w:beforeLines="20" w:before="48" w:afterLines="20" w:after="48" w:line="240" w:lineRule="auto"/>
              <w:jc w:val="center"/>
              <w:rPr>
                <w:rFonts w:asciiTheme="majorHAnsi" w:eastAsia="Times New Roman" w:hAnsiTheme="majorHAnsi" w:cstheme="majorHAnsi"/>
              </w:rPr>
            </w:pPr>
            <w:r w:rsidRPr="007B7C00">
              <w:rPr>
                <w:rFonts w:asciiTheme="majorHAnsi" w:eastAsia="Times New Roman" w:hAnsiTheme="majorHAnsi" w:cstheme="majorHAnsi"/>
              </w:rPr>
              <w:t>840</w:t>
            </w:r>
          </w:p>
        </w:tc>
        <w:tc>
          <w:tcPr>
            <w:tcW w:w="1176" w:type="dxa"/>
            <w:noWrap/>
            <w:vAlign w:val="center"/>
            <w:hideMark/>
          </w:tcPr>
          <w:p w14:paraId="6008CB4E" w14:textId="77777777" w:rsidR="00FD2CBB" w:rsidRPr="007B7C00" w:rsidRDefault="00FD2CBB" w:rsidP="006771E7">
            <w:pPr>
              <w:spacing w:beforeLines="20" w:before="48" w:afterLines="20" w:after="48" w:line="240" w:lineRule="auto"/>
              <w:jc w:val="center"/>
              <w:rPr>
                <w:rFonts w:asciiTheme="majorHAnsi" w:eastAsia="Times New Roman" w:hAnsiTheme="majorHAnsi" w:cstheme="majorHAnsi"/>
              </w:rPr>
            </w:pPr>
            <w:r w:rsidRPr="007B7C00">
              <w:rPr>
                <w:rFonts w:asciiTheme="majorHAnsi" w:eastAsia="Times New Roman" w:hAnsiTheme="majorHAnsi" w:cstheme="majorHAnsi"/>
              </w:rPr>
              <w:t>85%</w:t>
            </w:r>
          </w:p>
        </w:tc>
      </w:tr>
      <w:tr w:rsidR="00FD2CBB" w:rsidRPr="007B7C00" w14:paraId="7F2ED427" w14:textId="77777777" w:rsidTr="00643943">
        <w:trPr>
          <w:trHeight w:val="309"/>
        </w:trPr>
        <w:tc>
          <w:tcPr>
            <w:tcW w:w="1429" w:type="dxa"/>
            <w:shd w:val="clear" w:color="auto" w:fill="FF7C80"/>
            <w:noWrap/>
            <w:vAlign w:val="center"/>
            <w:hideMark/>
          </w:tcPr>
          <w:p w14:paraId="7605BE0E" w14:textId="77777777" w:rsidR="00FD2CBB" w:rsidRPr="007B7C00" w:rsidRDefault="00FD2CBB" w:rsidP="006771E7">
            <w:pPr>
              <w:spacing w:beforeLines="20" w:before="48" w:afterLines="20" w:after="48" w:line="240" w:lineRule="auto"/>
              <w:jc w:val="center"/>
              <w:rPr>
                <w:rFonts w:asciiTheme="majorHAnsi" w:eastAsia="Times New Roman" w:hAnsiTheme="majorHAnsi" w:cstheme="majorHAnsi"/>
                <w:i/>
                <w:iCs/>
                <w:color w:val="000000"/>
              </w:rPr>
            </w:pPr>
            <w:r w:rsidRPr="007B7C00">
              <w:rPr>
                <w:rFonts w:asciiTheme="majorHAnsi" w:eastAsia="Times New Roman" w:hAnsiTheme="majorHAnsi" w:cstheme="majorHAnsi"/>
                <w:i/>
                <w:iCs/>
                <w:color w:val="000000"/>
              </w:rPr>
              <w:t>TO_018</w:t>
            </w:r>
          </w:p>
        </w:tc>
        <w:tc>
          <w:tcPr>
            <w:tcW w:w="2535" w:type="dxa"/>
            <w:shd w:val="clear" w:color="000000" w:fill="FFFFFF"/>
            <w:noWrap/>
            <w:vAlign w:val="center"/>
            <w:hideMark/>
          </w:tcPr>
          <w:p w14:paraId="555905BD" w14:textId="2CC9A1CA" w:rsidR="00FD2CBB" w:rsidRPr="007B7C00" w:rsidRDefault="00FD2CBB" w:rsidP="006771E7">
            <w:pPr>
              <w:spacing w:beforeLines="20" w:before="48" w:afterLines="20" w:after="48" w:line="240" w:lineRule="auto"/>
              <w:jc w:val="center"/>
              <w:rPr>
                <w:rFonts w:asciiTheme="majorHAnsi" w:eastAsia="Times New Roman" w:hAnsiTheme="majorHAnsi" w:cstheme="majorHAnsi"/>
              </w:rPr>
            </w:pPr>
            <w:r w:rsidRPr="007B7C00">
              <w:rPr>
                <w:rFonts w:asciiTheme="majorHAnsi" w:eastAsia="Times New Roman" w:hAnsiTheme="majorHAnsi" w:cstheme="majorHAnsi"/>
              </w:rPr>
              <w:t>Bussoleno (TO)</w:t>
            </w:r>
          </w:p>
        </w:tc>
        <w:tc>
          <w:tcPr>
            <w:tcW w:w="1465" w:type="dxa"/>
            <w:noWrap/>
            <w:vAlign w:val="center"/>
            <w:hideMark/>
          </w:tcPr>
          <w:p w14:paraId="533DF7CE" w14:textId="77777777" w:rsidR="00FD2CBB" w:rsidRPr="007B7C00" w:rsidRDefault="00FD2CBB" w:rsidP="006771E7">
            <w:pPr>
              <w:spacing w:beforeLines="20" w:before="48" w:afterLines="20" w:after="48" w:line="240" w:lineRule="auto"/>
              <w:jc w:val="center"/>
              <w:rPr>
                <w:rFonts w:asciiTheme="majorHAnsi" w:eastAsia="Times New Roman" w:hAnsiTheme="majorHAnsi" w:cstheme="majorHAnsi"/>
              </w:rPr>
            </w:pPr>
            <w:r w:rsidRPr="007B7C00">
              <w:rPr>
                <w:rFonts w:asciiTheme="majorHAnsi" w:eastAsia="Times New Roman" w:hAnsiTheme="majorHAnsi" w:cstheme="majorHAnsi"/>
              </w:rPr>
              <w:t>32</w:t>
            </w:r>
          </w:p>
        </w:tc>
        <w:tc>
          <w:tcPr>
            <w:tcW w:w="1285" w:type="dxa"/>
            <w:noWrap/>
            <w:vAlign w:val="center"/>
            <w:hideMark/>
          </w:tcPr>
          <w:p w14:paraId="0B587301" w14:textId="77777777" w:rsidR="00FD2CBB" w:rsidRPr="007B7C00" w:rsidRDefault="00FD2CBB" w:rsidP="006771E7">
            <w:pPr>
              <w:spacing w:beforeLines="20" w:before="48" w:afterLines="20" w:after="48" w:line="240" w:lineRule="auto"/>
              <w:jc w:val="center"/>
              <w:rPr>
                <w:rFonts w:asciiTheme="majorHAnsi" w:eastAsia="Times New Roman" w:hAnsiTheme="majorHAnsi" w:cstheme="majorHAnsi"/>
              </w:rPr>
            </w:pPr>
            <w:r w:rsidRPr="007B7C00">
              <w:rPr>
                <w:rFonts w:asciiTheme="majorHAnsi" w:eastAsia="Times New Roman" w:hAnsiTheme="majorHAnsi" w:cstheme="majorHAnsi"/>
              </w:rPr>
              <w:t>4315</w:t>
            </w:r>
          </w:p>
        </w:tc>
        <w:tc>
          <w:tcPr>
            <w:tcW w:w="1140" w:type="dxa"/>
            <w:noWrap/>
            <w:vAlign w:val="center"/>
            <w:hideMark/>
          </w:tcPr>
          <w:p w14:paraId="5B40A6AF" w14:textId="77777777" w:rsidR="00FD2CBB" w:rsidRPr="007B7C00" w:rsidRDefault="00FD2CBB" w:rsidP="006771E7">
            <w:pPr>
              <w:spacing w:beforeLines="20" w:before="48" w:afterLines="20" w:after="48" w:line="240" w:lineRule="auto"/>
              <w:jc w:val="center"/>
              <w:rPr>
                <w:rFonts w:asciiTheme="majorHAnsi" w:eastAsia="Times New Roman" w:hAnsiTheme="majorHAnsi" w:cstheme="majorHAnsi"/>
              </w:rPr>
            </w:pPr>
            <w:r w:rsidRPr="007B7C00">
              <w:rPr>
                <w:rFonts w:asciiTheme="majorHAnsi" w:eastAsia="Times New Roman" w:hAnsiTheme="majorHAnsi" w:cstheme="majorHAnsi"/>
              </w:rPr>
              <w:t>872</w:t>
            </w:r>
          </w:p>
        </w:tc>
        <w:tc>
          <w:tcPr>
            <w:tcW w:w="1176" w:type="dxa"/>
            <w:noWrap/>
            <w:vAlign w:val="center"/>
            <w:hideMark/>
          </w:tcPr>
          <w:p w14:paraId="5A475FB0" w14:textId="77777777" w:rsidR="00FD2CBB" w:rsidRPr="007B7C00" w:rsidRDefault="00FD2CBB" w:rsidP="006771E7">
            <w:pPr>
              <w:spacing w:beforeLines="20" w:before="48" w:afterLines="20" w:after="48" w:line="240" w:lineRule="auto"/>
              <w:jc w:val="center"/>
              <w:rPr>
                <w:rFonts w:asciiTheme="majorHAnsi" w:eastAsia="Times New Roman" w:hAnsiTheme="majorHAnsi" w:cstheme="majorHAnsi"/>
              </w:rPr>
            </w:pPr>
            <w:r w:rsidRPr="007B7C00">
              <w:rPr>
                <w:rFonts w:asciiTheme="majorHAnsi" w:eastAsia="Times New Roman" w:hAnsiTheme="majorHAnsi" w:cstheme="majorHAnsi"/>
              </w:rPr>
              <w:t>83%</w:t>
            </w:r>
          </w:p>
        </w:tc>
      </w:tr>
      <w:tr w:rsidR="00FD2CBB" w:rsidRPr="007B7C00" w14:paraId="036E588E" w14:textId="77777777" w:rsidTr="00643943">
        <w:trPr>
          <w:trHeight w:val="309"/>
        </w:trPr>
        <w:tc>
          <w:tcPr>
            <w:tcW w:w="1429" w:type="dxa"/>
            <w:shd w:val="clear" w:color="auto" w:fill="FF7C80"/>
            <w:noWrap/>
            <w:vAlign w:val="center"/>
            <w:hideMark/>
          </w:tcPr>
          <w:p w14:paraId="428DC79E" w14:textId="77777777" w:rsidR="00FD2CBB" w:rsidRPr="007B7C00" w:rsidRDefault="00FD2CBB" w:rsidP="006771E7">
            <w:pPr>
              <w:spacing w:beforeLines="20" w:before="48" w:afterLines="20" w:after="48" w:line="240" w:lineRule="auto"/>
              <w:jc w:val="center"/>
              <w:rPr>
                <w:rFonts w:asciiTheme="majorHAnsi" w:eastAsia="Times New Roman" w:hAnsiTheme="majorHAnsi" w:cstheme="majorHAnsi"/>
                <w:i/>
                <w:iCs/>
                <w:color w:val="000000"/>
              </w:rPr>
            </w:pPr>
            <w:r w:rsidRPr="007B7C00">
              <w:rPr>
                <w:rFonts w:asciiTheme="majorHAnsi" w:eastAsia="Times New Roman" w:hAnsiTheme="majorHAnsi" w:cstheme="majorHAnsi"/>
                <w:i/>
                <w:iCs/>
                <w:color w:val="000000"/>
              </w:rPr>
              <w:t>TO_020</w:t>
            </w:r>
          </w:p>
        </w:tc>
        <w:tc>
          <w:tcPr>
            <w:tcW w:w="2535" w:type="dxa"/>
            <w:shd w:val="clear" w:color="000000" w:fill="FFFFFF"/>
            <w:noWrap/>
            <w:vAlign w:val="center"/>
            <w:hideMark/>
          </w:tcPr>
          <w:p w14:paraId="542FBE28" w14:textId="4E5096FA" w:rsidR="00FD2CBB" w:rsidRPr="007B7C00" w:rsidRDefault="00FD2CBB" w:rsidP="006771E7">
            <w:pPr>
              <w:spacing w:beforeLines="20" w:before="48" w:afterLines="20" w:after="48" w:line="240" w:lineRule="auto"/>
              <w:jc w:val="center"/>
              <w:rPr>
                <w:rFonts w:asciiTheme="majorHAnsi" w:eastAsia="Times New Roman" w:hAnsiTheme="majorHAnsi" w:cstheme="majorHAnsi"/>
              </w:rPr>
            </w:pPr>
            <w:r w:rsidRPr="007B7C00">
              <w:rPr>
                <w:rFonts w:asciiTheme="majorHAnsi" w:eastAsia="Times New Roman" w:hAnsiTheme="majorHAnsi" w:cstheme="majorHAnsi"/>
              </w:rPr>
              <w:t>Carmagnola (TO)</w:t>
            </w:r>
          </w:p>
        </w:tc>
        <w:tc>
          <w:tcPr>
            <w:tcW w:w="1465" w:type="dxa"/>
            <w:noWrap/>
            <w:vAlign w:val="center"/>
            <w:hideMark/>
          </w:tcPr>
          <w:p w14:paraId="469EE27E" w14:textId="77777777" w:rsidR="00FD2CBB" w:rsidRPr="007B7C00" w:rsidRDefault="00FD2CBB" w:rsidP="006771E7">
            <w:pPr>
              <w:spacing w:beforeLines="20" w:before="48" w:afterLines="20" w:after="48" w:line="240" w:lineRule="auto"/>
              <w:jc w:val="center"/>
              <w:rPr>
                <w:rFonts w:asciiTheme="majorHAnsi" w:eastAsia="Times New Roman" w:hAnsiTheme="majorHAnsi" w:cstheme="majorHAnsi"/>
              </w:rPr>
            </w:pPr>
            <w:r w:rsidRPr="007B7C00">
              <w:rPr>
                <w:rFonts w:asciiTheme="majorHAnsi" w:eastAsia="Times New Roman" w:hAnsiTheme="majorHAnsi" w:cstheme="majorHAnsi"/>
              </w:rPr>
              <w:t>25</w:t>
            </w:r>
          </w:p>
        </w:tc>
        <w:tc>
          <w:tcPr>
            <w:tcW w:w="1285" w:type="dxa"/>
            <w:noWrap/>
            <w:vAlign w:val="center"/>
            <w:hideMark/>
          </w:tcPr>
          <w:p w14:paraId="5863CD12" w14:textId="77777777" w:rsidR="00FD2CBB" w:rsidRPr="007B7C00" w:rsidRDefault="00FD2CBB" w:rsidP="006771E7">
            <w:pPr>
              <w:spacing w:beforeLines="20" w:before="48" w:afterLines="20" w:after="48" w:line="240" w:lineRule="auto"/>
              <w:jc w:val="center"/>
              <w:rPr>
                <w:rFonts w:asciiTheme="majorHAnsi" w:eastAsia="Times New Roman" w:hAnsiTheme="majorHAnsi" w:cstheme="majorHAnsi"/>
              </w:rPr>
            </w:pPr>
            <w:r w:rsidRPr="007B7C00">
              <w:rPr>
                <w:rFonts w:asciiTheme="majorHAnsi" w:eastAsia="Times New Roman" w:hAnsiTheme="majorHAnsi" w:cstheme="majorHAnsi"/>
              </w:rPr>
              <w:t>4001</w:t>
            </w:r>
          </w:p>
        </w:tc>
        <w:tc>
          <w:tcPr>
            <w:tcW w:w="1140" w:type="dxa"/>
            <w:noWrap/>
            <w:vAlign w:val="center"/>
            <w:hideMark/>
          </w:tcPr>
          <w:p w14:paraId="07BF0874" w14:textId="77777777" w:rsidR="00FD2CBB" w:rsidRPr="007B7C00" w:rsidRDefault="00FD2CBB" w:rsidP="006771E7">
            <w:pPr>
              <w:spacing w:beforeLines="20" w:before="48" w:afterLines="20" w:after="48" w:line="240" w:lineRule="auto"/>
              <w:jc w:val="center"/>
              <w:rPr>
                <w:rFonts w:asciiTheme="majorHAnsi" w:eastAsia="Times New Roman" w:hAnsiTheme="majorHAnsi" w:cstheme="majorHAnsi"/>
              </w:rPr>
            </w:pPr>
            <w:r w:rsidRPr="007B7C00">
              <w:rPr>
                <w:rFonts w:asciiTheme="majorHAnsi" w:eastAsia="Times New Roman" w:hAnsiTheme="majorHAnsi" w:cstheme="majorHAnsi"/>
              </w:rPr>
              <w:t>405</w:t>
            </w:r>
          </w:p>
        </w:tc>
        <w:tc>
          <w:tcPr>
            <w:tcW w:w="1176" w:type="dxa"/>
            <w:noWrap/>
            <w:vAlign w:val="center"/>
            <w:hideMark/>
          </w:tcPr>
          <w:p w14:paraId="46B4069C" w14:textId="77777777" w:rsidR="00FD2CBB" w:rsidRPr="007B7C00" w:rsidRDefault="00FD2CBB" w:rsidP="006771E7">
            <w:pPr>
              <w:spacing w:beforeLines="20" w:before="48" w:afterLines="20" w:after="48" w:line="240" w:lineRule="auto"/>
              <w:jc w:val="center"/>
              <w:rPr>
                <w:rFonts w:asciiTheme="majorHAnsi" w:eastAsia="Times New Roman" w:hAnsiTheme="majorHAnsi" w:cstheme="majorHAnsi"/>
              </w:rPr>
            </w:pPr>
            <w:r w:rsidRPr="007B7C00">
              <w:rPr>
                <w:rFonts w:asciiTheme="majorHAnsi" w:eastAsia="Times New Roman" w:hAnsiTheme="majorHAnsi" w:cstheme="majorHAnsi"/>
              </w:rPr>
              <w:t>91%</w:t>
            </w:r>
          </w:p>
        </w:tc>
      </w:tr>
      <w:tr w:rsidR="00FD2CBB" w:rsidRPr="007B7C00" w14:paraId="7CB72C66" w14:textId="77777777" w:rsidTr="00643943">
        <w:trPr>
          <w:trHeight w:val="309"/>
        </w:trPr>
        <w:tc>
          <w:tcPr>
            <w:tcW w:w="1429" w:type="dxa"/>
            <w:shd w:val="clear" w:color="auto" w:fill="FF7C80"/>
            <w:noWrap/>
            <w:vAlign w:val="center"/>
            <w:hideMark/>
          </w:tcPr>
          <w:p w14:paraId="3B47F6CF" w14:textId="77777777" w:rsidR="00FD2CBB" w:rsidRPr="007B7C00" w:rsidRDefault="00FD2CBB" w:rsidP="006771E7">
            <w:pPr>
              <w:spacing w:beforeLines="20" w:before="48" w:afterLines="20" w:after="48" w:line="240" w:lineRule="auto"/>
              <w:jc w:val="center"/>
              <w:rPr>
                <w:rFonts w:asciiTheme="majorHAnsi" w:eastAsia="Times New Roman" w:hAnsiTheme="majorHAnsi" w:cstheme="majorHAnsi"/>
                <w:i/>
                <w:iCs/>
                <w:color w:val="000000"/>
              </w:rPr>
            </w:pPr>
            <w:r w:rsidRPr="007B7C00">
              <w:rPr>
                <w:rFonts w:asciiTheme="majorHAnsi" w:eastAsia="Times New Roman" w:hAnsiTheme="majorHAnsi" w:cstheme="majorHAnsi"/>
                <w:i/>
                <w:iCs/>
                <w:color w:val="000000"/>
              </w:rPr>
              <w:t>TO_022</w:t>
            </w:r>
          </w:p>
        </w:tc>
        <w:tc>
          <w:tcPr>
            <w:tcW w:w="2535" w:type="dxa"/>
            <w:shd w:val="clear" w:color="000000" w:fill="FFFFFF"/>
            <w:noWrap/>
            <w:vAlign w:val="center"/>
            <w:hideMark/>
          </w:tcPr>
          <w:p w14:paraId="52D43804" w14:textId="04BCD170" w:rsidR="00FD2CBB" w:rsidRPr="007B7C00" w:rsidRDefault="00FD2CBB" w:rsidP="006771E7">
            <w:pPr>
              <w:spacing w:beforeLines="20" w:before="48" w:afterLines="20" w:after="48" w:line="240" w:lineRule="auto"/>
              <w:jc w:val="center"/>
              <w:rPr>
                <w:rFonts w:asciiTheme="majorHAnsi" w:eastAsia="Times New Roman" w:hAnsiTheme="majorHAnsi" w:cstheme="majorHAnsi"/>
              </w:rPr>
            </w:pPr>
            <w:r w:rsidRPr="007B7C00">
              <w:rPr>
                <w:rFonts w:asciiTheme="majorHAnsi" w:eastAsia="Times New Roman" w:hAnsiTheme="majorHAnsi" w:cstheme="majorHAnsi"/>
              </w:rPr>
              <w:t>Castellamonte (TO)</w:t>
            </w:r>
          </w:p>
        </w:tc>
        <w:tc>
          <w:tcPr>
            <w:tcW w:w="1465" w:type="dxa"/>
            <w:noWrap/>
            <w:vAlign w:val="center"/>
            <w:hideMark/>
          </w:tcPr>
          <w:p w14:paraId="3275E2F8" w14:textId="77777777" w:rsidR="00FD2CBB" w:rsidRPr="007B7C00" w:rsidRDefault="00FD2CBB" w:rsidP="006771E7">
            <w:pPr>
              <w:spacing w:beforeLines="20" w:before="48" w:afterLines="20" w:after="48" w:line="240" w:lineRule="auto"/>
              <w:jc w:val="center"/>
              <w:rPr>
                <w:rFonts w:asciiTheme="majorHAnsi" w:eastAsia="Times New Roman" w:hAnsiTheme="majorHAnsi" w:cstheme="majorHAnsi"/>
              </w:rPr>
            </w:pPr>
            <w:r w:rsidRPr="007B7C00">
              <w:rPr>
                <w:rFonts w:asciiTheme="majorHAnsi" w:eastAsia="Times New Roman" w:hAnsiTheme="majorHAnsi" w:cstheme="majorHAnsi"/>
              </w:rPr>
              <w:t>41</w:t>
            </w:r>
          </w:p>
        </w:tc>
        <w:tc>
          <w:tcPr>
            <w:tcW w:w="1285" w:type="dxa"/>
            <w:noWrap/>
            <w:vAlign w:val="center"/>
            <w:hideMark/>
          </w:tcPr>
          <w:p w14:paraId="6F91250C" w14:textId="77777777" w:rsidR="00FD2CBB" w:rsidRPr="007B7C00" w:rsidRDefault="00FD2CBB" w:rsidP="006771E7">
            <w:pPr>
              <w:spacing w:beforeLines="20" w:before="48" w:afterLines="20" w:after="48" w:line="240" w:lineRule="auto"/>
              <w:jc w:val="center"/>
              <w:rPr>
                <w:rFonts w:asciiTheme="majorHAnsi" w:eastAsia="Times New Roman" w:hAnsiTheme="majorHAnsi" w:cstheme="majorHAnsi"/>
              </w:rPr>
            </w:pPr>
            <w:r w:rsidRPr="007B7C00">
              <w:rPr>
                <w:rFonts w:asciiTheme="majorHAnsi" w:eastAsia="Times New Roman" w:hAnsiTheme="majorHAnsi" w:cstheme="majorHAnsi"/>
              </w:rPr>
              <w:t>6877</w:t>
            </w:r>
          </w:p>
        </w:tc>
        <w:tc>
          <w:tcPr>
            <w:tcW w:w="1140" w:type="dxa"/>
            <w:noWrap/>
            <w:vAlign w:val="center"/>
            <w:hideMark/>
          </w:tcPr>
          <w:p w14:paraId="2E473F36" w14:textId="77777777" w:rsidR="00FD2CBB" w:rsidRPr="007B7C00" w:rsidRDefault="00FD2CBB" w:rsidP="006771E7">
            <w:pPr>
              <w:spacing w:beforeLines="20" w:before="48" w:afterLines="20" w:after="48" w:line="240" w:lineRule="auto"/>
              <w:jc w:val="center"/>
              <w:rPr>
                <w:rFonts w:asciiTheme="majorHAnsi" w:eastAsia="Times New Roman" w:hAnsiTheme="majorHAnsi" w:cstheme="majorHAnsi"/>
              </w:rPr>
            </w:pPr>
            <w:r w:rsidRPr="007B7C00">
              <w:rPr>
                <w:rFonts w:asciiTheme="majorHAnsi" w:eastAsia="Times New Roman" w:hAnsiTheme="majorHAnsi" w:cstheme="majorHAnsi"/>
              </w:rPr>
              <w:t>1415</w:t>
            </w:r>
          </w:p>
        </w:tc>
        <w:tc>
          <w:tcPr>
            <w:tcW w:w="1176" w:type="dxa"/>
            <w:noWrap/>
            <w:vAlign w:val="center"/>
            <w:hideMark/>
          </w:tcPr>
          <w:p w14:paraId="7E50CC36" w14:textId="77777777" w:rsidR="00FD2CBB" w:rsidRPr="007B7C00" w:rsidRDefault="00FD2CBB" w:rsidP="006771E7">
            <w:pPr>
              <w:spacing w:beforeLines="20" w:before="48" w:afterLines="20" w:after="48" w:line="240" w:lineRule="auto"/>
              <w:jc w:val="center"/>
              <w:rPr>
                <w:rFonts w:asciiTheme="majorHAnsi" w:eastAsia="Times New Roman" w:hAnsiTheme="majorHAnsi" w:cstheme="majorHAnsi"/>
              </w:rPr>
            </w:pPr>
            <w:r w:rsidRPr="007B7C00">
              <w:rPr>
                <w:rFonts w:asciiTheme="majorHAnsi" w:eastAsia="Times New Roman" w:hAnsiTheme="majorHAnsi" w:cstheme="majorHAnsi"/>
              </w:rPr>
              <w:t>83%</w:t>
            </w:r>
          </w:p>
        </w:tc>
      </w:tr>
      <w:tr w:rsidR="00FD2CBB" w:rsidRPr="007B7C00" w14:paraId="6A4B9F39" w14:textId="77777777" w:rsidTr="00643943">
        <w:trPr>
          <w:trHeight w:val="309"/>
        </w:trPr>
        <w:tc>
          <w:tcPr>
            <w:tcW w:w="1429" w:type="dxa"/>
            <w:shd w:val="clear" w:color="auto" w:fill="FF7C80"/>
            <w:noWrap/>
            <w:vAlign w:val="center"/>
            <w:hideMark/>
          </w:tcPr>
          <w:p w14:paraId="1A2F3DC4" w14:textId="77777777" w:rsidR="00FD2CBB" w:rsidRPr="007B7C00" w:rsidRDefault="00FD2CBB" w:rsidP="006771E7">
            <w:pPr>
              <w:spacing w:beforeLines="20" w:before="48" w:afterLines="20" w:after="48" w:line="240" w:lineRule="auto"/>
              <w:jc w:val="center"/>
              <w:rPr>
                <w:rFonts w:asciiTheme="majorHAnsi" w:eastAsia="Times New Roman" w:hAnsiTheme="majorHAnsi" w:cstheme="majorHAnsi"/>
                <w:i/>
                <w:iCs/>
                <w:color w:val="000000"/>
              </w:rPr>
            </w:pPr>
            <w:r w:rsidRPr="007B7C00">
              <w:rPr>
                <w:rFonts w:asciiTheme="majorHAnsi" w:eastAsia="Times New Roman" w:hAnsiTheme="majorHAnsi" w:cstheme="majorHAnsi"/>
                <w:i/>
                <w:iCs/>
                <w:color w:val="000000"/>
              </w:rPr>
              <w:t>TO_027</w:t>
            </w:r>
          </w:p>
        </w:tc>
        <w:tc>
          <w:tcPr>
            <w:tcW w:w="2535" w:type="dxa"/>
            <w:shd w:val="clear" w:color="000000" w:fill="FFFFFF"/>
            <w:noWrap/>
            <w:vAlign w:val="center"/>
            <w:hideMark/>
          </w:tcPr>
          <w:p w14:paraId="216153A8" w14:textId="5ABB5648" w:rsidR="00FD2CBB" w:rsidRPr="007B7C00" w:rsidRDefault="00FD2CBB" w:rsidP="006771E7">
            <w:pPr>
              <w:spacing w:beforeLines="20" w:before="48" w:afterLines="20" w:after="48" w:line="240" w:lineRule="auto"/>
              <w:jc w:val="center"/>
              <w:rPr>
                <w:rFonts w:asciiTheme="majorHAnsi" w:eastAsia="Times New Roman" w:hAnsiTheme="majorHAnsi" w:cstheme="majorHAnsi"/>
              </w:rPr>
            </w:pPr>
            <w:r w:rsidRPr="007B7C00">
              <w:rPr>
                <w:rFonts w:asciiTheme="majorHAnsi" w:eastAsia="Times New Roman" w:hAnsiTheme="majorHAnsi" w:cstheme="majorHAnsi"/>
              </w:rPr>
              <w:t>Cafasse (TO)</w:t>
            </w:r>
          </w:p>
        </w:tc>
        <w:tc>
          <w:tcPr>
            <w:tcW w:w="1465" w:type="dxa"/>
            <w:noWrap/>
            <w:vAlign w:val="center"/>
            <w:hideMark/>
          </w:tcPr>
          <w:p w14:paraId="2DD32A80" w14:textId="77777777" w:rsidR="00FD2CBB" w:rsidRPr="007B7C00" w:rsidRDefault="00FD2CBB" w:rsidP="006771E7">
            <w:pPr>
              <w:spacing w:beforeLines="20" w:before="48" w:afterLines="20" w:after="48" w:line="240" w:lineRule="auto"/>
              <w:jc w:val="center"/>
              <w:rPr>
                <w:rFonts w:asciiTheme="majorHAnsi" w:eastAsia="Times New Roman" w:hAnsiTheme="majorHAnsi" w:cstheme="majorHAnsi"/>
              </w:rPr>
            </w:pPr>
            <w:r w:rsidRPr="007B7C00">
              <w:rPr>
                <w:rFonts w:asciiTheme="majorHAnsi" w:eastAsia="Times New Roman" w:hAnsiTheme="majorHAnsi" w:cstheme="majorHAnsi"/>
              </w:rPr>
              <w:t>30</w:t>
            </w:r>
          </w:p>
        </w:tc>
        <w:tc>
          <w:tcPr>
            <w:tcW w:w="1285" w:type="dxa"/>
            <w:noWrap/>
            <w:vAlign w:val="center"/>
            <w:hideMark/>
          </w:tcPr>
          <w:p w14:paraId="19123B82" w14:textId="77777777" w:rsidR="00FD2CBB" w:rsidRPr="007B7C00" w:rsidRDefault="00FD2CBB" w:rsidP="006771E7">
            <w:pPr>
              <w:spacing w:beforeLines="20" w:before="48" w:afterLines="20" w:after="48" w:line="240" w:lineRule="auto"/>
              <w:jc w:val="center"/>
              <w:rPr>
                <w:rFonts w:asciiTheme="majorHAnsi" w:eastAsia="Times New Roman" w:hAnsiTheme="majorHAnsi" w:cstheme="majorHAnsi"/>
              </w:rPr>
            </w:pPr>
            <w:r w:rsidRPr="007B7C00">
              <w:rPr>
                <w:rFonts w:asciiTheme="majorHAnsi" w:eastAsia="Times New Roman" w:hAnsiTheme="majorHAnsi" w:cstheme="majorHAnsi"/>
              </w:rPr>
              <w:t>4753</w:t>
            </w:r>
          </w:p>
        </w:tc>
        <w:tc>
          <w:tcPr>
            <w:tcW w:w="1140" w:type="dxa"/>
            <w:noWrap/>
            <w:vAlign w:val="center"/>
            <w:hideMark/>
          </w:tcPr>
          <w:p w14:paraId="6B8196E2" w14:textId="77777777" w:rsidR="00FD2CBB" w:rsidRPr="007B7C00" w:rsidRDefault="00FD2CBB" w:rsidP="006771E7">
            <w:pPr>
              <w:spacing w:beforeLines="20" w:before="48" w:afterLines="20" w:after="48" w:line="240" w:lineRule="auto"/>
              <w:jc w:val="center"/>
              <w:rPr>
                <w:rFonts w:asciiTheme="majorHAnsi" w:eastAsia="Times New Roman" w:hAnsiTheme="majorHAnsi" w:cstheme="majorHAnsi"/>
              </w:rPr>
            </w:pPr>
            <w:r w:rsidRPr="007B7C00">
              <w:rPr>
                <w:rFonts w:asciiTheme="majorHAnsi" w:eastAsia="Times New Roman" w:hAnsiTheme="majorHAnsi" w:cstheme="majorHAnsi"/>
              </w:rPr>
              <w:t>1091</w:t>
            </w:r>
          </w:p>
        </w:tc>
        <w:tc>
          <w:tcPr>
            <w:tcW w:w="1176" w:type="dxa"/>
            <w:noWrap/>
            <w:vAlign w:val="center"/>
            <w:hideMark/>
          </w:tcPr>
          <w:p w14:paraId="65863FD4" w14:textId="77777777" w:rsidR="00FD2CBB" w:rsidRPr="007B7C00" w:rsidRDefault="00FD2CBB" w:rsidP="006771E7">
            <w:pPr>
              <w:spacing w:beforeLines="20" w:before="48" w:afterLines="20" w:after="48" w:line="240" w:lineRule="auto"/>
              <w:jc w:val="center"/>
              <w:rPr>
                <w:rFonts w:asciiTheme="majorHAnsi" w:eastAsia="Times New Roman" w:hAnsiTheme="majorHAnsi" w:cstheme="majorHAnsi"/>
              </w:rPr>
            </w:pPr>
            <w:r w:rsidRPr="007B7C00">
              <w:rPr>
                <w:rFonts w:asciiTheme="majorHAnsi" w:eastAsia="Times New Roman" w:hAnsiTheme="majorHAnsi" w:cstheme="majorHAnsi"/>
              </w:rPr>
              <w:t>81%</w:t>
            </w:r>
          </w:p>
        </w:tc>
      </w:tr>
      <w:tr w:rsidR="00FD2CBB" w:rsidRPr="007B7C00" w14:paraId="56560A98" w14:textId="77777777" w:rsidTr="00643943">
        <w:trPr>
          <w:trHeight w:val="309"/>
        </w:trPr>
        <w:tc>
          <w:tcPr>
            <w:tcW w:w="1429" w:type="dxa"/>
            <w:shd w:val="clear" w:color="auto" w:fill="FF7C80"/>
            <w:noWrap/>
            <w:vAlign w:val="center"/>
            <w:hideMark/>
          </w:tcPr>
          <w:p w14:paraId="72284D88" w14:textId="77777777" w:rsidR="00FD2CBB" w:rsidRPr="007B7C00" w:rsidRDefault="00FD2CBB" w:rsidP="006771E7">
            <w:pPr>
              <w:spacing w:beforeLines="20" w:before="48" w:afterLines="20" w:after="48" w:line="240" w:lineRule="auto"/>
              <w:jc w:val="center"/>
              <w:rPr>
                <w:rFonts w:asciiTheme="majorHAnsi" w:eastAsia="Times New Roman" w:hAnsiTheme="majorHAnsi" w:cstheme="majorHAnsi"/>
                <w:i/>
                <w:iCs/>
                <w:color w:val="000000"/>
              </w:rPr>
            </w:pPr>
            <w:r w:rsidRPr="007B7C00">
              <w:rPr>
                <w:rFonts w:asciiTheme="majorHAnsi" w:eastAsia="Times New Roman" w:hAnsiTheme="majorHAnsi" w:cstheme="majorHAnsi"/>
                <w:i/>
                <w:iCs/>
                <w:color w:val="000000"/>
              </w:rPr>
              <w:t>TO_031</w:t>
            </w:r>
          </w:p>
        </w:tc>
        <w:tc>
          <w:tcPr>
            <w:tcW w:w="2535" w:type="dxa"/>
            <w:shd w:val="clear" w:color="000000" w:fill="FFFFFF"/>
            <w:noWrap/>
            <w:vAlign w:val="center"/>
            <w:hideMark/>
          </w:tcPr>
          <w:p w14:paraId="0F3355F7" w14:textId="77777777" w:rsidR="00FD2CBB" w:rsidRPr="007B7C00" w:rsidRDefault="00FD2CBB" w:rsidP="006771E7">
            <w:pPr>
              <w:spacing w:beforeLines="20" w:before="48" w:afterLines="20" w:after="48" w:line="240" w:lineRule="auto"/>
              <w:jc w:val="center"/>
              <w:rPr>
                <w:rFonts w:asciiTheme="majorHAnsi" w:eastAsia="Times New Roman" w:hAnsiTheme="majorHAnsi" w:cstheme="majorHAnsi"/>
              </w:rPr>
            </w:pPr>
            <w:r w:rsidRPr="007B7C00">
              <w:rPr>
                <w:rFonts w:asciiTheme="majorHAnsi" w:eastAsia="Times New Roman" w:hAnsiTheme="majorHAnsi" w:cstheme="majorHAnsi"/>
              </w:rPr>
              <w:t>Pinerolo (TO)</w:t>
            </w:r>
          </w:p>
        </w:tc>
        <w:tc>
          <w:tcPr>
            <w:tcW w:w="1465" w:type="dxa"/>
            <w:noWrap/>
            <w:vAlign w:val="center"/>
            <w:hideMark/>
          </w:tcPr>
          <w:p w14:paraId="3F75AC70" w14:textId="77777777" w:rsidR="00FD2CBB" w:rsidRPr="007B7C00" w:rsidRDefault="00FD2CBB" w:rsidP="006771E7">
            <w:pPr>
              <w:spacing w:beforeLines="20" w:before="48" w:afterLines="20" w:after="48" w:line="240" w:lineRule="auto"/>
              <w:jc w:val="center"/>
              <w:rPr>
                <w:rFonts w:asciiTheme="majorHAnsi" w:eastAsia="Times New Roman" w:hAnsiTheme="majorHAnsi" w:cstheme="majorHAnsi"/>
              </w:rPr>
            </w:pPr>
            <w:r w:rsidRPr="007B7C00">
              <w:rPr>
                <w:rFonts w:asciiTheme="majorHAnsi" w:eastAsia="Times New Roman" w:hAnsiTheme="majorHAnsi" w:cstheme="majorHAnsi"/>
              </w:rPr>
              <w:t>40</w:t>
            </w:r>
          </w:p>
        </w:tc>
        <w:tc>
          <w:tcPr>
            <w:tcW w:w="1285" w:type="dxa"/>
            <w:noWrap/>
            <w:vAlign w:val="center"/>
            <w:hideMark/>
          </w:tcPr>
          <w:p w14:paraId="20651803" w14:textId="77777777" w:rsidR="00FD2CBB" w:rsidRPr="007B7C00" w:rsidRDefault="00FD2CBB" w:rsidP="006771E7">
            <w:pPr>
              <w:spacing w:beforeLines="20" w:before="48" w:afterLines="20" w:after="48" w:line="240" w:lineRule="auto"/>
              <w:jc w:val="center"/>
              <w:rPr>
                <w:rFonts w:asciiTheme="majorHAnsi" w:eastAsia="Times New Roman" w:hAnsiTheme="majorHAnsi" w:cstheme="majorHAnsi"/>
              </w:rPr>
            </w:pPr>
            <w:r w:rsidRPr="007B7C00">
              <w:rPr>
                <w:rFonts w:asciiTheme="majorHAnsi" w:eastAsia="Times New Roman" w:hAnsiTheme="majorHAnsi" w:cstheme="majorHAnsi"/>
              </w:rPr>
              <w:t>8627</w:t>
            </w:r>
          </w:p>
        </w:tc>
        <w:tc>
          <w:tcPr>
            <w:tcW w:w="1140" w:type="dxa"/>
            <w:noWrap/>
            <w:vAlign w:val="center"/>
            <w:hideMark/>
          </w:tcPr>
          <w:p w14:paraId="6156DDF7" w14:textId="77777777" w:rsidR="00FD2CBB" w:rsidRPr="007B7C00" w:rsidRDefault="00FD2CBB" w:rsidP="006771E7">
            <w:pPr>
              <w:spacing w:beforeLines="20" w:before="48" w:afterLines="20" w:after="48" w:line="240" w:lineRule="auto"/>
              <w:jc w:val="center"/>
              <w:rPr>
                <w:rFonts w:asciiTheme="majorHAnsi" w:eastAsia="Times New Roman" w:hAnsiTheme="majorHAnsi" w:cstheme="majorHAnsi"/>
              </w:rPr>
            </w:pPr>
            <w:r w:rsidRPr="007B7C00">
              <w:rPr>
                <w:rFonts w:asciiTheme="majorHAnsi" w:eastAsia="Times New Roman" w:hAnsiTheme="majorHAnsi" w:cstheme="majorHAnsi"/>
              </w:rPr>
              <w:t>1324</w:t>
            </w:r>
          </w:p>
        </w:tc>
        <w:tc>
          <w:tcPr>
            <w:tcW w:w="1176" w:type="dxa"/>
            <w:noWrap/>
            <w:vAlign w:val="center"/>
            <w:hideMark/>
          </w:tcPr>
          <w:p w14:paraId="5C8E3361" w14:textId="77777777" w:rsidR="00FD2CBB" w:rsidRPr="007B7C00" w:rsidRDefault="00FD2CBB" w:rsidP="006771E7">
            <w:pPr>
              <w:spacing w:beforeLines="20" w:before="48" w:afterLines="20" w:after="48" w:line="240" w:lineRule="auto"/>
              <w:jc w:val="center"/>
              <w:rPr>
                <w:rFonts w:asciiTheme="majorHAnsi" w:eastAsia="Times New Roman" w:hAnsiTheme="majorHAnsi" w:cstheme="majorHAnsi"/>
              </w:rPr>
            </w:pPr>
            <w:r w:rsidRPr="007B7C00">
              <w:rPr>
                <w:rFonts w:asciiTheme="majorHAnsi" w:eastAsia="Times New Roman" w:hAnsiTheme="majorHAnsi" w:cstheme="majorHAnsi"/>
              </w:rPr>
              <w:t>87%</w:t>
            </w:r>
          </w:p>
        </w:tc>
      </w:tr>
      <w:tr w:rsidR="00FD2CBB" w:rsidRPr="007B7C00" w14:paraId="70CBB5AC" w14:textId="77777777" w:rsidTr="00643943">
        <w:trPr>
          <w:trHeight w:val="309"/>
        </w:trPr>
        <w:tc>
          <w:tcPr>
            <w:tcW w:w="1429" w:type="dxa"/>
            <w:shd w:val="clear" w:color="auto" w:fill="FF7C80"/>
            <w:noWrap/>
            <w:vAlign w:val="center"/>
            <w:hideMark/>
          </w:tcPr>
          <w:p w14:paraId="3DE15ACF" w14:textId="77777777" w:rsidR="00FD2CBB" w:rsidRPr="007B7C00" w:rsidRDefault="00FD2CBB" w:rsidP="006771E7">
            <w:pPr>
              <w:spacing w:beforeLines="20" w:before="48" w:afterLines="20" w:after="48" w:line="240" w:lineRule="auto"/>
              <w:jc w:val="center"/>
              <w:rPr>
                <w:rFonts w:asciiTheme="majorHAnsi" w:eastAsia="Times New Roman" w:hAnsiTheme="majorHAnsi" w:cstheme="majorHAnsi"/>
                <w:i/>
                <w:iCs/>
                <w:color w:val="000000"/>
              </w:rPr>
            </w:pPr>
            <w:r w:rsidRPr="007B7C00">
              <w:rPr>
                <w:rFonts w:asciiTheme="majorHAnsi" w:eastAsia="Times New Roman" w:hAnsiTheme="majorHAnsi" w:cstheme="majorHAnsi"/>
                <w:i/>
                <w:iCs/>
                <w:color w:val="000000"/>
              </w:rPr>
              <w:t>TO_032</w:t>
            </w:r>
          </w:p>
        </w:tc>
        <w:tc>
          <w:tcPr>
            <w:tcW w:w="2535" w:type="dxa"/>
            <w:shd w:val="clear" w:color="000000" w:fill="FFFFFF"/>
            <w:noWrap/>
            <w:vAlign w:val="center"/>
            <w:hideMark/>
          </w:tcPr>
          <w:p w14:paraId="09659F21" w14:textId="77777777" w:rsidR="00FD2CBB" w:rsidRPr="007B7C00" w:rsidRDefault="00FD2CBB" w:rsidP="006771E7">
            <w:pPr>
              <w:spacing w:beforeLines="20" w:before="48" w:afterLines="20" w:after="48" w:line="240" w:lineRule="auto"/>
              <w:jc w:val="center"/>
              <w:rPr>
                <w:rFonts w:asciiTheme="majorHAnsi" w:eastAsia="Times New Roman" w:hAnsiTheme="majorHAnsi" w:cstheme="majorHAnsi"/>
              </w:rPr>
            </w:pPr>
            <w:r w:rsidRPr="007B7C00">
              <w:rPr>
                <w:rFonts w:asciiTheme="majorHAnsi" w:eastAsia="Times New Roman" w:hAnsiTheme="majorHAnsi" w:cstheme="majorHAnsi"/>
              </w:rPr>
              <w:t>Perosa (TO)</w:t>
            </w:r>
          </w:p>
        </w:tc>
        <w:tc>
          <w:tcPr>
            <w:tcW w:w="1465" w:type="dxa"/>
            <w:noWrap/>
            <w:vAlign w:val="center"/>
            <w:hideMark/>
          </w:tcPr>
          <w:p w14:paraId="1A9665FE" w14:textId="77777777" w:rsidR="00FD2CBB" w:rsidRPr="007B7C00" w:rsidRDefault="00FD2CBB" w:rsidP="006771E7">
            <w:pPr>
              <w:spacing w:beforeLines="20" w:before="48" w:afterLines="20" w:after="48" w:line="240" w:lineRule="auto"/>
              <w:jc w:val="center"/>
              <w:rPr>
                <w:rFonts w:asciiTheme="majorHAnsi" w:eastAsia="Times New Roman" w:hAnsiTheme="majorHAnsi" w:cstheme="majorHAnsi"/>
              </w:rPr>
            </w:pPr>
            <w:r w:rsidRPr="007B7C00">
              <w:rPr>
                <w:rFonts w:asciiTheme="majorHAnsi" w:eastAsia="Times New Roman" w:hAnsiTheme="majorHAnsi" w:cstheme="majorHAnsi"/>
              </w:rPr>
              <w:t>33</w:t>
            </w:r>
          </w:p>
        </w:tc>
        <w:tc>
          <w:tcPr>
            <w:tcW w:w="1285" w:type="dxa"/>
            <w:noWrap/>
            <w:vAlign w:val="center"/>
            <w:hideMark/>
          </w:tcPr>
          <w:p w14:paraId="16D3932C" w14:textId="77777777" w:rsidR="00FD2CBB" w:rsidRPr="007B7C00" w:rsidRDefault="00FD2CBB" w:rsidP="006771E7">
            <w:pPr>
              <w:spacing w:beforeLines="20" w:before="48" w:afterLines="20" w:after="48" w:line="240" w:lineRule="auto"/>
              <w:jc w:val="center"/>
              <w:rPr>
                <w:rFonts w:asciiTheme="majorHAnsi" w:eastAsia="Times New Roman" w:hAnsiTheme="majorHAnsi" w:cstheme="majorHAnsi"/>
              </w:rPr>
            </w:pPr>
            <w:r w:rsidRPr="007B7C00">
              <w:rPr>
                <w:rFonts w:asciiTheme="majorHAnsi" w:eastAsia="Times New Roman" w:hAnsiTheme="majorHAnsi" w:cstheme="majorHAnsi"/>
              </w:rPr>
              <w:t>4725</w:t>
            </w:r>
          </w:p>
        </w:tc>
        <w:tc>
          <w:tcPr>
            <w:tcW w:w="1140" w:type="dxa"/>
            <w:noWrap/>
            <w:vAlign w:val="center"/>
            <w:hideMark/>
          </w:tcPr>
          <w:p w14:paraId="4DC1C6EA" w14:textId="77777777" w:rsidR="00FD2CBB" w:rsidRPr="007B7C00" w:rsidRDefault="00FD2CBB" w:rsidP="006771E7">
            <w:pPr>
              <w:spacing w:beforeLines="20" w:before="48" w:afterLines="20" w:after="48" w:line="240" w:lineRule="auto"/>
              <w:jc w:val="center"/>
              <w:rPr>
                <w:rFonts w:asciiTheme="majorHAnsi" w:eastAsia="Times New Roman" w:hAnsiTheme="majorHAnsi" w:cstheme="majorHAnsi"/>
              </w:rPr>
            </w:pPr>
            <w:r w:rsidRPr="007B7C00">
              <w:rPr>
                <w:rFonts w:asciiTheme="majorHAnsi" w:eastAsia="Times New Roman" w:hAnsiTheme="majorHAnsi" w:cstheme="majorHAnsi"/>
              </w:rPr>
              <w:t>902</w:t>
            </w:r>
          </w:p>
        </w:tc>
        <w:tc>
          <w:tcPr>
            <w:tcW w:w="1176" w:type="dxa"/>
            <w:noWrap/>
            <w:vAlign w:val="center"/>
            <w:hideMark/>
          </w:tcPr>
          <w:p w14:paraId="1DF8E73C" w14:textId="77777777" w:rsidR="00FD2CBB" w:rsidRPr="007B7C00" w:rsidRDefault="00FD2CBB" w:rsidP="006771E7">
            <w:pPr>
              <w:spacing w:beforeLines="20" w:before="48" w:afterLines="20" w:after="48" w:line="240" w:lineRule="auto"/>
              <w:jc w:val="center"/>
              <w:rPr>
                <w:rFonts w:asciiTheme="majorHAnsi" w:eastAsia="Times New Roman" w:hAnsiTheme="majorHAnsi" w:cstheme="majorHAnsi"/>
              </w:rPr>
            </w:pPr>
            <w:r w:rsidRPr="007B7C00">
              <w:rPr>
                <w:rFonts w:asciiTheme="majorHAnsi" w:eastAsia="Times New Roman" w:hAnsiTheme="majorHAnsi" w:cstheme="majorHAnsi"/>
              </w:rPr>
              <w:t>84%</w:t>
            </w:r>
          </w:p>
        </w:tc>
      </w:tr>
      <w:tr w:rsidR="00FD2CBB" w:rsidRPr="007B7C00" w14:paraId="7705D8FC" w14:textId="77777777" w:rsidTr="00643943">
        <w:trPr>
          <w:trHeight w:val="309"/>
        </w:trPr>
        <w:tc>
          <w:tcPr>
            <w:tcW w:w="1429" w:type="dxa"/>
            <w:shd w:val="clear" w:color="auto" w:fill="FF7C80"/>
            <w:noWrap/>
            <w:vAlign w:val="center"/>
            <w:hideMark/>
          </w:tcPr>
          <w:p w14:paraId="52056F42" w14:textId="77777777" w:rsidR="00FD2CBB" w:rsidRPr="007B7C00" w:rsidRDefault="00FD2CBB" w:rsidP="006771E7">
            <w:pPr>
              <w:spacing w:beforeLines="20" w:before="48" w:afterLines="20" w:after="48" w:line="240" w:lineRule="auto"/>
              <w:jc w:val="center"/>
              <w:rPr>
                <w:rFonts w:asciiTheme="majorHAnsi" w:eastAsia="Times New Roman" w:hAnsiTheme="majorHAnsi" w:cstheme="majorHAnsi"/>
                <w:i/>
                <w:iCs/>
                <w:color w:val="000000"/>
              </w:rPr>
            </w:pPr>
            <w:r w:rsidRPr="007B7C00">
              <w:rPr>
                <w:rFonts w:asciiTheme="majorHAnsi" w:eastAsia="Times New Roman" w:hAnsiTheme="majorHAnsi" w:cstheme="majorHAnsi"/>
                <w:i/>
                <w:iCs/>
                <w:color w:val="000000"/>
              </w:rPr>
              <w:t>TO_035</w:t>
            </w:r>
          </w:p>
        </w:tc>
        <w:tc>
          <w:tcPr>
            <w:tcW w:w="2535" w:type="dxa"/>
            <w:shd w:val="clear" w:color="000000" w:fill="FFFFFF"/>
            <w:noWrap/>
            <w:vAlign w:val="center"/>
            <w:hideMark/>
          </w:tcPr>
          <w:p w14:paraId="358A26D8" w14:textId="5FE9E285" w:rsidR="00FD2CBB" w:rsidRPr="007B7C00" w:rsidRDefault="00FD2CBB" w:rsidP="006771E7">
            <w:pPr>
              <w:spacing w:beforeLines="20" w:before="48" w:afterLines="20" w:after="48" w:line="240" w:lineRule="auto"/>
              <w:jc w:val="center"/>
              <w:rPr>
                <w:rFonts w:asciiTheme="majorHAnsi" w:eastAsia="Times New Roman" w:hAnsiTheme="majorHAnsi" w:cstheme="majorHAnsi"/>
              </w:rPr>
            </w:pPr>
            <w:r w:rsidRPr="007B7C00">
              <w:rPr>
                <w:rFonts w:asciiTheme="majorHAnsi" w:eastAsia="Times New Roman" w:hAnsiTheme="majorHAnsi" w:cstheme="majorHAnsi"/>
              </w:rPr>
              <w:t>Salbertrand (TO)</w:t>
            </w:r>
          </w:p>
        </w:tc>
        <w:tc>
          <w:tcPr>
            <w:tcW w:w="1465" w:type="dxa"/>
            <w:noWrap/>
            <w:vAlign w:val="center"/>
            <w:hideMark/>
          </w:tcPr>
          <w:p w14:paraId="10010D94" w14:textId="77777777" w:rsidR="00FD2CBB" w:rsidRPr="007B7C00" w:rsidRDefault="00FD2CBB" w:rsidP="006771E7">
            <w:pPr>
              <w:spacing w:beforeLines="20" w:before="48" w:afterLines="20" w:after="48" w:line="240" w:lineRule="auto"/>
              <w:jc w:val="center"/>
              <w:rPr>
                <w:rFonts w:asciiTheme="majorHAnsi" w:eastAsia="Times New Roman" w:hAnsiTheme="majorHAnsi" w:cstheme="majorHAnsi"/>
              </w:rPr>
            </w:pPr>
            <w:r w:rsidRPr="007B7C00">
              <w:rPr>
                <w:rFonts w:asciiTheme="majorHAnsi" w:eastAsia="Times New Roman" w:hAnsiTheme="majorHAnsi" w:cstheme="majorHAnsi"/>
              </w:rPr>
              <w:t>11</w:t>
            </w:r>
          </w:p>
        </w:tc>
        <w:tc>
          <w:tcPr>
            <w:tcW w:w="1285" w:type="dxa"/>
            <w:noWrap/>
            <w:vAlign w:val="center"/>
            <w:hideMark/>
          </w:tcPr>
          <w:p w14:paraId="1372A9D4" w14:textId="77777777" w:rsidR="00FD2CBB" w:rsidRPr="007B7C00" w:rsidRDefault="00FD2CBB" w:rsidP="006771E7">
            <w:pPr>
              <w:spacing w:beforeLines="20" w:before="48" w:afterLines="20" w:after="48" w:line="240" w:lineRule="auto"/>
              <w:jc w:val="center"/>
              <w:rPr>
                <w:rFonts w:asciiTheme="majorHAnsi" w:eastAsia="Times New Roman" w:hAnsiTheme="majorHAnsi" w:cstheme="majorHAnsi"/>
              </w:rPr>
            </w:pPr>
            <w:r w:rsidRPr="007B7C00">
              <w:rPr>
                <w:rFonts w:asciiTheme="majorHAnsi" w:eastAsia="Times New Roman" w:hAnsiTheme="majorHAnsi" w:cstheme="majorHAnsi"/>
              </w:rPr>
              <w:t>1555</w:t>
            </w:r>
          </w:p>
        </w:tc>
        <w:tc>
          <w:tcPr>
            <w:tcW w:w="1140" w:type="dxa"/>
            <w:noWrap/>
            <w:vAlign w:val="center"/>
            <w:hideMark/>
          </w:tcPr>
          <w:p w14:paraId="30E9F34C" w14:textId="77777777" w:rsidR="00FD2CBB" w:rsidRPr="007B7C00" w:rsidRDefault="00FD2CBB" w:rsidP="006771E7">
            <w:pPr>
              <w:spacing w:beforeLines="20" w:before="48" w:afterLines="20" w:after="48" w:line="240" w:lineRule="auto"/>
              <w:jc w:val="center"/>
              <w:rPr>
                <w:rFonts w:asciiTheme="majorHAnsi" w:eastAsia="Times New Roman" w:hAnsiTheme="majorHAnsi" w:cstheme="majorHAnsi"/>
              </w:rPr>
            </w:pPr>
            <w:r w:rsidRPr="007B7C00">
              <w:rPr>
                <w:rFonts w:asciiTheme="majorHAnsi" w:eastAsia="Times New Roman" w:hAnsiTheme="majorHAnsi" w:cstheme="majorHAnsi"/>
              </w:rPr>
              <w:t>355</w:t>
            </w:r>
          </w:p>
        </w:tc>
        <w:tc>
          <w:tcPr>
            <w:tcW w:w="1176" w:type="dxa"/>
            <w:noWrap/>
            <w:vAlign w:val="center"/>
            <w:hideMark/>
          </w:tcPr>
          <w:p w14:paraId="1A2776D0" w14:textId="77777777" w:rsidR="00FD2CBB" w:rsidRPr="007B7C00" w:rsidRDefault="00FD2CBB" w:rsidP="006771E7">
            <w:pPr>
              <w:spacing w:beforeLines="20" w:before="48" w:afterLines="20" w:after="48" w:line="240" w:lineRule="auto"/>
              <w:jc w:val="center"/>
              <w:rPr>
                <w:rFonts w:asciiTheme="majorHAnsi" w:eastAsia="Times New Roman" w:hAnsiTheme="majorHAnsi" w:cstheme="majorHAnsi"/>
              </w:rPr>
            </w:pPr>
            <w:r w:rsidRPr="007B7C00">
              <w:rPr>
                <w:rFonts w:asciiTheme="majorHAnsi" w:eastAsia="Times New Roman" w:hAnsiTheme="majorHAnsi" w:cstheme="majorHAnsi"/>
              </w:rPr>
              <w:t>81%</w:t>
            </w:r>
          </w:p>
        </w:tc>
      </w:tr>
      <w:tr w:rsidR="00FD2CBB" w:rsidRPr="007B7C00" w14:paraId="2E949CDB" w14:textId="77777777" w:rsidTr="00643943">
        <w:trPr>
          <w:trHeight w:val="309"/>
        </w:trPr>
        <w:tc>
          <w:tcPr>
            <w:tcW w:w="1429" w:type="dxa"/>
            <w:shd w:val="clear" w:color="auto" w:fill="FF7C80"/>
            <w:noWrap/>
            <w:vAlign w:val="center"/>
            <w:hideMark/>
          </w:tcPr>
          <w:p w14:paraId="36622A11" w14:textId="77777777" w:rsidR="00FD2CBB" w:rsidRPr="007B7C00" w:rsidRDefault="00FD2CBB" w:rsidP="006771E7">
            <w:pPr>
              <w:spacing w:beforeLines="20" w:before="48" w:afterLines="20" w:after="48" w:line="240" w:lineRule="auto"/>
              <w:jc w:val="center"/>
              <w:rPr>
                <w:rFonts w:asciiTheme="majorHAnsi" w:eastAsia="Times New Roman" w:hAnsiTheme="majorHAnsi" w:cstheme="majorHAnsi"/>
                <w:i/>
                <w:iCs/>
                <w:color w:val="000000"/>
              </w:rPr>
            </w:pPr>
            <w:r w:rsidRPr="007B7C00">
              <w:rPr>
                <w:rFonts w:asciiTheme="majorHAnsi" w:eastAsia="Times New Roman" w:hAnsiTheme="majorHAnsi" w:cstheme="majorHAnsi"/>
                <w:i/>
                <w:iCs/>
                <w:color w:val="000000"/>
              </w:rPr>
              <w:t>TO_037</w:t>
            </w:r>
          </w:p>
        </w:tc>
        <w:tc>
          <w:tcPr>
            <w:tcW w:w="2535" w:type="dxa"/>
            <w:shd w:val="clear" w:color="000000" w:fill="FFFFFF"/>
            <w:noWrap/>
            <w:vAlign w:val="center"/>
            <w:hideMark/>
          </w:tcPr>
          <w:p w14:paraId="6EF4A504" w14:textId="77777777" w:rsidR="00FD2CBB" w:rsidRPr="007B7C00" w:rsidRDefault="00FD2CBB" w:rsidP="006771E7">
            <w:pPr>
              <w:spacing w:beforeLines="20" w:before="48" w:afterLines="20" w:after="48" w:line="240" w:lineRule="auto"/>
              <w:jc w:val="center"/>
              <w:rPr>
                <w:rFonts w:asciiTheme="majorHAnsi" w:eastAsia="Times New Roman" w:hAnsiTheme="majorHAnsi" w:cstheme="majorHAnsi"/>
              </w:rPr>
            </w:pPr>
            <w:r w:rsidRPr="007B7C00">
              <w:rPr>
                <w:rFonts w:asciiTheme="majorHAnsi" w:eastAsia="Times New Roman" w:hAnsiTheme="majorHAnsi" w:cstheme="majorHAnsi"/>
              </w:rPr>
              <w:t>Cumiana (TO)</w:t>
            </w:r>
          </w:p>
        </w:tc>
        <w:tc>
          <w:tcPr>
            <w:tcW w:w="1465" w:type="dxa"/>
            <w:noWrap/>
            <w:vAlign w:val="center"/>
            <w:hideMark/>
          </w:tcPr>
          <w:p w14:paraId="3A6B784C" w14:textId="77777777" w:rsidR="00FD2CBB" w:rsidRPr="007B7C00" w:rsidRDefault="00FD2CBB" w:rsidP="006771E7">
            <w:pPr>
              <w:spacing w:beforeLines="20" w:before="48" w:afterLines="20" w:after="48" w:line="240" w:lineRule="auto"/>
              <w:jc w:val="center"/>
              <w:rPr>
                <w:rFonts w:asciiTheme="majorHAnsi" w:eastAsia="Times New Roman" w:hAnsiTheme="majorHAnsi" w:cstheme="majorHAnsi"/>
              </w:rPr>
            </w:pPr>
            <w:r w:rsidRPr="007B7C00">
              <w:rPr>
                <w:rFonts w:asciiTheme="majorHAnsi" w:eastAsia="Times New Roman" w:hAnsiTheme="majorHAnsi" w:cstheme="majorHAnsi"/>
              </w:rPr>
              <w:t>21</w:t>
            </w:r>
          </w:p>
        </w:tc>
        <w:tc>
          <w:tcPr>
            <w:tcW w:w="1285" w:type="dxa"/>
            <w:noWrap/>
            <w:vAlign w:val="center"/>
            <w:hideMark/>
          </w:tcPr>
          <w:p w14:paraId="47F2E08A" w14:textId="77777777" w:rsidR="00FD2CBB" w:rsidRPr="007B7C00" w:rsidRDefault="00FD2CBB" w:rsidP="006771E7">
            <w:pPr>
              <w:spacing w:beforeLines="20" w:before="48" w:afterLines="20" w:after="48" w:line="240" w:lineRule="auto"/>
              <w:jc w:val="center"/>
              <w:rPr>
                <w:rFonts w:asciiTheme="majorHAnsi" w:eastAsia="Times New Roman" w:hAnsiTheme="majorHAnsi" w:cstheme="majorHAnsi"/>
              </w:rPr>
            </w:pPr>
            <w:r w:rsidRPr="007B7C00">
              <w:rPr>
                <w:rFonts w:asciiTheme="majorHAnsi" w:eastAsia="Times New Roman" w:hAnsiTheme="majorHAnsi" w:cstheme="majorHAnsi"/>
              </w:rPr>
              <w:t>3143</w:t>
            </w:r>
          </w:p>
        </w:tc>
        <w:tc>
          <w:tcPr>
            <w:tcW w:w="1140" w:type="dxa"/>
            <w:noWrap/>
            <w:vAlign w:val="center"/>
            <w:hideMark/>
          </w:tcPr>
          <w:p w14:paraId="4B9CDB4F" w14:textId="77777777" w:rsidR="00FD2CBB" w:rsidRPr="007B7C00" w:rsidRDefault="00FD2CBB" w:rsidP="006771E7">
            <w:pPr>
              <w:spacing w:beforeLines="20" w:before="48" w:afterLines="20" w:after="48" w:line="240" w:lineRule="auto"/>
              <w:jc w:val="center"/>
              <w:rPr>
                <w:rFonts w:asciiTheme="majorHAnsi" w:eastAsia="Times New Roman" w:hAnsiTheme="majorHAnsi" w:cstheme="majorHAnsi"/>
              </w:rPr>
            </w:pPr>
            <w:r w:rsidRPr="007B7C00">
              <w:rPr>
                <w:rFonts w:asciiTheme="majorHAnsi" w:eastAsia="Times New Roman" w:hAnsiTheme="majorHAnsi" w:cstheme="majorHAnsi"/>
              </w:rPr>
              <w:t>386</w:t>
            </w:r>
          </w:p>
        </w:tc>
        <w:tc>
          <w:tcPr>
            <w:tcW w:w="1176" w:type="dxa"/>
            <w:noWrap/>
            <w:vAlign w:val="center"/>
            <w:hideMark/>
          </w:tcPr>
          <w:p w14:paraId="5B9642FC" w14:textId="77777777" w:rsidR="00FD2CBB" w:rsidRPr="007B7C00" w:rsidRDefault="00FD2CBB" w:rsidP="006771E7">
            <w:pPr>
              <w:spacing w:beforeLines="20" w:before="48" w:afterLines="20" w:after="48" w:line="240" w:lineRule="auto"/>
              <w:jc w:val="center"/>
              <w:rPr>
                <w:rFonts w:asciiTheme="majorHAnsi" w:eastAsia="Times New Roman" w:hAnsiTheme="majorHAnsi" w:cstheme="majorHAnsi"/>
              </w:rPr>
            </w:pPr>
            <w:r w:rsidRPr="007B7C00">
              <w:rPr>
                <w:rFonts w:asciiTheme="majorHAnsi" w:eastAsia="Times New Roman" w:hAnsiTheme="majorHAnsi" w:cstheme="majorHAnsi"/>
              </w:rPr>
              <w:t>89%</w:t>
            </w:r>
          </w:p>
        </w:tc>
      </w:tr>
      <w:tr w:rsidR="00FD2CBB" w:rsidRPr="007B7C00" w14:paraId="7E1CC51D" w14:textId="77777777" w:rsidTr="00643943">
        <w:trPr>
          <w:trHeight w:val="309"/>
        </w:trPr>
        <w:tc>
          <w:tcPr>
            <w:tcW w:w="1429" w:type="dxa"/>
            <w:shd w:val="clear" w:color="auto" w:fill="FF7C80"/>
            <w:noWrap/>
            <w:vAlign w:val="center"/>
            <w:hideMark/>
          </w:tcPr>
          <w:p w14:paraId="16525933" w14:textId="77777777" w:rsidR="00FD2CBB" w:rsidRPr="007B7C00" w:rsidRDefault="00FD2CBB" w:rsidP="006771E7">
            <w:pPr>
              <w:spacing w:beforeLines="20" w:before="48" w:afterLines="20" w:after="48" w:line="240" w:lineRule="auto"/>
              <w:jc w:val="center"/>
              <w:rPr>
                <w:rFonts w:asciiTheme="majorHAnsi" w:eastAsia="Times New Roman" w:hAnsiTheme="majorHAnsi" w:cstheme="majorHAnsi"/>
                <w:i/>
                <w:iCs/>
                <w:color w:val="000000"/>
              </w:rPr>
            </w:pPr>
            <w:r w:rsidRPr="007B7C00">
              <w:rPr>
                <w:rFonts w:asciiTheme="majorHAnsi" w:eastAsia="Times New Roman" w:hAnsiTheme="majorHAnsi" w:cstheme="majorHAnsi"/>
                <w:i/>
                <w:iCs/>
                <w:color w:val="000000"/>
              </w:rPr>
              <w:t>TO_039</w:t>
            </w:r>
          </w:p>
        </w:tc>
        <w:tc>
          <w:tcPr>
            <w:tcW w:w="2535" w:type="dxa"/>
            <w:shd w:val="clear" w:color="000000" w:fill="FFFFFF"/>
            <w:noWrap/>
            <w:vAlign w:val="center"/>
            <w:hideMark/>
          </w:tcPr>
          <w:p w14:paraId="7034B29F" w14:textId="77777777" w:rsidR="00FD2CBB" w:rsidRPr="007B7C00" w:rsidRDefault="00FD2CBB" w:rsidP="006771E7">
            <w:pPr>
              <w:spacing w:beforeLines="20" w:before="48" w:afterLines="20" w:after="48" w:line="240" w:lineRule="auto"/>
              <w:jc w:val="center"/>
              <w:rPr>
                <w:rFonts w:asciiTheme="majorHAnsi" w:eastAsia="Times New Roman" w:hAnsiTheme="majorHAnsi" w:cstheme="majorHAnsi"/>
              </w:rPr>
            </w:pPr>
            <w:r w:rsidRPr="007B7C00">
              <w:rPr>
                <w:rFonts w:asciiTheme="majorHAnsi" w:eastAsia="Times New Roman" w:hAnsiTheme="majorHAnsi" w:cstheme="majorHAnsi"/>
              </w:rPr>
              <w:t>Giaveno (TO)</w:t>
            </w:r>
          </w:p>
        </w:tc>
        <w:tc>
          <w:tcPr>
            <w:tcW w:w="1465" w:type="dxa"/>
            <w:noWrap/>
            <w:vAlign w:val="center"/>
            <w:hideMark/>
          </w:tcPr>
          <w:p w14:paraId="30B56756" w14:textId="77777777" w:rsidR="00FD2CBB" w:rsidRPr="007B7C00" w:rsidRDefault="00FD2CBB" w:rsidP="006771E7">
            <w:pPr>
              <w:spacing w:beforeLines="20" w:before="48" w:afterLines="20" w:after="48" w:line="240" w:lineRule="auto"/>
              <w:jc w:val="center"/>
              <w:rPr>
                <w:rFonts w:asciiTheme="majorHAnsi" w:eastAsia="Times New Roman" w:hAnsiTheme="majorHAnsi" w:cstheme="majorHAnsi"/>
              </w:rPr>
            </w:pPr>
            <w:r w:rsidRPr="007B7C00">
              <w:rPr>
                <w:rFonts w:asciiTheme="majorHAnsi" w:eastAsia="Times New Roman" w:hAnsiTheme="majorHAnsi" w:cstheme="majorHAnsi"/>
              </w:rPr>
              <w:t>30</w:t>
            </w:r>
          </w:p>
        </w:tc>
        <w:tc>
          <w:tcPr>
            <w:tcW w:w="1285" w:type="dxa"/>
            <w:noWrap/>
            <w:vAlign w:val="center"/>
            <w:hideMark/>
          </w:tcPr>
          <w:p w14:paraId="3A4A2589" w14:textId="77777777" w:rsidR="00FD2CBB" w:rsidRPr="007B7C00" w:rsidRDefault="00FD2CBB" w:rsidP="006771E7">
            <w:pPr>
              <w:spacing w:beforeLines="20" w:before="48" w:afterLines="20" w:after="48" w:line="240" w:lineRule="auto"/>
              <w:jc w:val="center"/>
              <w:rPr>
                <w:rFonts w:asciiTheme="majorHAnsi" w:eastAsia="Times New Roman" w:hAnsiTheme="majorHAnsi" w:cstheme="majorHAnsi"/>
              </w:rPr>
            </w:pPr>
            <w:r w:rsidRPr="007B7C00">
              <w:rPr>
                <w:rFonts w:asciiTheme="majorHAnsi" w:eastAsia="Times New Roman" w:hAnsiTheme="majorHAnsi" w:cstheme="majorHAnsi"/>
              </w:rPr>
              <w:t>4737</w:t>
            </w:r>
          </w:p>
        </w:tc>
        <w:tc>
          <w:tcPr>
            <w:tcW w:w="1140" w:type="dxa"/>
            <w:noWrap/>
            <w:vAlign w:val="center"/>
            <w:hideMark/>
          </w:tcPr>
          <w:p w14:paraId="498EC3B3" w14:textId="77777777" w:rsidR="00FD2CBB" w:rsidRPr="007B7C00" w:rsidRDefault="00FD2CBB" w:rsidP="006771E7">
            <w:pPr>
              <w:spacing w:beforeLines="20" w:before="48" w:afterLines="20" w:after="48" w:line="240" w:lineRule="auto"/>
              <w:jc w:val="center"/>
              <w:rPr>
                <w:rFonts w:asciiTheme="majorHAnsi" w:eastAsia="Times New Roman" w:hAnsiTheme="majorHAnsi" w:cstheme="majorHAnsi"/>
              </w:rPr>
            </w:pPr>
            <w:r w:rsidRPr="007B7C00">
              <w:rPr>
                <w:rFonts w:asciiTheme="majorHAnsi" w:eastAsia="Times New Roman" w:hAnsiTheme="majorHAnsi" w:cstheme="majorHAnsi"/>
              </w:rPr>
              <w:t>677</w:t>
            </w:r>
          </w:p>
        </w:tc>
        <w:tc>
          <w:tcPr>
            <w:tcW w:w="1176" w:type="dxa"/>
            <w:noWrap/>
            <w:vAlign w:val="center"/>
            <w:hideMark/>
          </w:tcPr>
          <w:p w14:paraId="04F67615" w14:textId="77777777" w:rsidR="00FD2CBB" w:rsidRPr="007B7C00" w:rsidRDefault="00FD2CBB" w:rsidP="006771E7">
            <w:pPr>
              <w:spacing w:beforeLines="20" w:before="48" w:afterLines="20" w:after="48" w:line="240" w:lineRule="auto"/>
              <w:jc w:val="center"/>
              <w:rPr>
                <w:rFonts w:asciiTheme="majorHAnsi" w:eastAsia="Times New Roman" w:hAnsiTheme="majorHAnsi" w:cstheme="majorHAnsi"/>
              </w:rPr>
            </w:pPr>
            <w:r w:rsidRPr="007B7C00">
              <w:rPr>
                <w:rFonts w:asciiTheme="majorHAnsi" w:eastAsia="Times New Roman" w:hAnsiTheme="majorHAnsi" w:cstheme="majorHAnsi"/>
              </w:rPr>
              <w:t>87%</w:t>
            </w:r>
          </w:p>
        </w:tc>
      </w:tr>
      <w:tr w:rsidR="00FD2CBB" w:rsidRPr="007B7C00" w14:paraId="0C261B27" w14:textId="77777777" w:rsidTr="00643943">
        <w:trPr>
          <w:trHeight w:val="309"/>
        </w:trPr>
        <w:tc>
          <w:tcPr>
            <w:tcW w:w="1429" w:type="dxa"/>
            <w:shd w:val="clear" w:color="auto" w:fill="FF7C80"/>
            <w:noWrap/>
            <w:vAlign w:val="center"/>
            <w:hideMark/>
          </w:tcPr>
          <w:p w14:paraId="30C2E04C" w14:textId="77777777" w:rsidR="00FD2CBB" w:rsidRPr="007B7C00" w:rsidRDefault="00FD2CBB" w:rsidP="006771E7">
            <w:pPr>
              <w:spacing w:beforeLines="20" w:before="48" w:afterLines="20" w:after="48" w:line="240" w:lineRule="auto"/>
              <w:jc w:val="center"/>
              <w:rPr>
                <w:rFonts w:asciiTheme="majorHAnsi" w:eastAsia="Times New Roman" w:hAnsiTheme="majorHAnsi" w:cstheme="majorHAnsi"/>
                <w:i/>
                <w:iCs/>
                <w:color w:val="000000"/>
              </w:rPr>
            </w:pPr>
            <w:r w:rsidRPr="007B7C00">
              <w:rPr>
                <w:rFonts w:asciiTheme="majorHAnsi" w:eastAsia="Times New Roman" w:hAnsiTheme="majorHAnsi" w:cstheme="majorHAnsi"/>
                <w:i/>
                <w:iCs/>
                <w:color w:val="000000"/>
              </w:rPr>
              <w:t>TO_040</w:t>
            </w:r>
          </w:p>
        </w:tc>
        <w:tc>
          <w:tcPr>
            <w:tcW w:w="2535" w:type="dxa"/>
            <w:shd w:val="clear" w:color="000000" w:fill="FFFFFF"/>
            <w:noWrap/>
            <w:vAlign w:val="center"/>
            <w:hideMark/>
          </w:tcPr>
          <w:p w14:paraId="3F2399B4" w14:textId="77777777" w:rsidR="00FD2CBB" w:rsidRPr="007B7C00" w:rsidRDefault="00FD2CBB" w:rsidP="006771E7">
            <w:pPr>
              <w:spacing w:beforeLines="20" w:before="48" w:afterLines="20" w:after="48" w:line="240" w:lineRule="auto"/>
              <w:jc w:val="center"/>
              <w:rPr>
                <w:rFonts w:asciiTheme="majorHAnsi" w:eastAsia="Times New Roman" w:hAnsiTheme="majorHAnsi" w:cstheme="majorHAnsi"/>
              </w:rPr>
            </w:pPr>
            <w:r w:rsidRPr="007B7C00">
              <w:rPr>
                <w:rFonts w:asciiTheme="majorHAnsi" w:eastAsia="Times New Roman" w:hAnsiTheme="majorHAnsi" w:cstheme="majorHAnsi"/>
              </w:rPr>
              <w:t>Ivrea (TO)</w:t>
            </w:r>
          </w:p>
        </w:tc>
        <w:tc>
          <w:tcPr>
            <w:tcW w:w="1465" w:type="dxa"/>
            <w:noWrap/>
            <w:vAlign w:val="center"/>
            <w:hideMark/>
          </w:tcPr>
          <w:p w14:paraId="53CC5CEA" w14:textId="77777777" w:rsidR="00FD2CBB" w:rsidRPr="007B7C00" w:rsidRDefault="00FD2CBB" w:rsidP="006771E7">
            <w:pPr>
              <w:spacing w:beforeLines="20" w:before="48" w:afterLines="20" w:after="48" w:line="240" w:lineRule="auto"/>
              <w:jc w:val="center"/>
              <w:rPr>
                <w:rFonts w:asciiTheme="majorHAnsi" w:eastAsia="Times New Roman" w:hAnsiTheme="majorHAnsi" w:cstheme="majorHAnsi"/>
              </w:rPr>
            </w:pPr>
            <w:r w:rsidRPr="007B7C00">
              <w:rPr>
                <w:rFonts w:asciiTheme="majorHAnsi" w:eastAsia="Times New Roman" w:hAnsiTheme="majorHAnsi" w:cstheme="majorHAnsi"/>
              </w:rPr>
              <w:t>62</w:t>
            </w:r>
          </w:p>
        </w:tc>
        <w:tc>
          <w:tcPr>
            <w:tcW w:w="1285" w:type="dxa"/>
            <w:noWrap/>
            <w:vAlign w:val="center"/>
            <w:hideMark/>
          </w:tcPr>
          <w:p w14:paraId="621564A2" w14:textId="77777777" w:rsidR="00FD2CBB" w:rsidRPr="007B7C00" w:rsidRDefault="00FD2CBB" w:rsidP="006771E7">
            <w:pPr>
              <w:spacing w:beforeLines="20" w:before="48" w:afterLines="20" w:after="48" w:line="240" w:lineRule="auto"/>
              <w:jc w:val="center"/>
              <w:rPr>
                <w:rFonts w:asciiTheme="majorHAnsi" w:eastAsia="Times New Roman" w:hAnsiTheme="majorHAnsi" w:cstheme="majorHAnsi"/>
              </w:rPr>
            </w:pPr>
            <w:r w:rsidRPr="007B7C00">
              <w:rPr>
                <w:rFonts w:asciiTheme="majorHAnsi" w:eastAsia="Times New Roman" w:hAnsiTheme="majorHAnsi" w:cstheme="majorHAnsi"/>
              </w:rPr>
              <w:t>13830</w:t>
            </w:r>
          </w:p>
        </w:tc>
        <w:tc>
          <w:tcPr>
            <w:tcW w:w="1140" w:type="dxa"/>
            <w:noWrap/>
            <w:vAlign w:val="center"/>
            <w:hideMark/>
          </w:tcPr>
          <w:p w14:paraId="69C27CB5" w14:textId="77777777" w:rsidR="00FD2CBB" w:rsidRPr="007B7C00" w:rsidRDefault="00FD2CBB" w:rsidP="006771E7">
            <w:pPr>
              <w:spacing w:beforeLines="20" w:before="48" w:afterLines="20" w:after="48" w:line="240" w:lineRule="auto"/>
              <w:jc w:val="center"/>
              <w:rPr>
                <w:rFonts w:asciiTheme="majorHAnsi" w:eastAsia="Times New Roman" w:hAnsiTheme="majorHAnsi" w:cstheme="majorHAnsi"/>
              </w:rPr>
            </w:pPr>
            <w:r w:rsidRPr="007B7C00">
              <w:rPr>
                <w:rFonts w:asciiTheme="majorHAnsi" w:eastAsia="Times New Roman" w:hAnsiTheme="majorHAnsi" w:cstheme="majorHAnsi"/>
              </w:rPr>
              <w:t>2872</w:t>
            </w:r>
          </w:p>
        </w:tc>
        <w:tc>
          <w:tcPr>
            <w:tcW w:w="1176" w:type="dxa"/>
            <w:noWrap/>
            <w:vAlign w:val="center"/>
            <w:hideMark/>
          </w:tcPr>
          <w:p w14:paraId="65370E22" w14:textId="77777777" w:rsidR="00FD2CBB" w:rsidRPr="007B7C00" w:rsidRDefault="00FD2CBB" w:rsidP="006771E7">
            <w:pPr>
              <w:spacing w:beforeLines="20" w:before="48" w:afterLines="20" w:after="48" w:line="240" w:lineRule="auto"/>
              <w:jc w:val="center"/>
              <w:rPr>
                <w:rFonts w:asciiTheme="majorHAnsi" w:eastAsia="Times New Roman" w:hAnsiTheme="majorHAnsi" w:cstheme="majorHAnsi"/>
              </w:rPr>
            </w:pPr>
            <w:r w:rsidRPr="007B7C00">
              <w:rPr>
                <w:rFonts w:asciiTheme="majorHAnsi" w:eastAsia="Times New Roman" w:hAnsiTheme="majorHAnsi" w:cstheme="majorHAnsi"/>
              </w:rPr>
              <w:t>83%</w:t>
            </w:r>
          </w:p>
        </w:tc>
      </w:tr>
      <w:tr w:rsidR="00FD2CBB" w:rsidRPr="007B7C00" w14:paraId="54CC5C30" w14:textId="77777777" w:rsidTr="00643943">
        <w:trPr>
          <w:trHeight w:val="309"/>
        </w:trPr>
        <w:tc>
          <w:tcPr>
            <w:tcW w:w="1429" w:type="dxa"/>
            <w:shd w:val="clear" w:color="auto" w:fill="FF7C80"/>
            <w:noWrap/>
            <w:vAlign w:val="center"/>
            <w:hideMark/>
          </w:tcPr>
          <w:p w14:paraId="2CEC50C1" w14:textId="77777777" w:rsidR="00FD2CBB" w:rsidRPr="007B7C00" w:rsidRDefault="00FD2CBB" w:rsidP="006771E7">
            <w:pPr>
              <w:spacing w:beforeLines="20" w:before="48" w:afterLines="20" w:after="48" w:line="240" w:lineRule="auto"/>
              <w:jc w:val="center"/>
              <w:rPr>
                <w:rFonts w:asciiTheme="majorHAnsi" w:eastAsia="Times New Roman" w:hAnsiTheme="majorHAnsi" w:cstheme="majorHAnsi"/>
                <w:b/>
                <w:i/>
                <w:iCs/>
                <w:color w:val="000000"/>
              </w:rPr>
            </w:pPr>
            <w:r w:rsidRPr="007B7C00">
              <w:rPr>
                <w:rFonts w:asciiTheme="majorHAnsi" w:eastAsia="Times New Roman" w:hAnsiTheme="majorHAnsi" w:cstheme="majorHAnsi"/>
                <w:b/>
                <w:i/>
                <w:iCs/>
                <w:color w:val="000000"/>
              </w:rPr>
              <w:t>Totale</w:t>
            </w:r>
          </w:p>
        </w:tc>
        <w:tc>
          <w:tcPr>
            <w:tcW w:w="2535" w:type="dxa"/>
            <w:shd w:val="clear" w:color="000000" w:fill="FFFFFF"/>
            <w:noWrap/>
            <w:vAlign w:val="center"/>
            <w:hideMark/>
          </w:tcPr>
          <w:p w14:paraId="00E2CEB0" w14:textId="2AA3E468" w:rsidR="00FD2CBB" w:rsidRPr="007B7C00" w:rsidRDefault="00FD2CBB" w:rsidP="006771E7">
            <w:pPr>
              <w:spacing w:beforeLines="20" w:before="48" w:afterLines="20" w:after="48" w:line="240" w:lineRule="auto"/>
              <w:jc w:val="center"/>
              <w:rPr>
                <w:rFonts w:asciiTheme="majorHAnsi" w:eastAsia="Times New Roman" w:hAnsiTheme="majorHAnsi" w:cstheme="majorHAnsi"/>
                <w:b/>
              </w:rPr>
            </w:pPr>
          </w:p>
        </w:tc>
        <w:tc>
          <w:tcPr>
            <w:tcW w:w="1465" w:type="dxa"/>
            <w:noWrap/>
            <w:vAlign w:val="center"/>
            <w:hideMark/>
          </w:tcPr>
          <w:p w14:paraId="181FEFDC" w14:textId="77777777" w:rsidR="00FD2CBB" w:rsidRPr="007B7C00" w:rsidRDefault="00FD2CBB" w:rsidP="006771E7">
            <w:pPr>
              <w:spacing w:beforeLines="20" w:before="48" w:afterLines="20" w:after="48" w:line="240" w:lineRule="auto"/>
              <w:jc w:val="center"/>
              <w:rPr>
                <w:rFonts w:asciiTheme="majorHAnsi" w:eastAsia="Times New Roman" w:hAnsiTheme="majorHAnsi" w:cstheme="majorHAnsi"/>
                <w:b/>
              </w:rPr>
            </w:pPr>
            <w:r w:rsidRPr="007B7C00">
              <w:rPr>
                <w:rFonts w:asciiTheme="majorHAnsi" w:eastAsia="Times New Roman" w:hAnsiTheme="majorHAnsi" w:cstheme="majorHAnsi"/>
                <w:b/>
              </w:rPr>
              <w:t>491</w:t>
            </w:r>
          </w:p>
        </w:tc>
        <w:tc>
          <w:tcPr>
            <w:tcW w:w="1285" w:type="dxa"/>
            <w:noWrap/>
            <w:vAlign w:val="center"/>
            <w:hideMark/>
          </w:tcPr>
          <w:p w14:paraId="1C418E10" w14:textId="77777777" w:rsidR="00FD2CBB" w:rsidRPr="007B7C00" w:rsidRDefault="00FD2CBB" w:rsidP="006771E7">
            <w:pPr>
              <w:spacing w:beforeLines="20" w:before="48" w:afterLines="20" w:after="48" w:line="240" w:lineRule="auto"/>
              <w:jc w:val="center"/>
              <w:rPr>
                <w:rFonts w:asciiTheme="majorHAnsi" w:eastAsia="Times New Roman" w:hAnsiTheme="majorHAnsi" w:cstheme="majorHAnsi"/>
                <w:b/>
              </w:rPr>
            </w:pPr>
            <w:r w:rsidRPr="007B7C00">
              <w:rPr>
                <w:rFonts w:asciiTheme="majorHAnsi" w:eastAsia="Times New Roman" w:hAnsiTheme="majorHAnsi" w:cstheme="majorHAnsi"/>
                <w:b/>
              </w:rPr>
              <w:t>88.006</w:t>
            </w:r>
          </w:p>
        </w:tc>
        <w:tc>
          <w:tcPr>
            <w:tcW w:w="1140" w:type="dxa"/>
            <w:noWrap/>
            <w:vAlign w:val="center"/>
            <w:hideMark/>
          </w:tcPr>
          <w:p w14:paraId="19F3B134" w14:textId="77777777" w:rsidR="00FD2CBB" w:rsidRPr="007B7C00" w:rsidRDefault="00FD2CBB" w:rsidP="006771E7">
            <w:pPr>
              <w:spacing w:beforeLines="20" w:before="48" w:afterLines="20" w:after="48" w:line="240" w:lineRule="auto"/>
              <w:jc w:val="center"/>
              <w:rPr>
                <w:rFonts w:asciiTheme="majorHAnsi" w:eastAsia="Times New Roman" w:hAnsiTheme="majorHAnsi" w:cstheme="majorHAnsi"/>
                <w:b/>
              </w:rPr>
            </w:pPr>
            <w:r w:rsidRPr="007B7C00">
              <w:rPr>
                <w:rFonts w:asciiTheme="majorHAnsi" w:eastAsia="Times New Roman" w:hAnsiTheme="majorHAnsi" w:cstheme="majorHAnsi"/>
                <w:b/>
              </w:rPr>
              <w:t>15.204</w:t>
            </w:r>
          </w:p>
        </w:tc>
        <w:tc>
          <w:tcPr>
            <w:tcW w:w="1176" w:type="dxa"/>
            <w:noWrap/>
            <w:vAlign w:val="center"/>
            <w:hideMark/>
          </w:tcPr>
          <w:p w14:paraId="34E1C842" w14:textId="6C7E2652" w:rsidR="00FD2CBB" w:rsidRPr="007B7C00" w:rsidRDefault="00FD2CBB" w:rsidP="006771E7">
            <w:pPr>
              <w:spacing w:beforeLines="20" w:before="48" w:afterLines="20" w:after="48" w:line="240" w:lineRule="auto"/>
              <w:jc w:val="center"/>
              <w:rPr>
                <w:rFonts w:asciiTheme="majorHAnsi" w:eastAsia="Times New Roman" w:hAnsiTheme="majorHAnsi" w:cstheme="majorHAnsi"/>
              </w:rPr>
            </w:pPr>
          </w:p>
        </w:tc>
      </w:tr>
    </w:tbl>
    <w:p w14:paraId="3EF97537" w14:textId="577FDE1A" w:rsidR="00FD2CBB" w:rsidRPr="00AD01C5" w:rsidRDefault="00FD2CBB" w:rsidP="00871E12">
      <w:pPr>
        <w:spacing w:after="200" w:line="240" w:lineRule="auto"/>
        <w:jc w:val="center"/>
        <w:rPr>
          <w:rFonts w:eastAsia="Calibri"/>
          <w:color w:val="003366"/>
          <w:sz w:val="18"/>
          <w:szCs w:val="18"/>
        </w:rPr>
      </w:pPr>
      <w:r w:rsidRPr="00AD01C5">
        <w:rPr>
          <w:rFonts w:eastAsia="Calibri"/>
          <w:i/>
          <w:color w:val="003366"/>
          <w:sz w:val="18"/>
          <w:szCs w:val="18"/>
        </w:rPr>
        <w:t xml:space="preserve">Tabella </w:t>
      </w:r>
      <w:r w:rsidRPr="00196688">
        <w:rPr>
          <w:rFonts w:cstheme="minorHAnsi"/>
          <w:i/>
          <w:color w:val="003366"/>
          <w:sz w:val="18"/>
          <w:szCs w:val="18"/>
        </w:rPr>
        <w:fldChar w:fldCharType="begin"/>
      </w:r>
      <w:r w:rsidRPr="00196688">
        <w:rPr>
          <w:rFonts w:cstheme="minorHAnsi"/>
          <w:i/>
          <w:color w:val="003366"/>
          <w:sz w:val="18"/>
          <w:szCs w:val="18"/>
        </w:rPr>
        <w:instrText xml:space="preserve"> SEQ Tabella \* ARABIC </w:instrText>
      </w:r>
      <w:r w:rsidRPr="00196688">
        <w:rPr>
          <w:rFonts w:cstheme="minorHAnsi"/>
          <w:i/>
          <w:color w:val="003366"/>
          <w:sz w:val="18"/>
          <w:szCs w:val="18"/>
        </w:rPr>
        <w:fldChar w:fldCharType="separate"/>
      </w:r>
      <w:r w:rsidR="00073B6D">
        <w:rPr>
          <w:rFonts w:cstheme="minorHAnsi"/>
          <w:i/>
          <w:noProof/>
          <w:color w:val="003366"/>
          <w:sz w:val="18"/>
          <w:szCs w:val="18"/>
        </w:rPr>
        <w:t>46</w:t>
      </w:r>
      <w:r w:rsidRPr="00196688">
        <w:rPr>
          <w:rFonts w:cstheme="minorHAnsi"/>
          <w:i/>
          <w:color w:val="003366"/>
          <w:sz w:val="18"/>
          <w:szCs w:val="18"/>
        </w:rPr>
        <w:fldChar w:fldCharType="end"/>
      </w:r>
      <w:r>
        <w:rPr>
          <w:rFonts w:cstheme="minorHAnsi"/>
          <w:i/>
          <w:color w:val="003366"/>
          <w:sz w:val="18"/>
          <w:szCs w:val="18"/>
        </w:rPr>
        <w:t xml:space="preserve"> </w:t>
      </w:r>
      <w:r w:rsidRPr="00AD01C5">
        <w:rPr>
          <w:rFonts w:eastAsia="Calibri"/>
          <w:color w:val="003366"/>
          <w:sz w:val="18"/>
          <w:szCs w:val="18"/>
        </w:rPr>
        <w:t xml:space="preserve">– </w:t>
      </w:r>
      <w:r>
        <w:rPr>
          <w:rFonts w:eastAsia="Calibri"/>
          <w:i/>
          <w:color w:val="003366"/>
          <w:sz w:val="18"/>
          <w:szCs w:val="18"/>
        </w:rPr>
        <w:t>Scenario 3.1</w:t>
      </w:r>
    </w:p>
    <w:p w14:paraId="0312A3FD" w14:textId="77777777" w:rsidR="00FD2CBB" w:rsidRPr="00AD01C5" w:rsidRDefault="00FD2CBB" w:rsidP="00FD2CBB">
      <w:pPr>
        <w:spacing w:before="120" w:after="0" w:line="240" w:lineRule="auto"/>
        <w:rPr>
          <w:rFonts w:eastAsia="Calibri"/>
        </w:rPr>
      </w:pPr>
      <w:r w:rsidRPr="00C36AD9">
        <w:rPr>
          <w:rFonts w:eastAsia="Calibri"/>
        </w:rPr>
        <w:t>Procedendo nell’analisi si è optato quindi per riassegnare diversamente le linee ai depositi, al fine di ridurre il numero dei chilometri a vuoto e diminuendo leggermente il numero di autobus.</w:t>
      </w:r>
      <w:r w:rsidRPr="00CB1EBF">
        <w:rPr>
          <w:rFonts w:eastAsia="Calibri"/>
        </w:rPr>
        <w:t xml:space="preserve"> </w:t>
      </w:r>
    </w:p>
    <w:p w14:paraId="7D29CEB0" w14:textId="77777777" w:rsidR="00FD2CBB" w:rsidRDefault="00FD2CBB" w:rsidP="008F5648">
      <w:pPr>
        <w:spacing w:before="120" w:after="0" w:line="240" w:lineRule="auto"/>
        <w:rPr>
          <w:rFonts w:eastAsia="Calibri"/>
        </w:rPr>
      </w:pPr>
      <w:r w:rsidRPr="008C6803">
        <w:rPr>
          <w:rFonts w:eastAsia="Calibri"/>
        </w:rPr>
        <w:t xml:space="preserve">Nel complesso lo scenario così definito </w:t>
      </w:r>
      <w:r>
        <w:rPr>
          <w:rFonts w:eastAsia="Calibri"/>
        </w:rPr>
        <w:t>riporta una configurazione di depositi singoli o accorpati che garantisce</w:t>
      </w:r>
      <w:r w:rsidRPr="008C6803">
        <w:rPr>
          <w:rFonts w:eastAsia="Calibri"/>
        </w:rPr>
        <w:t xml:space="preserve"> un buon livello di efficienza degli stessi e ottimizzando i fattori della produzione. L’efficienza media dei depositi </w:t>
      </w:r>
      <w:r>
        <w:rPr>
          <w:rFonts w:eastAsia="Calibri"/>
        </w:rPr>
        <w:t>è pari all’ 87%, ridotta di 3</w:t>
      </w:r>
      <w:r w:rsidRPr="008C6803">
        <w:rPr>
          <w:rFonts w:eastAsia="Calibri"/>
        </w:rPr>
        <w:t xml:space="preserve"> punti percentuale rispetto allo scenario base.</w:t>
      </w:r>
      <w:r w:rsidRPr="00AD01C5">
        <w:rPr>
          <w:rFonts w:eastAsia="Calibri"/>
        </w:rPr>
        <w:t xml:space="preserve"> </w:t>
      </w:r>
    </w:p>
    <w:p w14:paraId="7C68910D" w14:textId="77777777" w:rsidR="008F5648" w:rsidRPr="00AD01C5" w:rsidRDefault="008F5648" w:rsidP="008F5648">
      <w:pPr>
        <w:spacing w:before="120" w:after="0" w:line="240" w:lineRule="auto"/>
        <w:rPr>
          <w:rFonts w:eastAsia="Calibri"/>
        </w:rPr>
      </w:pPr>
    </w:p>
    <w:tbl>
      <w:tblPr>
        <w:tblW w:w="9077"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left w:w="70" w:type="dxa"/>
          <w:right w:w="70" w:type="dxa"/>
        </w:tblCellMar>
        <w:tblLook w:val="04A0" w:firstRow="1" w:lastRow="0" w:firstColumn="1" w:lastColumn="0" w:noHBand="0" w:noVBand="1"/>
      </w:tblPr>
      <w:tblGrid>
        <w:gridCol w:w="1437"/>
        <w:gridCol w:w="2527"/>
        <w:gridCol w:w="1493"/>
        <w:gridCol w:w="1292"/>
        <w:gridCol w:w="1146"/>
        <w:gridCol w:w="1182"/>
      </w:tblGrid>
      <w:tr w:rsidR="00FD2CBB" w:rsidRPr="00EE3BAE" w14:paraId="65CA4FA1" w14:textId="77777777" w:rsidTr="006771E7">
        <w:trPr>
          <w:trHeight w:val="302"/>
        </w:trPr>
        <w:tc>
          <w:tcPr>
            <w:tcW w:w="1437" w:type="dxa"/>
            <w:shd w:val="clear" w:color="auto" w:fill="EE3438"/>
            <w:vAlign w:val="center"/>
            <w:hideMark/>
          </w:tcPr>
          <w:p w14:paraId="47EB3578" w14:textId="77777777" w:rsidR="00FD2CBB" w:rsidRPr="006771E7" w:rsidRDefault="00FD2CBB" w:rsidP="006771E7">
            <w:pPr>
              <w:spacing w:beforeLines="20" w:before="48" w:afterLines="20" w:after="48" w:line="240" w:lineRule="auto"/>
              <w:jc w:val="center"/>
              <w:rPr>
                <w:rFonts w:asciiTheme="majorHAnsi" w:eastAsia="Times New Roman" w:hAnsiTheme="majorHAnsi" w:cstheme="majorHAnsi"/>
                <w:b/>
                <w:color w:val="FFFFFF" w:themeColor="background1"/>
              </w:rPr>
            </w:pPr>
            <w:r w:rsidRPr="006771E7">
              <w:rPr>
                <w:rFonts w:asciiTheme="majorHAnsi" w:eastAsia="Times New Roman" w:hAnsiTheme="majorHAnsi" w:cstheme="majorHAnsi"/>
                <w:b/>
                <w:color w:val="FFFFFF" w:themeColor="background1"/>
              </w:rPr>
              <w:t>Nome Deposito</w:t>
            </w:r>
          </w:p>
        </w:tc>
        <w:tc>
          <w:tcPr>
            <w:tcW w:w="2527" w:type="dxa"/>
            <w:shd w:val="clear" w:color="auto" w:fill="EE3438"/>
            <w:vAlign w:val="center"/>
            <w:hideMark/>
          </w:tcPr>
          <w:p w14:paraId="256F0CFE" w14:textId="77777777" w:rsidR="00FD2CBB" w:rsidRPr="006771E7" w:rsidRDefault="00FD2CBB" w:rsidP="006771E7">
            <w:pPr>
              <w:spacing w:beforeLines="20" w:before="48" w:afterLines="20" w:after="48" w:line="240" w:lineRule="auto"/>
              <w:jc w:val="center"/>
              <w:rPr>
                <w:rFonts w:asciiTheme="majorHAnsi" w:eastAsia="Times New Roman" w:hAnsiTheme="majorHAnsi" w:cstheme="majorHAnsi"/>
                <w:b/>
                <w:color w:val="FFFFFF" w:themeColor="background1"/>
              </w:rPr>
            </w:pPr>
            <w:r w:rsidRPr="006771E7">
              <w:rPr>
                <w:rFonts w:asciiTheme="majorHAnsi" w:eastAsia="Times New Roman" w:hAnsiTheme="majorHAnsi" w:cstheme="majorHAnsi"/>
                <w:b/>
                <w:color w:val="FFFFFF" w:themeColor="background1"/>
              </w:rPr>
              <w:t>Localizzazione</w:t>
            </w:r>
          </w:p>
        </w:tc>
        <w:tc>
          <w:tcPr>
            <w:tcW w:w="1493" w:type="dxa"/>
            <w:shd w:val="clear" w:color="auto" w:fill="EE3438"/>
            <w:vAlign w:val="center"/>
            <w:hideMark/>
          </w:tcPr>
          <w:p w14:paraId="3052424B" w14:textId="77777777" w:rsidR="00FD2CBB" w:rsidRPr="006771E7" w:rsidRDefault="00FD2CBB" w:rsidP="006771E7">
            <w:pPr>
              <w:spacing w:beforeLines="20" w:before="48" w:afterLines="20" w:after="48" w:line="240" w:lineRule="auto"/>
              <w:jc w:val="center"/>
              <w:rPr>
                <w:rFonts w:asciiTheme="majorHAnsi" w:eastAsia="Times New Roman" w:hAnsiTheme="majorHAnsi" w:cstheme="majorHAnsi"/>
                <w:b/>
                <w:color w:val="FFFFFF" w:themeColor="background1"/>
              </w:rPr>
            </w:pPr>
            <w:r w:rsidRPr="006771E7">
              <w:rPr>
                <w:rFonts w:asciiTheme="majorHAnsi" w:eastAsia="Times New Roman" w:hAnsiTheme="majorHAnsi" w:cstheme="majorHAnsi"/>
                <w:b/>
                <w:color w:val="FFFFFF" w:themeColor="background1"/>
              </w:rPr>
              <w:t>Numero Di Veicoli</w:t>
            </w:r>
          </w:p>
        </w:tc>
        <w:tc>
          <w:tcPr>
            <w:tcW w:w="1292" w:type="dxa"/>
            <w:shd w:val="clear" w:color="auto" w:fill="EE3438"/>
            <w:vAlign w:val="center"/>
            <w:hideMark/>
          </w:tcPr>
          <w:p w14:paraId="5EC5FECD" w14:textId="77777777" w:rsidR="00FD2CBB" w:rsidRPr="006771E7" w:rsidRDefault="00FD2CBB" w:rsidP="006771E7">
            <w:pPr>
              <w:spacing w:beforeLines="20" w:before="48" w:afterLines="20" w:after="48" w:line="240" w:lineRule="auto"/>
              <w:jc w:val="center"/>
              <w:rPr>
                <w:rFonts w:asciiTheme="majorHAnsi" w:eastAsia="Times New Roman" w:hAnsiTheme="majorHAnsi" w:cstheme="majorHAnsi"/>
                <w:b/>
                <w:color w:val="FFFFFF" w:themeColor="background1"/>
              </w:rPr>
            </w:pPr>
            <w:r w:rsidRPr="006771E7">
              <w:rPr>
                <w:rFonts w:asciiTheme="majorHAnsi" w:eastAsia="Times New Roman" w:hAnsiTheme="majorHAnsi" w:cstheme="majorHAnsi"/>
                <w:b/>
                <w:color w:val="FFFFFF" w:themeColor="background1"/>
              </w:rPr>
              <w:t>KM di Servizio</w:t>
            </w:r>
          </w:p>
        </w:tc>
        <w:tc>
          <w:tcPr>
            <w:tcW w:w="1146" w:type="dxa"/>
            <w:shd w:val="clear" w:color="auto" w:fill="EE3438"/>
            <w:vAlign w:val="center"/>
            <w:hideMark/>
          </w:tcPr>
          <w:p w14:paraId="6CCCEA38" w14:textId="77777777" w:rsidR="00FD2CBB" w:rsidRPr="006771E7" w:rsidRDefault="00FD2CBB" w:rsidP="006771E7">
            <w:pPr>
              <w:spacing w:beforeLines="20" w:before="48" w:afterLines="20" w:after="48" w:line="240" w:lineRule="auto"/>
              <w:jc w:val="center"/>
              <w:rPr>
                <w:rFonts w:asciiTheme="majorHAnsi" w:eastAsia="Times New Roman" w:hAnsiTheme="majorHAnsi" w:cstheme="majorHAnsi"/>
                <w:b/>
                <w:color w:val="FFFFFF" w:themeColor="background1"/>
              </w:rPr>
            </w:pPr>
            <w:r w:rsidRPr="006771E7">
              <w:rPr>
                <w:rFonts w:asciiTheme="majorHAnsi" w:eastAsia="Times New Roman" w:hAnsiTheme="majorHAnsi" w:cstheme="majorHAnsi"/>
                <w:b/>
                <w:color w:val="FFFFFF" w:themeColor="background1"/>
              </w:rPr>
              <w:t>KM di Vuoto</w:t>
            </w:r>
          </w:p>
        </w:tc>
        <w:tc>
          <w:tcPr>
            <w:tcW w:w="1182" w:type="dxa"/>
            <w:shd w:val="clear" w:color="auto" w:fill="EE3438"/>
            <w:vAlign w:val="center"/>
            <w:hideMark/>
          </w:tcPr>
          <w:p w14:paraId="0C4247D4" w14:textId="77777777" w:rsidR="00FD2CBB" w:rsidRPr="006771E7" w:rsidRDefault="00FD2CBB" w:rsidP="006771E7">
            <w:pPr>
              <w:spacing w:beforeLines="20" w:before="48" w:afterLines="20" w:after="48" w:line="240" w:lineRule="auto"/>
              <w:jc w:val="center"/>
              <w:rPr>
                <w:rFonts w:asciiTheme="majorHAnsi" w:eastAsia="Times New Roman" w:hAnsiTheme="majorHAnsi" w:cstheme="majorHAnsi"/>
                <w:b/>
                <w:color w:val="FFFFFF" w:themeColor="background1"/>
              </w:rPr>
            </w:pPr>
            <w:r w:rsidRPr="006771E7">
              <w:rPr>
                <w:rFonts w:asciiTheme="majorHAnsi" w:eastAsia="Times New Roman" w:hAnsiTheme="majorHAnsi" w:cstheme="majorHAnsi"/>
                <w:b/>
                <w:color w:val="FFFFFF" w:themeColor="background1"/>
              </w:rPr>
              <w:t>Eff. Deposito</w:t>
            </w:r>
          </w:p>
        </w:tc>
      </w:tr>
      <w:tr w:rsidR="00FD2CBB" w:rsidRPr="00EE3BAE" w14:paraId="798D702C" w14:textId="77777777" w:rsidTr="006771E7">
        <w:trPr>
          <w:trHeight w:val="302"/>
        </w:trPr>
        <w:tc>
          <w:tcPr>
            <w:tcW w:w="1437" w:type="dxa"/>
            <w:shd w:val="clear" w:color="auto" w:fill="FF7C80"/>
            <w:noWrap/>
            <w:vAlign w:val="center"/>
            <w:hideMark/>
          </w:tcPr>
          <w:p w14:paraId="1D5DB57F" w14:textId="5A5E6D17" w:rsidR="00FD2CBB" w:rsidRPr="006771E7" w:rsidRDefault="00FD2CBB" w:rsidP="006771E7">
            <w:pPr>
              <w:spacing w:beforeLines="20" w:before="48" w:afterLines="20" w:after="48" w:line="240" w:lineRule="auto"/>
              <w:jc w:val="center"/>
              <w:rPr>
                <w:rFonts w:asciiTheme="majorHAnsi" w:hAnsiTheme="majorHAnsi" w:cstheme="majorHAnsi"/>
              </w:rPr>
            </w:pPr>
            <w:r w:rsidRPr="006771E7">
              <w:rPr>
                <w:rFonts w:asciiTheme="majorHAnsi" w:eastAsia="Calibri" w:hAnsiTheme="majorHAnsi" w:cstheme="majorHAnsi"/>
                <w:i/>
                <w:color w:val="000000" w:themeColor="text1"/>
              </w:rPr>
              <w:t>TO_001</w:t>
            </w:r>
          </w:p>
        </w:tc>
        <w:tc>
          <w:tcPr>
            <w:tcW w:w="2527" w:type="dxa"/>
            <w:shd w:val="clear" w:color="auto" w:fill="FFFFFF" w:themeFill="background1"/>
            <w:noWrap/>
            <w:vAlign w:val="center"/>
            <w:hideMark/>
          </w:tcPr>
          <w:p w14:paraId="2F089318" w14:textId="5812AA47" w:rsidR="00FD2CBB" w:rsidRPr="006771E7" w:rsidRDefault="00FD2CBB" w:rsidP="006771E7">
            <w:pPr>
              <w:spacing w:beforeLines="20" w:before="48" w:afterLines="20" w:after="48" w:line="240" w:lineRule="auto"/>
              <w:jc w:val="center"/>
              <w:rPr>
                <w:rFonts w:asciiTheme="majorHAnsi" w:hAnsiTheme="majorHAnsi" w:cstheme="majorHAnsi"/>
              </w:rPr>
            </w:pPr>
            <w:r w:rsidRPr="006771E7">
              <w:rPr>
                <w:rFonts w:asciiTheme="majorHAnsi" w:eastAsia="Calibri" w:hAnsiTheme="majorHAnsi" w:cstheme="majorHAnsi"/>
              </w:rPr>
              <w:t>Villafranca Piemonte (TO)</w:t>
            </w:r>
          </w:p>
        </w:tc>
        <w:tc>
          <w:tcPr>
            <w:tcW w:w="1493" w:type="dxa"/>
            <w:noWrap/>
            <w:vAlign w:val="center"/>
            <w:hideMark/>
          </w:tcPr>
          <w:p w14:paraId="76FFBDE8" w14:textId="5F1B3930" w:rsidR="00FD2CBB" w:rsidRPr="006771E7" w:rsidRDefault="00FD2CBB" w:rsidP="006771E7">
            <w:pPr>
              <w:spacing w:beforeLines="20" w:before="48" w:afterLines="20" w:after="48" w:line="240" w:lineRule="auto"/>
              <w:jc w:val="center"/>
              <w:rPr>
                <w:rFonts w:asciiTheme="majorHAnsi" w:hAnsiTheme="majorHAnsi" w:cstheme="majorHAnsi"/>
              </w:rPr>
            </w:pPr>
            <w:r w:rsidRPr="006771E7">
              <w:rPr>
                <w:rFonts w:asciiTheme="majorHAnsi" w:eastAsia="Calibri" w:hAnsiTheme="majorHAnsi" w:cstheme="majorHAnsi"/>
              </w:rPr>
              <w:t>14</w:t>
            </w:r>
          </w:p>
        </w:tc>
        <w:tc>
          <w:tcPr>
            <w:tcW w:w="1292" w:type="dxa"/>
            <w:noWrap/>
            <w:vAlign w:val="center"/>
            <w:hideMark/>
          </w:tcPr>
          <w:p w14:paraId="4C256458" w14:textId="326DC6A6" w:rsidR="00FD2CBB" w:rsidRPr="006771E7" w:rsidRDefault="00FD2CBB" w:rsidP="006771E7">
            <w:pPr>
              <w:spacing w:beforeLines="20" w:before="48" w:afterLines="20" w:after="48" w:line="240" w:lineRule="auto"/>
              <w:jc w:val="center"/>
              <w:rPr>
                <w:rFonts w:asciiTheme="majorHAnsi" w:hAnsiTheme="majorHAnsi" w:cstheme="majorHAnsi"/>
              </w:rPr>
            </w:pPr>
            <w:r w:rsidRPr="006771E7">
              <w:rPr>
                <w:rFonts w:asciiTheme="majorHAnsi" w:eastAsia="Calibri" w:hAnsiTheme="majorHAnsi" w:cstheme="majorHAnsi"/>
              </w:rPr>
              <w:t>3877</w:t>
            </w:r>
          </w:p>
        </w:tc>
        <w:tc>
          <w:tcPr>
            <w:tcW w:w="1146" w:type="dxa"/>
            <w:noWrap/>
            <w:vAlign w:val="center"/>
            <w:hideMark/>
          </w:tcPr>
          <w:p w14:paraId="51874F92" w14:textId="386A8A79" w:rsidR="00FD2CBB" w:rsidRPr="006771E7" w:rsidRDefault="00FD2CBB" w:rsidP="006771E7">
            <w:pPr>
              <w:spacing w:beforeLines="20" w:before="48" w:afterLines="20" w:after="48" w:line="240" w:lineRule="auto"/>
              <w:jc w:val="center"/>
              <w:rPr>
                <w:rFonts w:asciiTheme="majorHAnsi" w:hAnsiTheme="majorHAnsi" w:cstheme="majorHAnsi"/>
              </w:rPr>
            </w:pPr>
            <w:r w:rsidRPr="006771E7">
              <w:rPr>
                <w:rFonts w:asciiTheme="majorHAnsi" w:eastAsia="Calibri" w:hAnsiTheme="majorHAnsi" w:cstheme="majorHAnsi"/>
              </w:rPr>
              <w:t>404</w:t>
            </w:r>
          </w:p>
        </w:tc>
        <w:tc>
          <w:tcPr>
            <w:tcW w:w="1182" w:type="dxa"/>
            <w:noWrap/>
            <w:vAlign w:val="center"/>
            <w:hideMark/>
          </w:tcPr>
          <w:p w14:paraId="4F047871" w14:textId="6A4F1853" w:rsidR="00FD2CBB" w:rsidRPr="006771E7" w:rsidRDefault="00FD2CBB" w:rsidP="006771E7">
            <w:pPr>
              <w:spacing w:beforeLines="20" w:before="48" w:afterLines="20" w:after="48" w:line="240" w:lineRule="auto"/>
              <w:jc w:val="center"/>
              <w:rPr>
                <w:rFonts w:asciiTheme="majorHAnsi" w:hAnsiTheme="majorHAnsi" w:cstheme="majorHAnsi"/>
              </w:rPr>
            </w:pPr>
            <w:r w:rsidRPr="006771E7">
              <w:rPr>
                <w:rFonts w:asciiTheme="majorHAnsi" w:eastAsia="Calibri" w:hAnsiTheme="majorHAnsi" w:cstheme="majorHAnsi"/>
              </w:rPr>
              <w:t>91%</w:t>
            </w:r>
          </w:p>
        </w:tc>
      </w:tr>
      <w:tr w:rsidR="00FD2CBB" w:rsidRPr="00EE3BAE" w14:paraId="4AB9CE3C" w14:textId="77777777" w:rsidTr="006771E7">
        <w:trPr>
          <w:trHeight w:val="302"/>
        </w:trPr>
        <w:tc>
          <w:tcPr>
            <w:tcW w:w="1437" w:type="dxa"/>
            <w:shd w:val="clear" w:color="auto" w:fill="FF7C80"/>
            <w:noWrap/>
            <w:vAlign w:val="center"/>
            <w:hideMark/>
          </w:tcPr>
          <w:p w14:paraId="4215421E" w14:textId="77651638" w:rsidR="00FD2CBB" w:rsidRPr="006771E7" w:rsidRDefault="00FD2CBB" w:rsidP="006771E7">
            <w:pPr>
              <w:spacing w:beforeLines="20" w:before="48" w:afterLines="20" w:after="48" w:line="240" w:lineRule="auto"/>
              <w:jc w:val="center"/>
              <w:rPr>
                <w:rFonts w:asciiTheme="majorHAnsi" w:hAnsiTheme="majorHAnsi" w:cstheme="majorHAnsi"/>
              </w:rPr>
            </w:pPr>
            <w:r w:rsidRPr="006771E7">
              <w:rPr>
                <w:rFonts w:asciiTheme="majorHAnsi" w:eastAsia="Calibri" w:hAnsiTheme="majorHAnsi" w:cstheme="majorHAnsi"/>
                <w:i/>
                <w:color w:val="000000" w:themeColor="text1"/>
              </w:rPr>
              <w:t>TO_002</w:t>
            </w:r>
          </w:p>
        </w:tc>
        <w:tc>
          <w:tcPr>
            <w:tcW w:w="2527" w:type="dxa"/>
            <w:shd w:val="clear" w:color="auto" w:fill="FFFFFF" w:themeFill="background1"/>
            <w:noWrap/>
            <w:vAlign w:val="center"/>
            <w:hideMark/>
          </w:tcPr>
          <w:p w14:paraId="449655BC" w14:textId="676151C8" w:rsidR="00FD2CBB" w:rsidRPr="006771E7" w:rsidRDefault="00FD2CBB" w:rsidP="006771E7">
            <w:pPr>
              <w:spacing w:beforeLines="20" w:before="48" w:afterLines="20" w:after="48" w:line="240" w:lineRule="auto"/>
              <w:jc w:val="center"/>
              <w:rPr>
                <w:rFonts w:asciiTheme="majorHAnsi" w:hAnsiTheme="majorHAnsi" w:cstheme="majorHAnsi"/>
              </w:rPr>
            </w:pPr>
            <w:r w:rsidRPr="006771E7">
              <w:rPr>
                <w:rFonts w:asciiTheme="majorHAnsi" w:eastAsia="Calibri" w:hAnsiTheme="majorHAnsi" w:cstheme="majorHAnsi"/>
              </w:rPr>
              <w:t>Torino (TO)</w:t>
            </w:r>
          </w:p>
        </w:tc>
        <w:tc>
          <w:tcPr>
            <w:tcW w:w="1493" w:type="dxa"/>
            <w:noWrap/>
            <w:vAlign w:val="center"/>
            <w:hideMark/>
          </w:tcPr>
          <w:p w14:paraId="5663E928" w14:textId="1B8B4C63" w:rsidR="00FD2CBB" w:rsidRPr="006771E7" w:rsidRDefault="00FD2CBB" w:rsidP="006771E7">
            <w:pPr>
              <w:spacing w:beforeLines="20" w:before="48" w:afterLines="20" w:after="48" w:line="240" w:lineRule="auto"/>
              <w:jc w:val="center"/>
              <w:rPr>
                <w:rFonts w:asciiTheme="majorHAnsi" w:hAnsiTheme="majorHAnsi" w:cstheme="majorHAnsi"/>
              </w:rPr>
            </w:pPr>
            <w:r w:rsidRPr="006771E7">
              <w:rPr>
                <w:rFonts w:asciiTheme="majorHAnsi" w:eastAsia="Calibri" w:hAnsiTheme="majorHAnsi" w:cstheme="majorHAnsi"/>
              </w:rPr>
              <w:t>22</w:t>
            </w:r>
          </w:p>
        </w:tc>
        <w:tc>
          <w:tcPr>
            <w:tcW w:w="1292" w:type="dxa"/>
            <w:noWrap/>
            <w:vAlign w:val="center"/>
            <w:hideMark/>
          </w:tcPr>
          <w:p w14:paraId="51F497E5" w14:textId="49FE2690" w:rsidR="00FD2CBB" w:rsidRPr="006771E7" w:rsidRDefault="00FD2CBB" w:rsidP="006771E7">
            <w:pPr>
              <w:spacing w:beforeLines="20" w:before="48" w:afterLines="20" w:after="48" w:line="240" w:lineRule="auto"/>
              <w:jc w:val="center"/>
              <w:rPr>
                <w:rFonts w:asciiTheme="majorHAnsi" w:hAnsiTheme="majorHAnsi" w:cstheme="majorHAnsi"/>
              </w:rPr>
            </w:pPr>
            <w:r w:rsidRPr="006771E7">
              <w:rPr>
                <w:rFonts w:asciiTheme="majorHAnsi" w:eastAsia="Calibri" w:hAnsiTheme="majorHAnsi" w:cstheme="majorHAnsi"/>
              </w:rPr>
              <w:t>4799</w:t>
            </w:r>
          </w:p>
        </w:tc>
        <w:tc>
          <w:tcPr>
            <w:tcW w:w="1146" w:type="dxa"/>
            <w:noWrap/>
            <w:vAlign w:val="center"/>
            <w:hideMark/>
          </w:tcPr>
          <w:p w14:paraId="2F740967" w14:textId="361A4FC9" w:rsidR="00FD2CBB" w:rsidRPr="006771E7" w:rsidRDefault="00FD2CBB" w:rsidP="006771E7">
            <w:pPr>
              <w:spacing w:beforeLines="20" w:before="48" w:afterLines="20" w:after="48" w:line="240" w:lineRule="auto"/>
              <w:jc w:val="center"/>
              <w:rPr>
                <w:rFonts w:asciiTheme="majorHAnsi" w:hAnsiTheme="majorHAnsi" w:cstheme="majorHAnsi"/>
              </w:rPr>
            </w:pPr>
            <w:r w:rsidRPr="006771E7">
              <w:rPr>
                <w:rFonts w:asciiTheme="majorHAnsi" w:eastAsia="Calibri" w:hAnsiTheme="majorHAnsi" w:cstheme="majorHAnsi"/>
              </w:rPr>
              <w:t>470</w:t>
            </w:r>
          </w:p>
        </w:tc>
        <w:tc>
          <w:tcPr>
            <w:tcW w:w="1182" w:type="dxa"/>
            <w:noWrap/>
            <w:vAlign w:val="center"/>
            <w:hideMark/>
          </w:tcPr>
          <w:p w14:paraId="11998CC3" w14:textId="2A7393F5" w:rsidR="00FD2CBB" w:rsidRPr="006771E7" w:rsidRDefault="00FD2CBB" w:rsidP="006771E7">
            <w:pPr>
              <w:spacing w:beforeLines="20" w:before="48" w:afterLines="20" w:after="48" w:line="240" w:lineRule="auto"/>
              <w:jc w:val="center"/>
              <w:rPr>
                <w:rFonts w:asciiTheme="majorHAnsi" w:hAnsiTheme="majorHAnsi" w:cstheme="majorHAnsi"/>
              </w:rPr>
            </w:pPr>
            <w:r w:rsidRPr="006771E7">
              <w:rPr>
                <w:rFonts w:asciiTheme="majorHAnsi" w:eastAsia="Calibri" w:hAnsiTheme="majorHAnsi" w:cstheme="majorHAnsi"/>
              </w:rPr>
              <w:t>91%</w:t>
            </w:r>
          </w:p>
        </w:tc>
      </w:tr>
      <w:tr w:rsidR="00FD2CBB" w:rsidRPr="00EE3BAE" w14:paraId="1B54F7FA" w14:textId="77777777" w:rsidTr="006771E7">
        <w:trPr>
          <w:trHeight w:val="302"/>
        </w:trPr>
        <w:tc>
          <w:tcPr>
            <w:tcW w:w="1437" w:type="dxa"/>
            <w:shd w:val="clear" w:color="auto" w:fill="FF7C80"/>
            <w:noWrap/>
            <w:vAlign w:val="center"/>
            <w:hideMark/>
          </w:tcPr>
          <w:p w14:paraId="5529B2E1" w14:textId="2EFFF1DA" w:rsidR="00FD2CBB" w:rsidRPr="006771E7" w:rsidRDefault="00FD2CBB" w:rsidP="006771E7">
            <w:pPr>
              <w:spacing w:beforeLines="20" w:before="48" w:afterLines="20" w:after="48" w:line="240" w:lineRule="auto"/>
              <w:jc w:val="center"/>
              <w:rPr>
                <w:rFonts w:asciiTheme="majorHAnsi" w:hAnsiTheme="majorHAnsi" w:cstheme="majorHAnsi"/>
              </w:rPr>
            </w:pPr>
            <w:r w:rsidRPr="006771E7">
              <w:rPr>
                <w:rFonts w:asciiTheme="majorHAnsi" w:eastAsia="Calibri" w:hAnsiTheme="majorHAnsi" w:cstheme="majorHAnsi"/>
                <w:i/>
                <w:color w:val="000000" w:themeColor="text1"/>
              </w:rPr>
              <w:t>TO_003</w:t>
            </w:r>
          </w:p>
        </w:tc>
        <w:tc>
          <w:tcPr>
            <w:tcW w:w="2527" w:type="dxa"/>
            <w:shd w:val="clear" w:color="auto" w:fill="FFFFFF" w:themeFill="background1"/>
            <w:noWrap/>
            <w:vAlign w:val="center"/>
            <w:hideMark/>
          </w:tcPr>
          <w:p w14:paraId="3BC04ED6" w14:textId="62EF8636" w:rsidR="00FD2CBB" w:rsidRPr="006771E7" w:rsidRDefault="00FD2CBB" w:rsidP="006771E7">
            <w:pPr>
              <w:spacing w:beforeLines="20" w:before="48" w:afterLines="20" w:after="48" w:line="240" w:lineRule="auto"/>
              <w:jc w:val="center"/>
              <w:rPr>
                <w:rFonts w:asciiTheme="majorHAnsi" w:hAnsiTheme="majorHAnsi" w:cstheme="majorHAnsi"/>
              </w:rPr>
            </w:pPr>
            <w:r w:rsidRPr="006771E7">
              <w:rPr>
                <w:rFonts w:asciiTheme="majorHAnsi" w:eastAsia="Calibri" w:hAnsiTheme="majorHAnsi" w:cstheme="majorHAnsi"/>
              </w:rPr>
              <w:t>Chivasso (TO)</w:t>
            </w:r>
          </w:p>
        </w:tc>
        <w:tc>
          <w:tcPr>
            <w:tcW w:w="1493" w:type="dxa"/>
            <w:noWrap/>
            <w:vAlign w:val="center"/>
            <w:hideMark/>
          </w:tcPr>
          <w:p w14:paraId="5B9D2D33" w14:textId="19FCC29A" w:rsidR="00FD2CBB" w:rsidRPr="006771E7" w:rsidRDefault="00FD2CBB" w:rsidP="006771E7">
            <w:pPr>
              <w:spacing w:beforeLines="20" w:before="48" w:afterLines="20" w:after="48" w:line="240" w:lineRule="auto"/>
              <w:jc w:val="center"/>
              <w:rPr>
                <w:rFonts w:asciiTheme="majorHAnsi" w:hAnsiTheme="majorHAnsi" w:cstheme="majorHAnsi"/>
              </w:rPr>
            </w:pPr>
            <w:r w:rsidRPr="006771E7">
              <w:rPr>
                <w:rFonts w:asciiTheme="majorHAnsi" w:eastAsia="Calibri" w:hAnsiTheme="majorHAnsi" w:cstheme="majorHAnsi"/>
              </w:rPr>
              <w:t>46</w:t>
            </w:r>
          </w:p>
        </w:tc>
        <w:tc>
          <w:tcPr>
            <w:tcW w:w="1292" w:type="dxa"/>
            <w:noWrap/>
            <w:vAlign w:val="center"/>
            <w:hideMark/>
          </w:tcPr>
          <w:p w14:paraId="37DBE5FA" w14:textId="10C24086" w:rsidR="00FD2CBB" w:rsidRPr="006771E7" w:rsidRDefault="00FD2CBB" w:rsidP="006771E7">
            <w:pPr>
              <w:spacing w:beforeLines="20" w:before="48" w:afterLines="20" w:after="48" w:line="240" w:lineRule="auto"/>
              <w:jc w:val="center"/>
              <w:rPr>
                <w:rFonts w:asciiTheme="majorHAnsi" w:hAnsiTheme="majorHAnsi" w:cstheme="majorHAnsi"/>
              </w:rPr>
            </w:pPr>
            <w:r w:rsidRPr="006771E7">
              <w:rPr>
                <w:rFonts w:asciiTheme="majorHAnsi" w:eastAsia="Calibri" w:hAnsiTheme="majorHAnsi" w:cstheme="majorHAnsi"/>
              </w:rPr>
              <w:t>6940</w:t>
            </w:r>
          </w:p>
        </w:tc>
        <w:tc>
          <w:tcPr>
            <w:tcW w:w="1146" w:type="dxa"/>
            <w:noWrap/>
            <w:vAlign w:val="center"/>
            <w:hideMark/>
          </w:tcPr>
          <w:p w14:paraId="0A12899B" w14:textId="07321F76" w:rsidR="00FD2CBB" w:rsidRPr="006771E7" w:rsidRDefault="00FD2CBB" w:rsidP="006771E7">
            <w:pPr>
              <w:spacing w:beforeLines="20" w:before="48" w:afterLines="20" w:after="48" w:line="240" w:lineRule="auto"/>
              <w:jc w:val="center"/>
              <w:rPr>
                <w:rFonts w:asciiTheme="majorHAnsi" w:hAnsiTheme="majorHAnsi" w:cstheme="majorHAnsi"/>
              </w:rPr>
            </w:pPr>
            <w:r w:rsidRPr="006771E7">
              <w:rPr>
                <w:rFonts w:asciiTheme="majorHAnsi" w:eastAsia="Calibri" w:hAnsiTheme="majorHAnsi" w:cstheme="majorHAnsi"/>
              </w:rPr>
              <w:t>1617</w:t>
            </w:r>
          </w:p>
        </w:tc>
        <w:tc>
          <w:tcPr>
            <w:tcW w:w="1182" w:type="dxa"/>
            <w:noWrap/>
            <w:vAlign w:val="center"/>
            <w:hideMark/>
          </w:tcPr>
          <w:p w14:paraId="0435B45D" w14:textId="28EDAFFC" w:rsidR="00FD2CBB" w:rsidRPr="006771E7" w:rsidRDefault="00FD2CBB" w:rsidP="006771E7">
            <w:pPr>
              <w:spacing w:beforeLines="20" w:before="48" w:afterLines="20" w:after="48" w:line="240" w:lineRule="auto"/>
              <w:jc w:val="center"/>
              <w:rPr>
                <w:rFonts w:asciiTheme="majorHAnsi" w:hAnsiTheme="majorHAnsi" w:cstheme="majorHAnsi"/>
              </w:rPr>
            </w:pPr>
            <w:r w:rsidRPr="006771E7">
              <w:rPr>
                <w:rFonts w:asciiTheme="majorHAnsi" w:eastAsia="Calibri" w:hAnsiTheme="majorHAnsi" w:cstheme="majorHAnsi"/>
              </w:rPr>
              <w:t>81%</w:t>
            </w:r>
          </w:p>
        </w:tc>
      </w:tr>
      <w:tr w:rsidR="00FD2CBB" w:rsidRPr="00EE3BAE" w14:paraId="6129A696" w14:textId="77777777" w:rsidTr="006771E7">
        <w:trPr>
          <w:trHeight w:val="302"/>
        </w:trPr>
        <w:tc>
          <w:tcPr>
            <w:tcW w:w="1437" w:type="dxa"/>
            <w:shd w:val="clear" w:color="auto" w:fill="FF7C80"/>
            <w:noWrap/>
            <w:vAlign w:val="center"/>
            <w:hideMark/>
          </w:tcPr>
          <w:p w14:paraId="25BA0165" w14:textId="41852047" w:rsidR="00FD2CBB" w:rsidRPr="006771E7" w:rsidRDefault="00FD2CBB" w:rsidP="006771E7">
            <w:pPr>
              <w:spacing w:beforeLines="20" w:before="48" w:afterLines="20" w:after="48" w:line="240" w:lineRule="auto"/>
              <w:jc w:val="center"/>
              <w:rPr>
                <w:rFonts w:asciiTheme="majorHAnsi" w:hAnsiTheme="majorHAnsi" w:cstheme="majorHAnsi"/>
              </w:rPr>
            </w:pPr>
            <w:r w:rsidRPr="006771E7">
              <w:rPr>
                <w:rFonts w:asciiTheme="majorHAnsi" w:eastAsia="Calibri" w:hAnsiTheme="majorHAnsi" w:cstheme="majorHAnsi"/>
                <w:i/>
                <w:color w:val="000000" w:themeColor="text1"/>
              </w:rPr>
              <w:t>TO_007</w:t>
            </w:r>
          </w:p>
        </w:tc>
        <w:tc>
          <w:tcPr>
            <w:tcW w:w="2527" w:type="dxa"/>
            <w:shd w:val="clear" w:color="auto" w:fill="FFFFFF" w:themeFill="background1"/>
            <w:noWrap/>
            <w:vAlign w:val="center"/>
            <w:hideMark/>
          </w:tcPr>
          <w:p w14:paraId="6BD455C8" w14:textId="2B341371" w:rsidR="00FD2CBB" w:rsidRPr="006771E7" w:rsidRDefault="00FD2CBB" w:rsidP="006771E7">
            <w:pPr>
              <w:spacing w:beforeLines="20" w:before="48" w:afterLines="20" w:after="48" w:line="240" w:lineRule="auto"/>
              <w:jc w:val="center"/>
              <w:rPr>
                <w:rFonts w:asciiTheme="majorHAnsi" w:hAnsiTheme="majorHAnsi" w:cstheme="majorHAnsi"/>
              </w:rPr>
            </w:pPr>
            <w:r w:rsidRPr="006771E7">
              <w:rPr>
                <w:rFonts w:asciiTheme="majorHAnsi" w:eastAsia="Calibri" w:hAnsiTheme="majorHAnsi" w:cstheme="majorHAnsi"/>
              </w:rPr>
              <w:t>Chieri (TO)</w:t>
            </w:r>
          </w:p>
        </w:tc>
        <w:tc>
          <w:tcPr>
            <w:tcW w:w="1493" w:type="dxa"/>
            <w:noWrap/>
            <w:vAlign w:val="center"/>
            <w:hideMark/>
          </w:tcPr>
          <w:p w14:paraId="4BEBCE8B" w14:textId="07DAB31E" w:rsidR="00FD2CBB" w:rsidRPr="006771E7" w:rsidRDefault="00FD2CBB" w:rsidP="006771E7">
            <w:pPr>
              <w:spacing w:beforeLines="20" w:before="48" w:afterLines="20" w:after="48" w:line="240" w:lineRule="auto"/>
              <w:jc w:val="center"/>
              <w:rPr>
                <w:rFonts w:asciiTheme="majorHAnsi" w:hAnsiTheme="majorHAnsi" w:cstheme="majorHAnsi"/>
              </w:rPr>
            </w:pPr>
            <w:r w:rsidRPr="006771E7">
              <w:rPr>
                <w:rFonts w:asciiTheme="majorHAnsi" w:eastAsia="Calibri" w:hAnsiTheme="majorHAnsi" w:cstheme="majorHAnsi"/>
              </w:rPr>
              <w:t>23</w:t>
            </w:r>
          </w:p>
        </w:tc>
        <w:tc>
          <w:tcPr>
            <w:tcW w:w="1292" w:type="dxa"/>
            <w:noWrap/>
            <w:vAlign w:val="center"/>
            <w:hideMark/>
          </w:tcPr>
          <w:p w14:paraId="305F9220" w14:textId="6C1629F0" w:rsidR="00FD2CBB" w:rsidRPr="006771E7" w:rsidRDefault="00FD2CBB" w:rsidP="006771E7">
            <w:pPr>
              <w:spacing w:beforeLines="20" w:before="48" w:afterLines="20" w:after="48" w:line="240" w:lineRule="auto"/>
              <w:jc w:val="center"/>
              <w:rPr>
                <w:rFonts w:asciiTheme="majorHAnsi" w:hAnsiTheme="majorHAnsi" w:cstheme="majorHAnsi"/>
              </w:rPr>
            </w:pPr>
            <w:r w:rsidRPr="006771E7">
              <w:rPr>
                <w:rFonts w:asciiTheme="majorHAnsi" w:eastAsia="Calibri" w:hAnsiTheme="majorHAnsi" w:cstheme="majorHAnsi"/>
              </w:rPr>
              <w:t>4389</w:t>
            </w:r>
          </w:p>
        </w:tc>
        <w:tc>
          <w:tcPr>
            <w:tcW w:w="1146" w:type="dxa"/>
            <w:noWrap/>
            <w:vAlign w:val="center"/>
            <w:hideMark/>
          </w:tcPr>
          <w:p w14:paraId="5D75911E" w14:textId="2953C431" w:rsidR="00FD2CBB" w:rsidRPr="006771E7" w:rsidRDefault="00FD2CBB" w:rsidP="006771E7">
            <w:pPr>
              <w:spacing w:beforeLines="20" w:before="48" w:afterLines="20" w:after="48" w:line="240" w:lineRule="auto"/>
              <w:jc w:val="center"/>
              <w:rPr>
                <w:rFonts w:asciiTheme="majorHAnsi" w:hAnsiTheme="majorHAnsi" w:cstheme="majorHAnsi"/>
              </w:rPr>
            </w:pPr>
            <w:r w:rsidRPr="006771E7">
              <w:rPr>
                <w:rFonts w:asciiTheme="majorHAnsi" w:eastAsia="Calibri" w:hAnsiTheme="majorHAnsi" w:cstheme="majorHAnsi"/>
              </w:rPr>
              <w:t>484</w:t>
            </w:r>
          </w:p>
        </w:tc>
        <w:tc>
          <w:tcPr>
            <w:tcW w:w="1182" w:type="dxa"/>
            <w:noWrap/>
            <w:vAlign w:val="center"/>
            <w:hideMark/>
          </w:tcPr>
          <w:p w14:paraId="024D0E49" w14:textId="0D9A43C7" w:rsidR="00FD2CBB" w:rsidRPr="006771E7" w:rsidRDefault="00FD2CBB" w:rsidP="006771E7">
            <w:pPr>
              <w:spacing w:beforeLines="20" w:before="48" w:afterLines="20" w:after="48" w:line="240" w:lineRule="auto"/>
              <w:jc w:val="center"/>
              <w:rPr>
                <w:rFonts w:asciiTheme="majorHAnsi" w:hAnsiTheme="majorHAnsi" w:cstheme="majorHAnsi"/>
              </w:rPr>
            </w:pPr>
            <w:r w:rsidRPr="006771E7">
              <w:rPr>
                <w:rFonts w:asciiTheme="majorHAnsi" w:eastAsia="Calibri" w:hAnsiTheme="majorHAnsi" w:cstheme="majorHAnsi"/>
              </w:rPr>
              <w:t>90%</w:t>
            </w:r>
          </w:p>
        </w:tc>
      </w:tr>
      <w:tr w:rsidR="00FD2CBB" w:rsidRPr="00EE3BAE" w14:paraId="6B0E2942" w14:textId="77777777" w:rsidTr="006771E7">
        <w:trPr>
          <w:trHeight w:val="302"/>
        </w:trPr>
        <w:tc>
          <w:tcPr>
            <w:tcW w:w="1437" w:type="dxa"/>
            <w:shd w:val="clear" w:color="auto" w:fill="FF7C80"/>
            <w:noWrap/>
            <w:vAlign w:val="center"/>
            <w:hideMark/>
          </w:tcPr>
          <w:p w14:paraId="15E8BECF" w14:textId="7226D0B4" w:rsidR="00FD2CBB" w:rsidRPr="006771E7" w:rsidRDefault="00FD2CBB" w:rsidP="006771E7">
            <w:pPr>
              <w:spacing w:beforeLines="20" w:before="48" w:afterLines="20" w:after="48" w:line="240" w:lineRule="auto"/>
              <w:jc w:val="center"/>
              <w:rPr>
                <w:rFonts w:asciiTheme="majorHAnsi" w:hAnsiTheme="majorHAnsi" w:cstheme="majorHAnsi"/>
              </w:rPr>
            </w:pPr>
            <w:r w:rsidRPr="006771E7">
              <w:rPr>
                <w:rFonts w:asciiTheme="majorHAnsi" w:eastAsia="Calibri" w:hAnsiTheme="majorHAnsi" w:cstheme="majorHAnsi"/>
                <w:i/>
                <w:color w:val="000000" w:themeColor="text1"/>
              </w:rPr>
              <w:t>TO_009</w:t>
            </w:r>
          </w:p>
        </w:tc>
        <w:tc>
          <w:tcPr>
            <w:tcW w:w="2527" w:type="dxa"/>
            <w:shd w:val="clear" w:color="auto" w:fill="FFFFFF" w:themeFill="background1"/>
            <w:noWrap/>
            <w:vAlign w:val="center"/>
            <w:hideMark/>
          </w:tcPr>
          <w:p w14:paraId="1CECCE6A" w14:textId="5621780F" w:rsidR="00FD2CBB" w:rsidRPr="006771E7" w:rsidRDefault="00FD2CBB" w:rsidP="006771E7">
            <w:pPr>
              <w:spacing w:beforeLines="20" w:before="48" w:afterLines="20" w:after="48" w:line="240" w:lineRule="auto"/>
              <w:jc w:val="center"/>
              <w:rPr>
                <w:rFonts w:asciiTheme="majorHAnsi" w:hAnsiTheme="majorHAnsi" w:cstheme="majorHAnsi"/>
              </w:rPr>
            </w:pPr>
            <w:r w:rsidRPr="006771E7">
              <w:rPr>
                <w:rFonts w:asciiTheme="majorHAnsi" w:eastAsia="Calibri" w:hAnsiTheme="majorHAnsi" w:cstheme="majorHAnsi"/>
              </w:rPr>
              <w:t>Luserna San Giovanni (TO)</w:t>
            </w:r>
          </w:p>
        </w:tc>
        <w:tc>
          <w:tcPr>
            <w:tcW w:w="1493" w:type="dxa"/>
            <w:noWrap/>
            <w:vAlign w:val="center"/>
            <w:hideMark/>
          </w:tcPr>
          <w:p w14:paraId="43B7695C" w14:textId="5D07BC3A" w:rsidR="00FD2CBB" w:rsidRPr="006771E7" w:rsidRDefault="00FD2CBB" w:rsidP="006771E7">
            <w:pPr>
              <w:spacing w:beforeLines="20" w:before="48" w:afterLines="20" w:after="48" w:line="240" w:lineRule="auto"/>
              <w:jc w:val="center"/>
              <w:rPr>
                <w:rFonts w:asciiTheme="majorHAnsi" w:hAnsiTheme="majorHAnsi" w:cstheme="majorHAnsi"/>
              </w:rPr>
            </w:pPr>
            <w:r w:rsidRPr="006771E7">
              <w:rPr>
                <w:rFonts w:asciiTheme="majorHAnsi" w:eastAsia="Calibri" w:hAnsiTheme="majorHAnsi" w:cstheme="majorHAnsi"/>
              </w:rPr>
              <w:t>34</w:t>
            </w:r>
          </w:p>
        </w:tc>
        <w:tc>
          <w:tcPr>
            <w:tcW w:w="1292" w:type="dxa"/>
            <w:noWrap/>
            <w:vAlign w:val="center"/>
            <w:hideMark/>
          </w:tcPr>
          <w:p w14:paraId="6E51D8BE" w14:textId="0CCCE2AD" w:rsidR="00FD2CBB" w:rsidRPr="006771E7" w:rsidRDefault="00FD2CBB" w:rsidP="006771E7">
            <w:pPr>
              <w:spacing w:beforeLines="20" w:before="48" w:afterLines="20" w:after="48" w:line="240" w:lineRule="auto"/>
              <w:jc w:val="center"/>
              <w:rPr>
                <w:rFonts w:asciiTheme="majorHAnsi" w:hAnsiTheme="majorHAnsi" w:cstheme="majorHAnsi"/>
              </w:rPr>
            </w:pPr>
            <w:r w:rsidRPr="006771E7">
              <w:rPr>
                <w:rFonts w:asciiTheme="majorHAnsi" w:eastAsia="Calibri" w:hAnsiTheme="majorHAnsi" w:cstheme="majorHAnsi"/>
              </w:rPr>
              <w:t>6973</w:t>
            </w:r>
          </w:p>
        </w:tc>
        <w:tc>
          <w:tcPr>
            <w:tcW w:w="1146" w:type="dxa"/>
            <w:noWrap/>
            <w:vAlign w:val="center"/>
            <w:hideMark/>
          </w:tcPr>
          <w:p w14:paraId="54F4E78F" w14:textId="2B20C604" w:rsidR="00FD2CBB" w:rsidRPr="006771E7" w:rsidRDefault="00FD2CBB" w:rsidP="006771E7">
            <w:pPr>
              <w:spacing w:beforeLines="20" w:before="48" w:afterLines="20" w:after="48" w:line="240" w:lineRule="auto"/>
              <w:jc w:val="center"/>
              <w:rPr>
                <w:rFonts w:asciiTheme="majorHAnsi" w:hAnsiTheme="majorHAnsi" w:cstheme="majorHAnsi"/>
              </w:rPr>
            </w:pPr>
            <w:r w:rsidRPr="006771E7">
              <w:rPr>
                <w:rFonts w:asciiTheme="majorHAnsi" w:eastAsia="Calibri" w:hAnsiTheme="majorHAnsi" w:cstheme="majorHAnsi"/>
              </w:rPr>
              <w:t>933</w:t>
            </w:r>
          </w:p>
        </w:tc>
        <w:tc>
          <w:tcPr>
            <w:tcW w:w="1182" w:type="dxa"/>
            <w:noWrap/>
            <w:vAlign w:val="center"/>
            <w:hideMark/>
          </w:tcPr>
          <w:p w14:paraId="52644093" w14:textId="23593FA7" w:rsidR="00FD2CBB" w:rsidRPr="006771E7" w:rsidRDefault="00FD2CBB" w:rsidP="006771E7">
            <w:pPr>
              <w:spacing w:beforeLines="20" w:before="48" w:afterLines="20" w:after="48" w:line="240" w:lineRule="auto"/>
              <w:jc w:val="center"/>
              <w:rPr>
                <w:rFonts w:asciiTheme="majorHAnsi" w:hAnsiTheme="majorHAnsi" w:cstheme="majorHAnsi"/>
              </w:rPr>
            </w:pPr>
            <w:r w:rsidRPr="006771E7">
              <w:rPr>
                <w:rFonts w:asciiTheme="majorHAnsi" w:eastAsia="Calibri" w:hAnsiTheme="majorHAnsi" w:cstheme="majorHAnsi"/>
              </w:rPr>
              <w:t>88%</w:t>
            </w:r>
          </w:p>
        </w:tc>
      </w:tr>
      <w:tr w:rsidR="00FD2CBB" w:rsidRPr="00EE3BAE" w14:paraId="334E9EC9" w14:textId="77777777" w:rsidTr="006771E7">
        <w:trPr>
          <w:trHeight w:val="302"/>
        </w:trPr>
        <w:tc>
          <w:tcPr>
            <w:tcW w:w="1437" w:type="dxa"/>
            <w:shd w:val="clear" w:color="auto" w:fill="FF7C80"/>
            <w:noWrap/>
            <w:vAlign w:val="center"/>
            <w:hideMark/>
          </w:tcPr>
          <w:p w14:paraId="1951AB5C" w14:textId="31EBA5FD" w:rsidR="00FD2CBB" w:rsidRPr="006771E7" w:rsidRDefault="00FD2CBB" w:rsidP="006771E7">
            <w:pPr>
              <w:spacing w:beforeLines="20" w:before="48" w:afterLines="20" w:after="48" w:line="240" w:lineRule="auto"/>
              <w:jc w:val="center"/>
              <w:rPr>
                <w:rFonts w:asciiTheme="majorHAnsi" w:hAnsiTheme="majorHAnsi" w:cstheme="majorHAnsi"/>
              </w:rPr>
            </w:pPr>
            <w:r w:rsidRPr="006771E7">
              <w:rPr>
                <w:rFonts w:asciiTheme="majorHAnsi" w:eastAsia="Calibri" w:hAnsiTheme="majorHAnsi" w:cstheme="majorHAnsi"/>
                <w:i/>
                <w:color w:val="000000" w:themeColor="text1"/>
              </w:rPr>
              <w:t>TO_011</w:t>
            </w:r>
          </w:p>
        </w:tc>
        <w:tc>
          <w:tcPr>
            <w:tcW w:w="2527" w:type="dxa"/>
            <w:shd w:val="clear" w:color="auto" w:fill="FFFFFF" w:themeFill="background1"/>
            <w:noWrap/>
            <w:vAlign w:val="center"/>
            <w:hideMark/>
          </w:tcPr>
          <w:p w14:paraId="6D27AEED" w14:textId="384B96DB" w:rsidR="00FD2CBB" w:rsidRPr="006771E7" w:rsidRDefault="00FD2CBB" w:rsidP="006771E7">
            <w:pPr>
              <w:spacing w:beforeLines="20" w:before="48" w:afterLines="20" w:after="48" w:line="240" w:lineRule="auto"/>
              <w:jc w:val="center"/>
              <w:rPr>
                <w:rFonts w:asciiTheme="majorHAnsi" w:hAnsiTheme="majorHAnsi" w:cstheme="majorHAnsi"/>
              </w:rPr>
            </w:pPr>
            <w:r w:rsidRPr="006771E7">
              <w:rPr>
                <w:rFonts w:asciiTheme="majorHAnsi" w:eastAsia="Calibri" w:hAnsiTheme="majorHAnsi" w:cstheme="majorHAnsi"/>
              </w:rPr>
              <w:t>Torino (TO)</w:t>
            </w:r>
          </w:p>
        </w:tc>
        <w:tc>
          <w:tcPr>
            <w:tcW w:w="1493" w:type="dxa"/>
            <w:noWrap/>
            <w:vAlign w:val="center"/>
            <w:hideMark/>
          </w:tcPr>
          <w:p w14:paraId="266EB761" w14:textId="46E70F06" w:rsidR="00FD2CBB" w:rsidRPr="006771E7" w:rsidRDefault="00FD2CBB" w:rsidP="006771E7">
            <w:pPr>
              <w:spacing w:beforeLines="20" w:before="48" w:afterLines="20" w:after="48" w:line="240" w:lineRule="auto"/>
              <w:jc w:val="center"/>
              <w:rPr>
                <w:rFonts w:asciiTheme="majorHAnsi" w:hAnsiTheme="majorHAnsi" w:cstheme="majorHAnsi"/>
              </w:rPr>
            </w:pPr>
            <w:r w:rsidRPr="006771E7">
              <w:rPr>
                <w:rFonts w:asciiTheme="majorHAnsi" w:eastAsia="Calibri" w:hAnsiTheme="majorHAnsi" w:cstheme="majorHAnsi"/>
              </w:rPr>
              <w:t>28</w:t>
            </w:r>
          </w:p>
        </w:tc>
        <w:tc>
          <w:tcPr>
            <w:tcW w:w="1292" w:type="dxa"/>
            <w:noWrap/>
            <w:vAlign w:val="center"/>
            <w:hideMark/>
          </w:tcPr>
          <w:p w14:paraId="007DD2B1" w14:textId="29382D40" w:rsidR="00FD2CBB" w:rsidRPr="006771E7" w:rsidRDefault="00FD2CBB" w:rsidP="006771E7">
            <w:pPr>
              <w:spacing w:beforeLines="20" w:before="48" w:afterLines="20" w:after="48" w:line="240" w:lineRule="auto"/>
              <w:jc w:val="center"/>
              <w:rPr>
                <w:rFonts w:asciiTheme="majorHAnsi" w:hAnsiTheme="majorHAnsi" w:cstheme="majorHAnsi"/>
              </w:rPr>
            </w:pPr>
            <w:r w:rsidRPr="006771E7">
              <w:rPr>
                <w:rFonts w:asciiTheme="majorHAnsi" w:eastAsia="Calibri" w:hAnsiTheme="majorHAnsi" w:cstheme="majorHAnsi"/>
              </w:rPr>
              <w:t>4543</w:t>
            </w:r>
          </w:p>
        </w:tc>
        <w:tc>
          <w:tcPr>
            <w:tcW w:w="1146" w:type="dxa"/>
            <w:noWrap/>
            <w:vAlign w:val="center"/>
            <w:hideMark/>
          </w:tcPr>
          <w:p w14:paraId="76088A98" w14:textId="6B2CC272" w:rsidR="00FD2CBB" w:rsidRPr="006771E7" w:rsidRDefault="00FD2CBB" w:rsidP="006771E7">
            <w:pPr>
              <w:spacing w:beforeLines="20" w:before="48" w:afterLines="20" w:after="48" w:line="240" w:lineRule="auto"/>
              <w:jc w:val="center"/>
              <w:rPr>
                <w:rFonts w:asciiTheme="majorHAnsi" w:hAnsiTheme="majorHAnsi" w:cstheme="majorHAnsi"/>
              </w:rPr>
            </w:pPr>
            <w:r w:rsidRPr="006771E7">
              <w:rPr>
                <w:rFonts w:asciiTheme="majorHAnsi" w:eastAsia="Calibri" w:hAnsiTheme="majorHAnsi" w:cstheme="majorHAnsi"/>
              </w:rPr>
              <w:t>751</w:t>
            </w:r>
          </w:p>
        </w:tc>
        <w:tc>
          <w:tcPr>
            <w:tcW w:w="1182" w:type="dxa"/>
            <w:noWrap/>
            <w:vAlign w:val="center"/>
            <w:hideMark/>
          </w:tcPr>
          <w:p w14:paraId="40B9CF33" w14:textId="2F2C7338" w:rsidR="00FD2CBB" w:rsidRPr="006771E7" w:rsidRDefault="00FD2CBB" w:rsidP="006771E7">
            <w:pPr>
              <w:spacing w:beforeLines="20" w:before="48" w:afterLines="20" w:after="48" w:line="240" w:lineRule="auto"/>
              <w:jc w:val="center"/>
              <w:rPr>
                <w:rFonts w:asciiTheme="majorHAnsi" w:hAnsiTheme="majorHAnsi" w:cstheme="majorHAnsi"/>
              </w:rPr>
            </w:pPr>
            <w:r w:rsidRPr="006771E7">
              <w:rPr>
                <w:rFonts w:asciiTheme="majorHAnsi" w:eastAsia="Calibri" w:hAnsiTheme="majorHAnsi" w:cstheme="majorHAnsi"/>
              </w:rPr>
              <w:t>86%</w:t>
            </w:r>
          </w:p>
        </w:tc>
      </w:tr>
      <w:tr w:rsidR="00FD2CBB" w:rsidRPr="00EE3BAE" w14:paraId="5DF6F700" w14:textId="77777777" w:rsidTr="006771E7">
        <w:trPr>
          <w:trHeight w:val="302"/>
        </w:trPr>
        <w:tc>
          <w:tcPr>
            <w:tcW w:w="1437" w:type="dxa"/>
            <w:shd w:val="clear" w:color="auto" w:fill="FF7C80"/>
            <w:noWrap/>
            <w:vAlign w:val="center"/>
            <w:hideMark/>
          </w:tcPr>
          <w:p w14:paraId="6A2E54E4" w14:textId="574D0315" w:rsidR="00FD2CBB" w:rsidRPr="006771E7" w:rsidRDefault="00FD2CBB" w:rsidP="006771E7">
            <w:pPr>
              <w:spacing w:beforeLines="20" w:before="48" w:afterLines="20" w:after="48" w:line="240" w:lineRule="auto"/>
              <w:jc w:val="center"/>
              <w:rPr>
                <w:rFonts w:asciiTheme="majorHAnsi" w:hAnsiTheme="majorHAnsi" w:cstheme="majorHAnsi"/>
              </w:rPr>
            </w:pPr>
            <w:r w:rsidRPr="006771E7">
              <w:rPr>
                <w:rFonts w:asciiTheme="majorHAnsi" w:eastAsia="Calibri" w:hAnsiTheme="majorHAnsi" w:cstheme="majorHAnsi"/>
                <w:i/>
                <w:color w:val="000000" w:themeColor="text1"/>
              </w:rPr>
              <w:t>TO_018</w:t>
            </w:r>
          </w:p>
        </w:tc>
        <w:tc>
          <w:tcPr>
            <w:tcW w:w="2527" w:type="dxa"/>
            <w:shd w:val="clear" w:color="auto" w:fill="FFFFFF" w:themeFill="background1"/>
            <w:noWrap/>
            <w:vAlign w:val="center"/>
            <w:hideMark/>
          </w:tcPr>
          <w:p w14:paraId="0E7BA0CC" w14:textId="777EBCD6" w:rsidR="00FD2CBB" w:rsidRPr="006771E7" w:rsidRDefault="00FD2CBB" w:rsidP="006771E7">
            <w:pPr>
              <w:spacing w:beforeLines="20" w:before="48" w:afterLines="20" w:after="48" w:line="240" w:lineRule="auto"/>
              <w:jc w:val="center"/>
              <w:rPr>
                <w:rFonts w:asciiTheme="majorHAnsi" w:hAnsiTheme="majorHAnsi" w:cstheme="majorHAnsi"/>
              </w:rPr>
            </w:pPr>
            <w:r w:rsidRPr="006771E7">
              <w:rPr>
                <w:rFonts w:asciiTheme="majorHAnsi" w:eastAsia="Calibri" w:hAnsiTheme="majorHAnsi" w:cstheme="majorHAnsi"/>
              </w:rPr>
              <w:t>Bussoleno (TO)</w:t>
            </w:r>
          </w:p>
        </w:tc>
        <w:tc>
          <w:tcPr>
            <w:tcW w:w="1493" w:type="dxa"/>
            <w:noWrap/>
            <w:vAlign w:val="center"/>
            <w:hideMark/>
          </w:tcPr>
          <w:p w14:paraId="37D47027" w14:textId="541F47D7" w:rsidR="00FD2CBB" w:rsidRPr="006771E7" w:rsidRDefault="00FD2CBB" w:rsidP="006771E7">
            <w:pPr>
              <w:spacing w:beforeLines="20" w:before="48" w:afterLines="20" w:after="48" w:line="240" w:lineRule="auto"/>
              <w:jc w:val="center"/>
              <w:rPr>
                <w:rFonts w:asciiTheme="majorHAnsi" w:hAnsiTheme="majorHAnsi" w:cstheme="majorHAnsi"/>
              </w:rPr>
            </w:pPr>
            <w:r w:rsidRPr="006771E7">
              <w:rPr>
                <w:rFonts w:asciiTheme="majorHAnsi" w:eastAsia="Calibri" w:hAnsiTheme="majorHAnsi" w:cstheme="majorHAnsi"/>
              </w:rPr>
              <w:t>31</w:t>
            </w:r>
          </w:p>
        </w:tc>
        <w:tc>
          <w:tcPr>
            <w:tcW w:w="1292" w:type="dxa"/>
            <w:noWrap/>
            <w:vAlign w:val="center"/>
            <w:hideMark/>
          </w:tcPr>
          <w:p w14:paraId="6BDF4AED" w14:textId="4F13E4BD" w:rsidR="00FD2CBB" w:rsidRPr="006771E7" w:rsidRDefault="00FD2CBB" w:rsidP="006771E7">
            <w:pPr>
              <w:spacing w:beforeLines="20" w:before="48" w:afterLines="20" w:after="48" w:line="240" w:lineRule="auto"/>
              <w:jc w:val="center"/>
              <w:rPr>
                <w:rFonts w:asciiTheme="majorHAnsi" w:hAnsiTheme="majorHAnsi" w:cstheme="majorHAnsi"/>
              </w:rPr>
            </w:pPr>
            <w:r w:rsidRPr="006771E7">
              <w:rPr>
                <w:rFonts w:asciiTheme="majorHAnsi" w:eastAsia="Calibri" w:hAnsiTheme="majorHAnsi" w:cstheme="majorHAnsi"/>
              </w:rPr>
              <w:t>4159</w:t>
            </w:r>
          </w:p>
        </w:tc>
        <w:tc>
          <w:tcPr>
            <w:tcW w:w="1146" w:type="dxa"/>
            <w:noWrap/>
            <w:vAlign w:val="center"/>
            <w:hideMark/>
          </w:tcPr>
          <w:p w14:paraId="704A603A" w14:textId="493AF423" w:rsidR="00FD2CBB" w:rsidRPr="006771E7" w:rsidRDefault="00FD2CBB" w:rsidP="006771E7">
            <w:pPr>
              <w:spacing w:beforeLines="20" w:before="48" w:afterLines="20" w:after="48" w:line="240" w:lineRule="auto"/>
              <w:jc w:val="center"/>
              <w:rPr>
                <w:rFonts w:asciiTheme="majorHAnsi" w:hAnsiTheme="majorHAnsi" w:cstheme="majorHAnsi"/>
              </w:rPr>
            </w:pPr>
            <w:r w:rsidRPr="006771E7">
              <w:rPr>
                <w:rFonts w:asciiTheme="majorHAnsi" w:eastAsia="Calibri" w:hAnsiTheme="majorHAnsi" w:cstheme="majorHAnsi"/>
              </w:rPr>
              <w:t>1011</w:t>
            </w:r>
          </w:p>
        </w:tc>
        <w:tc>
          <w:tcPr>
            <w:tcW w:w="1182" w:type="dxa"/>
            <w:noWrap/>
            <w:vAlign w:val="center"/>
            <w:hideMark/>
          </w:tcPr>
          <w:p w14:paraId="705A9444" w14:textId="75B4B582" w:rsidR="00FD2CBB" w:rsidRPr="006771E7" w:rsidRDefault="00FD2CBB" w:rsidP="006771E7">
            <w:pPr>
              <w:spacing w:beforeLines="20" w:before="48" w:afterLines="20" w:after="48" w:line="240" w:lineRule="auto"/>
              <w:jc w:val="center"/>
              <w:rPr>
                <w:rFonts w:asciiTheme="majorHAnsi" w:hAnsiTheme="majorHAnsi" w:cstheme="majorHAnsi"/>
              </w:rPr>
            </w:pPr>
            <w:r w:rsidRPr="006771E7">
              <w:rPr>
                <w:rFonts w:asciiTheme="majorHAnsi" w:eastAsia="Calibri" w:hAnsiTheme="majorHAnsi" w:cstheme="majorHAnsi"/>
              </w:rPr>
              <w:t>80%</w:t>
            </w:r>
          </w:p>
        </w:tc>
      </w:tr>
      <w:tr w:rsidR="00FD2CBB" w:rsidRPr="00EE3BAE" w14:paraId="11918671" w14:textId="77777777" w:rsidTr="006771E7">
        <w:trPr>
          <w:trHeight w:val="302"/>
        </w:trPr>
        <w:tc>
          <w:tcPr>
            <w:tcW w:w="1437" w:type="dxa"/>
            <w:shd w:val="clear" w:color="auto" w:fill="FF7C80"/>
            <w:noWrap/>
            <w:vAlign w:val="center"/>
            <w:hideMark/>
          </w:tcPr>
          <w:p w14:paraId="666EB668" w14:textId="30A4316A" w:rsidR="00FD2CBB" w:rsidRPr="006771E7" w:rsidRDefault="00FD2CBB" w:rsidP="006771E7">
            <w:pPr>
              <w:spacing w:beforeLines="20" w:before="48" w:afterLines="20" w:after="48" w:line="240" w:lineRule="auto"/>
              <w:jc w:val="center"/>
              <w:rPr>
                <w:rFonts w:asciiTheme="majorHAnsi" w:hAnsiTheme="majorHAnsi" w:cstheme="majorHAnsi"/>
              </w:rPr>
            </w:pPr>
            <w:r w:rsidRPr="006771E7">
              <w:rPr>
                <w:rFonts w:asciiTheme="majorHAnsi" w:eastAsia="Calibri" w:hAnsiTheme="majorHAnsi" w:cstheme="majorHAnsi"/>
                <w:i/>
                <w:color w:val="000000" w:themeColor="text1"/>
              </w:rPr>
              <w:t>TO_020</w:t>
            </w:r>
          </w:p>
        </w:tc>
        <w:tc>
          <w:tcPr>
            <w:tcW w:w="2527" w:type="dxa"/>
            <w:shd w:val="clear" w:color="auto" w:fill="FFFFFF" w:themeFill="background1"/>
            <w:noWrap/>
            <w:vAlign w:val="center"/>
            <w:hideMark/>
          </w:tcPr>
          <w:p w14:paraId="405893D7" w14:textId="31086751" w:rsidR="00FD2CBB" w:rsidRPr="006771E7" w:rsidRDefault="00FD2CBB" w:rsidP="006771E7">
            <w:pPr>
              <w:spacing w:beforeLines="20" w:before="48" w:afterLines="20" w:after="48" w:line="240" w:lineRule="auto"/>
              <w:jc w:val="center"/>
              <w:rPr>
                <w:rFonts w:asciiTheme="majorHAnsi" w:hAnsiTheme="majorHAnsi" w:cstheme="majorHAnsi"/>
              </w:rPr>
            </w:pPr>
            <w:r w:rsidRPr="006771E7">
              <w:rPr>
                <w:rFonts w:asciiTheme="majorHAnsi" w:eastAsia="Calibri" w:hAnsiTheme="majorHAnsi" w:cstheme="majorHAnsi"/>
              </w:rPr>
              <w:t>Carmagnola (TO)</w:t>
            </w:r>
          </w:p>
        </w:tc>
        <w:tc>
          <w:tcPr>
            <w:tcW w:w="1493" w:type="dxa"/>
            <w:noWrap/>
            <w:vAlign w:val="center"/>
            <w:hideMark/>
          </w:tcPr>
          <w:p w14:paraId="212C73B4" w14:textId="2A704BF2" w:rsidR="00FD2CBB" w:rsidRPr="006771E7" w:rsidRDefault="00FD2CBB" w:rsidP="006771E7">
            <w:pPr>
              <w:spacing w:beforeLines="20" w:before="48" w:afterLines="20" w:after="48" w:line="240" w:lineRule="auto"/>
              <w:jc w:val="center"/>
              <w:rPr>
                <w:rFonts w:asciiTheme="majorHAnsi" w:hAnsiTheme="majorHAnsi" w:cstheme="majorHAnsi"/>
              </w:rPr>
            </w:pPr>
            <w:r w:rsidRPr="006771E7">
              <w:rPr>
                <w:rFonts w:asciiTheme="majorHAnsi" w:eastAsia="Calibri" w:hAnsiTheme="majorHAnsi" w:cstheme="majorHAnsi"/>
              </w:rPr>
              <w:t>23</w:t>
            </w:r>
          </w:p>
        </w:tc>
        <w:tc>
          <w:tcPr>
            <w:tcW w:w="1292" w:type="dxa"/>
            <w:noWrap/>
            <w:vAlign w:val="center"/>
            <w:hideMark/>
          </w:tcPr>
          <w:p w14:paraId="415F76A4" w14:textId="311E3B43" w:rsidR="00FD2CBB" w:rsidRPr="006771E7" w:rsidRDefault="00FD2CBB" w:rsidP="006771E7">
            <w:pPr>
              <w:spacing w:beforeLines="20" w:before="48" w:afterLines="20" w:after="48" w:line="240" w:lineRule="auto"/>
              <w:jc w:val="center"/>
              <w:rPr>
                <w:rFonts w:asciiTheme="majorHAnsi" w:hAnsiTheme="majorHAnsi" w:cstheme="majorHAnsi"/>
              </w:rPr>
            </w:pPr>
            <w:r w:rsidRPr="006771E7">
              <w:rPr>
                <w:rFonts w:asciiTheme="majorHAnsi" w:eastAsia="Calibri" w:hAnsiTheme="majorHAnsi" w:cstheme="majorHAnsi"/>
              </w:rPr>
              <w:t>3925</w:t>
            </w:r>
          </w:p>
        </w:tc>
        <w:tc>
          <w:tcPr>
            <w:tcW w:w="1146" w:type="dxa"/>
            <w:noWrap/>
            <w:vAlign w:val="center"/>
            <w:hideMark/>
          </w:tcPr>
          <w:p w14:paraId="0657388A" w14:textId="6FD44397" w:rsidR="00FD2CBB" w:rsidRPr="006771E7" w:rsidRDefault="00FD2CBB" w:rsidP="006771E7">
            <w:pPr>
              <w:spacing w:beforeLines="20" w:before="48" w:afterLines="20" w:after="48" w:line="240" w:lineRule="auto"/>
              <w:jc w:val="center"/>
              <w:rPr>
                <w:rFonts w:asciiTheme="majorHAnsi" w:hAnsiTheme="majorHAnsi" w:cstheme="majorHAnsi"/>
              </w:rPr>
            </w:pPr>
            <w:r w:rsidRPr="006771E7">
              <w:rPr>
                <w:rFonts w:asciiTheme="majorHAnsi" w:eastAsia="Calibri" w:hAnsiTheme="majorHAnsi" w:cstheme="majorHAnsi"/>
              </w:rPr>
              <w:t>292</w:t>
            </w:r>
          </w:p>
        </w:tc>
        <w:tc>
          <w:tcPr>
            <w:tcW w:w="1182" w:type="dxa"/>
            <w:noWrap/>
            <w:vAlign w:val="center"/>
            <w:hideMark/>
          </w:tcPr>
          <w:p w14:paraId="5B20BA22" w14:textId="3D31F848" w:rsidR="00FD2CBB" w:rsidRPr="006771E7" w:rsidRDefault="00FD2CBB" w:rsidP="006771E7">
            <w:pPr>
              <w:spacing w:beforeLines="20" w:before="48" w:afterLines="20" w:after="48" w:line="240" w:lineRule="auto"/>
              <w:jc w:val="center"/>
              <w:rPr>
                <w:rFonts w:asciiTheme="majorHAnsi" w:hAnsiTheme="majorHAnsi" w:cstheme="majorHAnsi"/>
              </w:rPr>
            </w:pPr>
            <w:r w:rsidRPr="006771E7">
              <w:rPr>
                <w:rFonts w:asciiTheme="majorHAnsi" w:eastAsia="Calibri" w:hAnsiTheme="majorHAnsi" w:cstheme="majorHAnsi"/>
              </w:rPr>
              <w:t>93%</w:t>
            </w:r>
          </w:p>
        </w:tc>
      </w:tr>
      <w:tr w:rsidR="00FD2CBB" w:rsidRPr="00EE3BAE" w14:paraId="71BA8D4C" w14:textId="77777777" w:rsidTr="006771E7">
        <w:trPr>
          <w:trHeight w:val="302"/>
        </w:trPr>
        <w:tc>
          <w:tcPr>
            <w:tcW w:w="1437" w:type="dxa"/>
            <w:shd w:val="clear" w:color="auto" w:fill="FF7C80"/>
            <w:noWrap/>
            <w:vAlign w:val="center"/>
            <w:hideMark/>
          </w:tcPr>
          <w:p w14:paraId="16DF5998" w14:textId="410EC8E2" w:rsidR="00FD2CBB" w:rsidRPr="006771E7" w:rsidRDefault="00FD2CBB" w:rsidP="006771E7">
            <w:pPr>
              <w:spacing w:beforeLines="20" w:before="48" w:afterLines="20" w:after="48" w:line="240" w:lineRule="auto"/>
              <w:jc w:val="center"/>
              <w:rPr>
                <w:rFonts w:asciiTheme="majorHAnsi" w:hAnsiTheme="majorHAnsi" w:cstheme="majorHAnsi"/>
              </w:rPr>
            </w:pPr>
            <w:r w:rsidRPr="006771E7">
              <w:rPr>
                <w:rFonts w:asciiTheme="majorHAnsi" w:eastAsia="Calibri" w:hAnsiTheme="majorHAnsi" w:cstheme="majorHAnsi"/>
                <w:i/>
                <w:color w:val="000000" w:themeColor="text1"/>
              </w:rPr>
              <w:t>TO_022</w:t>
            </w:r>
          </w:p>
        </w:tc>
        <w:tc>
          <w:tcPr>
            <w:tcW w:w="2527" w:type="dxa"/>
            <w:shd w:val="clear" w:color="auto" w:fill="FFFFFF" w:themeFill="background1"/>
            <w:noWrap/>
            <w:vAlign w:val="center"/>
            <w:hideMark/>
          </w:tcPr>
          <w:p w14:paraId="117CED12" w14:textId="20C19049" w:rsidR="00FD2CBB" w:rsidRPr="006771E7" w:rsidRDefault="00FD2CBB" w:rsidP="006771E7">
            <w:pPr>
              <w:spacing w:beforeLines="20" w:before="48" w:afterLines="20" w:after="48" w:line="240" w:lineRule="auto"/>
              <w:jc w:val="center"/>
              <w:rPr>
                <w:rFonts w:asciiTheme="majorHAnsi" w:hAnsiTheme="majorHAnsi" w:cstheme="majorHAnsi"/>
              </w:rPr>
            </w:pPr>
            <w:r w:rsidRPr="006771E7">
              <w:rPr>
                <w:rFonts w:asciiTheme="majorHAnsi" w:eastAsia="Calibri" w:hAnsiTheme="majorHAnsi" w:cstheme="majorHAnsi"/>
              </w:rPr>
              <w:t>Castellamonte (TO)</w:t>
            </w:r>
          </w:p>
        </w:tc>
        <w:tc>
          <w:tcPr>
            <w:tcW w:w="1493" w:type="dxa"/>
            <w:noWrap/>
            <w:vAlign w:val="center"/>
            <w:hideMark/>
          </w:tcPr>
          <w:p w14:paraId="009F7EA5" w14:textId="3CC90288" w:rsidR="00FD2CBB" w:rsidRPr="006771E7" w:rsidRDefault="00FD2CBB" w:rsidP="006771E7">
            <w:pPr>
              <w:spacing w:beforeLines="20" w:before="48" w:afterLines="20" w:after="48" w:line="240" w:lineRule="auto"/>
              <w:jc w:val="center"/>
              <w:rPr>
                <w:rFonts w:asciiTheme="majorHAnsi" w:hAnsiTheme="majorHAnsi" w:cstheme="majorHAnsi"/>
              </w:rPr>
            </w:pPr>
            <w:r w:rsidRPr="006771E7">
              <w:rPr>
                <w:rFonts w:asciiTheme="majorHAnsi" w:eastAsia="Calibri" w:hAnsiTheme="majorHAnsi" w:cstheme="majorHAnsi"/>
              </w:rPr>
              <w:t>41</w:t>
            </w:r>
          </w:p>
        </w:tc>
        <w:tc>
          <w:tcPr>
            <w:tcW w:w="1292" w:type="dxa"/>
            <w:noWrap/>
            <w:vAlign w:val="center"/>
            <w:hideMark/>
          </w:tcPr>
          <w:p w14:paraId="01CA2EC7" w14:textId="0672F639" w:rsidR="00FD2CBB" w:rsidRPr="006771E7" w:rsidRDefault="00FD2CBB" w:rsidP="006771E7">
            <w:pPr>
              <w:spacing w:beforeLines="20" w:before="48" w:afterLines="20" w:after="48" w:line="240" w:lineRule="auto"/>
              <w:jc w:val="center"/>
              <w:rPr>
                <w:rFonts w:asciiTheme="majorHAnsi" w:hAnsiTheme="majorHAnsi" w:cstheme="majorHAnsi"/>
              </w:rPr>
            </w:pPr>
            <w:r w:rsidRPr="006771E7">
              <w:rPr>
                <w:rFonts w:asciiTheme="majorHAnsi" w:eastAsia="Calibri" w:hAnsiTheme="majorHAnsi" w:cstheme="majorHAnsi"/>
              </w:rPr>
              <w:t>6877</w:t>
            </w:r>
          </w:p>
        </w:tc>
        <w:tc>
          <w:tcPr>
            <w:tcW w:w="1146" w:type="dxa"/>
            <w:noWrap/>
            <w:vAlign w:val="center"/>
            <w:hideMark/>
          </w:tcPr>
          <w:p w14:paraId="44712990" w14:textId="035CA1E2" w:rsidR="00FD2CBB" w:rsidRPr="006771E7" w:rsidRDefault="00FD2CBB" w:rsidP="006771E7">
            <w:pPr>
              <w:spacing w:beforeLines="20" w:before="48" w:afterLines="20" w:after="48" w:line="240" w:lineRule="auto"/>
              <w:jc w:val="center"/>
              <w:rPr>
                <w:rFonts w:asciiTheme="majorHAnsi" w:hAnsiTheme="majorHAnsi" w:cstheme="majorHAnsi"/>
              </w:rPr>
            </w:pPr>
            <w:r w:rsidRPr="006771E7">
              <w:rPr>
                <w:rFonts w:asciiTheme="majorHAnsi" w:eastAsia="Calibri" w:hAnsiTheme="majorHAnsi" w:cstheme="majorHAnsi"/>
              </w:rPr>
              <w:t>1415</w:t>
            </w:r>
          </w:p>
        </w:tc>
        <w:tc>
          <w:tcPr>
            <w:tcW w:w="1182" w:type="dxa"/>
            <w:noWrap/>
            <w:vAlign w:val="center"/>
            <w:hideMark/>
          </w:tcPr>
          <w:p w14:paraId="4454512A" w14:textId="13BAFEEC" w:rsidR="00FD2CBB" w:rsidRPr="006771E7" w:rsidRDefault="00FD2CBB" w:rsidP="006771E7">
            <w:pPr>
              <w:spacing w:beforeLines="20" w:before="48" w:afterLines="20" w:after="48" w:line="240" w:lineRule="auto"/>
              <w:jc w:val="center"/>
              <w:rPr>
                <w:rFonts w:asciiTheme="majorHAnsi" w:hAnsiTheme="majorHAnsi" w:cstheme="majorHAnsi"/>
              </w:rPr>
            </w:pPr>
            <w:r w:rsidRPr="006771E7">
              <w:rPr>
                <w:rFonts w:asciiTheme="majorHAnsi" w:eastAsia="Calibri" w:hAnsiTheme="majorHAnsi" w:cstheme="majorHAnsi"/>
              </w:rPr>
              <w:t>83%</w:t>
            </w:r>
          </w:p>
        </w:tc>
      </w:tr>
      <w:tr w:rsidR="00FD2CBB" w:rsidRPr="00EE3BAE" w14:paraId="1BB52B32" w14:textId="77777777" w:rsidTr="006771E7">
        <w:trPr>
          <w:trHeight w:val="302"/>
        </w:trPr>
        <w:tc>
          <w:tcPr>
            <w:tcW w:w="1437" w:type="dxa"/>
            <w:shd w:val="clear" w:color="auto" w:fill="FF7C80"/>
            <w:noWrap/>
            <w:vAlign w:val="center"/>
            <w:hideMark/>
          </w:tcPr>
          <w:p w14:paraId="1CCBA309" w14:textId="07D25078" w:rsidR="00FD2CBB" w:rsidRPr="006771E7" w:rsidRDefault="00FD2CBB" w:rsidP="006771E7">
            <w:pPr>
              <w:spacing w:beforeLines="20" w:before="48" w:afterLines="20" w:after="48" w:line="240" w:lineRule="auto"/>
              <w:jc w:val="center"/>
              <w:rPr>
                <w:rFonts w:asciiTheme="majorHAnsi" w:hAnsiTheme="majorHAnsi" w:cstheme="majorHAnsi"/>
              </w:rPr>
            </w:pPr>
            <w:r w:rsidRPr="006771E7">
              <w:rPr>
                <w:rFonts w:asciiTheme="majorHAnsi" w:eastAsia="Calibri" w:hAnsiTheme="majorHAnsi" w:cstheme="majorHAnsi"/>
                <w:i/>
                <w:color w:val="000000" w:themeColor="text1"/>
              </w:rPr>
              <w:t>TO_027</w:t>
            </w:r>
          </w:p>
        </w:tc>
        <w:tc>
          <w:tcPr>
            <w:tcW w:w="2527" w:type="dxa"/>
            <w:shd w:val="clear" w:color="auto" w:fill="FFFFFF" w:themeFill="background1"/>
            <w:noWrap/>
            <w:vAlign w:val="center"/>
            <w:hideMark/>
          </w:tcPr>
          <w:p w14:paraId="4B3A3EA6" w14:textId="1EE6AA1D" w:rsidR="00FD2CBB" w:rsidRPr="006771E7" w:rsidRDefault="00FD2CBB" w:rsidP="006771E7">
            <w:pPr>
              <w:spacing w:beforeLines="20" w:before="48" w:afterLines="20" w:after="48" w:line="240" w:lineRule="auto"/>
              <w:jc w:val="center"/>
              <w:rPr>
                <w:rFonts w:asciiTheme="majorHAnsi" w:hAnsiTheme="majorHAnsi" w:cstheme="majorHAnsi"/>
              </w:rPr>
            </w:pPr>
            <w:r w:rsidRPr="006771E7">
              <w:rPr>
                <w:rFonts w:asciiTheme="majorHAnsi" w:eastAsia="Calibri" w:hAnsiTheme="majorHAnsi" w:cstheme="majorHAnsi"/>
              </w:rPr>
              <w:t>Cafasse (TO)</w:t>
            </w:r>
          </w:p>
        </w:tc>
        <w:tc>
          <w:tcPr>
            <w:tcW w:w="1493" w:type="dxa"/>
            <w:noWrap/>
            <w:vAlign w:val="center"/>
            <w:hideMark/>
          </w:tcPr>
          <w:p w14:paraId="148250DB" w14:textId="1218ED69" w:rsidR="00FD2CBB" w:rsidRPr="006771E7" w:rsidRDefault="00FD2CBB" w:rsidP="006771E7">
            <w:pPr>
              <w:spacing w:beforeLines="20" w:before="48" w:afterLines="20" w:after="48" w:line="240" w:lineRule="auto"/>
              <w:jc w:val="center"/>
              <w:rPr>
                <w:rFonts w:asciiTheme="majorHAnsi" w:hAnsiTheme="majorHAnsi" w:cstheme="majorHAnsi"/>
              </w:rPr>
            </w:pPr>
            <w:r w:rsidRPr="006771E7">
              <w:rPr>
                <w:rFonts w:asciiTheme="majorHAnsi" w:eastAsia="Calibri" w:hAnsiTheme="majorHAnsi" w:cstheme="majorHAnsi"/>
              </w:rPr>
              <w:t>30</w:t>
            </w:r>
          </w:p>
        </w:tc>
        <w:tc>
          <w:tcPr>
            <w:tcW w:w="1292" w:type="dxa"/>
            <w:noWrap/>
            <w:vAlign w:val="center"/>
            <w:hideMark/>
          </w:tcPr>
          <w:p w14:paraId="6664A046" w14:textId="61588493" w:rsidR="00FD2CBB" w:rsidRPr="006771E7" w:rsidRDefault="00FD2CBB" w:rsidP="006771E7">
            <w:pPr>
              <w:spacing w:beforeLines="20" w:before="48" w:afterLines="20" w:after="48" w:line="240" w:lineRule="auto"/>
              <w:jc w:val="center"/>
              <w:rPr>
                <w:rFonts w:asciiTheme="majorHAnsi" w:hAnsiTheme="majorHAnsi" w:cstheme="majorHAnsi"/>
              </w:rPr>
            </w:pPr>
            <w:r w:rsidRPr="006771E7">
              <w:rPr>
                <w:rFonts w:asciiTheme="majorHAnsi" w:eastAsia="Calibri" w:hAnsiTheme="majorHAnsi" w:cstheme="majorHAnsi"/>
              </w:rPr>
              <w:t>4753</w:t>
            </w:r>
          </w:p>
        </w:tc>
        <w:tc>
          <w:tcPr>
            <w:tcW w:w="1146" w:type="dxa"/>
            <w:noWrap/>
            <w:vAlign w:val="center"/>
            <w:hideMark/>
          </w:tcPr>
          <w:p w14:paraId="3D65788B" w14:textId="1BE2D46B" w:rsidR="00FD2CBB" w:rsidRPr="006771E7" w:rsidRDefault="00FD2CBB" w:rsidP="006771E7">
            <w:pPr>
              <w:spacing w:beforeLines="20" w:before="48" w:afterLines="20" w:after="48" w:line="240" w:lineRule="auto"/>
              <w:jc w:val="center"/>
              <w:rPr>
                <w:rFonts w:asciiTheme="majorHAnsi" w:hAnsiTheme="majorHAnsi" w:cstheme="majorHAnsi"/>
              </w:rPr>
            </w:pPr>
            <w:r w:rsidRPr="006771E7">
              <w:rPr>
                <w:rFonts w:asciiTheme="majorHAnsi" w:eastAsia="Calibri" w:hAnsiTheme="majorHAnsi" w:cstheme="majorHAnsi"/>
              </w:rPr>
              <w:t>1091</w:t>
            </w:r>
          </w:p>
        </w:tc>
        <w:tc>
          <w:tcPr>
            <w:tcW w:w="1182" w:type="dxa"/>
            <w:noWrap/>
            <w:vAlign w:val="center"/>
            <w:hideMark/>
          </w:tcPr>
          <w:p w14:paraId="78CE4189" w14:textId="67FBDE9E" w:rsidR="00FD2CBB" w:rsidRPr="006771E7" w:rsidRDefault="00FD2CBB" w:rsidP="006771E7">
            <w:pPr>
              <w:spacing w:beforeLines="20" w:before="48" w:afterLines="20" w:after="48" w:line="240" w:lineRule="auto"/>
              <w:jc w:val="center"/>
              <w:rPr>
                <w:rFonts w:asciiTheme="majorHAnsi" w:hAnsiTheme="majorHAnsi" w:cstheme="majorHAnsi"/>
              </w:rPr>
            </w:pPr>
            <w:r w:rsidRPr="006771E7">
              <w:rPr>
                <w:rFonts w:asciiTheme="majorHAnsi" w:eastAsia="Calibri" w:hAnsiTheme="majorHAnsi" w:cstheme="majorHAnsi"/>
              </w:rPr>
              <w:t>81%</w:t>
            </w:r>
          </w:p>
        </w:tc>
      </w:tr>
      <w:tr w:rsidR="00FD2CBB" w:rsidRPr="00EE3BAE" w14:paraId="2FF39DE9" w14:textId="77777777" w:rsidTr="006771E7">
        <w:trPr>
          <w:trHeight w:val="302"/>
        </w:trPr>
        <w:tc>
          <w:tcPr>
            <w:tcW w:w="1437" w:type="dxa"/>
            <w:shd w:val="clear" w:color="auto" w:fill="FF7C80"/>
            <w:noWrap/>
            <w:vAlign w:val="center"/>
            <w:hideMark/>
          </w:tcPr>
          <w:p w14:paraId="1046CB8C" w14:textId="449833C2" w:rsidR="00FD2CBB" w:rsidRPr="006771E7" w:rsidRDefault="00FD2CBB" w:rsidP="006771E7">
            <w:pPr>
              <w:spacing w:beforeLines="20" w:before="48" w:afterLines="20" w:after="48" w:line="240" w:lineRule="auto"/>
              <w:jc w:val="center"/>
              <w:rPr>
                <w:rFonts w:asciiTheme="majorHAnsi" w:hAnsiTheme="majorHAnsi" w:cstheme="majorHAnsi"/>
              </w:rPr>
            </w:pPr>
            <w:r w:rsidRPr="006771E7">
              <w:rPr>
                <w:rFonts w:asciiTheme="majorHAnsi" w:eastAsia="Calibri" w:hAnsiTheme="majorHAnsi" w:cstheme="majorHAnsi"/>
                <w:i/>
                <w:color w:val="000000" w:themeColor="text1"/>
              </w:rPr>
              <w:t>TO_031</w:t>
            </w:r>
          </w:p>
        </w:tc>
        <w:tc>
          <w:tcPr>
            <w:tcW w:w="2527" w:type="dxa"/>
            <w:shd w:val="clear" w:color="auto" w:fill="FFFFFF" w:themeFill="background1"/>
            <w:noWrap/>
            <w:vAlign w:val="center"/>
            <w:hideMark/>
          </w:tcPr>
          <w:p w14:paraId="06FB7E0C" w14:textId="1E066395" w:rsidR="00FD2CBB" w:rsidRPr="006771E7" w:rsidRDefault="00FD2CBB" w:rsidP="006771E7">
            <w:pPr>
              <w:spacing w:beforeLines="20" w:before="48" w:afterLines="20" w:after="48" w:line="240" w:lineRule="auto"/>
              <w:jc w:val="center"/>
              <w:rPr>
                <w:rFonts w:asciiTheme="majorHAnsi" w:hAnsiTheme="majorHAnsi" w:cstheme="majorHAnsi"/>
              </w:rPr>
            </w:pPr>
            <w:r w:rsidRPr="006771E7">
              <w:rPr>
                <w:rFonts w:asciiTheme="majorHAnsi" w:eastAsia="Calibri" w:hAnsiTheme="majorHAnsi" w:cstheme="majorHAnsi"/>
              </w:rPr>
              <w:t>Pinerolo (TO)</w:t>
            </w:r>
          </w:p>
        </w:tc>
        <w:tc>
          <w:tcPr>
            <w:tcW w:w="1493" w:type="dxa"/>
            <w:noWrap/>
            <w:vAlign w:val="center"/>
            <w:hideMark/>
          </w:tcPr>
          <w:p w14:paraId="791F5112" w14:textId="76271741" w:rsidR="00FD2CBB" w:rsidRPr="006771E7" w:rsidRDefault="00FD2CBB" w:rsidP="006771E7">
            <w:pPr>
              <w:spacing w:beforeLines="20" w:before="48" w:afterLines="20" w:after="48" w:line="240" w:lineRule="auto"/>
              <w:jc w:val="center"/>
              <w:rPr>
                <w:rFonts w:asciiTheme="majorHAnsi" w:hAnsiTheme="majorHAnsi" w:cstheme="majorHAnsi"/>
              </w:rPr>
            </w:pPr>
            <w:r w:rsidRPr="006771E7">
              <w:rPr>
                <w:rFonts w:asciiTheme="majorHAnsi" w:eastAsia="Calibri" w:hAnsiTheme="majorHAnsi" w:cstheme="majorHAnsi"/>
              </w:rPr>
              <w:t>42</w:t>
            </w:r>
          </w:p>
        </w:tc>
        <w:tc>
          <w:tcPr>
            <w:tcW w:w="1292" w:type="dxa"/>
            <w:noWrap/>
            <w:vAlign w:val="center"/>
            <w:hideMark/>
          </w:tcPr>
          <w:p w14:paraId="41762104" w14:textId="54B4076E" w:rsidR="00FD2CBB" w:rsidRPr="006771E7" w:rsidRDefault="00FD2CBB" w:rsidP="006771E7">
            <w:pPr>
              <w:spacing w:beforeLines="20" w:before="48" w:afterLines="20" w:after="48" w:line="240" w:lineRule="auto"/>
              <w:jc w:val="center"/>
              <w:rPr>
                <w:rFonts w:asciiTheme="majorHAnsi" w:hAnsiTheme="majorHAnsi" w:cstheme="majorHAnsi"/>
              </w:rPr>
            </w:pPr>
            <w:r w:rsidRPr="006771E7">
              <w:rPr>
                <w:rFonts w:asciiTheme="majorHAnsi" w:eastAsia="Calibri" w:hAnsiTheme="majorHAnsi" w:cstheme="majorHAnsi"/>
              </w:rPr>
              <w:t>8514</w:t>
            </w:r>
          </w:p>
        </w:tc>
        <w:tc>
          <w:tcPr>
            <w:tcW w:w="1146" w:type="dxa"/>
            <w:noWrap/>
            <w:vAlign w:val="center"/>
            <w:hideMark/>
          </w:tcPr>
          <w:p w14:paraId="6BDD6B7F" w14:textId="198DF9AE" w:rsidR="00FD2CBB" w:rsidRPr="006771E7" w:rsidRDefault="00FD2CBB" w:rsidP="006771E7">
            <w:pPr>
              <w:spacing w:beforeLines="20" w:before="48" w:afterLines="20" w:after="48" w:line="240" w:lineRule="auto"/>
              <w:jc w:val="center"/>
              <w:rPr>
                <w:rFonts w:asciiTheme="majorHAnsi" w:hAnsiTheme="majorHAnsi" w:cstheme="majorHAnsi"/>
              </w:rPr>
            </w:pPr>
            <w:r w:rsidRPr="006771E7">
              <w:rPr>
                <w:rFonts w:asciiTheme="majorHAnsi" w:eastAsia="Calibri" w:hAnsiTheme="majorHAnsi" w:cstheme="majorHAnsi"/>
              </w:rPr>
              <w:t>952</w:t>
            </w:r>
          </w:p>
        </w:tc>
        <w:tc>
          <w:tcPr>
            <w:tcW w:w="1182" w:type="dxa"/>
            <w:noWrap/>
            <w:vAlign w:val="center"/>
            <w:hideMark/>
          </w:tcPr>
          <w:p w14:paraId="2871C732" w14:textId="76B03F35" w:rsidR="00FD2CBB" w:rsidRPr="006771E7" w:rsidRDefault="00FD2CBB" w:rsidP="006771E7">
            <w:pPr>
              <w:spacing w:beforeLines="20" w:before="48" w:afterLines="20" w:after="48" w:line="240" w:lineRule="auto"/>
              <w:jc w:val="center"/>
              <w:rPr>
                <w:rFonts w:asciiTheme="majorHAnsi" w:hAnsiTheme="majorHAnsi" w:cstheme="majorHAnsi"/>
              </w:rPr>
            </w:pPr>
            <w:r w:rsidRPr="006771E7">
              <w:rPr>
                <w:rFonts w:asciiTheme="majorHAnsi" w:eastAsia="Calibri" w:hAnsiTheme="majorHAnsi" w:cstheme="majorHAnsi"/>
              </w:rPr>
              <w:t>90%</w:t>
            </w:r>
          </w:p>
        </w:tc>
      </w:tr>
      <w:tr w:rsidR="00FD2CBB" w:rsidRPr="00EE3BAE" w14:paraId="319003B9" w14:textId="77777777" w:rsidTr="006771E7">
        <w:trPr>
          <w:trHeight w:val="302"/>
        </w:trPr>
        <w:tc>
          <w:tcPr>
            <w:tcW w:w="1437" w:type="dxa"/>
            <w:shd w:val="clear" w:color="auto" w:fill="FF7C80"/>
            <w:noWrap/>
            <w:vAlign w:val="center"/>
            <w:hideMark/>
          </w:tcPr>
          <w:p w14:paraId="2FFDB7D5" w14:textId="6275BA87" w:rsidR="00FD2CBB" w:rsidRPr="006771E7" w:rsidRDefault="00FD2CBB" w:rsidP="006771E7">
            <w:pPr>
              <w:spacing w:beforeLines="20" w:before="48" w:afterLines="20" w:after="48" w:line="240" w:lineRule="auto"/>
              <w:jc w:val="center"/>
              <w:rPr>
                <w:rFonts w:asciiTheme="majorHAnsi" w:hAnsiTheme="majorHAnsi" w:cstheme="majorHAnsi"/>
              </w:rPr>
            </w:pPr>
            <w:r w:rsidRPr="006771E7">
              <w:rPr>
                <w:rFonts w:asciiTheme="majorHAnsi" w:eastAsia="Calibri" w:hAnsiTheme="majorHAnsi" w:cstheme="majorHAnsi"/>
                <w:i/>
                <w:color w:val="000000" w:themeColor="text1"/>
              </w:rPr>
              <w:t>TO_032</w:t>
            </w:r>
          </w:p>
        </w:tc>
        <w:tc>
          <w:tcPr>
            <w:tcW w:w="2527" w:type="dxa"/>
            <w:shd w:val="clear" w:color="auto" w:fill="FFFFFF" w:themeFill="background1"/>
            <w:noWrap/>
            <w:vAlign w:val="center"/>
            <w:hideMark/>
          </w:tcPr>
          <w:p w14:paraId="33822518" w14:textId="5981CAFF" w:rsidR="00FD2CBB" w:rsidRPr="006771E7" w:rsidRDefault="00FD2CBB" w:rsidP="006771E7">
            <w:pPr>
              <w:spacing w:beforeLines="20" w:before="48" w:afterLines="20" w:after="48" w:line="240" w:lineRule="auto"/>
              <w:jc w:val="center"/>
              <w:rPr>
                <w:rFonts w:asciiTheme="majorHAnsi" w:hAnsiTheme="majorHAnsi" w:cstheme="majorHAnsi"/>
              </w:rPr>
            </w:pPr>
            <w:r w:rsidRPr="006771E7">
              <w:rPr>
                <w:rFonts w:asciiTheme="majorHAnsi" w:eastAsia="Calibri" w:hAnsiTheme="majorHAnsi" w:cstheme="majorHAnsi"/>
              </w:rPr>
              <w:t>Perosa (TO)</w:t>
            </w:r>
          </w:p>
        </w:tc>
        <w:tc>
          <w:tcPr>
            <w:tcW w:w="1493" w:type="dxa"/>
            <w:noWrap/>
            <w:vAlign w:val="center"/>
            <w:hideMark/>
          </w:tcPr>
          <w:p w14:paraId="22D5E4D5" w14:textId="63557F70" w:rsidR="00FD2CBB" w:rsidRPr="006771E7" w:rsidRDefault="00FD2CBB" w:rsidP="006771E7">
            <w:pPr>
              <w:spacing w:beforeLines="20" w:before="48" w:afterLines="20" w:after="48" w:line="240" w:lineRule="auto"/>
              <w:jc w:val="center"/>
              <w:rPr>
                <w:rFonts w:asciiTheme="majorHAnsi" w:hAnsiTheme="majorHAnsi" w:cstheme="majorHAnsi"/>
              </w:rPr>
            </w:pPr>
            <w:r w:rsidRPr="006771E7">
              <w:rPr>
                <w:rFonts w:asciiTheme="majorHAnsi" w:eastAsia="Calibri" w:hAnsiTheme="majorHAnsi" w:cstheme="majorHAnsi"/>
              </w:rPr>
              <w:t>28</w:t>
            </w:r>
          </w:p>
        </w:tc>
        <w:tc>
          <w:tcPr>
            <w:tcW w:w="1292" w:type="dxa"/>
            <w:noWrap/>
            <w:vAlign w:val="center"/>
            <w:hideMark/>
          </w:tcPr>
          <w:p w14:paraId="02B8946D" w14:textId="6206CD9E" w:rsidR="00FD2CBB" w:rsidRPr="006771E7" w:rsidRDefault="00FD2CBB" w:rsidP="006771E7">
            <w:pPr>
              <w:spacing w:beforeLines="20" w:before="48" w:afterLines="20" w:after="48" w:line="240" w:lineRule="auto"/>
              <w:jc w:val="center"/>
              <w:rPr>
                <w:rFonts w:asciiTheme="majorHAnsi" w:hAnsiTheme="majorHAnsi" w:cstheme="majorHAnsi"/>
              </w:rPr>
            </w:pPr>
            <w:r w:rsidRPr="006771E7">
              <w:rPr>
                <w:rFonts w:asciiTheme="majorHAnsi" w:eastAsia="Calibri" w:hAnsiTheme="majorHAnsi" w:cstheme="majorHAnsi"/>
              </w:rPr>
              <w:t>4838</w:t>
            </w:r>
          </w:p>
        </w:tc>
        <w:tc>
          <w:tcPr>
            <w:tcW w:w="1146" w:type="dxa"/>
            <w:noWrap/>
            <w:vAlign w:val="center"/>
            <w:hideMark/>
          </w:tcPr>
          <w:p w14:paraId="7E22D34A" w14:textId="3A0B0FC0" w:rsidR="00FD2CBB" w:rsidRPr="006771E7" w:rsidRDefault="00FD2CBB" w:rsidP="006771E7">
            <w:pPr>
              <w:spacing w:beforeLines="20" w:before="48" w:afterLines="20" w:after="48" w:line="240" w:lineRule="auto"/>
              <w:jc w:val="center"/>
              <w:rPr>
                <w:rFonts w:asciiTheme="majorHAnsi" w:hAnsiTheme="majorHAnsi" w:cstheme="majorHAnsi"/>
              </w:rPr>
            </w:pPr>
            <w:r w:rsidRPr="006771E7">
              <w:rPr>
                <w:rFonts w:asciiTheme="majorHAnsi" w:eastAsia="Calibri" w:hAnsiTheme="majorHAnsi" w:cstheme="majorHAnsi"/>
              </w:rPr>
              <w:t>456</w:t>
            </w:r>
          </w:p>
        </w:tc>
        <w:tc>
          <w:tcPr>
            <w:tcW w:w="1182" w:type="dxa"/>
            <w:noWrap/>
            <w:vAlign w:val="center"/>
            <w:hideMark/>
          </w:tcPr>
          <w:p w14:paraId="1910B8D8" w14:textId="5567FB10" w:rsidR="00FD2CBB" w:rsidRPr="006771E7" w:rsidRDefault="00FD2CBB" w:rsidP="006771E7">
            <w:pPr>
              <w:spacing w:beforeLines="20" w:before="48" w:afterLines="20" w:after="48" w:line="240" w:lineRule="auto"/>
              <w:jc w:val="center"/>
              <w:rPr>
                <w:rFonts w:asciiTheme="majorHAnsi" w:hAnsiTheme="majorHAnsi" w:cstheme="majorHAnsi"/>
              </w:rPr>
            </w:pPr>
            <w:r w:rsidRPr="006771E7">
              <w:rPr>
                <w:rFonts w:asciiTheme="majorHAnsi" w:eastAsia="Calibri" w:hAnsiTheme="majorHAnsi" w:cstheme="majorHAnsi"/>
              </w:rPr>
              <w:t>91%</w:t>
            </w:r>
          </w:p>
        </w:tc>
      </w:tr>
      <w:tr w:rsidR="00FD2CBB" w:rsidRPr="00EE3BAE" w14:paraId="75ED9160" w14:textId="77777777" w:rsidTr="006771E7">
        <w:trPr>
          <w:trHeight w:val="302"/>
        </w:trPr>
        <w:tc>
          <w:tcPr>
            <w:tcW w:w="1437" w:type="dxa"/>
            <w:shd w:val="clear" w:color="auto" w:fill="FF7C80"/>
            <w:noWrap/>
            <w:vAlign w:val="center"/>
            <w:hideMark/>
          </w:tcPr>
          <w:p w14:paraId="7CEB8E18" w14:textId="11176524" w:rsidR="00FD2CBB" w:rsidRPr="006771E7" w:rsidRDefault="00FD2CBB" w:rsidP="006771E7">
            <w:pPr>
              <w:spacing w:beforeLines="20" w:before="48" w:afterLines="20" w:after="48" w:line="240" w:lineRule="auto"/>
              <w:jc w:val="center"/>
              <w:rPr>
                <w:rFonts w:asciiTheme="majorHAnsi" w:hAnsiTheme="majorHAnsi" w:cstheme="majorHAnsi"/>
              </w:rPr>
            </w:pPr>
            <w:r w:rsidRPr="006771E7">
              <w:rPr>
                <w:rFonts w:asciiTheme="majorHAnsi" w:eastAsia="Calibri" w:hAnsiTheme="majorHAnsi" w:cstheme="majorHAnsi"/>
                <w:i/>
                <w:color w:val="000000" w:themeColor="text1"/>
              </w:rPr>
              <w:t>TO_035</w:t>
            </w:r>
          </w:p>
        </w:tc>
        <w:tc>
          <w:tcPr>
            <w:tcW w:w="2527" w:type="dxa"/>
            <w:shd w:val="clear" w:color="auto" w:fill="FFFFFF" w:themeFill="background1"/>
            <w:noWrap/>
            <w:vAlign w:val="center"/>
            <w:hideMark/>
          </w:tcPr>
          <w:p w14:paraId="73B73044" w14:textId="498FBEC4" w:rsidR="00FD2CBB" w:rsidRPr="006771E7" w:rsidRDefault="00FD2CBB" w:rsidP="006771E7">
            <w:pPr>
              <w:spacing w:beforeLines="20" w:before="48" w:afterLines="20" w:after="48" w:line="240" w:lineRule="auto"/>
              <w:jc w:val="center"/>
              <w:rPr>
                <w:rFonts w:asciiTheme="majorHAnsi" w:hAnsiTheme="majorHAnsi" w:cstheme="majorHAnsi"/>
              </w:rPr>
            </w:pPr>
            <w:r w:rsidRPr="006771E7">
              <w:rPr>
                <w:rFonts w:asciiTheme="majorHAnsi" w:eastAsia="Calibri" w:hAnsiTheme="majorHAnsi" w:cstheme="majorHAnsi"/>
              </w:rPr>
              <w:t>Salbertrand (TO)</w:t>
            </w:r>
          </w:p>
        </w:tc>
        <w:tc>
          <w:tcPr>
            <w:tcW w:w="1493" w:type="dxa"/>
            <w:noWrap/>
            <w:vAlign w:val="center"/>
            <w:hideMark/>
          </w:tcPr>
          <w:p w14:paraId="55C3A327" w14:textId="2A9630E2" w:rsidR="00FD2CBB" w:rsidRPr="006771E7" w:rsidRDefault="00FD2CBB" w:rsidP="006771E7">
            <w:pPr>
              <w:spacing w:beforeLines="20" w:before="48" w:afterLines="20" w:after="48" w:line="240" w:lineRule="auto"/>
              <w:jc w:val="center"/>
              <w:rPr>
                <w:rFonts w:asciiTheme="majorHAnsi" w:hAnsiTheme="majorHAnsi" w:cstheme="majorHAnsi"/>
              </w:rPr>
            </w:pPr>
            <w:r w:rsidRPr="006771E7">
              <w:rPr>
                <w:rFonts w:asciiTheme="majorHAnsi" w:eastAsia="Calibri" w:hAnsiTheme="majorHAnsi" w:cstheme="majorHAnsi"/>
              </w:rPr>
              <w:t>10</w:t>
            </w:r>
          </w:p>
        </w:tc>
        <w:tc>
          <w:tcPr>
            <w:tcW w:w="1292" w:type="dxa"/>
            <w:noWrap/>
            <w:vAlign w:val="center"/>
            <w:hideMark/>
          </w:tcPr>
          <w:p w14:paraId="4D56F226" w14:textId="5EDE131C" w:rsidR="00FD2CBB" w:rsidRPr="006771E7" w:rsidRDefault="00FD2CBB" w:rsidP="006771E7">
            <w:pPr>
              <w:spacing w:beforeLines="20" w:before="48" w:afterLines="20" w:after="48" w:line="240" w:lineRule="auto"/>
              <w:jc w:val="center"/>
              <w:rPr>
                <w:rFonts w:asciiTheme="majorHAnsi" w:hAnsiTheme="majorHAnsi" w:cstheme="majorHAnsi"/>
              </w:rPr>
            </w:pPr>
            <w:r w:rsidRPr="006771E7">
              <w:rPr>
                <w:rFonts w:asciiTheme="majorHAnsi" w:eastAsia="Calibri" w:hAnsiTheme="majorHAnsi" w:cstheme="majorHAnsi"/>
              </w:rPr>
              <w:t>1711</w:t>
            </w:r>
          </w:p>
        </w:tc>
        <w:tc>
          <w:tcPr>
            <w:tcW w:w="1146" w:type="dxa"/>
            <w:noWrap/>
            <w:vAlign w:val="center"/>
            <w:hideMark/>
          </w:tcPr>
          <w:p w14:paraId="1B9473A0" w14:textId="088FFE2E" w:rsidR="00FD2CBB" w:rsidRPr="006771E7" w:rsidRDefault="00FD2CBB" w:rsidP="006771E7">
            <w:pPr>
              <w:spacing w:beforeLines="20" w:before="48" w:afterLines="20" w:after="48" w:line="240" w:lineRule="auto"/>
              <w:jc w:val="center"/>
              <w:rPr>
                <w:rFonts w:asciiTheme="majorHAnsi" w:hAnsiTheme="majorHAnsi" w:cstheme="majorHAnsi"/>
              </w:rPr>
            </w:pPr>
            <w:r w:rsidRPr="006771E7">
              <w:rPr>
                <w:rFonts w:asciiTheme="majorHAnsi" w:eastAsia="Calibri" w:hAnsiTheme="majorHAnsi" w:cstheme="majorHAnsi"/>
              </w:rPr>
              <w:t>214</w:t>
            </w:r>
          </w:p>
        </w:tc>
        <w:tc>
          <w:tcPr>
            <w:tcW w:w="1182" w:type="dxa"/>
            <w:noWrap/>
            <w:vAlign w:val="center"/>
            <w:hideMark/>
          </w:tcPr>
          <w:p w14:paraId="2924701B" w14:textId="1716D87F" w:rsidR="00FD2CBB" w:rsidRPr="006771E7" w:rsidRDefault="00FD2CBB" w:rsidP="006771E7">
            <w:pPr>
              <w:spacing w:beforeLines="20" w:before="48" w:afterLines="20" w:after="48" w:line="240" w:lineRule="auto"/>
              <w:jc w:val="center"/>
              <w:rPr>
                <w:rFonts w:asciiTheme="majorHAnsi" w:hAnsiTheme="majorHAnsi" w:cstheme="majorHAnsi"/>
              </w:rPr>
            </w:pPr>
            <w:r w:rsidRPr="006771E7">
              <w:rPr>
                <w:rFonts w:asciiTheme="majorHAnsi" w:eastAsia="Calibri" w:hAnsiTheme="majorHAnsi" w:cstheme="majorHAnsi"/>
              </w:rPr>
              <w:t>89%</w:t>
            </w:r>
          </w:p>
        </w:tc>
      </w:tr>
      <w:tr w:rsidR="00FD2CBB" w:rsidRPr="00EE3BAE" w14:paraId="52847050" w14:textId="77777777" w:rsidTr="006771E7">
        <w:trPr>
          <w:trHeight w:val="302"/>
        </w:trPr>
        <w:tc>
          <w:tcPr>
            <w:tcW w:w="1437" w:type="dxa"/>
            <w:shd w:val="clear" w:color="auto" w:fill="FF7C80"/>
            <w:noWrap/>
            <w:vAlign w:val="center"/>
            <w:hideMark/>
          </w:tcPr>
          <w:p w14:paraId="35EEFA59" w14:textId="627C32F0" w:rsidR="00FD2CBB" w:rsidRPr="006771E7" w:rsidRDefault="00FD2CBB" w:rsidP="006771E7">
            <w:pPr>
              <w:spacing w:beforeLines="20" w:before="48" w:afterLines="20" w:after="48" w:line="240" w:lineRule="auto"/>
              <w:jc w:val="center"/>
              <w:rPr>
                <w:rFonts w:asciiTheme="majorHAnsi" w:hAnsiTheme="majorHAnsi" w:cstheme="majorHAnsi"/>
              </w:rPr>
            </w:pPr>
            <w:r w:rsidRPr="006771E7">
              <w:rPr>
                <w:rFonts w:asciiTheme="majorHAnsi" w:eastAsia="Calibri" w:hAnsiTheme="majorHAnsi" w:cstheme="majorHAnsi"/>
                <w:i/>
                <w:color w:val="000000" w:themeColor="text1"/>
              </w:rPr>
              <w:lastRenderedPageBreak/>
              <w:t>TO_037</w:t>
            </w:r>
          </w:p>
        </w:tc>
        <w:tc>
          <w:tcPr>
            <w:tcW w:w="2527" w:type="dxa"/>
            <w:shd w:val="clear" w:color="auto" w:fill="FFFFFF" w:themeFill="background1"/>
            <w:noWrap/>
            <w:vAlign w:val="center"/>
            <w:hideMark/>
          </w:tcPr>
          <w:p w14:paraId="2C070685" w14:textId="51BB00DF" w:rsidR="00FD2CBB" w:rsidRPr="006771E7" w:rsidRDefault="00FD2CBB" w:rsidP="006771E7">
            <w:pPr>
              <w:spacing w:beforeLines="20" w:before="48" w:afterLines="20" w:after="48" w:line="240" w:lineRule="auto"/>
              <w:jc w:val="center"/>
              <w:rPr>
                <w:rFonts w:asciiTheme="majorHAnsi" w:hAnsiTheme="majorHAnsi" w:cstheme="majorHAnsi"/>
              </w:rPr>
            </w:pPr>
            <w:r w:rsidRPr="006771E7">
              <w:rPr>
                <w:rFonts w:asciiTheme="majorHAnsi" w:eastAsia="Calibri" w:hAnsiTheme="majorHAnsi" w:cstheme="majorHAnsi"/>
              </w:rPr>
              <w:t>Cumiana (TO)</w:t>
            </w:r>
          </w:p>
        </w:tc>
        <w:tc>
          <w:tcPr>
            <w:tcW w:w="1493" w:type="dxa"/>
            <w:noWrap/>
            <w:vAlign w:val="center"/>
            <w:hideMark/>
          </w:tcPr>
          <w:p w14:paraId="2491DC28" w14:textId="0E1D4321" w:rsidR="00FD2CBB" w:rsidRPr="006771E7" w:rsidRDefault="00FD2CBB" w:rsidP="006771E7">
            <w:pPr>
              <w:spacing w:beforeLines="20" w:before="48" w:afterLines="20" w:after="48" w:line="240" w:lineRule="auto"/>
              <w:jc w:val="center"/>
              <w:rPr>
                <w:rFonts w:asciiTheme="majorHAnsi" w:hAnsiTheme="majorHAnsi" w:cstheme="majorHAnsi"/>
              </w:rPr>
            </w:pPr>
            <w:r w:rsidRPr="006771E7">
              <w:rPr>
                <w:rFonts w:asciiTheme="majorHAnsi" w:eastAsia="Calibri" w:hAnsiTheme="majorHAnsi" w:cstheme="majorHAnsi"/>
              </w:rPr>
              <w:t>24</w:t>
            </w:r>
          </w:p>
        </w:tc>
        <w:tc>
          <w:tcPr>
            <w:tcW w:w="1292" w:type="dxa"/>
            <w:noWrap/>
            <w:vAlign w:val="center"/>
            <w:hideMark/>
          </w:tcPr>
          <w:p w14:paraId="0AB7BB15" w14:textId="13A513D8" w:rsidR="00FD2CBB" w:rsidRPr="006771E7" w:rsidRDefault="00FD2CBB" w:rsidP="006771E7">
            <w:pPr>
              <w:spacing w:beforeLines="20" w:before="48" w:afterLines="20" w:after="48" w:line="240" w:lineRule="auto"/>
              <w:jc w:val="center"/>
              <w:rPr>
                <w:rFonts w:asciiTheme="majorHAnsi" w:hAnsiTheme="majorHAnsi" w:cstheme="majorHAnsi"/>
              </w:rPr>
            </w:pPr>
            <w:r w:rsidRPr="006771E7">
              <w:rPr>
                <w:rFonts w:asciiTheme="majorHAnsi" w:eastAsia="Calibri" w:hAnsiTheme="majorHAnsi" w:cstheme="majorHAnsi"/>
              </w:rPr>
              <w:t>3527</w:t>
            </w:r>
          </w:p>
        </w:tc>
        <w:tc>
          <w:tcPr>
            <w:tcW w:w="1146" w:type="dxa"/>
            <w:noWrap/>
            <w:vAlign w:val="center"/>
            <w:hideMark/>
          </w:tcPr>
          <w:p w14:paraId="4590D238" w14:textId="3EF70A8E" w:rsidR="00FD2CBB" w:rsidRPr="006771E7" w:rsidRDefault="00FD2CBB" w:rsidP="006771E7">
            <w:pPr>
              <w:spacing w:beforeLines="20" w:before="48" w:afterLines="20" w:after="48" w:line="240" w:lineRule="auto"/>
              <w:jc w:val="center"/>
              <w:rPr>
                <w:rFonts w:asciiTheme="majorHAnsi" w:hAnsiTheme="majorHAnsi" w:cstheme="majorHAnsi"/>
              </w:rPr>
            </w:pPr>
            <w:r w:rsidRPr="006771E7">
              <w:rPr>
                <w:rFonts w:asciiTheme="majorHAnsi" w:eastAsia="Calibri" w:hAnsiTheme="majorHAnsi" w:cstheme="majorHAnsi"/>
              </w:rPr>
              <w:t>408</w:t>
            </w:r>
          </w:p>
        </w:tc>
        <w:tc>
          <w:tcPr>
            <w:tcW w:w="1182" w:type="dxa"/>
            <w:noWrap/>
            <w:vAlign w:val="center"/>
            <w:hideMark/>
          </w:tcPr>
          <w:p w14:paraId="5FDD9405" w14:textId="265CAF32" w:rsidR="00FD2CBB" w:rsidRPr="006771E7" w:rsidRDefault="00FD2CBB" w:rsidP="006771E7">
            <w:pPr>
              <w:spacing w:beforeLines="20" w:before="48" w:afterLines="20" w:after="48" w:line="240" w:lineRule="auto"/>
              <w:jc w:val="center"/>
              <w:rPr>
                <w:rFonts w:asciiTheme="majorHAnsi" w:hAnsiTheme="majorHAnsi" w:cstheme="majorHAnsi"/>
              </w:rPr>
            </w:pPr>
            <w:r w:rsidRPr="006771E7">
              <w:rPr>
                <w:rFonts w:asciiTheme="majorHAnsi" w:eastAsia="Calibri" w:hAnsiTheme="majorHAnsi" w:cstheme="majorHAnsi"/>
              </w:rPr>
              <w:t>90%</w:t>
            </w:r>
          </w:p>
        </w:tc>
      </w:tr>
      <w:tr w:rsidR="00FD2CBB" w:rsidRPr="00EE3BAE" w14:paraId="35F4C5E9" w14:textId="77777777" w:rsidTr="006771E7">
        <w:trPr>
          <w:trHeight w:val="302"/>
        </w:trPr>
        <w:tc>
          <w:tcPr>
            <w:tcW w:w="1437" w:type="dxa"/>
            <w:shd w:val="clear" w:color="auto" w:fill="FF7C80"/>
            <w:noWrap/>
            <w:vAlign w:val="center"/>
            <w:hideMark/>
          </w:tcPr>
          <w:p w14:paraId="3DD58780" w14:textId="4CB9E130" w:rsidR="00FD2CBB" w:rsidRPr="006771E7" w:rsidRDefault="00FD2CBB" w:rsidP="006771E7">
            <w:pPr>
              <w:spacing w:beforeLines="20" w:before="48" w:afterLines="20" w:after="48" w:line="240" w:lineRule="auto"/>
              <w:jc w:val="center"/>
              <w:rPr>
                <w:rFonts w:asciiTheme="majorHAnsi" w:hAnsiTheme="majorHAnsi" w:cstheme="majorHAnsi"/>
              </w:rPr>
            </w:pPr>
            <w:r w:rsidRPr="006771E7">
              <w:rPr>
                <w:rFonts w:asciiTheme="majorHAnsi" w:eastAsia="Calibri" w:hAnsiTheme="majorHAnsi" w:cstheme="majorHAnsi"/>
                <w:i/>
                <w:color w:val="000000" w:themeColor="text1"/>
              </w:rPr>
              <w:t>TO_039</w:t>
            </w:r>
          </w:p>
        </w:tc>
        <w:tc>
          <w:tcPr>
            <w:tcW w:w="2527" w:type="dxa"/>
            <w:shd w:val="clear" w:color="auto" w:fill="FFFFFF" w:themeFill="background1"/>
            <w:noWrap/>
            <w:vAlign w:val="center"/>
            <w:hideMark/>
          </w:tcPr>
          <w:p w14:paraId="43BC1C8E" w14:textId="1200C7FB" w:rsidR="00FD2CBB" w:rsidRPr="006771E7" w:rsidRDefault="00FD2CBB" w:rsidP="006771E7">
            <w:pPr>
              <w:spacing w:beforeLines="20" w:before="48" w:afterLines="20" w:after="48" w:line="240" w:lineRule="auto"/>
              <w:jc w:val="center"/>
              <w:rPr>
                <w:rFonts w:asciiTheme="majorHAnsi" w:hAnsiTheme="majorHAnsi" w:cstheme="majorHAnsi"/>
              </w:rPr>
            </w:pPr>
            <w:r w:rsidRPr="006771E7">
              <w:rPr>
                <w:rFonts w:asciiTheme="majorHAnsi" w:eastAsia="Calibri" w:hAnsiTheme="majorHAnsi" w:cstheme="majorHAnsi"/>
              </w:rPr>
              <w:t>Giaveno (TO)</w:t>
            </w:r>
          </w:p>
        </w:tc>
        <w:tc>
          <w:tcPr>
            <w:tcW w:w="1493" w:type="dxa"/>
            <w:noWrap/>
            <w:vAlign w:val="center"/>
            <w:hideMark/>
          </w:tcPr>
          <w:p w14:paraId="22A0525F" w14:textId="43049DFB" w:rsidR="00FD2CBB" w:rsidRPr="006771E7" w:rsidRDefault="00FD2CBB" w:rsidP="006771E7">
            <w:pPr>
              <w:spacing w:beforeLines="20" w:before="48" w:afterLines="20" w:after="48" w:line="240" w:lineRule="auto"/>
              <w:jc w:val="center"/>
              <w:rPr>
                <w:rFonts w:asciiTheme="majorHAnsi" w:hAnsiTheme="majorHAnsi" w:cstheme="majorHAnsi"/>
              </w:rPr>
            </w:pPr>
            <w:r w:rsidRPr="006771E7">
              <w:rPr>
                <w:rFonts w:asciiTheme="majorHAnsi" w:eastAsia="Calibri" w:hAnsiTheme="majorHAnsi" w:cstheme="majorHAnsi"/>
              </w:rPr>
              <w:t>26</w:t>
            </w:r>
          </w:p>
        </w:tc>
        <w:tc>
          <w:tcPr>
            <w:tcW w:w="1292" w:type="dxa"/>
            <w:noWrap/>
            <w:vAlign w:val="center"/>
            <w:hideMark/>
          </w:tcPr>
          <w:p w14:paraId="7B84D7BB" w14:textId="232D900F" w:rsidR="00FD2CBB" w:rsidRPr="006771E7" w:rsidRDefault="00FD2CBB" w:rsidP="006771E7">
            <w:pPr>
              <w:spacing w:beforeLines="20" w:before="48" w:afterLines="20" w:after="48" w:line="240" w:lineRule="auto"/>
              <w:jc w:val="center"/>
              <w:rPr>
                <w:rFonts w:asciiTheme="majorHAnsi" w:hAnsiTheme="majorHAnsi" w:cstheme="majorHAnsi"/>
              </w:rPr>
            </w:pPr>
            <w:r w:rsidRPr="006771E7">
              <w:rPr>
                <w:rFonts w:asciiTheme="majorHAnsi" w:eastAsia="Calibri" w:hAnsiTheme="majorHAnsi" w:cstheme="majorHAnsi"/>
              </w:rPr>
              <w:t>4353</w:t>
            </w:r>
          </w:p>
        </w:tc>
        <w:tc>
          <w:tcPr>
            <w:tcW w:w="1146" w:type="dxa"/>
            <w:noWrap/>
            <w:vAlign w:val="center"/>
            <w:hideMark/>
          </w:tcPr>
          <w:p w14:paraId="32551D3E" w14:textId="25FC5C2D" w:rsidR="00FD2CBB" w:rsidRPr="006771E7" w:rsidRDefault="00FD2CBB" w:rsidP="006771E7">
            <w:pPr>
              <w:spacing w:beforeLines="20" w:before="48" w:afterLines="20" w:after="48" w:line="240" w:lineRule="auto"/>
              <w:jc w:val="center"/>
              <w:rPr>
                <w:rFonts w:asciiTheme="majorHAnsi" w:hAnsiTheme="majorHAnsi" w:cstheme="majorHAnsi"/>
              </w:rPr>
            </w:pPr>
            <w:r w:rsidRPr="006771E7">
              <w:rPr>
                <w:rFonts w:asciiTheme="majorHAnsi" w:eastAsia="Calibri" w:hAnsiTheme="majorHAnsi" w:cstheme="majorHAnsi"/>
              </w:rPr>
              <w:t>530</w:t>
            </w:r>
          </w:p>
        </w:tc>
        <w:tc>
          <w:tcPr>
            <w:tcW w:w="1182" w:type="dxa"/>
            <w:noWrap/>
            <w:vAlign w:val="center"/>
            <w:hideMark/>
          </w:tcPr>
          <w:p w14:paraId="064F9431" w14:textId="5D69042F" w:rsidR="00FD2CBB" w:rsidRPr="006771E7" w:rsidRDefault="00FD2CBB" w:rsidP="006771E7">
            <w:pPr>
              <w:spacing w:beforeLines="20" w:before="48" w:afterLines="20" w:after="48" w:line="240" w:lineRule="auto"/>
              <w:jc w:val="center"/>
              <w:rPr>
                <w:rFonts w:asciiTheme="majorHAnsi" w:hAnsiTheme="majorHAnsi" w:cstheme="majorHAnsi"/>
              </w:rPr>
            </w:pPr>
            <w:r w:rsidRPr="006771E7">
              <w:rPr>
                <w:rFonts w:asciiTheme="majorHAnsi" w:eastAsia="Calibri" w:hAnsiTheme="majorHAnsi" w:cstheme="majorHAnsi"/>
              </w:rPr>
              <w:t>89%</w:t>
            </w:r>
          </w:p>
        </w:tc>
      </w:tr>
      <w:tr w:rsidR="00FD2CBB" w:rsidRPr="00EE3BAE" w14:paraId="2ED4A7D8" w14:textId="77777777" w:rsidTr="006771E7">
        <w:trPr>
          <w:trHeight w:val="302"/>
        </w:trPr>
        <w:tc>
          <w:tcPr>
            <w:tcW w:w="1437" w:type="dxa"/>
            <w:shd w:val="clear" w:color="auto" w:fill="FF7C80"/>
            <w:noWrap/>
            <w:vAlign w:val="center"/>
            <w:hideMark/>
          </w:tcPr>
          <w:p w14:paraId="0A5958A2" w14:textId="20D2771D" w:rsidR="00FD2CBB" w:rsidRPr="006771E7" w:rsidRDefault="00FD2CBB" w:rsidP="006771E7">
            <w:pPr>
              <w:spacing w:beforeLines="20" w:before="48" w:afterLines="20" w:after="48" w:line="240" w:lineRule="auto"/>
              <w:jc w:val="center"/>
              <w:rPr>
                <w:rFonts w:asciiTheme="majorHAnsi" w:hAnsiTheme="majorHAnsi" w:cstheme="majorHAnsi"/>
              </w:rPr>
            </w:pPr>
            <w:r w:rsidRPr="006771E7">
              <w:rPr>
                <w:rFonts w:asciiTheme="majorHAnsi" w:eastAsia="Calibri" w:hAnsiTheme="majorHAnsi" w:cstheme="majorHAnsi"/>
                <w:i/>
                <w:color w:val="000000" w:themeColor="text1"/>
              </w:rPr>
              <w:t>TO_040</w:t>
            </w:r>
          </w:p>
        </w:tc>
        <w:tc>
          <w:tcPr>
            <w:tcW w:w="2527" w:type="dxa"/>
            <w:shd w:val="clear" w:color="auto" w:fill="FFFFFF" w:themeFill="background1"/>
            <w:noWrap/>
            <w:vAlign w:val="center"/>
            <w:hideMark/>
          </w:tcPr>
          <w:p w14:paraId="20AA024A" w14:textId="45304690" w:rsidR="00FD2CBB" w:rsidRPr="006771E7" w:rsidRDefault="00FD2CBB" w:rsidP="006771E7">
            <w:pPr>
              <w:spacing w:beforeLines="20" w:before="48" w:afterLines="20" w:after="48" w:line="240" w:lineRule="auto"/>
              <w:jc w:val="center"/>
              <w:rPr>
                <w:rFonts w:asciiTheme="majorHAnsi" w:hAnsiTheme="majorHAnsi" w:cstheme="majorHAnsi"/>
              </w:rPr>
            </w:pPr>
            <w:r w:rsidRPr="006771E7">
              <w:rPr>
                <w:rFonts w:asciiTheme="majorHAnsi" w:eastAsia="Calibri" w:hAnsiTheme="majorHAnsi" w:cstheme="majorHAnsi"/>
              </w:rPr>
              <w:t>Ivrea (TO)</w:t>
            </w:r>
          </w:p>
        </w:tc>
        <w:tc>
          <w:tcPr>
            <w:tcW w:w="1493" w:type="dxa"/>
            <w:noWrap/>
            <w:vAlign w:val="center"/>
            <w:hideMark/>
          </w:tcPr>
          <w:p w14:paraId="352696A4" w14:textId="680FD089" w:rsidR="00FD2CBB" w:rsidRPr="006771E7" w:rsidRDefault="00FD2CBB" w:rsidP="006771E7">
            <w:pPr>
              <w:spacing w:beforeLines="20" w:before="48" w:afterLines="20" w:after="48" w:line="240" w:lineRule="auto"/>
              <w:jc w:val="center"/>
              <w:rPr>
                <w:rFonts w:asciiTheme="majorHAnsi" w:hAnsiTheme="majorHAnsi" w:cstheme="majorHAnsi"/>
              </w:rPr>
            </w:pPr>
            <w:r w:rsidRPr="006771E7">
              <w:rPr>
                <w:rFonts w:asciiTheme="majorHAnsi" w:eastAsia="Calibri" w:hAnsiTheme="majorHAnsi" w:cstheme="majorHAnsi"/>
              </w:rPr>
              <w:t>62</w:t>
            </w:r>
          </w:p>
        </w:tc>
        <w:tc>
          <w:tcPr>
            <w:tcW w:w="1292" w:type="dxa"/>
            <w:noWrap/>
            <w:vAlign w:val="center"/>
            <w:hideMark/>
          </w:tcPr>
          <w:p w14:paraId="246DEF8A" w14:textId="41C009E3" w:rsidR="00FD2CBB" w:rsidRPr="006771E7" w:rsidRDefault="00FD2CBB" w:rsidP="006771E7">
            <w:pPr>
              <w:spacing w:beforeLines="20" w:before="48" w:afterLines="20" w:after="48" w:line="240" w:lineRule="auto"/>
              <w:jc w:val="center"/>
              <w:rPr>
                <w:rFonts w:asciiTheme="majorHAnsi" w:hAnsiTheme="majorHAnsi" w:cstheme="majorHAnsi"/>
              </w:rPr>
            </w:pPr>
            <w:r w:rsidRPr="006771E7">
              <w:rPr>
                <w:rFonts w:asciiTheme="majorHAnsi" w:eastAsia="Calibri" w:hAnsiTheme="majorHAnsi" w:cstheme="majorHAnsi"/>
              </w:rPr>
              <w:t>13830</w:t>
            </w:r>
          </w:p>
        </w:tc>
        <w:tc>
          <w:tcPr>
            <w:tcW w:w="1146" w:type="dxa"/>
            <w:noWrap/>
            <w:vAlign w:val="center"/>
            <w:hideMark/>
          </w:tcPr>
          <w:p w14:paraId="288B526F" w14:textId="7F481570" w:rsidR="00FD2CBB" w:rsidRPr="006771E7" w:rsidRDefault="00FD2CBB" w:rsidP="006771E7">
            <w:pPr>
              <w:spacing w:beforeLines="20" w:before="48" w:afterLines="20" w:after="48" w:line="240" w:lineRule="auto"/>
              <w:jc w:val="center"/>
              <w:rPr>
                <w:rFonts w:asciiTheme="majorHAnsi" w:hAnsiTheme="majorHAnsi" w:cstheme="majorHAnsi"/>
              </w:rPr>
            </w:pPr>
            <w:r w:rsidRPr="006771E7">
              <w:rPr>
                <w:rFonts w:asciiTheme="majorHAnsi" w:eastAsia="Calibri" w:hAnsiTheme="majorHAnsi" w:cstheme="majorHAnsi"/>
              </w:rPr>
              <w:t>2872</w:t>
            </w:r>
          </w:p>
        </w:tc>
        <w:tc>
          <w:tcPr>
            <w:tcW w:w="1182" w:type="dxa"/>
            <w:noWrap/>
            <w:vAlign w:val="center"/>
            <w:hideMark/>
          </w:tcPr>
          <w:p w14:paraId="03E622E0" w14:textId="77777777" w:rsidR="00FD2CBB" w:rsidRPr="006771E7" w:rsidRDefault="00FD2CBB" w:rsidP="006771E7">
            <w:pPr>
              <w:spacing w:beforeLines="20" w:before="48" w:afterLines="20" w:after="48" w:line="240" w:lineRule="auto"/>
              <w:jc w:val="center"/>
              <w:rPr>
                <w:rFonts w:asciiTheme="majorHAnsi" w:hAnsiTheme="majorHAnsi" w:cstheme="majorHAnsi"/>
              </w:rPr>
            </w:pPr>
            <w:r w:rsidRPr="006771E7">
              <w:rPr>
                <w:rFonts w:asciiTheme="majorHAnsi" w:eastAsia="Calibri" w:hAnsiTheme="majorHAnsi" w:cstheme="majorHAnsi"/>
              </w:rPr>
              <w:t>83%</w:t>
            </w:r>
          </w:p>
        </w:tc>
      </w:tr>
      <w:tr w:rsidR="00FD2CBB" w:rsidRPr="00EE3BAE" w14:paraId="54BF8A0F" w14:textId="77777777" w:rsidTr="006771E7">
        <w:trPr>
          <w:trHeight w:val="302"/>
        </w:trPr>
        <w:tc>
          <w:tcPr>
            <w:tcW w:w="1437" w:type="dxa"/>
            <w:shd w:val="clear" w:color="auto" w:fill="FF7C80"/>
            <w:noWrap/>
            <w:vAlign w:val="center"/>
            <w:hideMark/>
          </w:tcPr>
          <w:p w14:paraId="2F37D359" w14:textId="77777777" w:rsidR="00FD2CBB" w:rsidRPr="006771E7" w:rsidRDefault="00FD2CBB" w:rsidP="006771E7">
            <w:pPr>
              <w:spacing w:beforeLines="20" w:before="48" w:afterLines="20" w:after="48" w:line="240" w:lineRule="auto"/>
              <w:jc w:val="center"/>
              <w:rPr>
                <w:rFonts w:asciiTheme="majorHAnsi" w:eastAsia="Times New Roman" w:hAnsiTheme="majorHAnsi" w:cstheme="majorHAnsi"/>
                <w:b/>
                <w:i/>
              </w:rPr>
            </w:pPr>
            <w:r w:rsidRPr="006771E7">
              <w:rPr>
                <w:rFonts w:asciiTheme="majorHAnsi" w:eastAsia="Times New Roman" w:hAnsiTheme="majorHAnsi" w:cstheme="majorHAnsi"/>
                <w:b/>
                <w:i/>
              </w:rPr>
              <w:t>Totale</w:t>
            </w:r>
          </w:p>
        </w:tc>
        <w:tc>
          <w:tcPr>
            <w:tcW w:w="2527" w:type="dxa"/>
            <w:shd w:val="clear" w:color="auto" w:fill="FFFFFF" w:themeFill="background1"/>
            <w:noWrap/>
            <w:vAlign w:val="center"/>
            <w:hideMark/>
          </w:tcPr>
          <w:p w14:paraId="0BB3DAEC" w14:textId="0B6B70F0" w:rsidR="00FD2CBB" w:rsidRPr="006771E7" w:rsidRDefault="00FD2CBB" w:rsidP="006771E7">
            <w:pPr>
              <w:spacing w:beforeLines="20" w:before="48" w:afterLines="20" w:after="48" w:line="240" w:lineRule="auto"/>
              <w:jc w:val="center"/>
              <w:rPr>
                <w:rFonts w:asciiTheme="majorHAnsi" w:eastAsia="Times New Roman" w:hAnsiTheme="majorHAnsi" w:cstheme="majorHAnsi"/>
                <w:b/>
              </w:rPr>
            </w:pPr>
          </w:p>
        </w:tc>
        <w:tc>
          <w:tcPr>
            <w:tcW w:w="1493" w:type="dxa"/>
            <w:noWrap/>
            <w:vAlign w:val="center"/>
            <w:hideMark/>
          </w:tcPr>
          <w:p w14:paraId="0DE23E31" w14:textId="77777777" w:rsidR="00FD2CBB" w:rsidRPr="006771E7" w:rsidRDefault="00FD2CBB" w:rsidP="006771E7">
            <w:pPr>
              <w:spacing w:beforeLines="20" w:before="48" w:afterLines="20" w:after="48" w:line="240" w:lineRule="auto"/>
              <w:jc w:val="center"/>
              <w:rPr>
                <w:rFonts w:asciiTheme="majorHAnsi" w:eastAsia="Times New Roman" w:hAnsiTheme="majorHAnsi" w:cstheme="majorHAnsi"/>
                <w:b/>
              </w:rPr>
            </w:pPr>
            <w:r w:rsidRPr="006771E7">
              <w:rPr>
                <w:rFonts w:asciiTheme="majorHAnsi" w:eastAsia="Times New Roman" w:hAnsiTheme="majorHAnsi" w:cstheme="majorHAnsi"/>
                <w:b/>
              </w:rPr>
              <w:t>484</w:t>
            </w:r>
          </w:p>
        </w:tc>
        <w:tc>
          <w:tcPr>
            <w:tcW w:w="1292" w:type="dxa"/>
            <w:noWrap/>
            <w:vAlign w:val="center"/>
            <w:hideMark/>
          </w:tcPr>
          <w:p w14:paraId="3B78A8F4" w14:textId="77777777" w:rsidR="00FD2CBB" w:rsidRPr="006771E7" w:rsidRDefault="00FD2CBB" w:rsidP="006771E7">
            <w:pPr>
              <w:spacing w:beforeLines="20" w:before="48" w:afterLines="20" w:after="48" w:line="240" w:lineRule="auto"/>
              <w:jc w:val="center"/>
              <w:rPr>
                <w:rFonts w:asciiTheme="majorHAnsi" w:eastAsia="Times New Roman" w:hAnsiTheme="majorHAnsi" w:cstheme="majorHAnsi"/>
                <w:b/>
              </w:rPr>
            </w:pPr>
            <w:r w:rsidRPr="006771E7">
              <w:rPr>
                <w:rFonts w:asciiTheme="majorHAnsi" w:eastAsia="Times New Roman" w:hAnsiTheme="majorHAnsi" w:cstheme="majorHAnsi"/>
                <w:b/>
              </w:rPr>
              <w:t>88.006</w:t>
            </w:r>
          </w:p>
        </w:tc>
        <w:tc>
          <w:tcPr>
            <w:tcW w:w="1146" w:type="dxa"/>
            <w:noWrap/>
            <w:vAlign w:val="center"/>
            <w:hideMark/>
          </w:tcPr>
          <w:p w14:paraId="1EF6799A" w14:textId="77777777" w:rsidR="00FD2CBB" w:rsidRPr="006771E7" w:rsidRDefault="00FD2CBB" w:rsidP="006771E7">
            <w:pPr>
              <w:spacing w:beforeLines="20" w:before="48" w:afterLines="20" w:after="48" w:line="240" w:lineRule="auto"/>
              <w:jc w:val="center"/>
              <w:rPr>
                <w:rFonts w:asciiTheme="majorHAnsi" w:eastAsia="Times New Roman" w:hAnsiTheme="majorHAnsi" w:cstheme="majorHAnsi"/>
                <w:b/>
              </w:rPr>
            </w:pPr>
            <w:r w:rsidRPr="006771E7">
              <w:rPr>
                <w:rFonts w:asciiTheme="majorHAnsi" w:eastAsia="Times New Roman" w:hAnsiTheme="majorHAnsi" w:cstheme="majorHAnsi"/>
                <w:b/>
              </w:rPr>
              <w:t>13.898</w:t>
            </w:r>
          </w:p>
        </w:tc>
        <w:tc>
          <w:tcPr>
            <w:tcW w:w="1182" w:type="dxa"/>
            <w:noWrap/>
            <w:vAlign w:val="center"/>
            <w:hideMark/>
          </w:tcPr>
          <w:p w14:paraId="70A3BE11" w14:textId="33D8556B" w:rsidR="00FD2CBB" w:rsidRPr="006771E7" w:rsidRDefault="00FD2CBB" w:rsidP="006771E7">
            <w:pPr>
              <w:spacing w:beforeLines="20" w:before="48" w:afterLines="20" w:after="48" w:line="240" w:lineRule="auto"/>
              <w:jc w:val="center"/>
              <w:rPr>
                <w:rFonts w:asciiTheme="majorHAnsi" w:eastAsia="Times New Roman" w:hAnsiTheme="majorHAnsi" w:cstheme="majorHAnsi"/>
              </w:rPr>
            </w:pPr>
          </w:p>
        </w:tc>
      </w:tr>
    </w:tbl>
    <w:p w14:paraId="53205344" w14:textId="69BDA1B1" w:rsidR="00FD2CBB" w:rsidRPr="00AD01C5" w:rsidRDefault="00FD2CBB" w:rsidP="009B333D">
      <w:pPr>
        <w:spacing w:after="200" w:line="240" w:lineRule="auto"/>
        <w:jc w:val="center"/>
        <w:rPr>
          <w:rFonts w:eastAsia="Calibri"/>
          <w:color w:val="003366"/>
          <w:sz w:val="18"/>
          <w:szCs w:val="18"/>
        </w:rPr>
      </w:pPr>
      <w:bookmarkStart w:id="378" w:name="_Ref204158298"/>
      <w:bookmarkStart w:id="379" w:name="_Ref212924002"/>
      <w:r w:rsidRPr="00AD01C5">
        <w:rPr>
          <w:rFonts w:eastAsia="Calibri"/>
          <w:i/>
          <w:color w:val="003366"/>
          <w:sz w:val="18"/>
          <w:szCs w:val="18"/>
        </w:rPr>
        <w:t xml:space="preserve">Tabella </w:t>
      </w:r>
      <w:r w:rsidRPr="00196688">
        <w:rPr>
          <w:rFonts w:cstheme="minorHAnsi"/>
          <w:i/>
          <w:color w:val="003366"/>
          <w:sz w:val="18"/>
          <w:szCs w:val="18"/>
        </w:rPr>
        <w:fldChar w:fldCharType="begin"/>
      </w:r>
      <w:r w:rsidRPr="00196688">
        <w:rPr>
          <w:rFonts w:cstheme="minorHAnsi"/>
          <w:i/>
          <w:color w:val="003366"/>
          <w:sz w:val="18"/>
          <w:szCs w:val="18"/>
        </w:rPr>
        <w:instrText xml:space="preserve"> SEQ Tabella \* ARABIC </w:instrText>
      </w:r>
      <w:r w:rsidRPr="00196688">
        <w:rPr>
          <w:rFonts w:cstheme="minorHAnsi"/>
          <w:i/>
          <w:color w:val="003366"/>
          <w:sz w:val="18"/>
          <w:szCs w:val="18"/>
        </w:rPr>
        <w:fldChar w:fldCharType="separate"/>
      </w:r>
      <w:r w:rsidR="00073B6D">
        <w:rPr>
          <w:rFonts w:cstheme="minorHAnsi"/>
          <w:i/>
          <w:noProof/>
          <w:color w:val="003366"/>
          <w:sz w:val="18"/>
          <w:szCs w:val="18"/>
        </w:rPr>
        <w:t>47</w:t>
      </w:r>
      <w:r w:rsidRPr="00196688">
        <w:rPr>
          <w:rFonts w:cstheme="minorHAnsi"/>
          <w:i/>
          <w:color w:val="003366"/>
          <w:sz w:val="18"/>
          <w:szCs w:val="18"/>
        </w:rPr>
        <w:fldChar w:fldCharType="end"/>
      </w:r>
      <w:r>
        <w:rPr>
          <w:rFonts w:cstheme="minorHAnsi"/>
          <w:i/>
          <w:color w:val="003366"/>
          <w:sz w:val="18"/>
          <w:szCs w:val="18"/>
        </w:rPr>
        <w:t xml:space="preserve"> </w:t>
      </w:r>
      <w:r w:rsidRPr="00AD01C5">
        <w:rPr>
          <w:rFonts w:eastAsia="Calibri"/>
          <w:color w:val="003366"/>
          <w:sz w:val="18"/>
          <w:szCs w:val="18"/>
        </w:rPr>
        <w:t xml:space="preserve">– </w:t>
      </w:r>
      <w:r w:rsidRPr="00AD01C5">
        <w:rPr>
          <w:rFonts w:eastAsia="Calibri"/>
          <w:i/>
          <w:color w:val="003366"/>
          <w:sz w:val="18"/>
          <w:szCs w:val="18"/>
        </w:rPr>
        <w:t>Scenario 3</w:t>
      </w:r>
      <w:bookmarkEnd w:id="378"/>
      <w:r>
        <w:rPr>
          <w:rFonts w:eastAsia="Calibri"/>
          <w:i/>
          <w:color w:val="003366"/>
          <w:sz w:val="18"/>
          <w:szCs w:val="18"/>
        </w:rPr>
        <w:t>.2</w:t>
      </w:r>
      <w:bookmarkEnd w:id="379"/>
    </w:p>
    <w:p w14:paraId="1A272E2C" w14:textId="05AC149A" w:rsidR="00FD2CBB" w:rsidRPr="00AD01C5" w:rsidRDefault="00FD2CBB" w:rsidP="009B333D">
      <w:pPr>
        <w:spacing w:before="120" w:after="0" w:line="240" w:lineRule="auto"/>
        <w:rPr>
          <w:rFonts w:eastAsia="Calibri"/>
        </w:rPr>
      </w:pPr>
      <w:r w:rsidRPr="00AD01C5">
        <w:rPr>
          <w:rFonts w:eastAsia="Calibri"/>
        </w:rPr>
        <w:t xml:space="preserve">La </w:t>
      </w:r>
      <w:r w:rsidR="0082740E" w:rsidRPr="00444ED4">
        <w:rPr>
          <w:rFonts w:eastAsia="Calibri"/>
        </w:rPr>
        <w:fldChar w:fldCharType="begin"/>
      </w:r>
      <w:r w:rsidR="0082740E" w:rsidRPr="00444ED4">
        <w:rPr>
          <w:rFonts w:eastAsia="Calibri"/>
        </w:rPr>
        <w:instrText xml:space="preserve"> REF _Ref212883405 \h </w:instrText>
      </w:r>
      <w:r w:rsidR="00DA3DF6" w:rsidRPr="00444ED4">
        <w:rPr>
          <w:rFonts w:eastAsia="Calibri"/>
        </w:rPr>
        <w:instrText xml:space="preserve"> \* MERGEFORMAT </w:instrText>
      </w:r>
      <w:r w:rsidR="0082740E" w:rsidRPr="00444ED4">
        <w:rPr>
          <w:rFonts w:eastAsia="Calibri"/>
        </w:rPr>
      </w:r>
      <w:r w:rsidR="0082740E" w:rsidRPr="00444ED4">
        <w:rPr>
          <w:rFonts w:eastAsia="Calibri"/>
        </w:rPr>
        <w:fldChar w:fldCharType="separate"/>
      </w:r>
      <w:r w:rsidR="00073B6D" w:rsidRPr="00073B6D">
        <w:rPr>
          <w:rFonts w:eastAsia="Calibri"/>
        </w:rPr>
        <w:t xml:space="preserve">Figura </w:t>
      </w:r>
      <w:r w:rsidR="00073B6D" w:rsidRPr="00073B6D">
        <w:rPr>
          <w:rFonts w:asciiTheme="minorHAnsi" w:hAnsiTheme="minorHAnsi" w:cstheme="minorHAnsi"/>
          <w:noProof/>
          <w14:textOutline w14:w="0" w14:cap="rnd" w14:cmpd="sng" w14:algn="ctr">
            <w14:solidFill>
              <w14:srgbClr w14:val="FF6C6C"/>
            </w14:solidFill>
            <w14:prstDash w14:val="solid"/>
            <w14:bevel/>
          </w14:textOutline>
        </w:rPr>
        <w:t>37</w:t>
      </w:r>
      <w:r w:rsidR="0082740E" w:rsidRPr="00444ED4">
        <w:rPr>
          <w:rFonts w:eastAsia="Calibri"/>
        </w:rPr>
        <w:fldChar w:fldCharType="end"/>
      </w:r>
      <w:r w:rsidR="00F0656D">
        <w:rPr>
          <w:rFonts w:eastAsia="Calibri"/>
        </w:rPr>
        <w:t xml:space="preserve"> più sotto </w:t>
      </w:r>
      <w:r w:rsidRPr="00AD01C5">
        <w:rPr>
          <w:rFonts w:eastAsia="Calibri"/>
        </w:rPr>
        <w:t xml:space="preserve">evidenzia l’assegnazione delle linee di servizio del Bacino </w:t>
      </w:r>
      <w:r>
        <w:rPr>
          <w:rFonts w:eastAsia="Calibri"/>
        </w:rPr>
        <w:t>Metropolitano</w:t>
      </w:r>
      <w:r w:rsidRPr="00AD01C5">
        <w:rPr>
          <w:rFonts w:eastAsia="Calibri"/>
        </w:rPr>
        <w:t xml:space="preserve"> a ciascuna localizzazione (deposito) selezionata. Nell’allegato 6 si riporta l’elenco completo delle linee e la loro assegnazione al deposito di riferimento.</w:t>
      </w:r>
    </w:p>
    <w:p w14:paraId="6C2318FC" w14:textId="77777777" w:rsidR="00FD2CBB" w:rsidRPr="00AD01C5" w:rsidRDefault="00FD2CBB" w:rsidP="009B333D">
      <w:pPr>
        <w:spacing w:before="120" w:after="0" w:line="240" w:lineRule="auto"/>
        <w:rPr>
          <w:rFonts w:eastAsia="Calibri"/>
        </w:rPr>
      </w:pPr>
      <w:r w:rsidRPr="00AD01C5">
        <w:rPr>
          <w:rFonts w:eastAsia="Calibri"/>
          <w:noProof/>
        </w:rPr>
        <w:drawing>
          <wp:inline distT="0" distB="0" distL="0" distR="0" wp14:anchorId="4D64EF05" wp14:editId="5A54D981">
            <wp:extent cx="5759450" cy="4072836"/>
            <wp:effectExtent l="19050" t="19050" r="12700" b="23495"/>
            <wp:docPr id="1178363376" name="Immagine 1" descr="Immagine che contiene testo, mappa, diagramma, atlant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363376" name="Immagine 1" descr="Immagine che contiene testo, mappa, diagramma, atlante&#10;&#10;Descrizione generata automaticamente"/>
                    <pic:cNvPicPr>
                      <a:picLocks noChangeAspect="1" noChangeArrowheads="1"/>
                    </pic:cNvPicPr>
                  </pic:nvPicPr>
                  <pic:blipFill>
                    <a:blip r:embed="rId86" cstate="print">
                      <a:extLst>
                        <a:ext uri="{28A0092B-C50C-407E-A947-70E740481C1C}">
                          <a14:useLocalDpi xmlns:a14="http://schemas.microsoft.com/office/drawing/2010/main" val="0"/>
                        </a:ext>
                      </a:extLst>
                    </a:blip>
                    <a:stretch>
                      <a:fillRect/>
                    </a:stretch>
                  </pic:blipFill>
                  <pic:spPr bwMode="auto">
                    <a:xfrm>
                      <a:off x="0" y="0"/>
                      <a:ext cx="5759450" cy="4072836"/>
                    </a:xfrm>
                    <a:prstGeom prst="rect">
                      <a:avLst/>
                    </a:prstGeom>
                    <a:noFill/>
                    <a:ln w="19050">
                      <a:solidFill>
                        <a:srgbClr val="EE3438"/>
                      </a:solidFill>
                    </a:ln>
                  </pic:spPr>
                </pic:pic>
              </a:graphicData>
            </a:graphic>
          </wp:inline>
        </w:drawing>
      </w:r>
    </w:p>
    <w:p w14:paraId="198274EF" w14:textId="33433B1A" w:rsidR="00FD2CBB" w:rsidRPr="00AD01C5" w:rsidRDefault="00FD2CBB" w:rsidP="009B333D">
      <w:pPr>
        <w:spacing w:after="240" w:line="240" w:lineRule="auto"/>
        <w:jc w:val="center"/>
        <w:rPr>
          <w:rFonts w:eastAsia="Calibri" w:cs="Times New Roman"/>
          <w:i/>
          <w:color w:val="003366"/>
          <w:sz w:val="18"/>
        </w:rPr>
      </w:pPr>
      <w:bookmarkStart w:id="380" w:name="_Ref212883405"/>
      <w:bookmarkStart w:id="381" w:name="_Ref192175897"/>
      <w:r w:rsidRPr="00AD01C5">
        <w:rPr>
          <w:rFonts w:eastAsia="Calibri"/>
          <w:i/>
          <w:color w:val="003366"/>
          <w:sz w:val="18"/>
          <w:szCs w:val="18"/>
        </w:rPr>
        <w:t xml:space="preserve">Figura </w:t>
      </w:r>
      <w:r w:rsidRPr="00B50CF2">
        <w:rPr>
          <w:rFonts w:asciiTheme="minorHAnsi" w:hAnsiTheme="minorHAnsi" w:cstheme="minorHAnsi"/>
          <w:i/>
          <w:color w:val="003366"/>
          <w:sz w:val="18"/>
          <w:szCs w:val="18"/>
          <w14:textOutline w14:w="0" w14:cap="rnd" w14:cmpd="sng" w14:algn="ctr">
            <w14:solidFill>
              <w14:srgbClr w14:val="FF6C6C"/>
            </w14:solidFill>
            <w14:prstDash w14:val="solid"/>
            <w14:bevel/>
          </w14:textOutline>
        </w:rPr>
        <w:fldChar w:fldCharType="begin"/>
      </w:r>
      <w:r w:rsidRPr="00AD01C5">
        <w:rPr>
          <w:rFonts w:eastAsia="Calibri"/>
          <w:i/>
          <w:color w:val="003366"/>
          <w:sz w:val="18"/>
          <w:szCs w:val="18"/>
        </w:rPr>
        <w:instrText xml:space="preserve"> SEQ Figura \* ARABIC </w:instrText>
      </w:r>
      <w:r w:rsidRPr="00B50CF2">
        <w:rPr>
          <w:rFonts w:asciiTheme="minorHAnsi" w:hAnsiTheme="minorHAnsi" w:cstheme="minorHAnsi"/>
          <w:i/>
          <w:color w:val="003366"/>
          <w:sz w:val="18"/>
          <w:szCs w:val="18"/>
          <w14:textOutline w14:w="0" w14:cap="rnd" w14:cmpd="sng" w14:algn="ctr">
            <w14:solidFill>
              <w14:srgbClr w14:val="FF6C6C"/>
            </w14:solidFill>
            <w14:prstDash w14:val="solid"/>
            <w14:bevel/>
          </w14:textOutline>
        </w:rPr>
        <w:fldChar w:fldCharType="separate"/>
      </w:r>
      <w:r w:rsidR="00073B6D">
        <w:rPr>
          <w:rFonts w:eastAsia="Calibri"/>
          <w:i/>
          <w:noProof/>
          <w:color w:val="003366"/>
          <w:sz w:val="18"/>
          <w:szCs w:val="18"/>
        </w:rPr>
        <w:t>37</w:t>
      </w:r>
      <w:r w:rsidRPr="00B50CF2">
        <w:rPr>
          <w:rFonts w:asciiTheme="minorHAnsi" w:hAnsiTheme="minorHAnsi" w:cstheme="minorHAnsi"/>
          <w:i/>
          <w:color w:val="003366"/>
          <w:sz w:val="18"/>
          <w:szCs w:val="18"/>
          <w14:textOutline w14:w="0" w14:cap="rnd" w14:cmpd="sng" w14:algn="ctr">
            <w14:solidFill>
              <w14:srgbClr w14:val="FF6C6C"/>
            </w14:solidFill>
            <w14:prstDash w14:val="solid"/>
            <w14:bevel/>
          </w14:textOutline>
        </w:rPr>
        <w:fldChar w:fldCharType="end"/>
      </w:r>
      <w:bookmarkEnd w:id="380"/>
      <w:r w:rsidRPr="00AD01C5">
        <w:rPr>
          <w:rFonts w:eastAsia="Calibri"/>
          <w:color w:val="003366"/>
          <w:sz w:val="18"/>
          <w:szCs w:val="18"/>
        </w:rPr>
        <w:t xml:space="preserve"> – </w:t>
      </w:r>
      <w:r w:rsidRPr="00AD01C5">
        <w:rPr>
          <w:rFonts w:eastAsia="Calibri"/>
          <w:i/>
          <w:color w:val="003366"/>
          <w:sz w:val="18"/>
          <w:szCs w:val="18"/>
        </w:rPr>
        <w:t>Divisione linee per depositi</w:t>
      </w:r>
      <w:bookmarkEnd w:id="381"/>
    </w:p>
    <w:p w14:paraId="3CCCB231" w14:textId="77777777" w:rsidR="00FD2CBB" w:rsidRDefault="00FD2CBB" w:rsidP="009B333D">
      <w:pPr>
        <w:spacing w:before="120" w:after="0" w:line="240" w:lineRule="auto"/>
        <w:rPr>
          <w:rFonts w:eastAsia="Calibri" w:cs="Calibri"/>
        </w:rPr>
      </w:pPr>
      <w:r w:rsidRPr="00AD01C5">
        <w:rPr>
          <w:rFonts w:eastAsia="Calibri" w:cs="Calibri"/>
        </w:rPr>
        <w:t>Di seguito si riporta una panoramica complessiva dei fattori della produzione definiti attraverso il processo di assegnazione per ciascun scenario sviluppato.</w:t>
      </w:r>
    </w:p>
    <w:p w14:paraId="67A82EA5" w14:textId="77777777" w:rsidR="009B333D" w:rsidRPr="00AD01C5" w:rsidRDefault="009B333D" w:rsidP="009B333D">
      <w:pPr>
        <w:spacing w:before="120" w:after="0" w:line="240" w:lineRule="auto"/>
        <w:rPr>
          <w:rFonts w:eastAsia="Calibri" w:cs="Calibri"/>
        </w:rPr>
      </w:pPr>
    </w:p>
    <w:tbl>
      <w:tblPr>
        <w:tblW w:w="9067"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left w:w="70" w:type="dxa"/>
          <w:right w:w="70" w:type="dxa"/>
        </w:tblCellMar>
        <w:tblLook w:val="04A0" w:firstRow="1" w:lastRow="0" w:firstColumn="1" w:lastColumn="0" w:noHBand="0" w:noVBand="1"/>
      </w:tblPr>
      <w:tblGrid>
        <w:gridCol w:w="1271"/>
        <w:gridCol w:w="1559"/>
        <w:gridCol w:w="993"/>
        <w:gridCol w:w="850"/>
        <w:gridCol w:w="4394"/>
      </w:tblGrid>
      <w:tr w:rsidR="00FD2CBB" w:rsidRPr="000E7B50" w14:paraId="2744FC1A" w14:textId="77777777" w:rsidTr="009B756F">
        <w:trPr>
          <w:trHeight w:val="674"/>
        </w:trPr>
        <w:tc>
          <w:tcPr>
            <w:tcW w:w="1271" w:type="dxa"/>
            <w:shd w:val="clear" w:color="auto" w:fill="EE3438"/>
            <w:vAlign w:val="center"/>
            <w:hideMark/>
          </w:tcPr>
          <w:p w14:paraId="13DCD294" w14:textId="77777777" w:rsidR="00FD2CBB" w:rsidRPr="00E94A27" w:rsidRDefault="00FD2CBB" w:rsidP="00E94A27">
            <w:pPr>
              <w:spacing w:before="20" w:after="20" w:line="240" w:lineRule="auto"/>
              <w:jc w:val="center"/>
              <w:rPr>
                <w:rFonts w:asciiTheme="majorHAnsi" w:eastAsia="Times New Roman" w:hAnsiTheme="majorHAnsi" w:cstheme="majorHAnsi"/>
                <w:b/>
                <w:color w:val="FFFFFF" w:themeColor="background1"/>
              </w:rPr>
            </w:pPr>
            <w:r w:rsidRPr="00E94A27">
              <w:rPr>
                <w:rFonts w:asciiTheme="majorHAnsi" w:eastAsia="Times New Roman" w:hAnsiTheme="majorHAnsi" w:cstheme="majorHAnsi"/>
                <w:b/>
                <w:color w:val="FFFFFF" w:themeColor="background1"/>
              </w:rPr>
              <w:t>Scenario</w:t>
            </w:r>
          </w:p>
        </w:tc>
        <w:tc>
          <w:tcPr>
            <w:tcW w:w="1559" w:type="dxa"/>
            <w:shd w:val="clear" w:color="auto" w:fill="EE3438"/>
            <w:vAlign w:val="center"/>
            <w:hideMark/>
          </w:tcPr>
          <w:p w14:paraId="198723E7" w14:textId="77777777" w:rsidR="00FD2CBB" w:rsidRPr="00E94A27" w:rsidRDefault="00FD2CBB" w:rsidP="00E94A27">
            <w:pPr>
              <w:spacing w:before="20" w:after="20" w:line="240" w:lineRule="auto"/>
              <w:jc w:val="center"/>
              <w:rPr>
                <w:rFonts w:asciiTheme="majorHAnsi" w:eastAsia="Times New Roman" w:hAnsiTheme="majorHAnsi" w:cstheme="majorHAnsi"/>
                <w:b/>
                <w:color w:val="FFFFFF" w:themeColor="background1"/>
              </w:rPr>
            </w:pPr>
            <w:r w:rsidRPr="00E94A27">
              <w:rPr>
                <w:rFonts w:asciiTheme="majorHAnsi" w:eastAsia="Times New Roman" w:hAnsiTheme="majorHAnsi" w:cstheme="majorHAnsi"/>
                <w:b/>
                <w:color w:val="FFFFFF" w:themeColor="background1"/>
              </w:rPr>
              <w:t>Numero Depositi Attivi</w:t>
            </w:r>
          </w:p>
        </w:tc>
        <w:tc>
          <w:tcPr>
            <w:tcW w:w="993" w:type="dxa"/>
            <w:shd w:val="clear" w:color="auto" w:fill="EE3438"/>
            <w:vAlign w:val="center"/>
            <w:hideMark/>
          </w:tcPr>
          <w:p w14:paraId="707907DE" w14:textId="77777777" w:rsidR="00FD2CBB" w:rsidRPr="00E94A27" w:rsidRDefault="00FD2CBB" w:rsidP="00E94A27">
            <w:pPr>
              <w:spacing w:before="20" w:after="20" w:line="240" w:lineRule="auto"/>
              <w:jc w:val="center"/>
              <w:rPr>
                <w:rFonts w:asciiTheme="majorHAnsi" w:eastAsia="Times New Roman" w:hAnsiTheme="majorHAnsi" w:cstheme="majorHAnsi"/>
                <w:b/>
                <w:color w:val="FFFFFF" w:themeColor="background1"/>
              </w:rPr>
            </w:pPr>
            <w:r w:rsidRPr="00E94A27">
              <w:rPr>
                <w:rFonts w:asciiTheme="majorHAnsi" w:eastAsia="Times New Roman" w:hAnsiTheme="majorHAnsi" w:cstheme="majorHAnsi"/>
                <w:b/>
                <w:color w:val="FFFFFF" w:themeColor="background1"/>
              </w:rPr>
              <w:t>Numero Veicoli</w:t>
            </w:r>
          </w:p>
        </w:tc>
        <w:tc>
          <w:tcPr>
            <w:tcW w:w="850" w:type="dxa"/>
            <w:shd w:val="clear" w:color="auto" w:fill="EE3438"/>
            <w:vAlign w:val="center"/>
            <w:hideMark/>
          </w:tcPr>
          <w:p w14:paraId="6E2FBD44" w14:textId="77777777" w:rsidR="00FD2CBB" w:rsidRPr="00E94A27" w:rsidRDefault="00FD2CBB" w:rsidP="00E94A27">
            <w:pPr>
              <w:spacing w:before="20" w:after="20" w:line="240" w:lineRule="auto"/>
              <w:jc w:val="center"/>
              <w:rPr>
                <w:rFonts w:asciiTheme="majorHAnsi" w:eastAsia="Times New Roman" w:hAnsiTheme="majorHAnsi" w:cstheme="majorHAnsi"/>
                <w:b/>
                <w:color w:val="FFFFFF" w:themeColor="background1"/>
              </w:rPr>
            </w:pPr>
            <w:r w:rsidRPr="00E94A27">
              <w:rPr>
                <w:rFonts w:asciiTheme="majorHAnsi" w:eastAsia="Times New Roman" w:hAnsiTheme="majorHAnsi" w:cstheme="majorHAnsi"/>
                <w:b/>
                <w:color w:val="FFFFFF" w:themeColor="background1"/>
              </w:rPr>
              <w:t>KM Vuoto</w:t>
            </w:r>
          </w:p>
        </w:tc>
        <w:tc>
          <w:tcPr>
            <w:tcW w:w="4394" w:type="dxa"/>
            <w:shd w:val="clear" w:color="auto" w:fill="EE3438"/>
            <w:vAlign w:val="center"/>
            <w:hideMark/>
          </w:tcPr>
          <w:p w14:paraId="387CD004" w14:textId="77777777" w:rsidR="00FD2CBB" w:rsidRPr="00E94A27" w:rsidRDefault="00FD2CBB" w:rsidP="00E94A27">
            <w:pPr>
              <w:spacing w:before="20" w:after="20" w:line="240" w:lineRule="auto"/>
              <w:jc w:val="center"/>
              <w:rPr>
                <w:rFonts w:asciiTheme="majorHAnsi" w:eastAsia="Times New Roman" w:hAnsiTheme="majorHAnsi" w:cstheme="majorHAnsi"/>
                <w:b/>
                <w:color w:val="FFFFFF" w:themeColor="background1"/>
              </w:rPr>
            </w:pPr>
            <w:r w:rsidRPr="00E94A27">
              <w:rPr>
                <w:rFonts w:asciiTheme="majorHAnsi" w:eastAsia="Times New Roman" w:hAnsiTheme="majorHAnsi" w:cstheme="majorHAnsi"/>
                <w:b/>
                <w:color w:val="FFFFFF" w:themeColor="background1"/>
              </w:rPr>
              <w:t>Commenti</w:t>
            </w:r>
          </w:p>
        </w:tc>
      </w:tr>
      <w:tr w:rsidR="00FD2CBB" w:rsidRPr="000E7B50" w14:paraId="666C52BE" w14:textId="77777777" w:rsidTr="009B756F">
        <w:trPr>
          <w:trHeight w:val="451"/>
        </w:trPr>
        <w:tc>
          <w:tcPr>
            <w:tcW w:w="1271" w:type="dxa"/>
            <w:shd w:val="clear" w:color="auto" w:fill="FF7C80"/>
            <w:noWrap/>
            <w:vAlign w:val="center"/>
            <w:hideMark/>
          </w:tcPr>
          <w:p w14:paraId="1C883256" w14:textId="77777777" w:rsidR="00FD2CBB" w:rsidRPr="00E94A27" w:rsidRDefault="00FD2CBB" w:rsidP="00E94A27">
            <w:pPr>
              <w:spacing w:before="20" w:after="20" w:line="240" w:lineRule="auto"/>
              <w:jc w:val="center"/>
              <w:rPr>
                <w:rFonts w:asciiTheme="majorHAnsi" w:eastAsia="Times New Roman" w:hAnsiTheme="majorHAnsi" w:cstheme="majorHAnsi"/>
                <w:i/>
                <w:color w:val="000000"/>
              </w:rPr>
            </w:pPr>
            <w:r w:rsidRPr="00E94A27">
              <w:rPr>
                <w:rFonts w:asciiTheme="majorHAnsi" w:eastAsia="Times New Roman" w:hAnsiTheme="majorHAnsi" w:cstheme="majorHAnsi"/>
                <w:i/>
                <w:color w:val="000000"/>
              </w:rPr>
              <w:t>Base</w:t>
            </w:r>
          </w:p>
        </w:tc>
        <w:tc>
          <w:tcPr>
            <w:tcW w:w="1559" w:type="dxa"/>
            <w:vAlign w:val="center"/>
            <w:hideMark/>
          </w:tcPr>
          <w:p w14:paraId="2FFFCC42" w14:textId="77777777" w:rsidR="00FD2CBB" w:rsidRPr="00E94A27" w:rsidRDefault="00FD2CBB" w:rsidP="00E94A27">
            <w:pPr>
              <w:spacing w:before="20" w:after="20" w:line="240" w:lineRule="auto"/>
              <w:jc w:val="center"/>
              <w:rPr>
                <w:rFonts w:asciiTheme="majorHAnsi" w:eastAsia="Times New Roman" w:hAnsiTheme="majorHAnsi" w:cstheme="majorHAnsi"/>
              </w:rPr>
            </w:pPr>
            <w:r w:rsidRPr="00E94A27">
              <w:rPr>
                <w:rFonts w:asciiTheme="majorHAnsi" w:eastAsia="Times New Roman" w:hAnsiTheme="majorHAnsi" w:cstheme="majorHAnsi"/>
              </w:rPr>
              <w:t>44</w:t>
            </w:r>
          </w:p>
        </w:tc>
        <w:tc>
          <w:tcPr>
            <w:tcW w:w="993" w:type="dxa"/>
            <w:vAlign w:val="center"/>
            <w:hideMark/>
          </w:tcPr>
          <w:p w14:paraId="034BD09A" w14:textId="77777777" w:rsidR="00FD2CBB" w:rsidRPr="00E94A27" w:rsidRDefault="00FD2CBB" w:rsidP="00E94A27">
            <w:pPr>
              <w:spacing w:before="20" w:after="20" w:line="240" w:lineRule="auto"/>
              <w:jc w:val="center"/>
              <w:rPr>
                <w:rFonts w:asciiTheme="majorHAnsi" w:eastAsia="Times New Roman" w:hAnsiTheme="majorHAnsi" w:cstheme="majorHAnsi"/>
              </w:rPr>
            </w:pPr>
            <w:r w:rsidRPr="00E94A27">
              <w:rPr>
                <w:rFonts w:asciiTheme="majorHAnsi" w:eastAsia="Times New Roman" w:hAnsiTheme="majorHAnsi" w:cstheme="majorHAnsi"/>
              </w:rPr>
              <w:t>478</w:t>
            </w:r>
          </w:p>
        </w:tc>
        <w:tc>
          <w:tcPr>
            <w:tcW w:w="850" w:type="dxa"/>
            <w:vAlign w:val="center"/>
            <w:hideMark/>
          </w:tcPr>
          <w:p w14:paraId="0E8E6882" w14:textId="77777777" w:rsidR="00FD2CBB" w:rsidRPr="00E94A27" w:rsidRDefault="00FD2CBB" w:rsidP="00E94A27">
            <w:pPr>
              <w:spacing w:before="20" w:after="20" w:line="240" w:lineRule="auto"/>
              <w:jc w:val="center"/>
              <w:rPr>
                <w:rFonts w:asciiTheme="majorHAnsi" w:eastAsia="Times New Roman" w:hAnsiTheme="majorHAnsi" w:cstheme="majorHAnsi"/>
              </w:rPr>
            </w:pPr>
            <w:r w:rsidRPr="00E94A27">
              <w:rPr>
                <w:rFonts w:asciiTheme="majorHAnsi" w:eastAsia="Times New Roman" w:hAnsiTheme="majorHAnsi" w:cstheme="majorHAnsi"/>
              </w:rPr>
              <w:t>8847</w:t>
            </w:r>
          </w:p>
        </w:tc>
        <w:tc>
          <w:tcPr>
            <w:tcW w:w="4394" w:type="dxa"/>
            <w:vAlign w:val="center"/>
            <w:hideMark/>
          </w:tcPr>
          <w:p w14:paraId="084BFE6D" w14:textId="77777777" w:rsidR="00FD2CBB" w:rsidRPr="00E94A27" w:rsidRDefault="00FD2CBB" w:rsidP="00E94A27">
            <w:pPr>
              <w:spacing w:before="20" w:after="20" w:line="240" w:lineRule="auto"/>
              <w:jc w:val="center"/>
              <w:rPr>
                <w:rFonts w:asciiTheme="majorHAnsi" w:eastAsia="Times New Roman" w:hAnsiTheme="majorHAnsi" w:cstheme="majorHAnsi"/>
              </w:rPr>
            </w:pPr>
            <w:r w:rsidRPr="00E94A27">
              <w:rPr>
                <w:rFonts w:asciiTheme="majorHAnsi" w:eastAsia="Times New Roman" w:hAnsiTheme="majorHAnsi" w:cstheme="majorHAnsi"/>
              </w:rPr>
              <w:t>Linee assegnate a più depositi – nessun gruppo di linee per deposito definita</w:t>
            </w:r>
          </w:p>
        </w:tc>
      </w:tr>
      <w:tr w:rsidR="00FD2CBB" w:rsidRPr="000E7B50" w14:paraId="747DF8AB" w14:textId="77777777" w:rsidTr="009B756F">
        <w:trPr>
          <w:trHeight w:val="451"/>
        </w:trPr>
        <w:tc>
          <w:tcPr>
            <w:tcW w:w="1271" w:type="dxa"/>
            <w:shd w:val="clear" w:color="auto" w:fill="FF7C80"/>
            <w:noWrap/>
            <w:vAlign w:val="center"/>
            <w:hideMark/>
          </w:tcPr>
          <w:p w14:paraId="64AF373C" w14:textId="77777777" w:rsidR="00FD2CBB" w:rsidRPr="00E94A27" w:rsidRDefault="00FD2CBB" w:rsidP="00E94A27">
            <w:pPr>
              <w:spacing w:before="20" w:after="20" w:line="240" w:lineRule="auto"/>
              <w:jc w:val="center"/>
              <w:rPr>
                <w:rFonts w:asciiTheme="majorHAnsi" w:eastAsia="Times New Roman" w:hAnsiTheme="majorHAnsi" w:cstheme="majorHAnsi"/>
                <w:i/>
                <w:color w:val="000000"/>
              </w:rPr>
            </w:pPr>
            <w:r w:rsidRPr="00E94A27">
              <w:rPr>
                <w:rFonts w:asciiTheme="majorHAnsi" w:eastAsia="Times New Roman" w:hAnsiTheme="majorHAnsi" w:cstheme="majorHAnsi"/>
                <w:i/>
                <w:color w:val="000000"/>
              </w:rPr>
              <w:t>Scenario 1</w:t>
            </w:r>
          </w:p>
        </w:tc>
        <w:tc>
          <w:tcPr>
            <w:tcW w:w="1559" w:type="dxa"/>
            <w:vAlign w:val="center"/>
            <w:hideMark/>
          </w:tcPr>
          <w:p w14:paraId="30E6EE6F" w14:textId="77777777" w:rsidR="00FD2CBB" w:rsidRPr="00E94A27" w:rsidRDefault="00FD2CBB" w:rsidP="00E94A27">
            <w:pPr>
              <w:spacing w:before="20" w:after="20" w:line="240" w:lineRule="auto"/>
              <w:jc w:val="center"/>
              <w:rPr>
                <w:rFonts w:asciiTheme="majorHAnsi" w:eastAsia="Times New Roman" w:hAnsiTheme="majorHAnsi" w:cstheme="majorHAnsi"/>
              </w:rPr>
            </w:pPr>
            <w:r w:rsidRPr="00E94A27">
              <w:rPr>
                <w:rFonts w:asciiTheme="majorHAnsi" w:eastAsia="Times New Roman" w:hAnsiTheme="majorHAnsi" w:cstheme="majorHAnsi"/>
              </w:rPr>
              <w:t>16</w:t>
            </w:r>
          </w:p>
        </w:tc>
        <w:tc>
          <w:tcPr>
            <w:tcW w:w="993" w:type="dxa"/>
            <w:vAlign w:val="center"/>
            <w:hideMark/>
          </w:tcPr>
          <w:p w14:paraId="2655F8E9" w14:textId="77777777" w:rsidR="00FD2CBB" w:rsidRPr="00E94A27" w:rsidRDefault="00FD2CBB" w:rsidP="00E94A27">
            <w:pPr>
              <w:spacing w:before="20" w:after="20" w:line="240" w:lineRule="auto"/>
              <w:jc w:val="center"/>
              <w:rPr>
                <w:rFonts w:asciiTheme="majorHAnsi" w:eastAsia="Times New Roman" w:hAnsiTheme="majorHAnsi" w:cstheme="majorHAnsi"/>
              </w:rPr>
            </w:pPr>
            <w:r w:rsidRPr="00E94A27">
              <w:rPr>
                <w:rFonts w:asciiTheme="majorHAnsi" w:eastAsia="Times New Roman" w:hAnsiTheme="majorHAnsi" w:cstheme="majorHAnsi"/>
              </w:rPr>
              <w:t>469</w:t>
            </w:r>
          </w:p>
        </w:tc>
        <w:tc>
          <w:tcPr>
            <w:tcW w:w="850" w:type="dxa"/>
            <w:vAlign w:val="center"/>
            <w:hideMark/>
          </w:tcPr>
          <w:p w14:paraId="4B3ABB4A" w14:textId="77777777" w:rsidR="00FD2CBB" w:rsidRPr="00E94A27" w:rsidRDefault="00FD2CBB" w:rsidP="00E94A27">
            <w:pPr>
              <w:spacing w:before="20" w:after="20" w:line="240" w:lineRule="auto"/>
              <w:jc w:val="center"/>
              <w:rPr>
                <w:rFonts w:asciiTheme="majorHAnsi" w:eastAsia="Times New Roman" w:hAnsiTheme="majorHAnsi" w:cstheme="majorHAnsi"/>
              </w:rPr>
            </w:pPr>
            <w:r w:rsidRPr="00E94A27">
              <w:rPr>
                <w:rFonts w:asciiTheme="majorHAnsi" w:eastAsia="Times New Roman" w:hAnsiTheme="majorHAnsi" w:cstheme="majorHAnsi"/>
              </w:rPr>
              <w:t>10480</w:t>
            </w:r>
          </w:p>
        </w:tc>
        <w:tc>
          <w:tcPr>
            <w:tcW w:w="4394" w:type="dxa"/>
            <w:vAlign w:val="center"/>
            <w:hideMark/>
          </w:tcPr>
          <w:p w14:paraId="272FEC03" w14:textId="77777777" w:rsidR="00FD2CBB" w:rsidRPr="00E94A27" w:rsidRDefault="00FD2CBB" w:rsidP="00E94A27">
            <w:pPr>
              <w:spacing w:before="20" w:after="20" w:line="240" w:lineRule="auto"/>
              <w:jc w:val="center"/>
              <w:rPr>
                <w:rFonts w:asciiTheme="majorHAnsi" w:eastAsia="Times New Roman" w:hAnsiTheme="majorHAnsi" w:cstheme="majorHAnsi"/>
              </w:rPr>
            </w:pPr>
            <w:r w:rsidRPr="00E94A27">
              <w:rPr>
                <w:rFonts w:asciiTheme="majorHAnsi" w:eastAsia="Times New Roman" w:hAnsiTheme="majorHAnsi" w:cstheme="majorHAnsi"/>
              </w:rPr>
              <w:t>Linee assegnate a più depositi – nessun gruppo di linee per deposito definita</w:t>
            </w:r>
          </w:p>
        </w:tc>
      </w:tr>
      <w:tr w:rsidR="00FD2CBB" w:rsidRPr="000E7B50" w14:paraId="71133D56" w14:textId="77777777" w:rsidTr="009B756F">
        <w:trPr>
          <w:trHeight w:val="451"/>
        </w:trPr>
        <w:tc>
          <w:tcPr>
            <w:tcW w:w="1271" w:type="dxa"/>
            <w:shd w:val="clear" w:color="auto" w:fill="FF7C80"/>
            <w:noWrap/>
            <w:vAlign w:val="center"/>
            <w:hideMark/>
          </w:tcPr>
          <w:p w14:paraId="1FB9A033" w14:textId="77777777" w:rsidR="00FD2CBB" w:rsidRPr="00E94A27" w:rsidRDefault="00FD2CBB" w:rsidP="00E94A27">
            <w:pPr>
              <w:spacing w:before="20" w:after="20" w:line="240" w:lineRule="auto"/>
              <w:jc w:val="center"/>
              <w:rPr>
                <w:rFonts w:asciiTheme="majorHAnsi" w:eastAsia="Times New Roman" w:hAnsiTheme="majorHAnsi" w:cstheme="majorHAnsi"/>
                <w:i/>
                <w:color w:val="000000"/>
              </w:rPr>
            </w:pPr>
            <w:r w:rsidRPr="00E94A27">
              <w:rPr>
                <w:rFonts w:asciiTheme="majorHAnsi" w:eastAsia="Times New Roman" w:hAnsiTheme="majorHAnsi" w:cstheme="majorHAnsi"/>
                <w:i/>
                <w:color w:val="000000"/>
              </w:rPr>
              <w:t>Scenario 2</w:t>
            </w:r>
          </w:p>
        </w:tc>
        <w:tc>
          <w:tcPr>
            <w:tcW w:w="1559" w:type="dxa"/>
            <w:vAlign w:val="center"/>
            <w:hideMark/>
          </w:tcPr>
          <w:p w14:paraId="2F43838B" w14:textId="77777777" w:rsidR="00FD2CBB" w:rsidRPr="00E94A27" w:rsidRDefault="00FD2CBB" w:rsidP="00E94A27">
            <w:pPr>
              <w:spacing w:before="20" w:after="20" w:line="240" w:lineRule="auto"/>
              <w:jc w:val="center"/>
              <w:rPr>
                <w:rFonts w:asciiTheme="majorHAnsi" w:eastAsia="Times New Roman" w:hAnsiTheme="majorHAnsi" w:cstheme="majorHAnsi"/>
              </w:rPr>
            </w:pPr>
            <w:r w:rsidRPr="00E94A27">
              <w:rPr>
                <w:rFonts w:asciiTheme="majorHAnsi" w:eastAsia="Times New Roman" w:hAnsiTheme="majorHAnsi" w:cstheme="majorHAnsi"/>
              </w:rPr>
              <w:t>16</w:t>
            </w:r>
          </w:p>
        </w:tc>
        <w:tc>
          <w:tcPr>
            <w:tcW w:w="993" w:type="dxa"/>
            <w:vAlign w:val="center"/>
            <w:hideMark/>
          </w:tcPr>
          <w:p w14:paraId="4C1A3C1E" w14:textId="77777777" w:rsidR="00FD2CBB" w:rsidRPr="00E94A27" w:rsidRDefault="00FD2CBB" w:rsidP="00E94A27">
            <w:pPr>
              <w:spacing w:before="20" w:after="20" w:line="240" w:lineRule="auto"/>
              <w:jc w:val="center"/>
              <w:rPr>
                <w:rFonts w:asciiTheme="majorHAnsi" w:eastAsia="Times New Roman" w:hAnsiTheme="majorHAnsi" w:cstheme="majorHAnsi"/>
              </w:rPr>
            </w:pPr>
            <w:r w:rsidRPr="00E94A27">
              <w:rPr>
                <w:rFonts w:asciiTheme="majorHAnsi" w:eastAsia="Times New Roman" w:hAnsiTheme="majorHAnsi" w:cstheme="majorHAnsi"/>
              </w:rPr>
              <w:t>483</w:t>
            </w:r>
          </w:p>
        </w:tc>
        <w:tc>
          <w:tcPr>
            <w:tcW w:w="850" w:type="dxa"/>
            <w:vAlign w:val="center"/>
            <w:hideMark/>
          </w:tcPr>
          <w:p w14:paraId="258135D3" w14:textId="77777777" w:rsidR="00FD2CBB" w:rsidRPr="00E94A27" w:rsidRDefault="00FD2CBB" w:rsidP="00E94A27">
            <w:pPr>
              <w:spacing w:before="20" w:after="20" w:line="240" w:lineRule="auto"/>
              <w:jc w:val="center"/>
              <w:rPr>
                <w:rFonts w:asciiTheme="majorHAnsi" w:eastAsia="Times New Roman" w:hAnsiTheme="majorHAnsi" w:cstheme="majorHAnsi"/>
              </w:rPr>
            </w:pPr>
            <w:r w:rsidRPr="00E94A27">
              <w:rPr>
                <w:rFonts w:asciiTheme="majorHAnsi" w:eastAsia="Times New Roman" w:hAnsiTheme="majorHAnsi" w:cstheme="majorHAnsi"/>
              </w:rPr>
              <w:t>12670</w:t>
            </w:r>
          </w:p>
        </w:tc>
        <w:tc>
          <w:tcPr>
            <w:tcW w:w="4394" w:type="dxa"/>
            <w:vAlign w:val="center"/>
            <w:hideMark/>
          </w:tcPr>
          <w:p w14:paraId="68FA9AD8" w14:textId="77777777" w:rsidR="00FD2CBB" w:rsidRPr="00E94A27" w:rsidRDefault="00FD2CBB" w:rsidP="00E94A27">
            <w:pPr>
              <w:spacing w:before="20" w:after="20" w:line="240" w:lineRule="auto"/>
              <w:jc w:val="center"/>
              <w:rPr>
                <w:rFonts w:asciiTheme="majorHAnsi" w:eastAsia="Times New Roman" w:hAnsiTheme="majorHAnsi" w:cstheme="majorHAnsi"/>
              </w:rPr>
            </w:pPr>
            <w:r w:rsidRPr="00E94A27">
              <w:rPr>
                <w:rFonts w:asciiTheme="majorHAnsi" w:eastAsia="Times New Roman" w:hAnsiTheme="majorHAnsi" w:cstheme="majorHAnsi"/>
              </w:rPr>
              <w:t>Ogni linea assegnata ad un deposito tranne 24 linee divise tra due depositi</w:t>
            </w:r>
          </w:p>
        </w:tc>
      </w:tr>
      <w:tr w:rsidR="00FD2CBB" w:rsidRPr="000E7B50" w14:paraId="56B40131" w14:textId="77777777" w:rsidTr="009B756F">
        <w:trPr>
          <w:trHeight w:val="451"/>
        </w:trPr>
        <w:tc>
          <w:tcPr>
            <w:tcW w:w="1271" w:type="dxa"/>
            <w:shd w:val="clear" w:color="auto" w:fill="FF7C80"/>
            <w:noWrap/>
            <w:vAlign w:val="center"/>
            <w:hideMark/>
          </w:tcPr>
          <w:p w14:paraId="0A250987" w14:textId="77777777" w:rsidR="00FD2CBB" w:rsidRPr="00E94A27" w:rsidRDefault="00FD2CBB" w:rsidP="00E94A27">
            <w:pPr>
              <w:spacing w:before="20" w:after="20" w:line="240" w:lineRule="auto"/>
              <w:jc w:val="center"/>
              <w:rPr>
                <w:rFonts w:asciiTheme="majorHAnsi" w:eastAsia="Times New Roman" w:hAnsiTheme="majorHAnsi" w:cstheme="majorHAnsi"/>
                <w:i/>
                <w:color w:val="000000"/>
              </w:rPr>
            </w:pPr>
            <w:r w:rsidRPr="00E94A27">
              <w:rPr>
                <w:rFonts w:asciiTheme="majorHAnsi" w:eastAsia="Times New Roman" w:hAnsiTheme="majorHAnsi" w:cstheme="majorHAnsi"/>
                <w:i/>
                <w:color w:val="000000"/>
              </w:rPr>
              <w:t>Scenario 3.1</w:t>
            </w:r>
          </w:p>
        </w:tc>
        <w:tc>
          <w:tcPr>
            <w:tcW w:w="1559" w:type="dxa"/>
            <w:vAlign w:val="center"/>
            <w:hideMark/>
          </w:tcPr>
          <w:p w14:paraId="49EB2821" w14:textId="77777777" w:rsidR="00FD2CBB" w:rsidRPr="00E94A27" w:rsidRDefault="00FD2CBB" w:rsidP="00E94A27">
            <w:pPr>
              <w:spacing w:before="20" w:after="20" w:line="240" w:lineRule="auto"/>
              <w:jc w:val="center"/>
              <w:rPr>
                <w:rFonts w:asciiTheme="majorHAnsi" w:eastAsia="Times New Roman" w:hAnsiTheme="majorHAnsi" w:cstheme="majorHAnsi"/>
              </w:rPr>
            </w:pPr>
            <w:r w:rsidRPr="00E94A27">
              <w:rPr>
                <w:rFonts w:asciiTheme="majorHAnsi" w:eastAsia="Times New Roman" w:hAnsiTheme="majorHAnsi" w:cstheme="majorHAnsi"/>
              </w:rPr>
              <w:t>16</w:t>
            </w:r>
          </w:p>
        </w:tc>
        <w:tc>
          <w:tcPr>
            <w:tcW w:w="993" w:type="dxa"/>
            <w:vAlign w:val="center"/>
            <w:hideMark/>
          </w:tcPr>
          <w:p w14:paraId="5D6F5AA5" w14:textId="77777777" w:rsidR="00FD2CBB" w:rsidRPr="00E94A27" w:rsidRDefault="00FD2CBB" w:rsidP="00E94A27">
            <w:pPr>
              <w:spacing w:before="20" w:after="20" w:line="240" w:lineRule="auto"/>
              <w:jc w:val="center"/>
              <w:rPr>
                <w:rFonts w:asciiTheme="majorHAnsi" w:eastAsia="Times New Roman" w:hAnsiTheme="majorHAnsi" w:cstheme="majorHAnsi"/>
              </w:rPr>
            </w:pPr>
            <w:r w:rsidRPr="00E94A27">
              <w:rPr>
                <w:rFonts w:asciiTheme="majorHAnsi" w:eastAsia="Times New Roman" w:hAnsiTheme="majorHAnsi" w:cstheme="majorHAnsi"/>
              </w:rPr>
              <w:t>491</w:t>
            </w:r>
          </w:p>
        </w:tc>
        <w:tc>
          <w:tcPr>
            <w:tcW w:w="850" w:type="dxa"/>
            <w:vAlign w:val="center"/>
            <w:hideMark/>
          </w:tcPr>
          <w:p w14:paraId="13F551EC" w14:textId="77777777" w:rsidR="00FD2CBB" w:rsidRPr="00E94A27" w:rsidRDefault="00FD2CBB" w:rsidP="00E94A27">
            <w:pPr>
              <w:spacing w:before="20" w:after="20" w:line="240" w:lineRule="auto"/>
              <w:jc w:val="center"/>
              <w:rPr>
                <w:rFonts w:asciiTheme="majorHAnsi" w:eastAsia="Times New Roman" w:hAnsiTheme="majorHAnsi" w:cstheme="majorHAnsi"/>
              </w:rPr>
            </w:pPr>
            <w:r w:rsidRPr="00E94A27">
              <w:rPr>
                <w:rFonts w:asciiTheme="majorHAnsi" w:eastAsia="Times New Roman" w:hAnsiTheme="majorHAnsi" w:cstheme="majorHAnsi"/>
              </w:rPr>
              <w:t>15204</w:t>
            </w:r>
          </w:p>
        </w:tc>
        <w:tc>
          <w:tcPr>
            <w:tcW w:w="4394" w:type="dxa"/>
            <w:vAlign w:val="center"/>
            <w:hideMark/>
          </w:tcPr>
          <w:p w14:paraId="45548661" w14:textId="77777777" w:rsidR="00FD2CBB" w:rsidRPr="00E94A27" w:rsidRDefault="00FD2CBB" w:rsidP="00E94A27">
            <w:pPr>
              <w:spacing w:before="20" w:after="20" w:line="240" w:lineRule="auto"/>
              <w:jc w:val="center"/>
              <w:rPr>
                <w:rFonts w:asciiTheme="majorHAnsi" w:eastAsia="Times New Roman" w:hAnsiTheme="majorHAnsi" w:cstheme="majorHAnsi"/>
              </w:rPr>
            </w:pPr>
            <w:r w:rsidRPr="00E94A27">
              <w:rPr>
                <w:rFonts w:asciiTheme="majorHAnsi" w:eastAsia="Times New Roman" w:hAnsiTheme="majorHAnsi" w:cstheme="majorHAnsi"/>
              </w:rPr>
              <w:t xml:space="preserve">Ogni linea assegnata ad un singolo deposito - </w:t>
            </w:r>
            <w:r w:rsidRPr="00E94A27">
              <w:rPr>
                <w:rFonts w:asciiTheme="majorHAnsi" w:eastAsia="Times New Roman" w:hAnsiTheme="majorHAnsi" w:cstheme="majorHAnsi"/>
                <w:lang w:eastAsia="en-GB"/>
              </w:rPr>
              <w:t>gruppo di linee per deposito definito</w:t>
            </w:r>
          </w:p>
        </w:tc>
      </w:tr>
      <w:tr w:rsidR="00FD2CBB" w:rsidRPr="000E7B50" w14:paraId="5380B266" w14:textId="77777777" w:rsidTr="009B756F">
        <w:trPr>
          <w:trHeight w:val="498"/>
        </w:trPr>
        <w:tc>
          <w:tcPr>
            <w:tcW w:w="1271" w:type="dxa"/>
            <w:shd w:val="clear" w:color="auto" w:fill="FF7C80"/>
            <w:noWrap/>
            <w:vAlign w:val="center"/>
            <w:hideMark/>
          </w:tcPr>
          <w:p w14:paraId="529E995B" w14:textId="77777777" w:rsidR="00FD2CBB" w:rsidRPr="00E94A27" w:rsidRDefault="00FD2CBB" w:rsidP="00E94A27">
            <w:pPr>
              <w:spacing w:before="20" w:after="20" w:line="240" w:lineRule="auto"/>
              <w:jc w:val="center"/>
              <w:rPr>
                <w:rFonts w:asciiTheme="majorHAnsi" w:eastAsia="Times New Roman" w:hAnsiTheme="majorHAnsi" w:cstheme="majorHAnsi"/>
                <w:i/>
                <w:color w:val="000000"/>
              </w:rPr>
            </w:pPr>
            <w:r w:rsidRPr="00E94A27">
              <w:rPr>
                <w:rFonts w:asciiTheme="majorHAnsi" w:eastAsia="Times New Roman" w:hAnsiTheme="majorHAnsi" w:cstheme="majorHAnsi"/>
                <w:i/>
                <w:color w:val="000000"/>
              </w:rPr>
              <w:lastRenderedPageBreak/>
              <w:t>Scenario 3.2</w:t>
            </w:r>
          </w:p>
        </w:tc>
        <w:tc>
          <w:tcPr>
            <w:tcW w:w="1559" w:type="dxa"/>
            <w:vAlign w:val="center"/>
            <w:hideMark/>
          </w:tcPr>
          <w:p w14:paraId="296E08C2" w14:textId="77777777" w:rsidR="00FD2CBB" w:rsidRPr="00E94A27" w:rsidRDefault="00FD2CBB" w:rsidP="00E94A27">
            <w:pPr>
              <w:spacing w:before="20" w:after="20" w:line="240" w:lineRule="auto"/>
              <w:jc w:val="center"/>
              <w:rPr>
                <w:rFonts w:asciiTheme="majorHAnsi" w:eastAsia="Times New Roman" w:hAnsiTheme="majorHAnsi" w:cstheme="majorHAnsi"/>
              </w:rPr>
            </w:pPr>
            <w:r w:rsidRPr="00E94A27">
              <w:rPr>
                <w:rFonts w:asciiTheme="majorHAnsi" w:eastAsia="Times New Roman" w:hAnsiTheme="majorHAnsi" w:cstheme="majorHAnsi"/>
              </w:rPr>
              <w:t>16</w:t>
            </w:r>
          </w:p>
        </w:tc>
        <w:tc>
          <w:tcPr>
            <w:tcW w:w="993" w:type="dxa"/>
            <w:vAlign w:val="center"/>
            <w:hideMark/>
          </w:tcPr>
          <w:p w14:paraId="7D52C600" w14:textId="77777777" w:rsidR="00FD2CBB" w:rsidRPr="00E94A27" w:rsidRDefault="00FD2CBB" w:rsidP="00E94A27">
            <w:pPr>
              <w:spacing w:before="20" w:after="20" w:line="240" w:lineRule="auto"/>
              <w:jc w:val="center"/>
              <w:rPr>
                <w:rFonts w:asciiTheme="majorHAnsi" w:eastAsia="Times New Roman" w:hAnsiTheme="majorHAnsi" w:cstheme="majorHAnsi"/>
              </w:rPr>
            </w:pPr>
            <w:r w:rsidRPr="00E94A27">
              <w:rPr>
                <w:rFonts w:asciiTheme="majorHAnsi" w:eastAsia="Times New Roman" w:hAnsiTheme="majorHAnsi" w:cstheme="majorHAnsi"/>
              </w:rPr>
              <w:t>484</w:t>
            </w:r>
          </w:p>
        </w:tc>
        <w:tc>
          <w:tcPr>
            <w:tcW w:w="850" w:type="dxa"/>
            <w:vAlign w:val="center"/>
            <w:hideMark/>
          </w:tcPr>
          <w:p w14:paraId="6B82F1CC" w14:textId="77777777" w:rsidR="00FD2CBB" w:rsidRPr="00E94A27" w:rsidRDefault="00FD2CBB" w:rsidP="00E94A27">
            <w:pPr>
              <w:spacing w:before="20" w:after="20" w:line="240" w:lineRule="auto"/>
              <w:jc w:val="center"/>
              <w:rPr>
                <w:rFonts w:asciiTheme="majorHAnsi" w:eastAsia="Times New Roman" w:hAnsiTheme="majorHAnsi" w:cstheme="majorHAnsi"/>
              </w:rPr>
            </w:pPr>
            <w:r w:rsidRPr="00E94A27">
              <w:rPr>
                <w:rFonts w:asciiTheme="majorHAnsi" w:eastAsia="Times New Roman" w:hAnsiTheme="majorHAnsi" w:cstheme="majorHAnsi"/>
              </w:rPr>
              <w:t>13898</w:t>
            </w:r>
          </w:p>
        </w:tc>
        <w:tc>
          <w:tcPr>
            <w:tcW w:w="4394" w:type="dxa"/>
            <w:vAlign w:val="center"/>
            <w:hideMark/>
          </w:tcPr>
          <w:p w14:paraId="19830C6F" w14:textId="77777777" w:rsidR="00FD2CBB" w:rsidRPr="00E94A27" w:rsidRDefault="00FD2CBB" w:rsidP="00E94A27">
            <w:pPr>
              <w:spacing w:before="20" w:after="20" w:line="240" w:lineRule="auto"/>
              <w:jc w:val="center"/>
              <w:rPr>
                <w:rFonts w:asciiTheme="majorHAnsi" w:eastAsia="Times New Roman" w:hAnsiTheme="majorHAnsi" w:cstheme="majorHAnsi"/>
              </w:rPr>
            </w:pPr>
            <w:r w:rsidRPr="00E94A27">
              <w:rPr>
                <w:rFonts w:asciiTheme="majorHAnsi" w:eastAsia="Times New Roman" w:hAnsiTheme="majorHAnsi" w:cstheme="majorHAnsi"/>
              </w:rPr>
              <w:t>Ogni linea assegnata ad un singolo lotto - alcuni lotti formati da due depositi (10 lotti totali).</w:t>
            </w:r>
          </w:p>
        </w:tc>
      </w:tr>
    </w:tbl>
    <w:p w14:paraId="0B48D61D" w14:textId="4F087A97" w:rsidR="00FD2CBB" w:rsidRPr="00AD01C5" w:rsidRDefault="00FD2CBB" w:rsidP="00E01F6D">
      <w:pPr>
        <w:spacing w:after="240" w:line="240" w:lineRule="auto"/>
        <w:jc w:val="center"/>
        <w:rPr>
          <w:rFonts w:eastAsia="Calibri"/>
          <w:color w:val="003366"/>
          <w:sz w:val="18"/>
          <w:szCs w:val="18"/>
        </w:rPr>
      </w:pPr>
      <w:r w:rsidRPr="00AD01C5">
        <w:rPr>
          <w:rFonts w:eastAsia="Calibri"/>
          <w:i/>
          <w:color w:val="003366"/>
          <w:sz w:val="18"/>
          <w:szCs w:val="18"/>
        </w:rPr>
        <w:t xml:space="preserve">Tabella </w:t>
      </w:r>
      <w:r w:rsidRPr="00196688">
        <w:rPr>
          <w:rFonts w:cstheme="minorHAnsi"/>
          <w:i/>
          <w:color w:val="003366"/>
          <w:sz w:val="18"/>
          <w:szCs w:val="18"/>
        </w:rPr>
        <w:fldChar w:fldCharType="begin"/>
      </w:r>
      <w:r w:rsidRPr="00196688">
        <w:rPr>
          <w:rFonts w:cstheme="minorHAnsi"/>
          <w:i/>
          <w:color w:val="003366"/>
          <w:sz w:val="18"/>
          <w:szCs w:val="18"/>
        </w:rPr>
        <w:instrText xml:space="preserve"> SEQ Tabella \* ARABIC </w:instrText>
      </w:r>
      <w:r w:rsidRPr="00196688">
        <w:rPr>
          <w:rFonts w:cstheme="minorHAnsi"/>
          <w:i/>
          <w:color w:val="003366"/>
          <w:sz w:val="18"/>
          <w:szCs w:val="18"/>
        </w:rPr>
        <w:fldChar w:fldCharType="separate"/>
      </w:r>
      <w:r w:rsidR="00073B6D">
        <w:rPr>
          <w:rFonts w:cstheme="minorHAnsi"/>
          <w:i/>
          <w:noProof/>
          <w:color w:val="003366"/>
          <w:sz w:val="18"/>
          <w:szCs w:val="18"/>
        </w:rPr>
        <w:t>48</w:t>
      </w:r>
      <w:r w:rsidRPr="00196688">
        <w:rPr>
          <w:rFonts w:cstheme="minorHAnsi"/>
          <w:i/>
          <w:color w:val="003366"/>
          <w:sz w:val="18"/>
          <w:szCs w:val="18"/>
        </w:rPr>
        <w:fldChar w:fldCharType="end"/>
      </w:r>
      <w:r>
        <w:rPr>
          <w:rFonts w:cstheme="minorHAnsi"/>
          <w:i/>
          <w:color w:val="003366"/>
          <w:sz w:val="18"/>
          <w:szCs w:val="18"/>
        </w:rPr>
        <w:t xml:space="preserve"> </w:t>
      </w:r>
      <w:r w:rsidRPr="00AD01C5">
        <w:rPr>
          <w:rFonts w:eastAsia="Calibri"/>
          <w:color w:val="003366"/>
          <w:sz w:val="18"/>
          <w:szCs w:val="18"/>
        </w:rPr>
        <w:t xml:space="preserve">– </w:t>
      </w:r>
      <w:r w:rsidRPr="00AD01C5">
        <w:rPr>
          <w:rFonts w:eastAsia="Calibri"/>
          <w:i/>
          <w:color w:val="003366"/>
          <w:sz w:val="18"/>
          <w:szCs w:val="18"/>
        </w:rPr>
        <w:t>Quadro degli scenari valutati</w:t>
      </w:r>
    </w:p>
    <w:p w14:paraId="044ACEF6" w14:textId="77777777" w:rsidR="00FD2CBB" w:rsidRPr="00AD01C5" w:rsidRDefault="00FD2CBB" w:rsidP="00E01F6D">
      <w:pPr>
        <w:spacing w:before="120" w:after="0" w:line="240" w:lineRule="auto"/>
        <w:rPr>
          <w:rFonts w:eastAsia="Calibri"/>
        </w:rPr>
      </w:pPr>
      <w:r w:rsidRPr="00AD01C5">
        <w:rPr>
          <w:rFonts w:eastAsia="Calibri"/>
        </w:rPr>
        <w:t xml:space="preserve">Confrontando lo </w:t>
      </w:r>
      <w:r w:rsidRPr="00AD01C5">
        <w:rPr>
          <w:rFonts w:eastAsia="Calibri"/>
          <w:b/>
        </w:rPr>
        <w:t>scenario base</w:t>
      </w:r>
      <w:r w:rsidRPr="00AD01C5">
        <w:rPr>
          <w:rFonts w:eastAsia="Calibri"/>
        </w:rPr>
        <w:t xml:space="preserve"> con lo </w:t>
      </w:r>
      <w:r w:rsidRPr="00AD01C5">
        <w:rPr>
          <w:rFonts w:eastAsia="Calibri"/>
          <w:b/>
        </w:rPr>
        <w:t>scenario 3</w:t>
      </w:r>
      <w:r>
        <w:rPr>
          <w:rFonts w:eastAsia="Calibri"/>
          <w:b/>
        </w:rPr>
        <w:t>.2</w:t>
      </w:r>
      <w:r w:rsidRPr="00AD01C5">
        <w:rPr>
          <w:rFonts w:eastAsia="Calibri"/>
        </w:rPr>
        <w:t>, emergono variazioni significative nei principali fattori produttivi. In particolare:</w:t>
      </w:r>
    </w:p>
    <w:p w14:paraId="44F25E3A" w14:textId="77777777" w:rsidR="00FD2CBB" w:rsidRPr="000E2B09" w:rsidRDefault="00FD2CBB" w:rsidP="004B0DBE">
      <w:pPr>
        <w:numPr>
          <w:ilvl w:val="0"/>
          <w:numId w:val="66"/>
        </w:numPr>
        <w:suppressAutoHyphens/>
        <w:spacing w:before="120" w:after="0" w:line="240" w:lineRule="auto"/>
        <w:jc w:val="left"/>
        <w:rPr>
          <w:rFonts w:eastAsia="Calibri" w:cs="Calibri"/>
        </w:rPr>
      </w:pPr>
      <w:r w:rsidRPr="000E2B09">
        <w:rPr>
          <w:rFonts w:eastAsia="Calibri" w:cs="Calibri"/>
        </w:rPr>
        <w:t>Riduzione del numero di depositi: -64%;</w:t>
      </w:r>
    </w:p>
    <w:p w14:paraId="2115AD04" w14:textId="77777777" w:rsidR="00FD2CBB" w:rsidRPr="000E2B09" w:rsidRDefault="00FD2CBB" w:rsidP="004B0DBE">
      <w:pPr>
        <w:numPr>
          <w:ilvl w:val="0"/>
          <w:numId w:val="66"/>
        </w:numPr>
        <w:suppressAutoHyphens/>
        <w:spacing w:before="120" w:after="0" w:line="240" w:lineRule="auto"/>
        <w:jc w:val="left"/>
        <w:rPr>
          <w:rFonts w:eastAsia="Calibri" w:cs="Calibri"/>
        </w:rPr>
      </w:pPr>
      <w:r w:rsidRPr="000E2B09">
        <w:rPr>
          <w:rFonts w:eastAsia="Calibri" w:cs="Calibri"/>
        </w:rPr>
        <w:t>Aumento del numero di mezzi impiegati: +1,5%;</w:t>
      </w:r>
    </w:p>
    <w:p w14:paraId="579B330A" w14:textId="77777777" w:rsidR="00FD2CBB" w:rsidRPr="00AD01C5" w:rsidRDefault="00FD2CBB" w:rsidP="004B0DBE">
      <w:pPr>
        <w:numPr>
          <w:ilvl w:val="0"/>
          <w:numId w:val="66"/>
        </w:numPr>
        <w:suppressAutoHyphens/>
        <w:spacing w:before="120" w:after="0" w:line="240" w:lineRule="auto"/>
        <w:jc w:val="left"/>
        <w:rPr>
          <w:rFonts w:eastAsia="Calibri" w:cs="Calibri"/>
        </w:rPr>
      </w:pPr>
      <w:r w:rsidRPr="00AD01C5">
        <w:rPr>
          <w:rFonts w:eastAsia="Calibri" w:cs="Calibri"/>
        </w:rPr>
        <w:t xml:space="preserve">Incremento delle percorrenze a </w:t>
      </w:r>
      <w:r w:rsidRPr="000E2B09">
        <w:rPr>
          <w:rFonts w:eastAsia="Calibri" w:cs="Calibri"/>
        </w:rPr>
        <w:t>vuoto: +64%.</w:t>
      </w:r>
    </w:p>
    <w:p w14:paraId="7801F67F" w14:textId="77777777" w:rsidR="00FD2CBB" w:rsidRPr="00AD01C5" w:rsidRDefault="00FD2CBB" w:rsidP="00E01F6D">
      <w:pPr>
        <w:spacing w:before="120" w:after="0" w:line="240" w:lineRule="auto"/>
        <w:rPr>
          <w:rFonts w:eastAsia="Calibri"/>
        </w:rPr>
      </w:pPr>
      <w:r w:rsidRPr="00AD01C5">
        <w:rPr>
          <w:rFonts w:eastAsia="Calibri"/>
        </w:rPr>
        <w:t>Questi cambiamenti sollevano interrogativi fondamentali riguardo all’impatto che ciascun fattore della produzione esercita sul costo complessivo del servizio e sulla relazione proporzionale tra tali componenti. La comprensione del peso relativo di ciascun fattore rappresenta un elemento essenziale per una valutazione economica complessiva e per l’adozione di strategie organizzative più efficienti, che sicuramente saranno affrontati dalle aziende nell’individuazione di soluzioni operative in sede di gara.</w:t>
      </w:r>
    </w:p>
    <w:p w14:paraId="7E5A6D9B" w14:textId="77777777" w:rsidR="00FD2CBB" w:rsidRPr="00AD01C5" w:rsidRDefault="00FD2CBB" w:rsidP="00E01F6D">
      <w:pPr>
        <w:spacing w:before="120" w:after="0" w:line="240" w:lineRule="auto"/>
        <w:rPr>
          <w:rFonts w:eastAsia="Calibri"/>
        </w:rPr>
      </w:pPr>
      <w:r w:rsidRPr="00AD01C5">
        <w:rPr>
          <w:rFonts w:eastAsia="Calibri"/>
        </w:rPr>
        <w:t xml:space="preserve">Di seguito si riporta una valutazione teorica di prima approssimazione della variazione dei costi legati ai fattori presi in considerazione. </w:t>
      </w:r>
    </w:p>
    <w:p w14:paraId="6E2BBCBB" w14:textId="77777777" w:rsidR="00FD2CBB" w:rsidRPr="00AD01C5" w:rsidRDefault="00FD2CBB" w:rsidP="00E01F6D">
      <w:pPr>
        <w:spacing w:before="120" w:after="0" w:line="240" w:lineRule="auto"/>
        <w:rPr>
          <w:rFonts w:eastAsia="Calibri"/>
        </w:rPr>
      </w:pPr>
      <w:r w:rsidRPr="00AD01C5">
        <w:rPr>
          <w:rFonts w:eastAsia="Calibri"/>
          <w:b/>
        </w:rPr>
        <w:t>Analisi della variazione dei costi</w:t>
      </w:r>
    </w:p>
    <w:p w14:paraId="1EF441A7" w14:textId="77777777" w:rsidR="00FD2CBB" w:rsidRPr="00AD01C5" w:rsidRDefault="00FD2CBB" w:rsidP="00E01F6D">
      <w:pPr>
        <w:spacing w:before="120" w:after="0" w:line="240" w:lineRule="auto"/>
        <w:rPr>
          <w:rFonts w:eastAsia="Calibri"/>
        </w:rPr>
      </w:pPr>
      <w:r w:rsidRPr="00AD01C5">
        <w:rPr>
          <w:rFonts w:eastAsia="Calibri"/>
        </w:rPr>
        <w:t>Assumendo come base i fattori di costo utilizzati nelle analisi precedenti, è possibile stimare la variazione economica tra i due scenari estremi focalizzandosi su due componenti principali:</w:t>
      </w:r>
    </w:p>
    <w:p w14:paraId="1B8776EA" w14:textId="0F87603D" w:rsidR="00FD2CBB" w:rsidRPr="00AD01C5" w:rsidRDefault="00F153EE" w:rsidP="00E01F6D">
      <w:pPr>
        <w:spacing w:before="120" w:after="0" w:line="240" w:lineRule="auto"/>
        <w:ind w:left="709"/>
        <w:rPr>
          <w:rFonts w:eastAsia="Calibri"/>
        </w:rPr>
      </w:pPr>
      <w:r>
        <w:rPr>
          <w:rFonts w:eastAsia="Calibri"/>
          <w:b/>
          <w:bCs/>
        </w:rPr>
        <w:t xml:space="preserve">1. </w:t>
      </w:r>
      <w:r w:rsidR="00FD2CBB" w:rsidRPr="00AD01C5">
        <w:rPr>
          <w:rFonts w:eastAsia="Calibri"/>
          <w:b/>
        </w:rPr>
        <w:t>Variazione dei costi relativi alle percorrenze a vuoto</w:t>
      </w:r>
      <w:r w:rsidR="00FD2CBB" w:rsidRPr="00AD01C5">
        <w:rPr>
          <w:rFonts w:eastAsia="Calibri"/>
        </w:rPr>
        <w:t>: l'aumento significativo delle percorrenze a vuoto influisce in modo rilevante sui costi operativi variabili, poiché comprende spese legate a carburante o energia, compensi degli autisti e manutenzione veicolare, costo valorizzato in 1 €/km.</w:t>
      </w:r>
    </w:p>
    <w:p w14:paraId="36E9C148" w14:textId="77777777" w:rsidR="00FD2CBB" w:rsidRPr="00AD01C5" w:rsidRDefault="00FD2CBB" w:rsidP="00E01F6D">
      <w:pPr>
        <w:spacing w:before="120" w:after="0" w:line="240" w:lineRule="auto"/>
        <w:ind w:left="709"/>
        <w:rPr>
          <w:rFonts w:eastAsia="Calibri"/>
        </w:rPr>
      </w:pPr>
      <w:r w:rsidRPr="00F153EE">
        <w:rPr>
          <w:rFonts w:eastAsia="Calibri"/>
          <w:b/>
        </w:rPr>
        <w:t xml:space="preserve">2. </w:t>
      </w:r>
      <w:r w:rsidRPr="00AD01C5">
        <w:rPr>
          <w:rFonts w:eastAsia="Calibri"/>
          <w:b/>
        </w:rPr>
        <w:t>Variazione dei costi legati al numero di autobus impiegati</w:t>
      </w:r>
      <w:r w:rsidRPr="00AD01C5">
        <w:rPr>
          <w:rFonts w:eastAsia="Calibri"/>
        </w:rPr>
        <w:t xml:space="preserve">: </w:t>
      </w:r>
      <w:r w:rsidRPr="000E2B09">
        <w:rPr>
          <w:rFonts w:eastAsia="Calibri"/>
        </w:rPr>
        <w:t>l’aumento del 1,5% del numero</w:t>
      </w:r>
      <w:r w:rsidRPr="00AD01C5">
        <w:rPr>
          <w:rFonts w:eastAsia="Calibri"/>
        </w:rPr>
        <w:t xml:space="preserve"> di autobus comporta un incremento proporzionale dei costi associati al possesso e all’operatività dei mezzi (ammortamento, assicurazioni, manutenzione ordinaria e straordinaria), costo valorizzato in 100 €/veicolo giorno.</w:t>
      </w:r>
    </w:p>
    <w:p w14:paraId="40A8AB91" w14:textId="77777777" w:rsidR="00FD2CBB" w:rsidRPr="00AD01C5" w:rsidRDefault="00FD2CBB" w:rsidP="00E01F6D">
      <w:pPr>
        <w:spacing w:before="120" w:after="0" w:line="240" w:lineRule="auto"/>
        <w:ind w:left="709"/>
        <w:rPr>
          <w:rFonts w:eastAsia="Calibri"/>
        </w:rPr>
      </w:pPr>
      <w:r w:rsidRPr="00F153EE">
        <w:rPr>
          <w:rFonts w:eastAsia="Calibri"/>
          <w:b/>
        </w:rPr>
        <w:t xml:space="preserve">3. </w:t>
      </w:r>
      <w:r w:rsidRPr="00AD01C5">
        <w:rPr>
          <w:rFonts w:eastAsia="Calibri"/>
          <w:b/>
        </w:rPr>
        <w:t>Variazione dei costi legati al numero di depositi</w:t>
      </w:r>
      <w:r w:rsidRPr="00AD01C5">
        <w:rPr>
          <w:rFonts w:eastAsia="Calibri"/>
        </w:rPr>
        <w:t xml:space="preserve">: per stimare l’impatto economico derivante dalla riduzione del </w:t>
      </w:r>
      <w:r w:rsidRPr="000E2B09">
        <w:rPr>
          <w:rFonts w:eastAsia="Calibri"/>
        </w:rPr>
        <w:t>numero di depositi (-64%), è possibile</w:t>
      </w:r>
      <w:r w:rsidRPr="00AD01C5">
        <w:rPr>
          <w:rFonts w:eastAsia="Calibri"/>
        </w:rPr>
        <w:t xml:space="preserve"> adottare un approccio basato sui </w:t>
      </w:r>
      <w:r w:rsidRPr="004129B5">
        <w:rPr>
          <w:rFonts w:eastAsia="Calibri"/>
        </w:rPr>
        <w:t>canoni di locazione</w:t>
      </w:r>
      <w:r w:rsidRPr="00AD01C5">
        <w:rPr>
          <w:rFonts w:eastAsia="Calibri"/>
        </w:rPr>
        <w:t xml:space="preserve"> riportati dall’Osservatorio Immobiliare dell’Agenzia delle Entrate per l’anno 2024. In base ai dati disponibili, nel Bacino </w:t>
      </w:r>
      <w:r>
        <w:rPr>
          <w:rFonts w:eastAsia="Calibri"/>
        </w:rPr>
        <w:t>Metropolitano</w:t>
      </w:r>
      <w:r w:rsidRPr="00AD01C5">
        <w:rPr>
          <w:rFonts w:eastAsia="Calibri"/>
        </w:rPr>
        <w:t xml:space="preserve">, nelle aree periferiche o suburbane idonee alla localizzazione di strutture logistiche o industriali, il costo medio di locazione </w:t>
      </w:r>
      <w:r w:rsidRPr="000C761A">
        <w:rPr>
          <w:rFonts w:eastAsia="Calibri"/>
        </w:rPr>
        <w:t>mensile è pari a circa 3,22 €/m².</w:t>
      </w:r>
    </w:p>
    <w:p w14:paraId="21CAAD4C" w14:textId="77777777" w:rsidR="00FD2CBB" w:rsidRPr="00AD01C5" w:rsidRDefault="00FD2CBB" w:rsidP="00E01F6D">
      <w:pPr>
        <w:spacing w:before="120" w:after="0" w:line="240" w:lineRule="auto"/>
        <w:rPr>
          <w:rFonts w:eastAsia="Calibri"/>
        </w:rPr>
      </w:pPr>
      <w:r w:rsidRPr="00AD01C5">
        <w:rPr>
          <w:rFonts w:eastAsia="Calibri"/>
        </w:rPr>
        <w:t>Questi elementi consentono di effettuare una stima di massima dei risparmi potenziali derivanti dalla riduzione delle infrastrutture di deposito. Tuttavia, va sottolineato che i costi legati alla gestione dei depositi includono molteplici componenti aggiuntive, quali:</w:t>
      </w:r>
    </w:p>
    <w:p w14:paraId="77670B5B" w14:textId="77777777" w:rsidR="00FD2CBB" w:rsidRPr="00AD01C5" w:rsidRDefault="00FD2CBB" w:rsidP="004B0DBE">
      <w:pPr>
        <w:numPr>
          <w:ilvl w:val="0"/>
          <w:numId w:val="73"/>
        </w:numPr>
        <w:spacing w:before="120" w:after="0" w:line="240" w:lineRule="auto"/>
        <w:rPr>
          <w:rFonts w:eastAsia="Calibri"/>
        </w:rPr>
      </w:pPr>
      <w:r w:rsidRPr="00AD01C5">
        <w:rPr>
          <w:rFonts w:eastAsia="Calibri"/>
        </w:rPr>
        <w:t>costi per il personale addetto alla manutenzione e alla gestione logistica;</w:t>
      </w:r>
    </w:p>
    <w:p w14:paraId="472B9E97" w14:textId="77777777" w:rsidR="00FD2CBB" w:rsidRPr="00AD01C5" w:rsidRDefault="00FD2CBB" w:rsidP="004B0DBE">
      <w:pPr>
        <w:numPr>
          <w:ilvl w:val="0"/>
          <w:numId w:val="73"/>
        </w:numPr>
        <w:spacing w:before="120" w:after="0" w:line="240" w:lineRule="auto"/>
        <w:rPr>
          <w:rFonts w:eastAsia="Calibri"/>
        </w:rPr>
      </w:pPr>
      <w:r w:rsidRPr="00AD01C5">
        <w:rPr>
          <w:rFonts w:eastAsia="Calibri"/>
        </w:rPr>
        <w:t>spese di manutenzione infrastrutturale;</w:t>
      </w:r>
    </w:p>
    <w:p w14:paraId="6F6FDC7F" w14:textId="77777777" w:rsidR="00FD2CBB" w:rsidRPr="00AD01C5" w:rsidRDefault="00FD2CBB" w:rsidP="004B0DBE">
      <w:pPr>
        <w:numPr>
          <w:ilvl w:val="0"/>
          <w:numId w:val="73"/>
        </w:numPr>
        <w:spacing w:before="120" w:after="0" w:line="240" w:lineRule="auto"/>
        <w:rPr>
          <w:rFonts w:eastAsia="Calibri"/>
        </w:rPr>
      </w:pPr>
      <w:r w:rsidRPr="00AD01C5">
        <w:rPr>
          <w:rFonts w:eastAsia="Calibri"/>
        </w:rPr>
        <w:t>costi energetici per il funzionamento delle strutture;</w:t>
      </w:r>
    </w:p>
    <w:p w14:paraId="316AE594" w14:textId="77777777" w:rsidR="00FD2CBB" w:rsidRPr="00AD01C5" w:rsidRDefault="00FD2CBB" w:rsidP="004B0DBE">
      <w:pPr>
        <w:numPr>
          <w:ilvl w:val="0"/>
          <w:numId w:val="73"/>
        </w:numPr>
        <w:spacing w:before="120" w:after="0" w:line="240" w:lineRule="auto"/>
        <w:rPr>
          <w:rFonts w:eastAsia="Calibri"/>
        </w:rPr>
      </w:pPr>
      <w:r w:rsidRPr="00AD01C5">
        <w:rPr>
          <w:rFonts w:eastAsia="Calibri"/>
        </w:rPr>
        <w:t>altri costi amministrativi e operativi non contabilizzati direttamente.</w:t>
      </w:r>
    </w:p>
    <w:p w14:paraId="6CF638E7" w14:textId="77777777" w:rsidR="00FD2CBB" w:rsidRDefault="00FD2CBB" w:rsidP="00E01F6D">
      <w:pPr>
        <w:spacing w:before="120" w:after="0" w:line="240" w:lineRule="auto"/>
        <w:rPr>
          <w:rFonts w:eastAsia="Calibri"/>
        </w:rPr>
      </w:pPr>
      <w:r w:rsidRPr="00AD01C5">
        <w:rPr>
          <w:rFonts w:eastAsia="Calibri"/>
        </w:rPr>
        <w:t xml:space="preserve">per i quali non è semplice indicare un valore unitario a metro quadro, ma escludendo il costo del personale si può ipotizzare che incidano almeno per </w:t>
      </w:r>
      <w:r>
        <w:rPr>
          <w:rFonts w:eastAsia="Calibri"/>
        </w:rPr>
        <w:t>un ulteriore</w:t>
      </w:r>
      <w:r w:rsidRPr="00AD01C5">
        <w:rPr>
          <w:rFonts w:eastAsia="Calibri"/>
        </w:rPr>
        <w:t xml:space="preserve"> </w:t>
      </w:r>
      <w:r>
        <w:rPr>
          <w:rFonts w:eastAsia="Calibri"/>
        </w:rPr>
        <w:t>1</w:t>
      </w:r>
      <w:r w:rsidRPr="00AD01C5">
        <w:rPr>
          <w:rFonts w:eastAsia="Calibri"/>
        </w:rPr>
        <w:t xml:space="preserve">0% </w:t>
      </w:r>
      <w:r>
        <w:rPr>
          <w:rFonts w:eastAsia="Calibri"/>
        </w:rPr>
        <w:t>rispetto al</w:t>
      </w:r>
      <w:r w:rsidRPr="00AD01C5">
        <w:rPr>
          <w:rFonts w:eastAsia="Calibri"/>
        </w:rPr>
        <w:t xml:space="preserve"> costo di locazione.</w:t>
      </w:r>
    </w:p>
    <w:p w14:paraId="199AC4D8" w14:textId="77777777" w:rsidR="00A457F1" w:rsidRPr="00B61C5B" w:rsidRDefault="00A457F1" w:rsidP="00E01F6D">
      <w:pPr>
        <w:spacing w:before="120" w:after="0" w:line="240" w:lineRule="auto"/>
        <w:rPr>
          <w:rFonts w:eastAsia="Calibri"/>
        </w:rPr>
      </w:pPr>
    </w:p>
    <w:p w14:paraId="51D91E91" w14:textId="0B69EDBF" w:rsidR="00DD13C6" w:rsidRDefault="00462E62" w:rsidP="00E01F6D">
      <w:pPr>
        <w:spacing w:before="120" w:after="0" w:line="240" w:lineRule="auto"/>
        <w:rPr>
          <w:rFonts w:eastAsia="Calibri"/>
        </w:rPr>
      </w:pPr>
      <w:r w:rsidRPr="00462E62">
        <w:rPr>
          <w:noProof/>
        </w:rPr>
        <w:drawing>
          <wp:inline distT="0" distB="0" distL="0" distR="0" wp14:anchorId="664A452F" wp14:editId="6B2569ED">
            <wp:extent cx="5759450" cy="2893695"/>
            <wp:effectExtent l="0" t="0" r="0" b="1905"/>
            <wp:docPr id="182725019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759450" cy="2893695"/>
                    </a:xfrm>
                    <a:prstGeom prst="rect">
                      <a:avLst/>
                    </a:prstGeom>
                    <a:noFill/>
                    <a:ln>
                      <a:noFill/>
                    </a:ln>
                  </pic:spPr>
                </pic:pic>
              </a:graphicData>
            </a:graphic>
          </wp:inline>
        </w:drawing>
      </w:r>
    </w:p>
    <w:p w14:paraId="3CF1E377" w14:textId="5F81A441" w:rsidR="00FD2CBB" w:rsidRPr="00AD01C5" w:rsidRDefault="00FD2CBB" w:rsidP="00A457F1">
      <w:pPr>
        <w:spacing w:after="240" w:line="240" w:lineRule="auto"/>
        <w:jc w:val="center"/>
        <w:rPr>
          <w:rFonts w:eastAsia="Calibri"/>
          <w:i/>
          <w:color w:val="003366"/>
          <w:sz w:val="18"/>
          <w:szCs w:val="18"/>
        </w:rPr>
      </w:pPr>
      <w:bookmarkStart w:id="382" w:name="_Toc951583400"/>
      <w:bookmarkStart w:id="383" w:name="_Toc197695722"/>
      <w:bookmarkStart w:id="384" w:name="_Ref204248301"/>
      <w:bookmarkStart w:id="385" w:name="_Toc204616531"/>
      <w:bookmarkStart w:id="386" w:name="_Ref187765700"/>
      <w:bookmarkStart w:id="387" w:name="_Toc193195794"/>
      <w:r w:rsidRPr="00AD01C5">
        <w:rPr>
          <w:rFonts w:eastAsia="Calibri"/>
          <w:i/>
          <w:color w:val="003366"/>
          <w:sz w:val="18"/>
          <w:szCs w:val="18"/>
        </w:rPr>
        <w:t xml:space="preserve">Tabella </w:t>
      </w:r>
      <w:r w:rsidRPr="00196688">
        <w:rPr>
          <w:rFonts w:cstheme="minorHAnsi"/>
          <w:i/>
          <w:color w:val="003366"/>
          <w:sz w:val="18"/>
          <w:szCs w:val="18"/>
        </w:rPr>
        <w:fldChar w:fldCharType="begin"/>
      </w:r>
      <w:r w:rsidRPr="00196688">
        <w:rPr>
          <w:rFonts w:cstheme="minorHAnsi"/>
          <w:i/>
          <w:color w:val="003366"/>
          <w:sz w:val="18"/>
          <w:szCs w:val="18"/>
        </w:rPr>
        <w:instrText xml:space="preserve"> SEQ Tabella \* ARABIC </w:instrText>
      </w:r>
      <w:r w:rsidRPr="00196688">
        <w:rPr>
          <w:rFonts w:cstheme="minorHAnsi"/>
          <w:i/>
          <w:color w:val="003366"/>
          <w:sz w:val="18"/>
          <w:szCs w:val="18"/>
        </w:rPr>
        <w:fldChar w:fldCharType="separate"/>
      </w:r>
      <w:r w:rsidR="00073B6D">
        <w:rPr>
          <w:rFonts w:cstheme="minorHAnsi"/>
          <w:i/>
          <w:noProof/>
          <w:color w:val="003366"/>
          <w:sz w:val="18"/>
          <w:szCs w:val="18"/>
        </w:rPr>
        <w:t>49</w:t>
      </w:r>
      <w:r w:rsidRPr="00196688">
        <w:rPr>
          <w:rFonts w:cstheme="minorHAnsi"/>
          <w:i/>
          <w:color w:val="003366"/>
          <w:sz w:val="18"/>
          <w:szCs w:val="18"/>
        </w:rPr>
        <w:fldChar w:fldCharType="end"/>
      </w:r>
      <w:r>
        <w:rPr>
          <w:rFonts w:cstheme="minorHAnsi"/>
          <w:i/>
          <w:color w:val="003366"/>
          <w:sz w:val="18"/>
          <w:szCs w:val="18"/>
        </w:rPr>
        <w:t xml:space="preserve"> </w:t>
      </w:r>
      <w:r w:rsidRPr="00AD01C5">
        <w:rPr>
          <w:rFonts w:eastAsia="Calibri"/>
          <w:color w:val="003366"/>
          <w:sz w:val="18"/>
          <w:szCs w:val="18"/>
        </w:rPr>
        <w:t xml:space="preserve">– </w:t>
      </w:r>
      <w:r w:rsidRPr="00AD01C5">
        <w:rPr>
          <w:rFonts w:eastAsia="Calibri"/>
          <w:i/>
          <w:color w:val="003366"/>
          <w:sz w:val="18"/>
          <w:szCs w:val="18"/>
        </w:rPr>
        <w:t>Raffronto dei costi fra gli scenari</w:t>
      </w:r>
    </w:p>
    <w:p w14:paraId="26B0154A" w14:textId="77777777" w:rsidR="00FD2CBB" w:rsidRPr="00AD01C5" w:rsidRDefault="00FD2CBB" w:rsidP="00A457F1">
      <w:pPr>
        <w:spacing w:before="120" w:after="0" w:line="240" w:lineRule="auto"/>
        <w:rPr>
          <w:rFonts w:eastAsia="Calibri"/>
        </w:rPr>
      </w:pPr>
      <w:r w:rsidRPr="00AD01C5">
        <w:rPr>
          <w:rFonts w:eastAsia="Calibri"/>
        </w:rPr>
        <w:t xml:space="preserve">La riduzione del numero di </w:t>
      </w:r>
      <w:r w:rsidRPr="000E2B09">
        <w:rPr>
          <w:rFonts w:eastAsia="Calibri"/>
        </w:rPr>
        <w:t>depositi da 44 a 16 comporterebbe quindi un risparmio sui costi, da considerare come parte integrante dell’ottimizzazione economica complessiva</w:t>
      </w:r>
      <w:r w:rsidRPr="00AD01C5">
        <w:rPr>
          <w:rFonts w:eastAsia="Calibri"/>
        </w:rPr>
        <w:t xml:space="preserve">. </w:t>
      </w:r>
    </w:p>
    <w:p w14:paraId="4C2D6F2E" w14:textId="77777777" w:rsidR="00FD2CBB" w:rsidRPr="00AD01C5" w:rsidRDefault="00FD2CBB" w:rsidP="00A457F1">
      <w:pPr>
        <w:spacing w:before="120" w:after="0" w:line="240" w:lineRule="auto"/>
        <w:rPr>
          <w:rFonts w:eastAsia="Calibri"/>
        </w:rPr>
      </w:pPr>
      <w:r w:rsidRPr="00AD01C5">
        <w:rPr>
          <w:rFonts w:eastAsia="Calibri"/>
        </w:rPr>
        <w:t>La scelta di strutturare l’organizzazione delle linee su unità funzionali autonome (relazioni univoche deposito-linee) rappresenta una strategia vantaggiosa sia sotto il profilo funzionale che sotto quello economico. Tale configurazione:</w:t>
      </w:r>
    </w:p>
    <w:p w14:paraId="060F1381" w14:textId="77777777" w:rsidR="00FD2CBB" w:rsidRPr="00AD01C5" w:rsidRDefault="00FD2CBB" w:rsidP="004B0DBE">
      <w:pPr>
        <w:numPr>
          <w:ilvl w:val="0"/>
          <w:numId w:val="73"/>
        </w:numPr>
        <w:spacing w:before="120" w:after="0" w:line="240" w:lineRule="auto"/>
        <w:rPr>
          <w:rFonts w:eastAsia="Calibri"/>
        </w:rPr>
      </w:pPr>
      <w:r w:rsidRPr="00AD01C5">
        <w:rPr>
          <w:rFonts w:eastAsia="Calibri"/>
        </w:rPr>
        <w:t>migliora l’efficienza gestionale e operativa, riducendo la complessità logistica;</w:t>
      </w:r>
    </w:p>
    <w:p w14:paraId="0B6BDC89" w14:textId="77777777" w:rsidR="00FD2CBB" w:rsidRPr="00AD01C5" w:rsidRDefault="00FD2CBB" w:rsidP="004B0DBE">
      <w:pPr>
        <w:numPr>
          <w:ilvl w:val="0"/>
          <w:numId w:val="73"/>
        </w:numPr>
        <w:spacing w:before="120" w:after="0" w:line="240" w:lineRule="auto"/>
        <w:rPr>
          <w:rFonts w:eastAsia="Calibri"/>
        </w:rPr>
      </w:pPr>
      <w:r w:rsidRPr="00AD01C5">
        <w:rPr>
          <w:rFonts w:eastAsia="Calibri"/>
        </w:rPr>
        <w:t>consente di ottimizzare i fattori produttivi (veicoli, percorrenze e infrastrutture);</w:t>
      </w:r>
    </w:p>
    <w:p w14:paraId="43F82EBD" w14:textId="77777777" w:rsidR="00FD2CBB" w:rsidRPr="00AD01C5" w:rsidRDefault="00FD2CBB" w:rsidP="004B0DBE">
      <w:pPr>
        <w:numPr>
          <w:ilvl w:val="0"/>
          <w:numId w:val="73"/>
        </w:numPr>
        <w:spacing w:before="120" w:after="0" w:line="240" w:lineRule="auto"/>
        <w:rPr>
          <w:rFonts w:eastAsia="Calibri"/>
        </w:rPr>
      </w:pPr>
      <w:r w:rsidRPr="00AD01C5">
        <w:rPr>
          <w:rFonts w:eastAsia="Calibri"/>
        </w:rPr>
        <w:t>riduce i costi complessivi, sia diretti che indiretti, legati alle infrastrutture e alle operazioni.</w:t>
      </w:r>
    </w:p>
    <w:p w14:paraId="2325E0A1" w14:textId="77777777" w:rsidR="00FD2CBB" w:rsidRPr="00AD01C5" w:rsidRDefault="00FD2CBB" w:rsidP="00A457F1">
      <w:pPr>
        <w:spacing w:before="120" w:after="0" w:line="240" w:lineRule="auto"/>
        <w:rPr>
          <w:rFonts w:eastAsia="Calibri"/>
        </w:rPr>
      </w:pPr>
      <w:r w:rsidRPr="00AD01C5">
        <w:rPr>
          <w:rFonts w:eastAsia="Calibri"/>
        </w:rPr>
        <w:t>È importante precisare che il presente lavoro ha un carattere strettamente metodologico e non si propone di fornire una stima puntuale dei risparmi economici effettivi. Tale analisi più dettagliata e contestualizzata potrà essere effettuata dalle imprese di trasporto nel momento in cui presenteranno le loro proposte progettuali. Le aziende potranno, infatti, tenere in considerazione ulteriori variabili, tra cui la possibilità di utilizzare aree non infrastrutturate per lo stazionamento dei mezzi. Questa soluzione operativa, che sarà eventualmente sviluppata nelle proposte di gara, può risultare particolarmente vantaggiosa per facilitare sia la presa in servizio nelle prime ore del mattino che il rilascio degli autobus al termine delle operazioni serali, contribuendo ulteriormente alla riduzione dei costi per km a vuoto ed all’efficienza generale del sistema.</w:t>
      </w:r>
    </w:p>
    <w:p w14:paraId="7F273D67" w14:textId="77777777" w:rsidR="00FD2CBB" w:rsidRPr="00AD01C5" w:rsidRDefault="00FD2CBB" w:rsidP="00A457F1">
      <w:pPr>
        <w:spacing w:before="120" w:after="0" w:line="240" w:lineRule="auto"/>
        <w:rPr>
          <w:rFonts w:eastAsia="Calibri"/>
          <w:b/>
        </w:rPr>
      </w:pPr>
      <w:r w:rsidRPr="00AD01C5">
        <w:rPr>
          <w:rFonts w:eastAsia="Calibri"/>
          <w:b/>
        </w:rPr>
        <w:t>Analisi indicatori dotazione infrastrutturale</w:t>
      </w:r>
    </w:p>
    <w:p w14:paraId="1F6B8C1C" w14:textId="77777777" w:rsidR="00FD2CBB" w:rsidRDefault="00FD2CBB" w:rsidP="00A457F1">
      <w:pPr>
        <w:spacing w:before="120" w:after="0" w:line="240" w:lineRule="auto"/>
        <w:rPr>
          <w:rFonts w:eastAsia="Calibri"/>
        </w:rPr>
      </w:pPr>
      <w:r w:rsidRPr="00AD01C5">
        <w:rPr>
          <w:rFonts w:eastAsia="Calibri"/>
        </w:rPr>
        <w:t>Un’ulteriore riflessione può essere condotta sugli impianti e sulle infrastrutture presenti all’interno dei depositi, funzionali alla gestione e manutenzione della flotta, impianti di lavaggio, di rifornimento o officine attrezzate per le quali, allo stato attuale, l’Agenzia non conosce il reale costo, ma sulle quali possono sicuramente realizzarsi delle economie di scala con la riduzione del numero.</w:t>
      </w:r>
    </w:p>
    <w:p w14:paraId="77E9FA9F" w14:textId="77777777" w:rsidR="00A457F1" w:rsidRPr="00AD01C5" w:rsidRDefault="00A457F1" w:rsidP="00A457F1">
      <w:pPr>
        <w:spacing w:before="120" w:after="0" w:line="240" w:lineRule="auto"/>
        <w:rPr>
          <w:rFonts w:eastAsia="Calibri"/>
        </w:rPr>
      </w:pPr>
    </w:p>
    <w:p w14:paraId="6B37810E" w14:textId="0EB4CE80" w:rsidR="00243F2D" w:rsidRDefault="00462E62" w:rsidP="00243F2D">
      <w:pPr>
        <w:spacing w:before="120" w:after="0" w:line="240" w:lineRule="auto"/>
        <w:jc w:val="center"/>
        <w:rPr>
          <w:rFonts w:eastAsia="Calibri"/>
        </w:rPr>
      </w:pPr>
      <w:r w:rsidRPr="00462E62">
        <w:rPr>
          <w:noProof/>
        </w:rPr>
        <w:lastRenderedPageBreak/>
        <w:drawing>
          <wp:inline distT="0" distB="0" distL="0" distR="0" wp14:anchorId="68C022C9" wp14:editId="3FADEEF4">
            <wp:extent cx="5295900" cy="2752725"/>
            <wp:effectExtent l="0" t="0" r="0" b="9525"/>
            <wp:docPr id="27556196"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5295900" cy="2752725"/>
                    </a:xfrm>
                    <a:prstGeom prst="rect">
                      <a:avLst/>
                    </a:prstGeom>
                    <a:noFill/>
                    <a:ln>
                      <a:noFill/>
                    </a:ln>
                  </pic:spPr>
                </pic:pic>
              </a:graphicData>
            </a:graphic>
          </wp:inline>
        </w:drawing>
      </w:r>
    </w:p>
    <w:p w14:paraId="3D8E58B7" w14:textId="563F6252" w:rsidR="00FD2CBB" w:rsidRPr="00AD01C5" w:rsidRDefault="00FD2CBB" w:rsidP="00483FAA">
      <w:pPr>
        <w:spacing w:after="240" w:line="240" w:lineRule="auto"/>
        <w:jc w:val="center"/>
        <w:rPr>
          <w:rFonts w:eastAsia="Calibri"/>
          <w:color w:val="003366"/>
          <w:sz w:val="18"/>
          <w:szCs w:val="18"/>
        </w:rPr>
      </w:pPr>
      <w:r w:rsidRPr="00AD01C5">
        <w:rPr>
          <w:rFonts w:eastAsia="Calibri"/>
          <w:i/>
          <w:color w:val="003366"/>
          <w:sz w:val="18"/>
          <w:szCs w:val="18"/>
        </w:rPr>
        <w:t xml:space="preserve">Tabella </w:t>
      </w:r>
      <w:r w:rsidRPr="00BF35BC">
        <w:rPr>
          <w:rFonts w:cstheme="minorHAnsi"/>
          <w:i/>
          <w:color w:val="003366"/>
          <w:sz w:val="18"/>
          <w:szCs w:val="18"/>
        </w:rPr>
        <w:fldChar w:fldCharType="begin"/>
      </w:r>
      <w:r w:rsidRPr="00BF35BC">
        <w:rPr>
          <w:rFonts w:cstheme="minorHAnsi"/>
          <w:i/>
          <w:color w:val="003366"/>
          <w:sz w:val="18"/>
          <w:szCs w:val="18"/>
        </w:rPr>
        <w:instrText xml:space="preserve"> SEQ Tabella \* ARABIC </w:instrText>
      </w:r>
      <w:r w:rsidRPr="00BF35BC">
        <w:rPr>
          <w:rFonts w:cstheme="minorHAnsi"/>
          <w:i/>
          <w:color w:val="003366"/>
          <w:sz w:val="18"/>
          <w:szCs w:val="18"/>
        </w:rPr>
        <w:fldChar w:fldCharType="separate"/>
      </w:r>
      <w:r w:rsidR="00073B6D">
        <w:rPr>
          <w:rFonts w:cstheme="minorHAnsi"/>
          <w:i/>
          <w:noProof/>
          <w:color w:val="003366"/>
          <w:sz w:val="18"/>
          <w:szCs w:val="18"/>
        </w:rPr>
        <w:t>50</w:t>
      </w:r>
      <w:r w:rsidRPr="00BF35BC">
        <w:rPr>
          <w:rFonts w:cstheme="minorHAnsi"/>
          <w:i/>
          <w:color w:val="003366"/>
          <w:sz w:val="18"/>
          <w:szCs w:val="18"/>
        </w:rPr>
        <w:fldChar w:fldCharType="end"/>
      </w:r>
      <w:r w:rsidRPr="00BF35BC">
        <w:rPr>
          <w:rFonts w:cstheme="minorHAnsi"/>
          <w:i/>
          <w:color w:val="003366"/>
          <w:sz w:val="18"/>
          <w:szCs w:val="18"/>
        </w:rPr>
        <w:t xml:space="preserve"> </w:t>
      </w:r>
      <w:r w:rsidRPr="00AD01C5">
        <w:rPr>
          <w:rFonts w:eastAsia="Calibri"/>
          <w:color w:val="003366"/>
          <w:sz w:val="18"/>
          <w:szCs w:val="18"/>
        </w:rPr>
        <w:t xml:space="preserve">– </w:t>
      </w:r>
      <w:r w:rsidRPr="00AD01C5">
        <w:rPr>
          <w:rFonts w:eastAsia="Calibri"/>
          <w:i/>
          <w:color w:val="003366"/>
          <w:sz w:val="18"/>
          <w:szCs w:val="18"/>
        </w:rPr>
        <w:t>Confronto sulle infrastrutture di deposito fra scenari</w:t>
      </w:r>
      <w:r w:rsidR="00BF35BC" w:rsidRPr="00BF35BC">
        <w:rPr>
          <w:rStyle w:val="Rimandonotaapidipagina"/>
          <w:rFonts w:eastAsia="Calibri"/>
          <w:sz w:val="18"/>
          <w:szCs w:val="18"/>
        </w:rPr>
        <w:footnoteReference w:id="39"/>
      </w:r>
    </w:p>
    <w:p w14:paraId="18EE406C" w14:textId="06D06B0A" w:rsidR="00FD2CBB" w:rsidRPr="00AD01C5" w:rsidRDefault="00FD2CBB" w:rsidP="00A62382">
      <w:pPr>
        <w:spacing w:before="120" w:after="0" w:line="240" w:lineRule="auto"/>
        <w:rPr>
          <w:rFonts w:eastAsia="Calibri"/>
        </w:rPr>
      </w:pPr>
      <w:r w:rsidRPr="00AD01C5">
        <w:rPr>
          <w:rFonts w:eastAsia="Calibri"/>
        </w:rPr>
        <w:t xml:space="preserve">Come evidente dalla tabella </w:t>
      </w:r>
      <w:r w:rsidR="00990E9A">
        <w:rPr>
          <w:rFonts w:eastAsia="Calibri"/>
        </w:rPr>
        <w:t>dal</w:t>
      </w:r>
      <w:r w:rsidRPr="00AD01C5">
        <w:rPr>
          <w:rFonts w:eastAsia="Calibri"/>
        </w:rPr>
        <w:t>la riduzione dei depositi</w:t>
      </w:r>
      <w:r w:rsidR="00990E9A">
        <w:rPr>
          <w:rFonts w:eastAsia="Calibri"/>
        </w:rPr>
        <w:t xml:space="preserve"> deriva una</w:t>
      </w:r>
      <w:r w:rsidRPr="00AD01C5">
        <w:rPr>
          <w:rFonts w:eastAsia="Calibri"/>
        </w:rPr>
        <w:t xml:space="preserve"> riduzione dei costi è significativa</w:t>
      </w:r>
      <w:r w:rsidR="00990E9A">
        <w:rPr>
          <w:rFonts w:eastAsia="Calibri"/>
        </w:rPr>
        <w:t>; inoltre</w:t>
      </w:r>
      <w:r w:rsidRPr="00AD01C5">
        <w:rPr>
          <w:rFonts w:eastAsia="Calibri"/>
        </w:rPr>
        <w:t>:</w:t>
      </w:r>
    </w:p>
    <w:p w14:paraId="072A1DD8" w14:textId="77777777" w:rsidR="00FD2CBB" w:rsidRPr="00EF2033" w:rsidRDefault="00FD2CBB" w:rsidP="004B0DBE">
      <w:pPr>
        <w:numPr>
          <w:ilvl w:val="0"/>
          <w:numId w:val="85"/>
        </w:numPr>
        <w:spacing w:before="120" w:after="0" w:line="240" w:lineRule="auto"/>
        <w:rPr>
          <w:rFonts w:eastAsia="Calibri"/>
        </w:rPr>
      </w:pPr>
      <w:r w:rsidRPr="00EF2033">
        <w:rPr>
          <w:rFonts w:eastAsia="Calibri"/>
        </w:rPr>
        <w:t>La riduzione degli impianti di rifornimento comporta anche un'efficienza gestionale. Considerando che ci sono 16 depositi e 12 impianti, mediamente si devono rifornire 16 autobus al giorno per ogni impianto. Un autobus normalmente può viaggiare per 3 giorni con un pieno, e il rifornimento impiega circa 15 minuti. Pertanto, l'impianto sarà utilizzato al massimo per quattro ore al giorno; analoghe considerazioni possono essere fatte per gli impianti di lavaggio;</w:t>
      </w:r>
    </w:p>
    <w:p w14:paraId="75C79A31" w14:textId="77777777" w:rsidR="00FD2CBB" w:rsidRPr="00EF2033" w:rsidRDefault="00FD2CBB" w:rsidP="004B0DBE">
      <w:pPr>
        <w:numPr>
          <w:ilvl w:val="0"/>
          <w:numId w:val="85"/>
        </w:numPr>
        <w:spacing w:before="120" w:after="0" w:line="240" w:lineRule="auto"/>
        <w:rPr>
          <w:rFonts w:eastAsia="Calibri"/>
        </w:rPr>
      </w:pPr>
      <w:r w:rsidRPr="00EF2033">
        <w:rPr>
          <w:rFonts w:eastAsia="Calibri"/>
        </w:rPr>
        <w:t>Anche sulla superficie dei depositi si ottiene un efficientamento. La superficie per autobus è stata notevolmente ridotta; tuttavia, si segnala che un deposito progettato per autobus urbani ed extraurbani prevede una superficie di 100 mq per autobus. Progetti più recenti di depositi destinati ad autobus elettrici si attestano a 150 mq per autobus. In qualsiasi caso, le stime sopra riportate possono essere ulteriormente efficientate;</w:t>
      </w:r>
    </w:p>
    <w:p w14:paraId="057348E2" w14:textId="033D6E15" w:rsidR="00FD2CBB" w:rsidRPr="00EF2033" w:rsidRDefault="00FD2CBB" w:rsidP="004B0DBE">
      <w:pPr>
        <w:numPr>
          <w:ilvl w:val="0"/>
          <w:numId w:val="85"/>
        </w:numPr>
        <w:spacing w:before="120" w:after="0" w:line="240" w:lineRule="auto"/>
        <w:rPr>
          <w:rFonts w:eastAsia="Calibri"/>
        </w:rPr>
      </w:pPr>
      <w:r w:rsidRPr="00EF2033">
        <w:rPr>
          <w:rFonts w:eastAsia="Calibri"/>
        </w:rPr>
        <w:t xml:space="preserve">Per quanto riguarda le officine, le considerazioni possono essere leggermente diverse, ma comunque vanno nel senso del recupero di efficienza gestionale. </w:t>
      </w:r>
      <w:r w:rsidRPr="00A72FF1">
        <w:rPr>
          <w:rFonts w:eastAsia="Calibri"/>
        </w:rPr>
        <w:t xml:space="preserve">Nella tabella si è ipotizzato nello scenario 3.2 di mantenere un numero di officine </w:t>
      </w:r>
      <w:r w:rsidR="009B4228" w:rsidRPr="00A72FF1">
        <w:rPr>
          <w:rFonts w:eastAsia="Calibri"/>
        </w:rPr>
        <w:t>lievemente superiore</w:t>
      </w:r>
      <w:r w:rsidRPr="00A72FF1">
        <w:rPr>
          <w:rFonts w:eastAsia="Calibri"/>
        </w:rPr>
        <w:t xml:space="preserve"> allo stato</w:t>
      </w:r>
      <w:r w:rsidR="003A3B92" w:rsidRPr="00A72FF1">
        <w:rPr>
          <w:rFonts w:eastAsia="Calibri"/>
        </w:rPr>
        <w:t xml:space="preserve"> attuale</w:t>
      </w:r>
      <w:r>
        <w:rPr>
          <w:rFonts w:eastAsia="Calibri"/>
        </w:rPr>
        <w:t xml:space="preserve">, ipotesi che deve necessariamente prevedere </w:t>
      </w:r>
      <w:r w:rsidRPr="00EF2033">
        <w:rPr>
          <w:rFonts w:eastAsia="Calibri"/>
        </w:rPr>
        <w:t xml:space="preserve">costi aggiuntivi di investimento per la realizzazione di officine, </w:t>
      </w:r>
      <w:r>
        <w:rPr>
          <w:rFonts w:eastAsia="Calibri"/>
        </w:rPr>
        <w:t xml:space="preserve">in quanto dei depositi selezionati solo </w:t>
      </w:r>
      <w:r w:rsidR="0030192C" w:rsidRPr="00A72FF1">
        <w:rPr>
          <w:rFonts w:eastAsia="Calibri"/>
        </w:rPr>
        <w:t>9</w:t>
      </w:r>
      <w:r>
        <w:rPr>
          <w:rFonts w:eastAsia="Calibri"/>
        </w:rPr>
        <w:t xml:space="preserve"> risultano dotati di officine, </w:t>
      </w:r>
      <w:r w:rsidRPr="00EF2033">
        <w:rPr>
          <w:rFonts w:eastAsia="Calibri"/>
        </w:rPr>
        <w:t>ma si ottengono sicuramente risparmi sui tempi di trasferimento e sui chilometri a vuoto.</w:t>
      </w:r>
    </w:p>
    <w:p w14:paraId="32BFBBFA" w14:textId="77777777" w:rsidR="00FD2CBB" w:rsidRPr="00AD01C5" w:rsidRDefault="00FD2CBB" w:rsidP="00A62382">
      <w:pPr>
        <w:spacing w:before="120" w:after="0" w:line="240" w:lineRule="auto"/>
        <w:rPr>
          <w:rFonts w:eastAsia="Calibri"/>
        </w:rPr>
      </w:pPr>
      <w:r w:rsidRPr="00AD01C5">
        <w:rPr>
          <w:rFonts w:eastAsia="Calibri"/>
        </w:rPr>
        <w:t>In sintesi, la riduzione dei depositi conduce verso la ricerca di efficienza organizzativa, efficacia gestionale ed economicità.</w:t>
      </w:r>
    </w:p>
    <w:p w14:paraId="009B304E" w14:textId="77777777" w:rsidR="00FD2CBB" w:rsidRPr="00B61C5B" w:rsidRDefault="00FD2CBB" w:rsidP="003962E5">
      <w:pPr>
        <w:pStyle w:val="Titolo3"/>
        <w:ind w:left="720"/>
      </w:pPr>
      <w:bookmarkStart w:id="388" w:name="_Toc204328762"/>
      <w:bookmarkStart w:id="389" w:name="_Toc213078402"/>
      <w:bookmarkEnd w:id="382"/>
      <w:bookmarkEnd w:id="383"/>
      <w:bookmarkEnd w:id="384"/>
      <w:bookmarkEnd w:id="385"/>
      <w:r w:rsidRPr="00B61C5B">
        <w:t>Valutazione delle linee di inter-bacino</w:t>
      </w:r>
      <w:bookmarkEnd w:id="388"/>
      <w:bookmarkEnd w:id="389"/>
    </w:p>
    <w:bookmarkEnd w:id="386"/>
    <w:bookmarkEnd w:id="387"/>
    <w:p w14:paraId="5C98C294" w14:textId="1B73CCB9" w:rsidR="00FD2CBB" w:rsidRPr="00AD01C5" w:rsidRDefault="00FD2CBB" w:rsidP="00827FDF">
      <w:pPr>
        <w:spacing w:before="120" w:after="0" w:line="240" w:lineRule="auto"/>
        <w:rPr>
          <w:rFonts w:eastAsia="Calibri"/>
        </w:rPr>
      </w:pPr>
      <w:r w:rsidRPr="00AD01C5">
        <w:rPr>
          <w:rFonts w:eastAsia="Calibri"/>
        </w:rPr>
        <w:t xml:space="preserve">Per ottimizzare ulteriormente la gestione dei depositi e dei principali fattori di produzione, è stata condotta un’analisi approfondita delle linee di distribuzione inter-bacino situate nell'area di confine </w:t>
      </w:r>
      <w:r w:rsidRPr="00AD01C5">
        <w:rPr>
          <w:rFonts w:eastAsia="Calibri"/>
        </w:rPr>
        <w:lastRenderedPageBreak/>
        <w:t xml:space="preserve">tra il Bacino Metropolitano e </w:t>
      </w:r>
      <w:r>
        <w:rPr>
          <w:rFonts w:eastAsia="Calibri"/>
        </w:rPr>
        <w:t>gli altri t</w:t>
      </w:r>
      <w:r w:rsidR="00EE6840">
        <w:rPr>
          <w:rFonts w:eastAsia="Calibri"/>
        </w:rPr>
        <w:t>r</w:t>
      </w:r>
      <w:r>
        <w:rPr>
          <w:rFonts w:eastAsia="Calibri"/>
        </w:rPr>
        <w:t>e bacini</w:t>
      </w:r>
      <w:r w:rsidRPr="00AD01C5">
        <w:rPr>
          <w:rFonts w:eastAsia="Calibri"/>
        </w:rPr>
        <w:t xml:space="preserve">. Tale analisi ha consentito di identificare la possibilità di </w:t>
      </w:r>
      <w:r>
        <w:rPr>
          <w:rFonts w:eastAsia="Calibri"/>
        </w:rPr>
        <w:t>spostare l’assegnazione di alcune linee in seguito descritte</w:t>
      </w:r>
      <w:r w:rsidRPr="00AD01C5">
        <w:rPr>
          <w:rFonts w:eastAsia="Calibri"/>
        </w:rPr>
        <w:t>.</w:t>
      </w:r>
    </w:p>
    <w:p w14:paraId="6B6D81FA" w14:textId="77777777" w:rsidR="00FD2CBB" w:rsidRPr="00AD01C5" w:rsidRDefault="00FD2CBB" w:rsidP="00827FDF">
      <w:pPr>
        <w:spacing w:before="120" w:after="0" w:line="240" w:lineRule="auto"/>
        <w:rPr>
          <w:rFonts w:eastAsia="Calibri"/>
        </w:rPr>
      </w:pPr>
      <w:r w:rsidRPr="00AD6C3A">
        <w:rPr>
          <w:rFonts w:eastAsia="Calibri"/>
        </w:rPr>
        <w:t>La variazione di assegnazione delle linee inter-bacino è risultato ampiamente fattibile dal punto di vista trasportistico, grazie alla coerenza operativa e logistica che l’organizzazione delle linee già presentano. Questa scelta strategica appare sfruttare in modo più efficace le infrastrutture e i depositi esistenti nei rispettivi Bacini, ottimizzando la gestione delle risorse veicolari e riducendo i costi operativi attraverso economie di scala.</w:t>
      </w:r>
    </w:p>
    <w:p w14:paraId="632053CC" w14:textId="77777777" w:rsidR="00FD2CBB" w:rsidRPr="00AD01C5" w:rsidRDefault="00FD2CBB" w:rsidP="00827FDF">
      <w:pPr>
        <w:spacing w:before="120" w:after="0" w:line="240" w:lineRule="auto"/>
        <w:rPr>
          <w:rFonts w:eastAsia="Calibri"/>
        </w:rPr>
      </w:pPr>
      <w:r w:rsidRPr="00AD6C3A">
        <w:rPr>
          <w:rFonts w:eastAsia="Calibri"/>
        </w:rPr>
        <w:t>Il differente conferimento delle linee inter-bacino presenta vantaggi specifici in termini di assegnazione delle linee ai depositi. Grazie alla loro posizione strategica e alla prossimità delle linee inter-bacino ai depositi esistenti, è possibile ottimizzare i collegamenti tra linee e depositi, riducendo al minimo i chilometri percorsi a vuoto e migliorando l’efficienza operativa complessiva</w:t>
      </w:r>
      <w:r>
        <w:rPr>
          <w:rFonts w:eastAsia="Calibri"/>
        </w:rPr>
        <w:t>.</w:t>
      </w:r>
    </w:p>
    <w:p w14:paraId="6A3B9C3D" w14:textId="77777777" w:rsidR="00FD2CBB" w:rsidRPr="00AD01C5" w:rsidRDefault="00FD2CBB" w:rsidP="00827FDF">
      <w:pPr>
        <w:spacing w:before="120" w:after="0" w:line="240" w:lineRule="auto"/>
        <w:rPr>
          <w:rFonts w:eastAsia="Calibri"/>
        </w:rPr>
      </w:pPr>
      <w:r w:rsidRPr="00AD01C5">
        <w:rPr>
          <w:rFonts w:eastAsia="Calibri"/>
        </w:rPr>
        <w:t>Questo approccio consente di:</w:t>
      </w:r>
    </w:p>
    <w:p w14:paraId="0BE5B5EB" w14:textId="77777777" w:rsidR="00FD2CBB" w:rsidRPr="00AD01C5" w:rsidRDefault="00FD2CBB" w:rsidP="004B0DBE">
      <w:pPr>
        <w:numPr>
          <w:ilvl w:val="0"/>
          <w:numId w:val="71"/>
        </w:numPr>
        <w:spacing w:before="120" w:after="0" w:line="240" w:lineRule="auto"/>
        <w:rPr>
          <w:rFonts w:eastAsia="Calibri"/>
        </w:rPr>
      </w:pPr>
      <w:r w:rsidRPr="00AD01C5">
        <w:rPr>
          <w:rFonts w:eastAsia="Calibri"/>
        </w:rPr>
        <w:t>ridurre la frammentazione logistica derivante dall’assegnazione delle linee a depositi in bacini diversi, migliorando la coerenza nella gestione dei servizi;</w:t>
      </w:r>
    </w:p>
    <w:p w14:paraId="06809F1D" w14:textId="77777777" w:rsidR="00FD2CBB" w:rsidRPr="00AD01C5" w:rsidRDefault="00FD2CBB" w:rsidP="004B0DBE">
      <w:pPr>
        <w:numPr>
          <w:ilvl w:val="0"/>
          <w:numId w:val="71"/>
        </w:numPr>
        <w:spacing w:before="120" w:after="0" w:line="240" w:lineRule="auto"/>
        <w:rPr>
          <w:rFonts w:eastAsia="Calibri"/>
        </w:rPr>
      </w:pPr>
      <w:r w:rsidRPr="00AD01C5">
        <w:rPr>
          <w:rFonts w:eastAsia="Calibri"/>
        </w:rPr>
        <w:t>facilitare l’organizzazione delle unità di rete, offrendo una maggiore semplificazione nella programmazione e la pianificazione dei servizi.</w:t>
      </w:r>
    </w:p>
    <w:p w14:paraId="0F64CB7E" w14:textId="1BE28DB9" w:rsidR="00FD2CBB" w:rsidRPr="00AD01C5" w:rsidRDefault="00FD2CBB" w:rsidP="00827FDF">
      <w:pPr>
        <w:spacing w:before="120" w:after="0" w:line="240" w:lineRule="auto"/>
        <w:rPr>
          <w:rFonts w:eastAsia="Calibri"/>
        </w:rPr>
      </w:pPr>
      <w:r w:rsidRPr="69E21B87">
        <w:rPr>
          <w:rFonts w:eastAsia="Calibri"/>
        </w:rPr>
        <w:t>Dal punto di vista economico, la differente distribuzione delle linee inter-bacino dei servizi del Bacino Metropolitano consente di ottenere economie di scala. Questo risultato sarà valutato nel dettaglio nel paragrafo</w:t>
      </w:r>
      <w:r w:rsidR="002D5A90">
        <w:rPr>
          <w:rFonts w:eastAsia="Calibri"/>
        </w:rPr>
        <w:t xml:space="preserve"> </w:t>
      </w:r>
      <w:r w:rsidR="002D5A90">
        <w:rPr>
          <w:rFonts w:eastAsia="Calibri"/>
        </w:rPr>
        <w:fldChar w:fldCharType="begin"/>
      </w:r>
      <w:r w:rsidR="002D5A90">
        <w:rPr>
          <w:rFonts w:eastAsia="Calibri"/>
        </w:rPr>
        <w:instrText xml:space="preserve"> REF _Ref192237806 \r \h </w:instrText>
      </w:r>
      <w:r w:rsidR="002D5A90">
        <w:rPr>
          <w:rFonts w:eastAsia="Calibri"/>
        </w:rPr>
      </w:r>
      <w:r w:rsidR="002D5A90">
        <w:rPr>
          <w:rFonts w:eastAsia="Calibri"/>
        </w:rPr>
        <w:fldChar w:fldCharType="separate"/>
      </w:r>
      <w:r w:rsidR="00073B6D">
        <w:rPr>
          <w:rFonts w:eastAsia="Calibri"/>
        </w:rPr>
        <w:t>7.3</w:t>
      </w:r>
      <w:r w:rsidR="002D5A90">
        <w:rPr>
          <w:rFonts w:eastAsia="Calibri"/>
        </w:rPr>
        <w:fldChar w:fldCharType="end"/>
      </w:r>
      <w:r w:rsidRPr="69E21B87">
        <w:rPr>
          <w:rFonts w:eastAsia="Calibri"/>
        </w:rPr>
        <w:t>, con l’applicazione dei costi standard.</w:t>
      </w:r>
    </w:p>
    <w:p w14:paraId="28DF5DD7" w14:textId="77777777" w:rsidR="00FD2CBB" w:rsidRPr="00AD01C5" w:rsidRDefault="00FD2CBB" w:rsidP="00827FDF">
      <w:pPr>
        <w:spacing w:before="120" w:after="0" w:line="240" w:lineRule="auto"/>
        <w:rPr>
          <w:rFonts w:eastAsia="Calibri"/>
        </w:rPr>
      </w:pPr>
      <w:r w:rsidRPr="00AD01C5">
        <w:rPr>
          <w:rFonts w:eastAsia="Calibri"/>
        </w:rPr>
        <w:t xml:space="preserve">Di seguito è riportato l’elenco delle linee </w:t>
      </w:r>
      <w:r>
        <w:rPr>
          <w:rFonts w:eastAsia="Calibri"/>
        </w:rPr>
        <w:t xml:space="preserve">spostate </w:t>
      </w:r>
      <w:r w:rsidRPr="00AD01C5">
        <w:rPr>
          <w:rFonts w:eastAsia="Calibri"/>
        </w:rPr>
        <w:t>d</w:t>
      </w:r>
      <w:r>
        <w:rPr>
          <w:rFonts w:eastAsia="Calibri"/>
        </w:rPr>
        <w:t>a</w:t>
      </w:r>
      <w:r w:rsidRPr="00AD01C5">
        <w:rPr>
          <w:rFonts w:eastAsia="Calibri"/>
        </w:rPr>
        <w:t xml:space="preserve">l Bacino </w:t>
      </w:r>
      <w:r>
        <w:rPr>
          <w:rFonts w:eastAsia="Calibri"/>
        </w:rPr>
        <w:t>Metropolitano</w:t>
      </w:r>
      <w:r w:rsidRPr="00AD01C5">
        <w:rPr>
          <w:rFonts w:eastAsia="Calibri"/>
        </w:rPr>
        <w:t xml:space="preserve"> </w:t>
      </w:r>
      <w:r>
        <w:rPr>
          <w:rFonts w:eastAsia="Calibri"/>
        </w:rPr>
        <w:t xml:space="preserve">verso gli altri bacini </w:t>
      </w:r>
      <w:r w:rsidRPr="00AD01C5">
        <w:rPr>
          <w:rFonts w:eastAsia="Calibri"/>
        </w:rPr>
        <w:t xml:space="preserve">e il relativo </w:t>
      </w:r>
      <w:r>
        <w:rPr>
          <w:rFonts w:eastAsia="Calibri"/>
        </w:rPr>
        <w:t xml:space="preserve">bacino </w:t>
      </w:r>
      <w:r w:rsidRPr="00AD01C5">
        <w:rPr>
          <w:rFonts w:eastAsia="Calibri"/>
        </w:rPr>
        <w:t>di assegnazione.</w:t>
      </w:r>
    </w:p>
    <w:p w14:paraId="1C1FDC5F" w14:textId="77777777" w:rsidR="00FD2CBB" w:rsidRDefault="00FD2CBB" w:rsidP="00827FDF">
      <w:pPr>
        <w:spacing w:before="120" w:after="0" w:line="240" w:lineRule="auto"/>
        <w:rPr>
          <w:rFonts w:eastAsia="Calibri"/>
        </w:rPr>
      </w:pPr>
    </w:p>
    <w:tbl>
      <w:tblPr>
        <w:tblW w:w="5000" w:type="pct"/>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380"/>
        <w:gridCol w:w="5810"/>
        <w:gridCol w:w="1870"/>
      </w:tblGrid>
      <w:tr w:rsidR="00FD2CBB" w:rsidRPr="00AD01C5" w14:paraId="6C9D6847" w14:textId="77777777" w:rsidTr="0065550A">
        <w:trPr>
          <w:trHeight w:val="567"/>
          <w:jc w:val="center"/>
        </w:trPr>
        <w:tc>
          <w:tcPr>
            <w:tcW w:w="762" w:type="pct"/>
            <w:shd w:val="clear" w:color="auto" w:fill="EE3438"/>
            <w:noWrap/>
            <w:vAlign w:val="center"/>
            <w:hideMark/>
          </w:tcPr>
          <w:p w14:paraId="0D55E522" w14:textId="77777777" w:rsidR="00FD2CBB" w:rsidRPr="000A3555" w:rsidRDefault="00FD2CBB" w:rsidP="001506DC">
            <w:pPr>
              <w:spacing w:after="0" w:line="240" w:lineRule="auto"/>
              <w:jc w:val="center"/>
              <w:rPr>
                <w:rFonts w:eastAsia="Times New Roman" w:cs="Calibri"/>
                <w:b/>
                <w:color w:val="FFFFFF" w:themeColor="background1"/>
                <w:lang w:eastAsia="en-GB"/>
              </w:rPr>
            </w:pPr>
            <w:r w:rsidRPr="000A3555">
              <w:rPr>
                <w:rFonts w:eastAsia="Times New Roman" w:cs="Calibri"/>
                <w:b/>
                <w:color w:val="FFFFFF" w:themeColor="background1"/>
                <w:lang w:eastAsia="en-GB"/>
              </w:rPr>
              <w:t>Codice Linee</w:t>
            </w:r>
          </w:p>
        </w:tc>
        <w:tc>
          <w:tcPr>
            <w:tcW w:w="3206" w:type="pct"/>
            <w:shd w:val="clear" w:color="auto" w:fill="EE3438"/>
            <w:noWrap/>
            <w:vAlign w:val="center"/>
            <w:hideMark/>
          </w:tcPr>
          <w:p w14:paraId="3343FACE" w14:textId="77777777" w:rsidR="00FD2CBB" w:rsidRPr="000A3555" w:rsidRDefault="00FD2CBB" w:rsidP="00844D14">
            <w:pPr>
              <w:spacing w:after="0" w:line="240" w:lineRule="auto"/>
              <w:jc w:val="left"/>
              <w:rPr>
                <w:rFonts w:eastAsia="Times New Roman" w:cs="Calibri"/>
                <w:b/>
                <w:color w:val="FFFFFF" w:themeColor="background1"/>
                <w:lang w:eastAsia="en-GB"/>
              </w:rPr>
            </w:pPr>
            <w:r w:rsidRPr="000A3555">
              <w:rPr>
                <w:rFonts w:eastAsia="Times New Roman" w:cs="Calibri"/>
                <w:b/>
                <w:color w:val="FFFFFF" w:themeColor="background1"/>
                <w:lang w:eastAsia="en-GB"/>
              </w:rPr>
              <w:t>Descrizione linea</w:t>
            </w:r>
          </w:p>
        </w:tc>
        <w:tc>
          <w:tcPr>
            <w:tcW w:w="1032" w:type="pct"/>
            <w:shd w:val="clear" w:color="auto" w:fill="EE3438"/>
            <w:noWrap/>
            <w:vAlign w:val="center"/>
            <w:hideMark/>
          </w:tcPr>
          <w:p w14:paraId="51F9862E" w14:textId="4330C89E" w:rsidR="00FD2CBB" w:rsidRPr="000A3555" w:rsidRDefault="00FD2CBB" w:rsidP="00844D14">
            <w:pPr>
              <w:spacing w:after="0" w:line="240" w:lineRule="auto"/>
              <w:jc w:val="right"/>
              <w:rPr>
                <w:rFonts w:eastAsia="Times New Roman" w:cs="Calibri"/>
                <w:b/>
                <w:color w:val="FFFFFF" w:themeColor="background1"/>
                <w:lang w:eastAsia="en-GB"/>
              </w:rPr>
            </w:pPr>
            <w:r w:rsidRPr="000A3555">
              <w:rPr>
                <w:rFonts w:eastAsia="Times New Roman" w:cs="Calibri"/>
                <w:b/>
                <w:color w:val="FFFFFF" w:themeColor="background1"/>
                <w:lang w:eastAsia="en-GB"/>
              </w:rPr>
              <w:t>km/anno PEA</w:t>
            </w:r>
          </w:p>
        </w:tc>
      </w:tr>
      <w:tr w:rsidR="00FD2CBB" w:rsidRPr="00AD01C5" w14:paraId="281FFE8B" w14:textId="77777777" w:rsidTr="00844D14">
        <w:trPr>
          <w:trHeight w:val="340"/>
          <w:jc w:val="center"/>
        </w:trPr>
        <w:tc>
          <w:tcPr>
            <w:tcW w:w="762" w:type="pct"/>
            <w:noWrap/>
            <w:vAlign w:val="center"/>
          </w:tcPr>
          <w:p w14:paraId="6DB65643" w14:textId="77777777" w:rsidR="00FD2CBB" w:rsidRPr="00AD01C5" w:rsidRDefault="00FD2CBB" w:rsidP="001506DC">
            <w:pPr>
              <w:spacing w:after="0" w:line="240" w:lineRule="auto"/>
              <w:jc w:val="center"/>
              <w:rPr>
                <w:rFonts w:eastAsia="Times New Roman" w:cs="Calibri"/>
                <w:lang w:eastAsia="en-GB"/>
              </w:rPr>
            </w:pPr>
            <w:r w:rsidRPr="00AD01C5">
              <w:rPr>
                <w:rFonts w:eastAsia="Calibri"/>
              </w:rPr>
              <w:t>170</w:t>
            </w:r>
          </w:p>
        </w:tc>
        <w:tc>
          <w:tcPr>
            <w:tcW w:w="3206" w:type="pct"/>
            <w:noWrap/>
            <w:vAlign w:val="center"/>
          </w:tcPr>
          <w:p w14:paraId="07184CE4" w14:textId="77777777" w:rsidR="00FD2CBB" w:rsidRPr="00AD01C5" w:rsidRDefault="00FD2CBB" w:rsidP="001506DC">
            <w:pPr>
              <w:spacing w:after="0" w:line="240" w:lineRule="auto"/>
              <w:jc w:val="left"/>
              <w:rPr>
                <w:rFonts w:eastAsia="Times New Roman" w:cs="Calibri"/>
                <w:lang w:eastAsia="en-GB"/>
              </w:rPr>
            </w:pPr>
            <w:r w:rsidRPr="00AD01C5">
              <w:rPr>
                <w:rFonts w:eastAsia="Calibri"/>
              </w:rPr>
              <w:t>Montechiaro - Chieri - Torino</w:t>
            </w:r>
          </w:p>
        </w:tc>
        <w:tc>
          <w:tcPr>
            <w:tcW w:w="1032" w:type="pct"/>
            <w:noWrap/>
            <w:vAlign w:val="center"/>
          </w:tcPr>
          <w:p w14:paraId="4A4A86BE" w14:textId="77777777" w:rsidR="00FD2CBB" w:rsidRPr="00AD01C5" w:rsidRDefault="00FD2CBB" w:rsidP="001506DC">
            <w:pPr>
              <w:spacing w:after="0" w:line="240" w:lineRule="auto"/>
              <w:jc w:val="right"/>
              <w:rPr>
                <w:rFonts w:eastAsia="Times New Roman" w:cs="Calibri"/>
                <w:lang w:eastAsia="en-GB"/>
              </w:rPr>
            </w:pPr>
            <w:r w:rsidRPr="00AD01C5">
              <w:rPr>
                <w:rFonts w:eastAsia="Calibri"/>
              </w:rPr>
              <w:t xml:space="preserve"> 323.566 </w:t>
            </w:r>
          </w:p>
        </w:tc>
      </w:tr>
      <w:tr w:rsidR="00FD2CBB" w:rsidRPr="00AD01C5" w14:paraId="3779996D" w14:textId="77777777" w:rsidTr="00844D14">
        <w:trPr>
          <w:trHeight w:val="340"/>
          <w:jc w:val="center"/>
        </w:trPr>
        <w:tc>
          <w:tcPr>
            <w:tcW w:w="762" w:type="pct"/>
            <w:noWrap/>
            <w:vAlign w:val="center"/>
          </w:tcPr>
          <w:p w14:paraId="6E74D3F7" w14:textId="77777777" w:rsidR="00FD2CBB" w:rsidRPr="00AD01C5" w:rsidRDefault="00FD2CBB" w:rsidP="001506DC">
            <w:pPr>
              <w:spacing w:after="0" w:line="240" w:lineRule="auto"/>
              <w:jc w:val="center"/>
              <w:rPr>
                <w:rFonts w:eastAsia="Times New Roman" w:cs="Calibri"/>
                <w:lang w:eastAsia="en-GB"/>
              </w:rPr>
            </w:pPr>
            <w:r w:rsidRPr="00AD01C5">
              <w:rPr>
                <w:rFonts w:eastAsia="Calibri"/>
              </w:rPr>
              <w:t>171</w:t>
            </w:r>
          </w:p>
        </w:tc>
        <w:tc>
          <w:tcPr>
            <w:tcW w:w="3206" w:type="pct"/>
            <w:noWrap/>
            <w:vAlign w:val="center"/>
          </w:tcPr>
          <w:p w14:paraId="12F490C9" w14:textId="77777777" w:rsidR="00FD2CBB" w:rsidRPr="00AD01C5" w:rsidRDefault="00FD2CBB" w:rsidP="001506DC">
            <w:pPr>
              <w:spacing w:after="0" w:line="240" w:lineRule="auto"/>
              <w:jc w:val="left"/>
              <w:rPr>
                <w:rFonts w:eastAsia="Times New Roman" w:cs="Calibri"/>
                <w:lang w:eastAsia="en-GB"/>
              </w:rPr>
            </w:pPr>
            <w:r w:rsidRPr="00AD01C5">
              <w:rPr>
                <w:rFonts w:eastAsia="Calibri"/>
              </w:rPr>
              <w:t>Albugnano - Chieri</w:t>
            </w:r>
          </w:p>
        </w:tc>
        <w:tc>
          <w:tcPr>
            <w:tcW w:w="1032" w:type="pct"/>
            <w:noWrap/>
            <w:vAlign w:val="center"/>
          </w:tcPr>
          <w:p w14:paraId="4B6331C8" w14:textId="77777777" w:rsidR="00FD2CBB" w:rsidRPr="00AD01C5" w:rsidRDefault="00FD2CBB" w:rsidP="001506DC">
            <w:pPr>
              <w:spacing w:after="0" w:line="240" w:lineRule="auto"/>
              <w:jc w:val="right"/>
              <w:rPr>
                <w:rFonts w:eastAsia="Times New Roman" w:cs="Calibri"/>
                <w:lang w:eastAsia="en-GB"/>
              </w:rPr>
            </w:pPr>
            <w:r w:rsidRPr="00AD01C5">
              <w:rPr>
                <w:rFonts w:eastAsia="Calibri"/>
              </w:rPr>
              <w:t xml:space="preserve"> 14.090 </w:t>
            </w:r>
          </w:p>
        </w:tc>
      </w:tr>
      <w:tr w:rsidR="00FD2CBB" w:rsidRPr="00AD01C5" w14:paraId="5847797E" w14:textId="77777777" w:rsidTr="00844D14">
        <w:trPr>
          <w:trHeight w:val="340"/>
          <w:jc w:val="center"/>
        </w:trPr>
        <w:tc>
          <w:tcPr>
            <w:tcW w:w="762" w:type="pct"/>
            <w:noWrap/>
            <w:vAlign w:val="center"/>
          </w:tcPr>
          <w:p w14:paraId="4EFFC749" w14:textId="77777777" w:rsidR="00FD2CBB" w:rsidRPr="00AD01C5" w:rsidRDefault="00FD2CBB" w:rsidP="001506DC">
            <w:pPr>
              <w:spacing w:after="0" w:line="240" w:lineRule="auto"/>
              <w:jc w:val="center"/>
              <w:rPr>
                <w:rFonts w:eastAsia="Times New Roman" w:cs="Calibri"/>
                <w:lang w:eastAsia="en-GB"/>
              </w:rPr>
            </w:pPr>
            <w:r w:rsidRPr="00AD01C5">
              <w:rPr>
                <w:rFonts w:eastAsia="Calibri"/>
              </w:rPr>
              <w:t>232</w:t>
            </w:r>
          </w:p>
        </w:tc>
        <w:tc>
          <w:tcPr>
            <w:tcW w:w="3206" w:type="pct"/>
            <w:noWrap/>
            <w:vAlign w:val="center"/>
          </w:tcPr>
          <w:p w14:paraId="458D0972" w14:textId="77777777" w:rsidR="00FD2CBB" w:rsidRPr="00AD01C5" w:rsidRDefault="00FD2CBB" w:rsidP="001506DC">
            <w:pPr>
              <w:spacing w:after="0" w:line="240" w:lineRule="auto"/>
              <w:jc w:val="left"/>
              <w:rPr>
                <w:rFonts w:eastAsia="Times New Roman" w:cs="Calibri"/>
                <w:lang w:eastAsia="en-GB"/>
              </w:rPr>
            </w:pPr>
            <w:r w:rsidRPr="00AD01C5">
              <w:rPr>
                <w:rFonts w:eastAsia="Calibri"/>
              </w:rPr>
              <w:t>Cocconato - Chivasso F.S. - Torino</w:t>
            </w:r>
          </w:p>
        </w:tc>
        <w:tc>
          <w:tcPr>
            <w:tcW w:w="1032" w:type="pct"/>
            <w:noWrap/>
            <w:vAlign w:val="center"/>
          </w:tcPr>
          <w:p w14:paraId="4EB030A8" w14:textId="77777777" w:rsidR="00FD2CBB" w:rsidRPr="00AD01C5" w:rsidRDefault="00FD2CBB" w:rsidP="001506DC">
            <w:pPr>
              <w:spacing w:after="0" w:line="240" w:lineRule="auto"/>
              <w:jc w:val="right"/>
              <w:rPr>
                <w:rFonts w:eastAsia="Times New Roman" w:cs="Calibri"/>
                <w:lang w:eastAsia="en-GB"/>
              </w:rPr>
            </w:pPr>
            <w:r w:rsidRPr="00AD01C5">
              <w:rPr>
                <w:rFonts w:eastAsia="Calibri"/>
              </w:rPr>
              <w:t xml:space="preserve"> 108.002 </w:t>
            </w:r>
          </w:p>
        </w:tc>
      </w:tr>
      <w:tr w:rsidR="00FD2CBB" w:rsidRPr="00AD01C5" w14:paraId="45ACBD0D" w14:textId="77777777" w:rsidTr="00844D14">
        <w:trPr>
          <w:trHeight w:val="340"/>
          <w:jc w:val="center"/>
        </w:trPr>
        <w:tc>
          <w:tcPr>
            <w:tcW w:w="3968" w:type="pct"/>
            <w:gridSpan w:val="2"/>
            <w:shd w:val="clear" w:color="auto" w:fill="FF7C80"/>
            <w:noWrap/>
            <w:vAlign w:val="center"/>
          </w:tcPr>
          <w:p w14:paraId="490CB628" w14:textId="77777777" w:rsidR="00FD2CBB" w:rsidRPr="002639BF" w:rsidRDefault="00FD2CBB" w:rsidP="00844D14">
            <w:pPr>
              <w:spacing w:after="0" w:line="240" w:lineRule="auto"/>
              <w:jc w:val="center"/>
              <w:rPr>
                <w:rFonts w:eastAsia="Times New Roman" w:cs="Calibri"/>
                <w:b/>
                <w:i/>
                <w:lang w:eastAsia="en-GB"/>
              </w:rPr>
            </w:pPr>
            <w:r w:rsidRPr="002639BF">
              <w:rPr>
                <w:rFonts w:eastAsia="Times New Roman" w:cs="Calibri"/>
                <w:b/>
                <w:i/>
                <w:lang w:eastAsia="en-GB"/>
              </w:rPr>
              <w:t>Totale produzione assegnata al Bacino Sud-Est</w:t>
            </w:r>
          </w:p>
        </w:tc>
        <w:tc>
          <w:tcPr>
            <w:tcW w:w="1032" w:type="pct"/>
            <w:shd w:val="clear" w:color="auto" w:fill="FF7C80"/>
            <w:noWrap/>
            <w:vAlign w:val="center"/>
          </w:tcPr>
          <w:p w14:paraId="07B4FF24" w14:textId="77777777" w:rsidR="00FD2CBB" w:rsidRPr="002639BF" w:rsidRDefault="00FD2CBB" w:rsidP="001506DC">
            <w:pPr>
              <w:spacing w:after="0" w:line="240" w:lineRule="auto"/>
              <w:jc w:val="right"/>
              <w:rPr>
                <w:rFonts w:eastAsia="Times New Roman" w:cs="Calibri"/>
                <w:b/>
                <w:lang w:eastAsia="en-GB"/>
              </w:rPr>
            </w:pPr>
            <w:r w:rsidRPr="002639BF">
              <w:rPr>
                <w:rFonts w:eastAsia="Times New Roman" w:cs="Calibri"/>
                <w:b/>
                <w:lang w:eastAsia="en-GB"/>
              </w:rPr>
              <w:t>445.658</w:t>
            </w:r>
          </w:p>
        </w:tc>
      </w:tr>
      <w:tr w:rsidR="00FD2CBB" w:rsidRPr="00AD01C5" w14:paraId="0F206303" w14:textId="77777777" w:rsidTr="00844D14">
        <w:trPr>
          <w:trHeight w:val="340"/>
          <w:jc w:val="center"/>
        </w:trPr>
        <w:tc>
          <w:tcPr>
            <w:tcW w:w="762" w:type="pct"/>
            <w:noWrap/>
            <w:vAlign w:val="center"/>
          </w:tcPr>
          <w:p w14:paraId="0EDD85AD" w14:textId="77777777" w:rsidR="00FD2CBB" w:rsidRPr="00AD01C5" w:rsidRDefault="00FD2CBB" w:rsidP="001506DC">
            <w:pPr>
              <w:spacing w:after="0" w:line="240" w:lineRule="auto"/>
              <w:jc w:val="center"/>
              <w:rPr>
                <w:rFonts w:eastAsia="Times New Roman" w:cs="Calibri"/>
                <w:lang w:eastAsia="en-GB"/>
              </w:rPr>
            </w:pPr>
            <w:r w:rsidRPr="009D6685">
              <w:t>216</w:t>
            </w:r>
          </w:p>
        </w:tc>
        <w:tc>
          <w:tcPr>
            <w:tcW w:w="3206" w:type="pct"/>
            <w:noWrap/>
            <w:vAlign w:val="center"/>
          </w:tcPr>
          <w:p w14:paraId="635DEB2D" w14:textId="77777777" w:rsidR="00FD2CBB" w:rsidRPr="00AD01C5" w:rsidRDefault="00FD2CBB" w:rsidP="001506DC">
            <w:pPr>
              <w:spacing w:after="0" w:line="240" w:lineRule="auto"/>
              <w:jc w:val="left"/>
              <w:rPr>
                <w:rFonts w:eastAsia="Times New Roman" w:cs="Calibri"/>
                <w:lang w:eastAsia="en-GB"/>
              </w:rPr>
            </w:pPr>
            <w:r w:rsidRPr="009D6685">
              <w:t>CAVOUR-TORRE PELLICE</w:t>
            </w:r>
          </w:p>
        </w:tc>
        <w:tc>
          <w:tcPr>
            <w:tcW w:w="1032" w:type="pct"/>
            <w:noWrap/>
            <w:vAlign w:val="center"/>
          </w:tcPr>
          <w:p w14:paraId="2514196E" w14:textId="77777777" w:rsidR="00FD2CBB" w:rsidRPr="00AD01C5" w:rsidRDefault="00FD2CBB" w:rsidP="001506DC">
            <w:pPr>
              <w:spacing w:after="0" w:line="240" w:lineRule="auto"/>
              <w:jc w:val="right"/>
              <w:rPr>
                <w:rFonts w:eastAsia="Times New Roman" w:cs="Calibri"/>
                <w:lang w:eastAsia="en-GB"/>
              </w:rPr>
            </w:pPr>
            <w:r w:rsidRPr="009D6685">
              <w:t xml:space="preserve"> 37.922 </w:t>
            </w:r>
          </w:p>
        </w:tc>
      </w:tr>
      <w:tr w:rsidR="00FD2CBB" w:rsidRPr="00AD01C5" w14:paraId="4B8C7CAF" w14:textId="77777777" w:rsidTr="00844D14">
        <w:trPr>
          <w:trHeight w:val="340"/>
          <w:jc w:val="center"/>
        </w:trPr>
        <w:tc>
          <w:tcPr>
            <w:tcW w:w="762" w:type="pct"/>
            <w:noWrap/>
            <w:vAlign w:val="center"/>
          </w:tcPr>
          <w:p w14:paraId="68831998" w14:textId="77777777" w:rsidR="00FD2CBB" w:rsidRPr="00AD01C5" w:rsidRDefault="00FD2CBB" w:rsidP="001506DC">
            <w:pPr>
              <w:spacing w:after="0" w:line="240" w:lineRule="auto"/>
              <w:jc w:val="center"/>
              <w:rPr>
                <w:rFonts w:eastAsia="Times New Roman" w:cs="Calibri"/>
                <w:lang w:eastAsia="en-GB"/>
              </w:rPr>
            </w:pPr>
            <w:r w:rsidRPr="009D6685">
              <w:t>260</w:t>
            </w:r>
          </w:p>
        </w:tc>
        <w:tc>
          <w:tcPr>
            <w:tcW w:w="3206" w:type="pct"/>
            <w:noWrap/>
            <w:vAlign w:val="center"/>
          </w:tcPr>
          <w:p w14:paraId="0879BC35" w14:textId="77777777" w:rsidR="00FD2CBB" w:rsidRPr="00AD01C5" w:rsidRDefault="00FD2CBB" w:rsidP="001506DC">
            <w:pPr>
              <w:spacing w:after="0" w:line="240" w:lineRule="auto"/>
              <w:jc w:val="left"/>
              <w:rPr>
                <w:rFonts w:eastAsia="Times New Roman" w:cs="Calibri"/>
                <w:lang w:eastAsia="en-GB"/>
              </w:rPr>
            </w:pPr>
            <w:r w:rsidRPr="009D6685">
              <w:t>PANCALIERI-TORINO</w:t>
            </w:r>
          </w:p>
        </w:tc>
        <w:tc>
          <w:tcPr>
            <w:tcW w:w="1032" w:type="pct"/>
            <w:noWrap/>
            <w:vAlign w:val="center"/>
          </w:tcPr>
          <w:p w14:paraId="4135E484" w14:textId="77777777" w:rsidR="00FD2CBB" w:rsidRPr="00AD01C5" w:rsidRDefault="00FD2CBB" w:rsidP="001506DC">
            <w:pPr>
              <w:spacing w:after="0" w:line="240" w:lineRule="auto"/>
              <w:jc w:val="right"/>
              <w:rPr>
                <w:rFonts w:eastAsia="Times New Roman" w:cs="Calibri"/>
                <w:lang w:eastAsia="en-GB"/>
              </w:rPr>
            </w:pPr>
            <w:r w:rsidRPr="009D6685">
              <w:t xml:space="preserve"> 370.974 </w:t>
            </w:r>
          </w:p>
        </w:tc>
      </w:tr>
      <w:tr w:rsidR="00FD2CBB" w:rsidRPr="00AD01C5" w14:paraId="5A128C60" w14:textId="77777777" w:rsidTr="00844D14">
        <w:trPr>
          <w:trHeight w:val="340"/>
          <w:jc w:val="center"/>
        </w:trPr>
        <w:tc>
          <w:tcPr>
            <w:tcW w:w="762" w:type="pct"/>
            <w:noWrap/>
            <w:vAlign w:val="center"/>
          </w:tcPr>
          <w:p w14:paraId="67983285" w14:textId="77777777" w:rsidR="00FD2CBB" w:rsidRPr="00AD01C5" w:rsidRDefault="00FD2CBB" w:rsidP="001506DC">
            <w:pPr>
              <w:spacing w:after="0" w:line="240" w:lineRule="auto"/>
              <w:jc w:val="center"/>
              <w:rPr>
                <w:rFonts w:eastAsia="Times New Roman" w:cs="Calibri"/>
                <w:lang w:eastAsia="en-GB"/>
              </w:rPr>
            </w:pPr>
            <w:r w:rsidRPr="009D6685">
              <w:t>280</w:t>
            </w:r>
          </w:p>
        </w:tc>
        <w:tc>
          <w:tcPr>
            <w:tcW w:w="3206" w:type="pct"/>
            <w:noWrap/>
            <w:vAlign w:val="center"/>
          </w:tcPr>
          <w:p w14:paraId="54D6F633" w14:textId="77777777" w:rsidR="00FD2CBB" w:rsidRPr="00AD01C5" w:rsidRDefault="00FD2CBB" w:rsidP="001506DC">
            <w:pPr>
              <w:spacing w:after="0" w:line="240" w:lineRule="auto"/>
              <w:jc w:val="left"/>
              <w:rPr>
                <w:rFonts w:eastAsia="Times New Roman" w:cs="Calibri"/>
                <w:lang w:eastAsia="en-GB"/>
              </w:rPr>
            </w:pPr>
            <w:r w:rsidRPr="009D6685">
              <w:t>BARGE-PINEROLO</w:t>
            </w:r>
          </w:p>
        </w:tc>
        <w:tc>
          <w:tcPr>
            <w:tcW w:w="1032" w:type="pct"/>
            <w:noWrap/>
            <w:vAlign w:val="center"/>
          </w:tcPr>
          <w:p w14:paraId="55AFF338" w14:textId="77777777" w:rsidR="00FD2CBB" w:rsidRPr="00AD01C5" w:rsidRDefault="00FD2CBB" w:rsidP="001506DC">
            <w:pPr>
              <w:spacing w:after="0" w:line="240" w:lineRule="auto"/>
              <w:jc w:val="right"/>
              <w:rPr>
                <w:rFonts w:eastAsia="Times New Roman" w:cs="Calibri"/>
                <w:lang w:eastAsia="en-GB"/>
              </w:rPr>
            </w:pPr>
            <w:r w:rsidRPr="009D6685">
              <w:t xml:space="preserve"> 149.427 </w:t>
            </w:r>
          </w:p>
        </w:tc>
      </w:tr>
      <w:tr w:rsidR="00FD2CBB" w:rsidRPr="00AD01C5" w14:paraId="3EB9B67E" w14:textId="77777777" w:rsidTr="00844D14">
        <w:trPr>
          <w:trHeight w:val="340"/>
          <w:jc w:val="center"/>
        </w:trPr>
        <w:tc>
          <w:tcPr>
            <w:tcW w:w="762" w:type="pct"/>
            <w:noWrap/>
            <w:vAlign w:val="center"/>
          </w:tcPr>
          <w:p w14:paraId="14A02155" w14:textId="77777777" w:rsidR="00FD2CBB" w:rsidRPr="00AD01C5" w:rsidRDefault="00FD2CBB" w:rsidP="001506DC">
            <w:pPr>
              <w:spacing w:after="0" w:line="240" w:lineRule="auto"/>
              <w:jc w:val="center"/>
              <w:rPr>
                <w:rFonts w:eastAsia="Times New Roman" w:cs="Calibri"/>
                <w:lang w:eastAsia="en-GB"/>
              </w:rPr>
            </w:pPr>
            <w:r w:rsidRPr="009D6685">
              <w:t>298</w:t>
            </w:r>
          </w:p>
        </w:tc>
        <w:tc>
          <w:tcPr>
            <w:tcW w:w="3206" w:type="pct"/>
            <w:noWrap/>
            <w:vAlign w:val="center"/>
          </w:tcPr>
          <w:p w14:paraId="5E2B8747" w14:textId="77777777" w:rsidR="00FD2CBB" w:rsidRPr="00AD01C5" w:rsidRDefault="00FD2CBB" w:rsidP="001506DC">
            <w:pPr>
              <w:spacing w:after="0" w:line="240" w:lineRule="auto"/>
              <w:jc w:val="left"/>
              <w:rPr>
                <w:rFonts w:eastAsia="Times New Roman" w:cs="Calibri"/>
                <w:lang w:eastAsia="en-GB"/>
              </w:rPr>
            </w:pPr>
            <w:r w:rsidRPr="009D6685">
              <w:t>BARGE-BAGNOLO-PINEROLO CON PROL.</w:t>
            </w:r>
          </w:p>
        </w:tc>
        <w:tc>
          <w:tcPr>
            <w:tcW w:w="1032" w:type="pct"/>
            <w:noWrap/>
            <w:vAlign w:val="center"/>
          </w:tcPr>
          <w:p w14:paraId="46F1A0FC" w14:textId="77777777" w:rsidR="00FD2CBB" w:rsidRPr="00AD01C5" w:rsidRDefault="00FD2CBB" w:rsidP="001506DC">
            <w:pPr>
              <w:spacing w:after="0" w:line="240" w:lineRule="auto"/>
              <w:jc w:val="right"/>
              <w:rPr>
                <w:rFonts w:eastAsia="Times New Roman" w:cs="Calibri"/>
                <w:lang w:eastAsia="en-GB"/>
              </w:rPr>
            </w:pPr>
            <w:r w:rsidRPr="009D6685">
              <w:t xml:space="preserve"> 175.761 </w:t>
            </w:r>
          </w:p>
        </w:tc>
      </w:tr>
      <w:tr w:rsidR="00FD2CBB" w:rsidRPr="00AD01C5" w14:paraId="55403B72" w14:textId="77777777" w:rsidTr="00844D14">
        <w:trPr>
          <w:trHeight w:val="340"/>
          <w:jc w:val="center"/>
        </w:trPr>
        <w:tc>
          <w:tcPr>
            <w:tcW w:w="762" w:type="pct"/>
            <w:noWrap/>
            <w:vAlign w:val="center"/>
          </w:tcPr>
          <w:p w14:paraId="759ADC88" w14:textId="77777777" w:rsidR="00FD2CBB" w:rsidRPr="00AD01C5" w:rsidRDefault="00FD2CBB" w:rsidP="001506DC">
            <w:pPr>
              <w:spacing w:after="0" w:line="240" w:lineRule="auto"/>
              <w:jc w:val="center"/>
              <w:rPr>
                <w:rFonts w:eastAsia="Times New Roman" w:cs="Calibri"/>
                <w:lang w:eastAsia="en-GB"/>
              </w:rPr>
            </w:pPr>
            <w:r w:rsidRPr="009D6685">
              <w:t>301</w:t>
            </w:r>
          </w:p>
        </w:tc>
        <w:tc>
          <w:tcPr>
            <w:tcW w:w="3206" w:type="pct"/>
            <w:noWrap/>
            <w:vAlign w:val="center"/>
          </w:tcPr>
          <w:p w14:paraId="510B48AA" w14:textId="77777777" w:rsidR="00FD2CBB" w:rsidRPr="00AD01C5" w:rsidRDefault="00FD2CBB" w:rsidP="001506DC">
            <w:pPr>
              <w:spacing w:after="0" w:line="240" w:lineRule="auto"/>
              <w:jc w:val="left"/>
              <w:rPr>
                <w:rFonts w:eastAsia="Times New Roman" w:cs="Calibri"/>
                <w:lang w:eastAsia="en-GB"/>
              </w:rPr>
            </w:pPr>
            <w:r w:rsidRPr="009D6685">
              <w:t>MORETTA-AIRASCA STAB. RIV/SKF</w:t>
            </w:r>
          </w:p>
        </w:tc>
        <w:tc>
          <w:tcPr>
            <w:tcW w:w="1032" w:type="pct"/>
            <w:noWrap/>
            <w:vAlign w:val="center"/>
          </w:tcPr>
          <w:p w14:paraId="38EF73F4" w14:textId="77777777" w:rsidR="00FD2CBB" w:rsidRPr="00AD01C5" w:rsidRDefault="00FD2CBB" w:rsidP="001506DC">
            <w:pPr>
              <w:spacing w:after="0" w:line="240" w:lineRule="auto"/>
              <w:jc w:val="right"/>
              <w:rPr>
                <w:rFonts w:eastAsia="Times New Roman" w:cs="Calibri"/>
                <w:lang w:eastAsia="en-GB"/>
              </w:rPr>
            </w:pPr>
            <w:r w:rsidRPr="009D6685">
              <w:t xml:space="preserve"> 42.300 </w:t>
            </w:r>
          </w:p>
        </w:tc>
      </w:tr>
      <w:tr w:rsidR="00FD2CBB" w:rsidRPr="00AD01C5" w14:paraId="74151530" w14:textId="77777777" w:rsidTr="00844D14">
        <w:trPr>
          <w:trHeight w:val="340"/>
          <w:jc w:val="center"/>
        </w:trPr>
        <w:tc>
          <w:tcPr>
            <w:tcW w:w="762" w:type="pct"/>
            <w:noWrap/>
            <w:vAlign w:val="center"/>
          </w:tcPr>
          <w:p w14:paraId="1C355C28" w14:textId="77777777" w:rsidR="00FD2CBB" w:rsidRPr="00AD01C5" w:rsidRDefault="00FD2CBB" w:rsidP="001506DC">
            <w:pPr>
              <w:spacing w:after="0" w:line="240" w:lineRule="auto"/>
              <w:jc w:val="center"/>
              <w:rPr>
                <w:rFonts w:eastAsia="Times New Roman" w:cs="Calibri"/>
                <w:lang w:eastAsia="en-GB"/>
              </w:rPr>
            </w:pPr>
            <w:r w:rsidRPr="009D6685">
              <w:t>220 B</w:t>
            </w:r>
          </w:p>
        </w:tc>
        <w:tc>
          <w:tcPr>
            <w:tcW w:w="3206" w:type="pct"/>
            <w:noWrap/>
            <w:vAlign w:val="center"/>
          </w:tcPr>
          <w:p w14:paraId="461D38E8" w14:textId="77777777" w:rsidR="00FD2CBB" w:rsidRPr="00AD01C5" w:rsidRDefault="00FD2CBB" w:rsidP="001506DC">
            <w:pPr>
              <w:spacing w:after="0" w:line="240" w:lineRule="auto"/>
              <w:jc w:val="left"/>
              <w:rPr>
                <w:rFonts w:eastAsia="Times New Roman" w:cs="Calibri"/>
                <w:lang w:eastAsia="en-GB"/>
              </w:rPr>
            </w:pPr>
            <w:r w:rsidRPr="009D6685">
              <w:t>BARGE-CAVOUR-PINEROLO</w:t>
            </w:r>
          </w:p>
        </w:tc>
        <w:tc>
          <w:tcPr>
            <w:tcW w:w="1032" w:type="pct"/>
            <w:noWrap/>
            <w:vAlign w:val="center"/>
          </w:tcPr>
          <w:p w14:paraId="6A1CF5F8" w14:textId="77777777" w:rsidR="00FD2CBB" w:rsidRPr="00AD01C5" w:rsidRDefault="00FD2CBB" w:rsidP="001506DC">
            <w:pPr>
              <w:spacing w:after="0" w:line="240" w:lineRule="auto"/>
              <w:jc w:val="right"/>
              <w:rPr>
                <w:rFonts w:eastAsia="Times New Roman" w:cs="Calibri"/>
                <w:lang w:eastAsia="en-GB"/>
              </w:rPr>
            </w:pPr>
            <w:r w:rsidRPr="009D6685">
              <w:t xml:space="preserve"> 415.467 </w:t>
            </w:r>
          </w:p>
        </w:tc>
      </w:tr>
      <w:tr w:rsidR="00FD2CBB" w:rsidRPr="00AD01C5" w14:paraId="647677C8" w14:textId="77777777" w:rsidTr="00844D14">
        <w:trPr>
          <w:trHeight w:val="340"/>
          <w:jc w:val="center"/>
        </w:trPr>
        <w:tc>
          <w:tcPr>
            <w:tcW w:w="762" w:type="pct"/>
            <w:noWrap/>
            <w:vAlign w:val="center"/>
          </w:tcPr>
          <w:p w14:paraId="67DADA6E" w14:textId="77777777" w:rsidR="00FD2CBB" w:rsidRPr="00AD01C5" w:rsidRDefault="00FD2CBB" w:rsidP="001506DC">
            <w:pPr>
              <w:spacing w:after="0" w:line="240" w:lineRule="auto"/>
              <w:jc w:val="center"/>
              <w:rPr>
                <w:rFonts w:eastAsia="Times New Roman" w:cs="Calibri"/>
                <w:lang w:eastAsia="en-GB"/>
              </w:rPr>
            </w:pPr>
            <w:r w:rsidRPr="009D6685">
              <w:t>299T</w:t>
            </w:r>
          </w:p>
        </w:tc>
        <w:tc>
          <w:tcPr>
            <w:tcW w:w="3206" w:type="pct"/>
            <w:noWrap/>
            <w:vAlign w:val="center"/>
          </w:tcPr>
          <w:p w14:paraId="51FAA1E0" w14:textId="77777777" w:rsidR="00FD2CBB" w:rsidRPr="00AD01C5" w:rsidRDefault="00FD2CBB" w:rsidP="001506DC">
            <w:pPr>
              <w:spacing w:after="0" w:line="240" w:lineRule="auto"/>
              <w:jc w:val="left"/>
              <w:rPr>
                <w:rFonts w:eastAsia="Times New Roman" w:cs="Calibri"/>
                <w:lang w:eastAsia="en-GB"/>
              </w:rPr>
            </w:pPr>
            <w:r w:rsidRPr="009D6685">
              <w:t>TORINO-VILLAFRANCA PIEMONTE</w:t>
            </w:r>
          </w:p>
        </w:tc>
        <w:tc>
          <w:tcPr>
            <w:tcW w:w="1032" w:type="pct"/>
            <w:noWrap/>
            <w:vAlign w:val="center"/>
          </w:tcPr>
          <w:p w14:paraId="1720E824" w14:textId="77777777" w:rsidR="00FD2CBB" w:rsidRPr="00AD01C5" w:rsidRDefault="00FD2CBB" w:rsidP="001506DC">
            <w:pPr>
              <w:spacing w:after="0" w:line="240" w:lineRule="auto"/>
              <w:jc w:val="right"/>
              <w:rPr>
                <w:rFonts w:eastAsia="Times New Roman" w:cs="Calibri"/>
                <w:lang w:eastAsia="en-GB"/>
              </w:rPr>
            </w:pPr>
            <w:r w:rsidRPr="009D6685">
              <w:t xml:space="preserve"> 548.095 </w:t>
            </w:r>
          </w:p>
        </w:tc>
      </w:tr>
      <w:tr w:rsidR="00FD2CBB" w:rsidRPr="00AD01C5" w14:paraId="7557112A" w14:textId="77777777" w:rsidTr="00844D14">
        <w:trPr>
          <w:trHeight w:val="340"/>
          <w:jc w:val="center"/>
        </w:trPr>
        <w:tc>
          <w:tcPr>
            <w:tcW w:w="762" w:type="pct"/>
            <w:noWrap/>
            <w:vAlign w:val="center"/>
          </w:tcPr>
          <w:p w14:paraId="2FDE112B" w14:textId="77777777" w:rsidR="00FD2CBB" w:rsidRPr="00AD01C5" w:rsidRDefault="00FD2CBB" w:rsidP="001506DC">
            <w:pPr>
              <w:spacing w:after="0" w:line="240" w:lineRule="auto"/>
              <w:jc w:val="center"/>
              <w:rPr>
                <w:rFonts w:eastAsia="Times New Roman" w:cs="Calibri"/>
                <w:lang w:eastAsia="en-GB"/>
              </w:rPr>
            </w:pPr>
            <w:r w:rsidRPr="009D6685">
              <w:t>299V</w:t>
            </w:r>
          </w:p>
        </w:tc>
        <w:tc>
          <w:tcPr>
            <w:tcW w:w="3206" w:type="pct"/>
            <w:noWrap/>
            <w:vAlign w:val="center"/>
          </w:tcPr>
          <w:p w14:paraId="75456C78" w14:textId="77777777" w:rsidR="00FD2CBB" w:rsidRPr="00AD01C5" w:rsidRDefault="00FD2CBB" w:rsidP="001506DC">
            <w:pPr>
              <w:spacing w:after="0" w:line="240" w:lineRule="auto"/>
              <w:jc w:val="left"/>
              <w:rPr>
                <w:rFonts w:eastAsia="Times New Roman" w:cs="Calibri"/>
                <w:lang w:eastAsia="en-GB"/>
              </w:rPr>
            </w:pPr>
            <w:r w:rsidRPr="009D6685">
              <w:t>VILLAFRANCA PIEMONTE-SALUZZO</w:t>
            </w:r>
          </w:p>
        </w:tc>
        <w:tc>
          <w:tcPr>
            <w:tcW w:w="1032" w:type="pct"/>
            <w:noWrap/>
            <w:vAlign w:val="center"/>
          </w:tcPr>
          <w:p w14:paraId="035F2D3C" w14:textId="77777777" w:rsidR="00FD2CBB" w:rsidRPr="00AD01C5" w:rsidRDefault="00FD2CBB" w:rsidP="001506DC">
            <w:pPr>
              <w:spacing w:after="0" w:line="240" w:lineRule="auto"/>
              <w:jc w:val="right"/>
              <w:rPr>
                <w:rFonts w:eastAsia="Times New Roman" w:cs="Calibri"/>
                <w:lang w:eastAsia="en-GB"/>
              </w:rPr>
            </w:pPr>
            <w:r w:rsidRPr="009D6685">
              <w:t xml:space="preserve"> 183.260 </w:t>
            </w:r>
          </w:p>
        </w:tc>
      </w:tr>
      <w:tr w:rsidR="00FD2CBB" w:rsidRPr="00AD01C5" w14:paraId="2BA01594" w14:textId="77777777" w:rsidTr="00844D14">
        <w:trPr>
          <w:trHeight w:val="340"/>
          <w:jc w:val="center"/>
        </w:trPr>
        <w:tc>
          <w:tcPr>
            <w:tcW w:w="762" w:type="pct"/>
            <w:noWrap/>
            <w:vAlign w:val="center"/>
          </w:tcPr>
          <w:p w14:paraId="283A6535" w14:textId="77777777" w:rsidR="00FD2CBB" w:rsidRPr="00AD01C5" w:rsidRDefault="00FD2CBB" w:rsidP="001506DC">
            <w:pPr>
              <w:spacing w:after="0" w:line="240" w:lineRule="auto"/>
              <w:jc w:val="center"/>
              <w:rPr>
                <w:rFonts w:eastAsia="Times New Roman" w:cs="Calibri"/>
                <w:lang w:eastAsia="en-GB"/>
              </w:rPr>
            </w:pPr>
            <w:r w:rsidRPr="009D6685">
              <w:t>B259</w:t>
            </w:r>
          </w:p>
        </w:tc>
        <w:tc>
          <w:tcPr>
            <w:tcW w:w="3206" w:type="pct"/>
            <w:noWrap/>
            <w:vAlign w:val="center"/>
          </w:tcPr>
          <w:p w14:paraId="634959EC" w14:textId="77777777" w:rsidR="00FD2CBB" w:rsidRPr="00AD01C5" w:rsidRDefault="00FD2CBB" w:rsidP="001506DC">
            <w:pPr>
              <w:spacing w:after="0" w:line="240" w:lineRule="auto"/>
              <w:jc w:val="left"/>
              <w:rPr>
                <w:rFonts w:eastAsia="Times New Roman" w:cs="Calibri"/>
                <w:lang w:eastAsia="en-GB"/>
              </w:rPr>
            </w:pPr>
            <w:r w:rsidRPr="009D6685">
              <w:t>TORINO-LA LOGGIA-CARIGNANO-CARMAGNOLA</w:t>
            </w:r>
          </w:p>
        </w:tc>
        <w:tc>
          <w:tcPr>
            <w:tcW w:w="1032" w:type="pct"/>
            <w:noWrap/>
            <w:vAlign w:val="center"/>
          </w:tcPr>
          <w:p w14:paraId="100BB15E" w14:textId="77777777" w:rsidR="00FD2CBB" w:rsidRPr="00AD01C5" w:rsidRDefault="00FD2CBB" w:rsidP="001506DC">
            <w:pPr>
              <w:spacing w:after="0" w:line="240" w:lineRule="auto"/>
              <w:jc w:val="right"/>
              <w:rPr>
                <w:rFonts w:eastAsia="Times New Roman" w:cs="Calibri"/>
                <w:lang w:eastAsia="en-GB"/>
              </w:rPr>
            </w:pPr>
            <w:r w:rsidRPr="009D6685">
              <w:t xml:space="preserve"> 272.518 </w:t>
            </w:r>
          </w:p>
        </w:tc>
      </w:tr>
      <w:tr w:rsidR="00FD2CBB" w:rsidRPr="00AD01C5" w14:paraId="6E556028" w14:textId="77777777" w:rsidTr="00844D14">
        <w:trPr>
          <w:trHeight w:val="340"/>
          <w:jc w:val="center"/>
        </w:trPr>
        <w:tc>
          <w:tcPr>
            <w:tcW w:w="762" w:type="pct"/>
            <w:noWrap/>
            <w:vAlign w:val="center"/>
          </w:tcPr>
          <w:p w14:paraId="37688B9C" w14:textId="77777777" w:rsidR="00FD2CBB" w:rsidRPr="00AD01C5" w:rsidRDefault="00FD2CBB" w:rsidP="001506DC">
            <w:pPr>
              <w:spacing w:after="0" w:line="240" w:lineRule="auto"/>
              <w:jc w:val="center"/>
              <w:rPr>
                <w:rFonts w:eastAsia="Times New Roman" w:cs="Calibri"/>
                <w:lang w:eastAsia="en-GB"/>
              </w:rPr>
            </w:pPr>
            <w:r w:rsidRPr="008E0DEB">
              <w:t>B259TK</w:t>
            </w:r>
          </w:p>
        </w:tc>
        <w:tc>
          <w:tcPr>
            <w:tcW w:w="3206" w:type="pct"/>
            <w:noWrap/>
            <w:vAlign w:val="center"/>
          </w:tcPr>
          <w:p w14:paraId="40C0A608" w14:textId="77777777" w:rsidR="00FD2CBB" w:rsidRPr="00AD01C5" w:rsidRDefault="00FD2CBB" w:rsidP="001506DC">
            <w:pPr>
              <w:spacing w:after="0" w:line="240" w:lineRule="auto"/>
              <w:jc w:val="left"/>
              <w:rPr>
                <w:rFonts w:eastAsia="Times New Roman" w:cs="Calibri"/>
                <w:lang w:eastAsia="en-GB"/>
              </w:rPr>
            </w:pPr>
            <w:r w:rsidRPr="008E0DEB">
              <w:t>TORINO-CARMAGNOLA TEKSID</w:t>
            </w:r>
          </w:p>
        </w:tc>
        <w:tc>
          <w:tcPr>
            <w:tcW w:w="1032" w:type="pct"/>
            <w:noWrap/>
            <w:vAlign w:val="center"/>
          </w:tcPr>
          <w:p w14:paraId="39AE49E3" w14:textId="77777777" w:rsidR="00FD2CBB" w:rsidRPr="00AD01C5" w:rsidRDefault="00FD2CBB" w:rsidP="001506DC">
            <w:pPr>
              <w:spacing w:after="0" w:line="240" w:lineRule="auto"/>
              <w:jc w:val="right"/>
              <w:rPr>
                <w:rFonts w:eastAsia="Times New Roman" w:cs="Calibri"/>
                <w:lang w:eastAsia="en-GB"/>
              </w:rPr>
            </w:pPr>
            <w:r w:rsidRPr="008E0DEB">
              <w:t xml:space="preserve"> 41.210 </w:t>
            </w:r>
          </w:p>
        </w:tc>
      </w:tr>
      <w:tr w:rsidR="00FD2CBB" w:rsidRPr="00AD01C5" w14:paraId="2A31F39C" w14:textId="77777777" w:rsidTr="00844D14">
        <w:trPr>
          <w:trHeight w:val="340"/>
          <w:jc w:val="center"/>
        </w:trPr>
        <w:tc>
          <w:tcPr>
            <w:tcW w:w="3968" w:type="pct"/>
            <w:gridSpan w:val="2"/>
            <w:shd w:val="clear" w:color="auto" w:fill="FF7C80"/>
            <w:noWrap/>
            <w:vAlign w:val="center"/>
          </w:tcPr>
          <w:p w14:paraId="5C56BE70" w14:textId="77777777" w:rsidR="00FD2CBB" w:rsidRPr="002639BF" w:rsidRDefault="00FD2CBB" w:rsidP="00844D14">
            <w:pPr>
              <w:spacing w:after="0" w:line="240" w:lineRule="auto"/>
              <w:jc w:val="center"/>
              <w:rPr>
                <w:rFonts w:eastAsia="Times New Roman" w:cs="Calibri"/>
                <w:b/>
                <w:i/>
                <w:lang w:eastAsia="en-GB"/>
              </w:rPr>
            </w:pPr>
            <w:r w:rsidRPr="002639BF">
              <w:rPr>
                <w:rFonts w:eastAsia="Times New Roman" w:cs="Calibri"/>
                <w:b/>
                <w:i/>
                <w:lang w:eastAsia="en-GB"/>
              </w:rPr>
              <w:t>Totale produzione assegnata al Bacino Sud</w:t>
            </w:r>
          </w:p>
        </w:tc>
        <w:tc>
          <w:tcPr>
            <w:tcW w:w="1032" w:type="pct"/>
            <w:shd w:val="clear" w:color="auto" w:fill="FF7C80"/>
            <w:noWrap/>
            <w:vAlign w:val="center"/>
          </w:tcPr>
          <w:p w14:paraId="06D4BBB6" w14:textId="77777777" w:rsidR="00FD2CBB" w:rsidRPr="002639BF" w:rsidRDefault="00FD2CBB" w:rsidP="001506DC">
            <w:pPr>
              <w:spacing w:after="0" w:line="240" w:lineRule="auto"/>
              <w:jc w:val="right"/>
              <w:rPr>
                <w:rFonts w:eastAsia="Times New Roman" w:cs="Calibri"/>
                <w:b/>
                <w:lang w:eastAsia="en-GB"/>
              </w:rPr>
            </w:pPr>
            <w:r w:rsidRPr="002639BF">
              <w:rPr>
                <w:rFonts w:eastAsia="Times New Roman" w:cs="Calibri"/>
                <w:b/>
                <w:lang w:eastAsia="en-GB"/>
              </w:rPr>
              <w:t>2.236.934</w:t>
            </w:r>
          </w:p>
        </w:tc>
      </w:tr>
      <w:tr w:rsidR="00FD2CBB" w:rsidRPr="00AD01C5" w14:paraId="15040609" w14:textId="77777777" w:rsidTr="00844D14">
        <w:trPr>
          <w:trHeight w:val="340"/>
          <w:jc w:val="center"/>
        </w:trPr>
        <w:tc>
          <w:tcPr>
            <w:tcW w:w="762" w:type="pct"/>
            <w:noWrap/>
            <w:vAlign w:val="center"/>
          </w:tcPr>
          <w:p w14:paraId="595B6DE1" w14:textId="77777777" w:rsidR="00FD2CBB" w:rsidRPr="00AD01C5" w:rsidRDefault="00FD2CBB" w:rsidP="001506DC">
            <w:pPr>
              <w:spacing w:after="0" w:line="240" w:lineRule="auto"/>
              <w:jc w:val="center"/>
              <w:rPr>
                <w:rFonts w:eastAsia="Times New Roman" w:cs="Calibri"/>
                <w:lang w:eastAsia="en-GB"/>
              </w:rPr>
            </w:pPr>
            <w:r w:rsidRPr="00D177F5">
              <w:t>345</w:t>
            </w:r>
          </w:p>
        </w:tc>
        <w:tc>
          <w:tcPr>
            <w:tcW w:w="3206" w:type="pct"/>
            <w:noWrap/>
            <w:vAlign w:val="center"/>
          </w:tcPr>
          <w:p w14:paraId="23933226" w14:textId="77777777" w:rsidR="00FD2CBB" w:rsidRPr="00AD01C5" w:rsidRDefault="00FD2CBB" w:rsidP="001506DC">
            <w:pPr>
              <w:spacing w:after="0" w:line="240" w:lineRule="auto"/>
              <w:jc w:val="left"/>
              <w:rPr>
                <w:rFonts w:eastAsia="Times New Roman" w:cs="Calibri"/>
                <w:lang w:eastAsia="en-GB"/>
              </w:rPr>
            </w:pPr>
            <w:r w:rsidRPr="00D177F5">
              <w:t>TORINO-ANZASCO CON DIR. E PROL.</w:t>
            </w:r>
          </w:p>
        </w:tc>
        <w:tc>
          <w:tcPr>
            <w:tcW w:w="1032" w:type="pct"/>
            <w:noWrap/>
            <w:vAlign w:val="center"/>
          </w:tcPr>
          <w:p w14:paraId="60F79460" w14:textId="77777777" w:rsidR="00FD2CBB" w:rsidRPr="00AD01C5" w:rsidRDefault="00FD2CBB" w:rsidP="001506DC">
            <w:pPr>
              <w:spacing w:after="0" w:line="240" w:lineRule="auto"/>
              <w:jc w:val="right"/>
              <w:rPr>
                <w:rFonts w:eastAsia="Times New Roman" w:cs="Calibri"/>
                <w:lang w:eastAsia="en-GB"/>
              </w:rPr>
            </w:pPr>
            <w:r w:rsidRPr="00D177F5">
              <w:t xml:space="preserve"> 289.942 </w:t>
            </w:r>
          </w:p>
        </w:tc>
      </w:tr>
      <w:tr w:rsidR="00FD2CBB" w:rsidRPr="00AD01C5" w14:paraId="55DE405F" w14:textId="77777777" w:rsidTr="00844D14">
        <w:trPr>
          <w:trHeight w:val="340"/>
          <w:jc w:val="center"/>
        </w:trPr>
        <w:tc>
          <w:tcPr>
            <w:tcW w:w="762" w:type="pct"/>
            <w:noWrap/>
            <w:vAlign w:val="center"/>
          </w:tcPr>
          <w:p w14:paraId="566854F8" w14:textId="77777777" w:rsidR="00FD2CBB" w:rsidRPr="00AD01C5" w:rsidRDefault="00FD2CBB" w:rsidP="001506DC">
            <w:pPr>
              <w:spacing w:after="0" w:line="240" w:lineRule="auto"/>
              <w:jc w:val="center"/>
              <w:rPr>
                <w:rFonts w:eastAsia="Times New Roman" w:cs="Calibri"/>
                <w:lang w:eastAsia="en-GB"/>
              </w:rPr>
            </w:pPr>
            <w:r w:rsidRPr="00D177F5">
              <w:t>346</w:t>
            </w:r>
          </w:p>
        </w:tc>
        <w:tc>
          <w:tcPr>
            <w:tcW w:w="3206" w:type="pct"/>
            <w:noWrap/>
            <w:vAlign w:val="center"/>
          </w:tcPr>
          <w:p w14:paraId="7B9095CB" w14:textId="77777777" w:rsidR="00FD2CBB" w:rsidRPr="00AD01C5" w:rsidRDefault="00FD2CBB" w:rsidP="001506DC">
            <w:pPr>
              <w:spacing w:after="0" w:line="240" w:lineRule="auto"/>
              <w:jc w:val="left"/>
              <w:rPr>
                <w:rFonts w:eastAsia="Times New Roman" w:cs="Calibri"/>
                <w:lang w:eastAsia="en-GB"/>
              </w:rPr>
            </w:pPr>
            <w:r w:rsidRPr="00D177F5">
              <w:t>SALUSSOLA-CAVAGLIA'-CIGLIANO-RONDISSONE-CASTELROSSO</w:t>
            </w:r>
          </w:p>
        </w:tc>
        <w:tc>
          <w:tcPr>
            <w:tcW w:w="1032" w:type="pct"/>
            <w:noWrap/>
            <w:vAlign w:val="center"/>
          </w:tcPr>
          <w:p w14:paraId="74CF7591" w14:textId="77777777" w:rsidR="00FD2CBB" w:rsidRPr="00AD01C5" w:rsidRDefault="00FD2CBB" w:rsidP="001506DC">
            <w:pPr>
              <w:spacing w:after="0" w:line="240" w:lineRule="auto"/>
              <w:jc w:val="right"/>
              <w:rPr>
                <w:rFonts w:eastAsia="Times New Roman" w:cs="Calibri"/>
                <w:lang w:eastAsia="en-GB"/>
              </w:rPr>
            </w:pPr>
            <w:r w:rsidRPr="00D177F5">
              <w:t xml:space="preserve"> 9.913 </w:t>
            </w:r>
          </w:p>
        </w:tc>
      </w:tr>
      <w:tr w:rsidR="00FD2CBB" w:rsidRPr="00AD01C5" w14:paraId="3A7982BB" w14:textId="77777777" w:rsidTr="00844D14">
        <w:trPr>
          <w:trHeight w:val="340"/>
          <w:jc w:val="center"/>
        </w:trPr>
        <w:tc>
          <w:tcPr>
            <w:tcW w:w="762" w:type="pct"/>
            <w:noWrap/>
            <w:vAlign w:val="center"/>
          </w:tcPr>
          <w:p w14:paraId="4A5870BA" w14:textId="77777777" w:rsidR="00FD2CBB" w:rsidRPr="00AD01C5" w:rsidRDefault="00FD2CBB" w:rsidP="001506DC">
            <w:pPr>
              <w:spacing w:after="0" w:line="240" w:lineRule="auto"/>
              <w:jc w:val="center"/>
              <w:rPr>
                <w:rFonts w:eastAsia="Times New Roman" w:cs="Calibri"/>
                <w:lang w:eastAsia="en-GB"/>
              </w:rPr>
            </w:pPr>
            <w:r w:rsidRPr="00D177F5">
              <w:lastRenderedPageBreak/>
              <w:t>348</w:t>
            </w:r>
          </w:p>
        </w:tc>
        <w:tc>
          <w:tcPr>
            <w:tcW w:w="3206" w:type="pct"/>
            <w:noWrap/>
            <w:vAlign w:val="center"/>
          </w:tcPr>
          <w:p w14:paraId="3DE95ED8" w14:textId="77777777" w:rsidR="00FD2CBB" w:rsidRPr="00AD01C5" w:rsidRDefault="00FD2CBB" w:rsidP="001506DC">
            <w:pPr>
              <w:spacing w:after="0" w:line="240" w:lineRule="auto"/>
              <w:jc w:val="left"/>
              <w:rPr>
                <w:rFonts w:eastAsia="Times New Roman" w:cs="Calibri"/>
                <w:lang w:eastAsia="en-GB"/>
              </w:rPr>
            </w:pPr>
            <w:r w:rsidRPr="00D177F5">
              <w:t>ALICE C.-LIVORNO F.-CIGLIANO-IVREA</w:t>
            </w:r>
          </w:p>
        </w:tc>
        <w:tc>
          <w:tcPr>
            <w:tcW w:w="1032" w:type="pct"/>
            <w:noWrap/>
            <w:vAlign w:val="center"/>
          </w:tcPr>
          <w:p w14:paraId="3CE8650D" w14:textId="77777777" w:rsidR="00FD2CBB" w:rsidRPr="00AD01C5" w:rsidRDefault="00FD2CBB" w:rsidP="001506DC">
            <w:pPr>
              <w:spacing w:after="0" w:line="240" w:lineRule="auto"/>
              <w:jc w:val="right"/>
              <w:rPr>
                <w:rFonts w:eastAsia="Times New Roman" w:cs="Calibri"/>
                <w:lang w:eastAsia="en-GB"/>
              </w:rPr>
            </w:pPr>
            <w:r w:rsidRPr="00D177F5">
              <w:t xml:space="preserve"> 131.995 </w:t>
            </w:r>
          </w:p>
        </w:tc>
      </w:tr>
      <w:tr w:rsidR="00FD2CBB" w:rsidRPr="00AD01C5" w14:paraId="0262CDBA" w14:textId="77777777" w:rsidTr="00844D14">
        <w:trPr>
          <w:trHeight w:val="340"/>
          <w:jc w:val="center"/>
        </w:trPr>
        <w:tc>
          <w:tcPr>
            <w:tcW w:w="762" w:type="pct"/>
            <w:noWrap/>
            <w:vAlign w:val="center"/>
          </w:tcPr>
          <w:p w14:paraId="6299260F" w14:textId="77777777" w:rsidR="00FD2CBB" w:rsidRPr="00AD01C5" w:rsidRDefault="00FD2CBB" w:rsidP="001506DC">
            <w:pPr>
              <w:spacing w:after="0" w:line="240" w:lineRule="auto"/>
              <w:jc w:val="center"/>
              <w:rPr>
                <w:rFonts w:eastAsia="Times New Roman" w:cs="Calibri"/>
                <w:lang w:eastAsia="en-GB"/>
              </w:rPr>
            </w:pPr>
            <w:r w:rsidRPr="00D177F5">
              <w:t>358</w:t>
            </w:r>
          </w:p>
        </w:tc>
        <w:tc>
          <w:tcPr>
            <w:tcW w:w="3206" w:type="pct"/>
            <w:noWrap/>
            <w:vAlign w:val="center"/>
          </w:tcPr>
          <w:p w14:paraId="2855FD65" w14:textId="77777777" w:rsidR="00FD2CBB" w:rsidRPr="00AD01C5" w:rsidRDefault="00FD2CBB" w:rsidP="001506DC">
            <w:pPr>
              <w:spacing w:after="0" w:line="240" w:lineRule="auto"/>
              <w:jc w:val="left"/>
              <w:rPr>
                <w:rFonts w:eastAsia="Times New Roman" w:cs="Calibri"/>
                <w:lang w:eastAsia="en-GB"/>
              </w:rPr>
            </w:pPr>
            <w:r w:rsidRPr="00D177F5">
              <w:t>CAVAGLIA'-PIVERONE-IVREA</w:t>
            </w:r>
          </w:p>
        </w:tc>
        <w:tc>
          <w:tcPr>
            <w:tcW w:w="1032" w:type="pct"/>
            <w:noWrap/>
            <w:vAlign w:val="center"/>
          </w:tcPr>
          <w:p w14:paraId="05E6CD68" w14:textId="77777777" w:rsidR="00FD2CBB" w:rsidRPr="00AD01C5" w:rsidRDefault="00FD2CBB" w:rsidP="001506DC">
            <w:pPr>
              <w:spacing w:after="0" w:line="240" w:lineRule="auto"/>
              <w:jc w:val="right"/>
              <w:rPr>
                <w:rFonts w:eastAsia="Times New Roman" w:cs="Calibri"/>
                <w:lang w:eastAsia="en-GB"/>
              </w:rPr>
            </w:pPr>
            <w:r w:rsidRPr="00D177F5">
              <w:t xml:space="preserve"> 48.899 </w:t>
            </w:r>
          </w:p>
        </w:tc>
      </w:tr>
      <w:tr w:rsidR="00FD2CBB" w:rsidRPr="00AD01C5" w14:paraId="36E09CEB" w14:textId="77777777" w:rsidTr="00844D14">
        <w:trPr>
          <w:trHeight w:val="340"/>
          <w:jc w:val="center"/>
        </w:trPr>
        <w:tc>
          <w:tcPr>
            <w:tcW w:w="3968" w:type="pct"/>
            <w:gridSpan w:val="2"/>
            <w:shd w:val="clear" w:color="auto" w:fill="FF7C80"/>
            <w:noWrap/>
            <w:vAlign w:val="center"/>
          </w:tcPr>
          <w:p w14:paraId="237AFBDD" w14:textId="77777777" w:rsidR="00FD2CBB" w:rsidRPr="001C743E" w:rsidRDefault="00FD2CBB" w:rsidP="001506DC">
            <w:pPr>
              <w:spacing w:after="0" w:line="240" w:lineRule="auto"/>
              <w:jc w:val="left"/>
              <w:rPr>
                <w:rFonts w:eastAsia="Times New Roman" w:cs="Calibri"/>
                <w:b/>
                <w:i/>
                <w:lang w:eastAsia="en-GB"/>
              </w:rPr>
            </w:pPr>
            <w:r w:rsidRPr="001C743E">
              <w:rPr>
                <w:rFonts w:eastAsia="Times New Roman" w:cs="Calibri"/>
                <w:b/>
                <w:i/>
                <w:lang w:eastAsia="en-GB"/>
              </w:rPr>
              <w:t>Totale produzione assegnata al Bacino Nord-Est</w:t>
            </w:r>
          </w:p>
        </w:tc>
        <w:tc>
          <w:tcPr>
            <w:tcW w:w="1032" w:type="pct"/>
            <w:shd w:val="clear" w:color="auto" w:fill="FF7C80"/>
            <w:noWrap/>
            <w:vAlign w:val="center"/>
          </w:tcPr>
          <w:p w14:paraId="401D15F8" w14:textId="77777777" w:rsidR="00FD2CBB" w:rsidRPr="001C743E" w:rsidRDefault="00FD2CBB" w:rsidP="001506DC">
            <w:pPr>
              <w:spacing w:after="0" w:line="240" w:lineRule="auto"/>
              <w:jc w:val="right"/>
              <w:rPr>
                <w:rFonts w:eastAsia="Times New Roman" w:cs="Calibri"/>
                <w:b/>
                <w:lang w:eastAsia="en-GB"/>
              </w:rPr>
            </w:pPr>
            <w:r w:rsidRPr="001C743E">
              <w:rPr>
                <w:b/>
                <w:bCs/>
              </w:rPr>
              <w:t xml:space="preserve"> 480.749 </w:t>
            </w:r>
          </w:p>
        </w:tc>
      </w:tr>
      <w:tr w:rsidR="00FD2CBB" w:rsidRPr="000A3555" w14:paraId="2D82A693" w14:textId="77777777" w:rsidTr="00844D14">
        <w:trPr>
          <w:trHeight w:val="340"/>
          <w:jc w:val="center"/>
        </w:trPr>
        <w:tc>
          <w:tcPr>
            <w:tcW w:w="3968" w:type="pct"/>
            <w:gridSpan w:val="2"/>
            <w:shd w:val="clear" w:color="auto" w:fill="EE3438"/>
            <w:vAlign w:val="center"/>
          </w:tcPr>
          <w:p w14:paraId="61F0A455" w14:textId="77777777" w:rsidR="00FD2CBB" w:rsidRPr="000A3555" w:rsidRDefault="00FD2CBB" w:rsidP="001506DC">
            <w:pPr>
              <w:spacing w:after="0" w:line="240" w:lineRule="auto"/>
              <w:jc w:val="left"/>
              <w:rPr>
                <w:rFonts w:eastAsia="Times New Roman" w:cs="Calibri"/>
                <w:b/>
                <w:i/>
                <w:color w:val="FFFFFF" w:themeColor="background1"/>
                <w:lang w:eastAsia="en-GB"/>
              </w:rPr>
            </w:pPr>
            <w:r w:rsidRPr="000A3555">
              <w:rPr>
                <w:rFonts w:eastAsia="Times New Roman" w:cs="Calibri"/>
                <w:b/>
                <w:i/>
                <w:color w:val="FFFFFF" w:themeColor="background1"/>
                <w:lang w:eastAsia="en-GB"/>
              </w:rPr>
              <w:t>Totale produzione assegnata ad altri bacini</w:t>
            </w:r>
          </w:p>
        </w:tc>
        <w:tc>
          <w:tcPr>
            <w:tcW w:w="1032" w:type="pct"/>
            <w:shd w:val="clear" w:color="auto" w:fill="EE3438"/>
            <w:noWrap/>
            <w:vAlign w:val="center"/>
            <w:hideMark/>
          </w:tcPr>
          <w:p w14:paraId="67DD3D39" w14:textId="77777777" w:rsidR="00FD2CBB" w:rsidRPr="000A3555" w:rsidRDefault="00FD2CBB" w:rsidP="001506DC">
            <w:pPr>
              <w:spacing w:after="0" w:line="240" w:lineRule="auto"/>
              <w:jc w:val="right"/>
              <w:rPr>
                <w:rFonts w:eastAsia="Times New Roman" w:cs="Calibri"/>
                <w:b/>
                <w:color w:val="FFFFFF" w:themeColor="background1"/>
                <w:lang w:eastAsia="en-GB"/>
              </w:rPr>
            </w:pPr>
            <w:r w:rsidRPr="000A3555">
              <w:rPr>
                <w:b/>
                <w:bCs/>
                <w:color w:val="FFFFFF" w:themeColor="background1"/>
              </w:rPr>
              <w:t xml:space="preserve"> 3.163.341 </w:t>
            </w:r>
          </w:p>
        </w:tc>
      </w:tr>
    </w:tbl>
    <w:p w14:paraId="083D1A57" w14:textId="6D35B9C9" w:rsidR="00FD2CBB" w:rsidRDefault="00FD2CBB" w:rsidP="00E81F20">
      <w:pPr>
        <w:spacing w:after="240" w:line="240" w:lineRule="auto"/>
        <w:jc w:val="center"/>
        <w:rPr>
          <w:rFonts w:eastAsia="Calibri"/>
          <w:i/>
          <w:color w:val="17406D"/>
          <w:sz w:val="18"/>
          <w:szCs w:val="18"/>
        </w:rPr>
      </w:pPr>
      <w:bookmarkStart w:id="390" w:name="_Ref212924130"/>
      <w:bookmarkStart w:id="391" w:name="_Ref204248331"/>
      <w:bookmarkStart w:id="392" w:name="_Ref212733660"/>
      <w:r w:rsidRPr="00BF35BC">
        <w:rPr>
          <w:rFonts w:eastAsia="Calibri"/>
          <w:i/>
          <w:color w:val="003366"/>
          <w:sz w:val="18"/>
          <w:szCs w:val="18"/>
        </w:rPr>
        <w:t xml:space="preserve">Tabella </w:t>
      </w:r>
      <w:r w:rsidRPr="00BF35BC">
        <w:rPr>
          <w:rFonts w:cstheme="minorHAnsi"/>
          <w:i/>
          <w:color w:val="003366"/>
          <w:sz w:val="18"/>
          <w:szCs w:val="18"/>
        </w:rPr>
        <w:fldChar w:fldCharType="begin"/>
      </w:r>
      <w:r w:rsidRPr="00AD01C5">
        <w:rPr>
          <w:rFonts w:eastAsia="Calibri"/>
          <w:i/>
          <w:color w:val="17406D"/>
          <w:sz w:val="18"/>
          <w:szCs w:val="18"/>
        </w:rPr>
        <w:instrText xml:space="preserve"> SEQ Tabella \* ARABIC </w:instrText>
      </w:r>
      <w:r w:rsidRPr="00BF35BC">
        <w:rPr>
          <w:rFonts w:cstheme="minorHAnsi"/>
          <w:i/>
          <w:color w:val="003366"/>
          <w:sz w:val="18"/>
          <w:szCs w:val="18"/>
        </w:rPr>
        <w:fldChar w:fldCharType="separate"/>
      </w:r>
      <w:r w:rsidR="00073B6D">
        <w:rPr>
          <w:rFonts w:eastAsia="Calibri"/>
          <w:i/>
          <w:noProof/>
          <w:color w:val="17406D"/>
          <w:sz w:val="18"/>
          <w:szCs w:val="18"/>
        </w:rPr>
        <w:t>51</w:t>
      </w:r>
      <w:r w:rsidRPr="00BF35BC">
        <w:rPr>
          <w:rFonts w:cstheme="minorHAnsi"/>
          <w:i/>
          <w:color w:val="003366"/>
          <w:sz w:val="18"/>
          <w:szCs w:val="18"/>
        </w:rPr>
        <w:fldChar w:fldCharType="end"/>
      </w:r>
      <w:bookmarkEnd w:id="390"/>
      <w:r w:rsidRPr="00BF35BC">
        <w:rPr>
          <w:rFonts w:cstheme="minorHAnsi"/>
          <w:i/>
          <w:color w:val="003366"/>
          <w:sz w:val="18"/>
          <w:szCs w:val="18"/>
        </w:rPr>
        <w:t xml:space="preserve"> </w:t>
      </w:r>
      <w:r w:rsidRPr="00BF35BC">
        <w:rPr>
          <w:rFonts w:eastAsia="Calibri"/>
          <w:color w:val="003366"/>
          <w:sz w:val="18"/>
          <w:szCs w:val="18"/>
        </w:rPr>
        <w:t xml:space="preserve">– </w:t>
      </w:r>
      <w:r w:rsidRPr="00AD01C5">
        <w:rPr>
          <w:rFonts w:eastAsia="Calibri"/>
          <w:i/>
          <w:color w:val="17406D"/>
          <w:sz w:val="18"/>
          <w:szCs w:val="18"/>
        </w:rPr>
        <w:t xml:space="preserve">Elenco linee </w:t>
      </w:r>
      <w:r>
        <w:rPr>
          <w:rFonts w:eastAsia="Calibri"/>
          <w:i/>
          <w:color w:val="17406D"/>
          <w:sz w:val="18"/>
          <w:szCs w:val="18"/>
        </w:rPr>
        <w:t>d</w:t>
      </w:r>
      <w:r w:rsidRPr="00AD01C5">
        <w:rPr>
          <w:rFonts w:eastAsia="Calibri"/>
          <w:i/>
          <w:color w:val="17406D"/>
          <w:sz w:val="18"/>
          <w:szCs w:val="18"/>
        </w:rPr>
        <w:t xml:space="preserve">el Bacino </w:t>
      </w:r>
      <w:bookmarkEnd w:id="391"/>
      <w:r>
        <w:rPr>
          <w:rFonts w:eastAsia="Calibri"/>
          <w:i/>
          <w:color w:val="17406D"/>
          <w:sz w:val="18"/>
          <w:szCs w:val="18"/>
        </w:rPr>
        <w:t>Metropolitano assegnate ad altri bacini</w:t>
      </w:r>
      <w:bookmarkEnd w:id="392"/>
    </w:p>
    <w:p w14:paraId="2B283347" w14:textId="77777777" w:rsidR="00FD2CBB" w:rsidRPr="00AD01C5" w:rsidRDefault="00FD2CBB" w:rsidP="00F10BC1">
      <w:pPr>
        <w:spacing w:before="120" w:after="0" w:line="240" w:lineRule="auto"/>
        <w:rPr>
          <w:rFonts w:eastAsia="Calibri"/>
        </w:rPr>
      </w:pPr>
      <w:r w:rsidRPr="69E21B87">
        <w:rPr>
          <w:rFonts w:eastAsia="Calibri"/>
        </w:rPr>
        <w:t>A seguito dei trasferimenti delle linee si avrà una diminuzione dei chilometri percorsi, stimato in circa 3,2 milioni di veicoli-km/anno.</w:t>
      </w:r>
    </w:p>
    <w:p w14:paraId="4044030F" w14:textId="77777777" w:rsidR="00FD2CBB" w:rsidRPr="008E4303" w:rsidRDefault="00FD2CBB" w:rsidP="00AC6E9A">
      <w:pPr>
        <w:pStyle w:val="Titolo2"/>
        <w:spacing w:after="240"/>
        <w:ind w:left="567" w:hanging="578"/>
      </w:pPr>
      <w:bookmarkStart w:id="393" w:name="_Toc213078403"/>
      <w:r w:rsidRPr="008E4303">
        <w:t>Valutazioni sulle modalità di affidamento - indicazioni processo di consultazioni</w:t>
      </w:r>
      <w:bookmarkEnd w:id="393"/>
    </w:p>
    <w:p w14:paraId="0C362F3E" w14:textId="7242B7E6" w:rsidR="00FD2CBB" w:rsidRPr="00247BCF" w:rsidRDefault="00FD2CBB" w:rsidP="00B00670">
      <w:pPr>
        <w:spacing w:before="120" w:after="0" w:line="240" w:lineRule="auto"/>
      </w:pPr>
      <w:r w:rsidRPr="69E21B87">
        <w:rPr>
          <w:rFonts w:eastAsia="Calibri" w:cs="Calibri"/>
        </w:rPr>
        <w:t>Durante il processo di consultazione, come riportato nel documento di sintesi sulle attività di consultazione (Allegato 3) e nella sintesi sulla definizione dei lotti inviata alla Regione Piemonte (Allegato 5), è pervenuta da parte della Città di Torino la richiesta di attivare le procedure di affidamento diretto “</w:t>
      </w:r>
      <w:r w:rsidRPr="69E21B87">
        <w:rPr>
          <w:rFonts w:eastAsia="Calibri" w:cs="Calibri"/>
          <w:i/>
        </w:rPr>
        <w:t>in-house providing</w:t>
      </w:r>
      <w:r w:rsidRPr="69E21B87">
        <w:rPr>
          <w:rFonts w:eastAsia="Calibri" w:cs="Calibri"/>
        </w:rPr>
        <w:t>” (Allegato 9)</w:t>
      </w:r>
      <w:r w:rsidR="00A21F49">
        <w:rPr>
          <w:rFonts w:eastAsia="Calibri" w:cs="Calibri"/>
        </w:rPr>
        <w:t xml:space="preserve"> in favore dell’azienda GTT</w:t>
      </w:r>
      <w:r w:rsidR="00D316F5">
        <w:rPr>
          <w:rFonts w:eastAsia="Calibri" w:cs="Calibri"/>
        </w:rPr>
        <w:t>.</w:t>
      </w:r>
    </w:p>
    <w:p w14:paraId="15BF1A5E" w14:textId="77777777" w:rsidR="00FD2CBB" w:rsidRPr="00247BCF" w:rsidRDefault="00FD2CBB" w:rsidP="00B00670">
      <w:pPr>
        <w:spacing w:before="120" w:after="0" w:line="240" w:lineRule="auto"/>
      </w:pPr>
      <w:r w:rsidRPr="69E21B87">
        <w:rPr>
          <w:rFonts w:eastAsia="Calibri" w:cs="Calibri"/>
        </w:rPr>
        <w:t>Tale modalità di affidamento è consentita dalla normativa vigente ed in particolare dal Regolamento 1370/2007 che all’art 5 paragrafo 2 lettera a) prevede: “</w:t>
      </w:r>
      <w:r w:rsidRPr="69E21B87">
        <w:rPr>
          <w:rFonts w:eastAsia="Calibri" w:cs="Calibri"/>
          <w:i/>
        </w:rPr>
        <w:t>A meno che non sia vietato dalla legislazione nazionale, le autorità competenti a livello locale, si tratti o meno di un’autorità singola o di un gruppo di autorità che forniscono servizi integrati di trasporto pubblico di passeggeri, hanno facoltà di fornire esse stesse servizi di trasporto pubblico di passeggeri o di procedere all’aggiudicazione diretta di contratti di servizio pubblico a un soggetto giuridicamente distinto su cui l’autorità competente a livello locale, o, nel caso di un gruppo di autorità, almeno una di esse, esercita un controllo analogo a quello che esercita sulle proprie strutture …..</w:t>
      </w:r>
      <w:r w:rsidRPr="69E21B87">
        <w:rPr>
          <w:rFonts w:eastAsia="Calibri" w:cs="Calibri"/>
        </w:rPr>
        <w:t>”</w:t>
      </w:r>
    </w:p>
    <w:p w14:paraId="5F634E81" w14:textId="77777777" w:rsidR="00FD2CBB" w:rsidRPr="00247BCF" w:rsidRDefault="00FD2CBB" w:rsidP="00B00670">
      <w:pPr>
        <w:spacing w:before="120" w:after="0" w:line="240" w:lineRule="auto"/>
      </w:pPr>
      <w:r w:rsidRPr="69E21B87">
        <w:rPr>
          <w:rFonts w:eastAsia="Calibri" w:cs="Calibri"/>
        </w:rPr>
        <w:t>Nel caso specifico l’Agenzia della Mobilità è identificabile quale “</w:t>
      </w:r>
      <w:r w:rsidRPr="69E21B87">
        <w:rPr>
          <w:rFonts w:eastAsia="Calibri" w:cs="Calibri"/>
          <w:i/>
        </w:rPr>
        <w:t>gruppo di autorità che fornisce servizi integrati di trasporto pubblico</w:t>
      </w:r>
      <w:r w:rsidRPr="69E21B87">
        <w:rPr>
          <w:rFonts w:eastAsia="Calibri" w:cs="Calibri"/>
        </w:rPr>
        <w:t>”. Infatti l’Agenzia è l’ente pubblico di interesse regionale istituito dalla Legge Regionale 1/2000 (art. 8), in forma di consorzio per l'esercizio in forma obbligatoriamente associata delle funzioni degli enti territoriali in materia di trasporto pubblico locale; inoltre la medesima legge, specifica che l’Agenzia gestisce l’integrazione dei servizi ed in particolare l’art.8 comma 2, specifica che è compito di AMP “… la programmazione unitaria ed integrata del sistema della mobilità e dei trasporti …”.</w:t>
      </w:r>
    </w:p>
    <w:p w14:paraId="7FC79A34" w14:textId="1D30FD03" w:rsidR="00FD2CBB" w:rsidRPr="00247BCF" w:rsidRDefault="00FD2CBB" w:rsidP="00B00670">
      <w:pPr>
        <w:spacing w:before="120" w:after="0" w:line="240" w:lineRule="auto"/>
        <w:rPr>
          <w:rFonts w:eastAsia="Calibri" w:cs="Calibri"/>
          <w:color w:val="000000" w:themeColor="text1"/>
        </w:rPr>
      </w:pPr>
      <w:r w:rsidRPr="69E21B87">
        <w:rPr>
          <w:rFonts w:eastAsia="Calibri" w:cs="Calibri"/>
        </w:rPr>
        <w:t>La richiesta inviata dalla Città di Torino (prot. Agenzia n° 17010/2024) conteneva l’indirizzo di avviare le attività propedeutiche all’affidamento dei servizi di mobilità urbana e metropolitana di Torino e ai servizi extraurbani gestiti dalla propria azienda partecipata GTT sp</w:t>
      </w:r>
      <w:r w:rsidRPr="004A518C">
        <w:rPr>
          <w:rFonts w:eastAsia="Calibri" w:cs="Calibri"/>
        </w:rPr>
        <w:t>a</w:t>
      </w:r>
      <w:r w:rsidRPr="004A518C">
        <w:rPr>
          <w:rStyle w:val="Rimandonotaapidipagina"/>
          <w:rFonts w:eastAsia="Calibri" w:cs="Calibri"/>
        </w:rPr>
        <w:footnoteReference w:id="40"/>
      </w:r>
      <w:r w:rsidRPr="69E21B87">
        <w:rPr>
          <w:rFonts w:eastAsia="Calibri" w:cs="Calibri"/>
          <w:color w:val="000000" w:themeColor="text1"/>
        </w:rPr>
        <w:t xml:space="preserve"> nell’ambito del consorzio Extra.To</w:t>
      </w:r>
      <w:r w:rsidRPr="69E21B87">
        <w:rPr>
          <w:rFonts w:eastAsia="Calibri" w:cs="Calibri"/>
        </w:rPr>
        <w:t>, secondo la modalità di gestione dell’</w:t>
      </w:r>
      <w:r w:rsidRPr="71EE7570">
        <w:rPr>
          <w:rFonts w:eastAsia="Calibri" w:cs="Calibri"/>
          <w:i/>
        </w:rPr>
        <w:t>in-house providing</w:t>
      </w:r>
      <w:r w:rsidRPr="69E21B87">
        <w:rPr>
          <w:rFonts w:eastAsia="Calibri" w:cs="Calibri"/>
        </w:rPr>
        <w:t>, attraverso un “lotto unico ad alta densità abitativa</w:t>
      </w:r>
      <w:r w:rsidR="00A21F49" w:rsidRPr="004A518C">
        <w:rPr>
          <w:rFonts w:eastAsia="Calibri" w:cs="Calibri"/>
        </w:rPr>
        <w:t xml:space="preserve"> ADA</w:t>
      </w:r>
      <w:r w:rsidRPr="004A518C">
        <w:rPr>
          <w:rFonts w:eastAsia="Calibri" w:cs="Calibri"/>
        </w:rPr>
        <w:t>”</w:t>
      </w:r>
      <w:r w:rsidR="004C0BD0" w:rsidRPr="004A518C">
        <w:rPr>
          <w:rFonts w:eastAsia="Calibri" w:cs="Calibri"/>
          <w:color w:val="000000" w:themeColor="text1"/>
        </w:rPr>
        <w:t>.</w:t>
      </w:r>
    </w:p>
    <w:p w14:paraId="2773B9F3" w14:textId="74639D80" w:rsidR="00FD2CBB" w:rsidRPr="00247BCF" w:rsidRDefault="00FD2CBB" w:rsidP="00B00670">
      <w:pPr>
        <w:spacing w:before="120" w:after="0" w:line="240" w:lineRule="auto"/>
        <w:rPr>
          <w:rFonts w:eastAsia="Calibri" w:cs="Calibri"/>
        </w:rPr>
      </w:pPr>
      <w:r w:rsidRPr="69E21B87">
        <w:rPr>
          <w:rFonts w:eastAsia="Calibri" w:cs="Calibri"/>
        </w:rPr>
        <w:t xml:space="preserve">Alla luce della richiesta pervenute, AMP ha avviato una fase di valutazione complessiva finalizzata a verificare la conformità dell’affidamento </w:t>
      </w:r>
      <w:r w:rsidRPr="69E21B87">
        <w:rPr>
          <w:rFonts w:eastAsia="Calibri" w:cs="Calibri"/>
          <w:i/>
        </w:rPr>
        <w:t>in-house</w:t>
      </w:r>
      <w:r w:rsidRPr="69E21B87">
        <w:rPr>
          <w:rFonts w:eastAsia="Calibri" w:cs="Calibri"/>
        </w:rPr>
        <w:t xml:space="preserve"> agli obblighi normativi vigenti, nonché la sua sostenibilità tecnico-economica. In tale contesto, vengono richiamati gli indirizzi regionali contenuti nell’Allegato 4, che confermano la possibilità di procedere con tale modalità di affidamento, facendo esplicito riferimento ai principali presupposti normativi, tra cui l’articolo 4-bis del Decreto</w:t>
      </w:r>
      <w:r w:rsidR="00E70A7D" w:rsidRPr="69E21B87">
        <w:rPr>
          <w:rFonts w:eastAsia="Calibri" w:cs="Calibri"/>
        </w:rPr>
        <w:t>-legge</w:t>
      </w:r>
      <w:r w:rsidRPr="69E21B87">
        <w:rPr>
          <w:rFonts w:eastAsia="Calibri" w:cs="Calibri"/>
        </w:rPr>
        <w:t xml:space="preserve"> 78/2009, l’articolo 17 del Decreto Legislativo 201/2022 e la Legge Regionale n. 1/2000.</w:t>
      </w:r>
    </w:p>
    <w:p w14:paraId="1DB158E6" w14:textId="77777777" w:rsidR="00FD2CBB" w:rsidRPr="00247BCF" w:rsidRDefault="00FD2CBB" w:rsidP="00B00670">
      <w:pPr>
        <w:spacing w:before="120" w:after="0" w:line="240" w:lineRule="auto"/>
      </w:pPr>
      <w:r w:rsidRPr="69E21B87">
        <w:rPr>
          <w:rFonts w:eastAsia="Calibri" w:cs="Calibri"/>
        </w:rPr>
        <w:t xml:space="preserve">La Regione evidenzia che l’Agenzia è tenuta a svolgere una serie di verifiche puntuali, a partire da una motivazione qualificata che giustifichi il mancato ricorso al mercato. Tale motivazione deve essere </w:t>
      </w:r>
      <w:r w:rsidRPr="69E21B87">
        <w:rPr>
          <w:rFonts w:eastAsia="Calibri" w:cs="Calibri"/>
        </w:rPr>
        <w:lastRenderedPageBreak/>
        <w:t>chiara e documentata, e deve evidenziare i benefici attesi per la collettività, dimostrando il miglioramento della qualità del servizio, in coerenza con quanto previsto dalla Delibera ART n. 53/2024.</w:t>
      </w:r>
    </w:p>
    <w:p w14:paraId="37AC3D2E" w14:textId="77777777" w:rsidR="00FD2CBB" w:rsidRPr="00B91764" w:rsidRDefault="00FD2CBB" w:rsidP="00B00670">
      <w:pPr>
        <w:spacing w:before="120" w:after="0" w:line="240" w:lineRule="auto"/>
        <w:rPr>
          <w:rFonts w:eastAsia="Calibri" w:cs="Calibri"/>
        </w:rPr>
      </w:pPr>
      <w:r w:rsidRPr="00B91764">
        <w:rPr>
          <w:rFonts w:eastAsia="Calibri" w:cs="Calibri"/>
        </w:rPr>
        <w:t>Contestualmente, l’Agenzia deve accertare lo stato di attuazione e il cronoprogramma dei progetti PNRR in cui l’azienda risulta soggetto attuatore</w:t>
      </w:r>
      <w:r w:rsidRPr="69E21B87">
        <w:rPr>
          <w:rFonts w:eastAsia="Calibri" w:cs="Calibri"/>
        </w:rPr>
        <w:t>, nonché valutare l’economicità del servizio. Quest’ultima deve essere verificata sia ex ante, attraverso un confronto con il costo standard, sia ex post, mediante l’analisi comparativa con offerte di gara analoghe.</w:t>
      </w:r>
    </w:p>
    <w:p w14:paraId="65B3EE71" w14:textId="77777777" w:rsidR="00FD2CBB" w:rsidRPr="00B91764" w:rsidRDefault="00FD2CBB" w:rsidP="00B00670">
      <w:pPr>
        <w:spacing w:before="120" w:after="0" w:line="240" w:lineRule="auto"/>
        <w:rPr>
          <w:rFonts w:eastAsia="Calibri" w:cs="Calibri"/>
        </w:rPr>
      </w:pPr>
      <w:r w:rsidRPr="00B91764">
        <w:rPr>
          <w:rFonts w:eastAsia="Calibri" w:cs="Calibri"/>
        </w:rPr>
        <w:t>Un ulteriore elemento da considerare riguarda l’adesione dell’azienda affidataria alle politiche regionali in materia di integrazione tra servizi, interoperabilità dei sistemi ed evoluzione del sistema di ticketing e tariffario. Tale adesione deve essere formalizzata mediante un atto d’obbligo che sancisca l’ingresso dell’azienda nel consorzio di vendita.</w:t>
      </w:r>
    </w:p>
    <w:p w14:paraId="42CF51FF" w14:textId="77777777" w:rsidR="00FD2CBB" w:rsidRPr="00247BCF" w:rsidRDefault="00FD2CBB" w:rsidP="00B00670">
      <w:pPr>
        <w:spacing w:before="120" w:after="0" w:line="240" w:lineRule="auto"/>
      </w:pPr>
      <w:r w:rsidRPr="69E21B87">
        <w:rPr>
          <w:rFonts w:eastAsia="Calibri" w:cs="Calibri"/>
        </w:rPr>
        <w:t>La Regione ribadisce inoltre le limitazioni previste per le società affidatarie che non abbiano ottenuto il contratto tramite procedura ad evidenza pubblica, specificando che tali soggetti non possono partecipare a gare in ambiti territoriali diversi da quelli in cui già operano. Viene altresì richiamato il divieto di subaffidamento, salvo per i soli servizi complementari al trasporto pubblico e previa autorizzazione da parte dell’Agenzia.</w:t>
      </w:r>
    </w:p>
    <w:p w14:paraId="26898186" w14:textId="77777777" w:rsidR="00FD2CBB" w:rsidRDefault="00FD2CBB" w:rsidP="00B00670">
      <w:pPr>
        <w:spacing w:before="120" w:after="0" w:line="240" w:lineRule="auto"/>
        <w:rPr>
          <w:rFonts w:eastAsia="Calibri" w:cs="Calibri"/>
        </w:rPr>
      </w:pPr>
      <w:r w:rsidRPr="69E21B87">
        <w:rPr>
          <w:rFonts w:eastAsia="Calibri" w:cs="Calibri"/>
        </w:rPr>
        <w:t>Infine, l’Agenzia deve prevedere che, qualora non vengano raggiunti gli obiettivi stabiliti nel contratto di servizio, ai sensi dell’articolo 10, comma 2.01, della Legge Regionale n. 1/2000, si proceda all’avvio di una nuova procedura di affidamento mediante gara ad evidenza pubblica.</w:t>
      </w:r>
    </w:p>
    <w:p w14:paraId="1CBE06E5" w14:textId="0FACE8C0" w:rsidR="00083A40" w:rsidRDefault="00083A40" w:rsidP="00083A40">
      <w:pPr>
        <w:spacing w:before="120" w:after="0" w:line="240" w:lineRule="auto"/>
      </w:pPr>
      <w:r>
        <w:t>Al fine di dare seguito all’indirizzo della città di Torino, nel quadro degli indirizzi comunicati dalla</w:t>
      </w:r>
      <w:r w:rsidR="000E4039">
        <w:t xml:space="preserve"> </w:t>
      </w:r>
      <w:r>
        <w:t>Regione Piemonte e nel rispetto delle disposizioni normative e regolatorie sopra richiamate, è</w:t>
      </w:r>
      <w:r w:rsidR="000E4039">
        <w:t xml:space="preserve"> </w:t>
      </w:r>
      <w:r w:rsidR="00CD4D42">
        <w:t xml:space="preserve">statp </w:t>
      </w:r>
      <w:r>
        <w:t>necessario attivare l’istruttoria affinché siano verificate le condizioni abilitanti</w:t>
      </w:r>
      <w:r w:rsidR="000E4039">
        <w:t xml:space="preserve"> </w:t>
      </w:r>
      <w:r>
        <w:t xml:space="preserve">all’affidamento </w:t>
      </w:r>
      <w:r w:rsidRPr="00737638">
        <w:rPr>
          <w:i/>
        </w:rPr>
        <w:t>in-house</w:t>
      </w:r>
      <w:r>
        <w:t xml:space="preserve"> alla società GTT S.p.A</w:t>
      </w:r>
      <w:r w:rsidR="00CD4D42">
        <w:t>.</w:t>
      </w:r>
      <w:r>
        <w:t xml:space="preserve"> della concessione dei servizi di mobilità urbana</w:t>
      </w:r>
      <w:r w:rsidR="000E4039">
        <w:t xml:space="preserve"> </w:t>
      </w:r>
      <w:r>
        <w:t>relativi al contesto urbano e suburbano della Città di Torino.</w:t>
      </w:r>
    </w:p>
    <w:p w14:paraId="7899F676" w14:textId="50FDF91C" w:rsidR="00AA0143" w:rsidRDefault="006111D3" w:rsidP="00083A40">
      <w:pPr>
        <w:spacing w:before="120" w:after="0" w:line="240" w:lineRule="auto"/>
      </w:pPr>
      <w:r>
        <w:t>Pertanto</w:t>
      </w:r>
      <w:r w:rsidR="00083A40">
        <w:t>, oltre a predisporre i documenti e avviare le consultazioni previste</w:t>
      </w:r>
      <w:r>
        <w:t xml:space="preserve"> </w:t>
      </w:r>
      <w:r w:rsidR="00083A40">
        <w:t>dall’Autorità di Regolazione dei Trasporti, siano effettuate ulteriori attività prodromiche</w:t>
      </w:r>
      <w:r>
        <w:t xml:space="preserve"> </w:t>
      </w:r>
      <w:r w:rsidR="00083A40">
        <w:t>all’affidamento, tra le quali, in particolare, quanto stabilito dal Regolamento CE 1370/2007 all’articolo 7 paragrafo 2</w:t>
      </w:r>
      <w:r w:rsidR="00F7304B">
        <w:t>.</w:t>
      </w:r>
    </w:p>
    <w:p w14:paraId="5666CBB8" w14:textId="54019494" w:rsidR="00F7304B" w:rsidRPr="00247BCF" w:rsidRDefault="00F7304B" w:rsidP="00C0496A">
      <w:pPr>
        <w:spacing w:before="120" w:after="0" w:line="240" w:lineRule="auto"/>
      </w:pPr>
      <w:r>
        <w:t xml:space="preserve">A tal fine </w:t>
      </w:r>
      <w:r w:rsidR="001C42F0">
        <w:t>è stato pubblicato</w:t>
      </w:r>
      <w:r w:rsidR="00E467F3">
        <w:t xml:space="preserve"> l’</w:t>
      </w:r>
      <w:r w:rsidR="00E467F3" w:rsidRPr="00E467F3">
        <w:t>Avviso di preinformazione</w:t>
      </w:r>
      <w:r w:rsidR="00C0496A">
        <w:t xml:space="preserve"> sulla </w:t>
      </w:r>
      <w:r w:rsidR="00C0496A" w:rsidRPr="00C0496A">
        <w:t>GU S:</w:t>
      </w:r>
      <w:r w:rsidR="00C0496A">
        <w:t xml:space="preserve"> </w:t>
      </w:r>
      <w:r w:rsidR="00C0496A" w:rsidRPr="00C0496A">
        <w:t>23/2025</w:t>
      </w:r>
      <w:r w:rsidR="00C0496A">
        <w:t xml:space="preserve"> in data </w:t>
      </w:r>
      <w:r w:rsidR="00C0496A" w:rsidRPr="00C0496A">
        <w:t>03/02/2025</w:t>
      </w:r>
      <w:r w:rsidR="00C0496A">
        <w:t xml:space="preserve"> (</w:t>
      </w:r>
      <w:r w:rsidR="00E467F3" w:rsidRPr="00E467F3">
        <w:t>70505-2025)</w:t>
      </w:r>
      <w:r w:rsidR="00E467F3">
        <w:t xml:space="preserve"> relativo </w:t>
      </w:r>
      <w:r w:rsidR="000F71F9">
        <w:t xml:space="preserve">alla </w:t>
      </w:r>
      <w:r w:rsidR="00E467F3" w:rsidRPr="00E467F3">
        <w:t>CONCESSIONE DEI SERVIZI DI TRASPORTO PUBBLICO URBANO, METROPOLITANO E SUBURBANO DELL’AREA METROPOLITANA DI TORINO</w:t>
      </w:r>
      <w:r w:rsidR="00C0496A">
        <w:t>.</w:t>
      </w:r>
    </w:p>
    <w:p w14:paraId="043ABC03" w14:textId="77777777" w:rsidR="00FD2CBB" w:rsidRPr="00247BCF" w:rsidRDefault="00FD2CBB" w:rsidP="002554E5">
      <w:pPr>
        <w:pStyle w:val="Titolo3"/>
        <w:ind w:left="720"/>
      </w:pPr>
      <w:bookmarkStart w:id="394" w:name="_Toc213078404"/>
      <w:r w:rsidRPr="69E21B87">
        <w:rPr>
          <w:rFonts w:eastAsia="Calibri" w:cs="Calibri"/>
          <w:iCs/>
          <w:szCs w:val="24"/>
        </w:rPr>
        <w:t>Valutazioni istruttorie affidamento in-house</w:t>
      </w:r>
      <w:bookmarkEnd w:id="394"/>
    </w:p>
    <w:p w14:paraId="5C4B79C2" w14:textId="77777777" w:rsidR="00FD2CBB" w:rsidRPr="00247BCF" w:rsidRDefault="00FD2CBB" w:rsidP="007008F2">
      <w:pPr>
        <w:spacing w:before="120" w:after="0" w:line="240" w:lineRule="auto"/>
      </w:pPr>
      <w:r w:rsidRPr="69E21B87">
        <w:rPr>
          <w:rFonts w:eastAsia="Calibri" w:cs="Calibri"/>
        </w:rPr>
        <w:t xml:space="preserve">L’affidamento </w:t>
      </w:r>
      <w:r w:rsidRPr="69E21B87">
        <w:rPr>
          <w:rFonts w:eastAsia="Calibri" w:cs="Calibri"/>
          <w:i/>
        </w:rPr>
        <w:t>in-house</w:t>
      </w:r>
      <w:r w:rsidRPr="69E21B87">
        <w:rPr>
          <w:rFonts w:eastAsia="Calibri" w:cs="Calibri"/>
        </w:rPr>
        <w:t xml:space="preserve"> comporta l’osservanza di una serie di fasi e adempimenti previsti dalla normativa vigente, già richiamata.</w:t>
      </w:r>
    </w:p>
    <w:p w14:paraId="568AE9EE" w14:textId="77777777" w:rsidR="00FD2CBB" w:rsidRPr="00247BCF" w:rsidRDefault="00FD2CBB" w:rsidP="007008F2">
      <w:pPr>
        <w:spacing w:before="120" w:after="0" w:line="240" w:lineRule="auto"/>
      </w:pPr>
      <w:r w:rsidRPr="69E21B87">
        <w:rPr>
          <w:rFonts w:eastAsia="Calibri" w:cs="Calibri"/>
        </w:rPr>
        <w:t>In questa relazione ci si concentra sull’analisi preliminare degli aspetti di conformità normativa, rinviando alla successiva relazione di affidamento l’approfondimento degli ulteriori obblighi procedurali e delle verifiche richieste per il perfezionamento dell’iter.</w:t>
      </w:r>
    </w:p>
    <w:p w14:paraId="2A3D433A" w14:textId="77777777" w:rsidR="00FD2CBB" w:rsidRPr="00247BCF" w:rsidRDefault="00FD2CBB" w:rsidP="007008F2">
      <w:pPr>
        <w:spacing w:before="120" w:after="0" w:line="240" w:lineRule="auto"/>
      </w:pPr>
      <w:r w:rsidRPr="69E21B87">
        <w:rPr>
          <w:rFonts w:eastAsia="Calibri" w:cs="Calibri"/>
          <w:b/>
        </w:rPr>
        <w:t>Coerenza con limite 10 % art. 4.bis</w:t>
      </w:r>
    </w:p>
    <w:p w14:paraId="0B48D3E7" w14:textId="77777777" w:rsidR="00FD2CBB" w:rsidRDefault="00FD2CBB" w:rsidP="007008F2">
      <w:pPr>
        <w:spacing w:before="120" w:after="0" w:line="240" w:lineRule="auto"/>
        <w:ind w:left="709"/>
        <w:rPr>
          <w:rFonts w:eastAsia="Calibri" w:cs="Calibri"/>
        </w:rPr>
      </w:pPr>
      <w:r w:rsidRPr="69E21B87">
        <w:rPr>
          <w:rFonts w:eastAsia="Calibri" w:cs="Calibri"/>
        </w:rPr>
        <w:t>Il primo elemento oggetto di analisi riguarda la coerenza con l’articolo 4-bis del Decreto-Legge n. 78/2009</w:t>
      </w:r>
      <w:r w:rsidRPr="69E21B87">
        <w:rPr>
          <w:rStyle w:val="Rimandonotaapidipagina"/>
          <w:rFonts w:eastAsia="Calibri" w:cs="Calibri"/>
        </w:rPr>
        <w:footnoteReference w:id="41"/>
      </w:r>
      <w:r w:rsidRPr="69E21B87">
        <w:rPr>
          <w:rFonts w:eastAsia="Calibri" w:cs="Calibri"/>
        </w:rPr>
        <w:t xml:space="preserve">, che disciplina le condizioni per l’affidamento diretto dei servizi di trasporto </w:t>
      </w:r>
      <w:r w:rsidRPr="69E21B87">
        <w:rPr>
          <w:rFonts w:eastAsia="Calibri" w:cs="Calibri"/>
        </w:rPr>
        <w:lastRenderedPageBreak/>
        <w:t xml:space="preserve">pubblico locale. Tale norma stabilisce che, qualora l’autorità competente intenda procedere con l’affidamento </w:t>
      </w:r>
      <w:r w:rsidRPr="69E21B87">
        <w:rPr>
          <w:rFonts w:eastAsia="Calibri" w:cs="Calibri"/>
          <w:i/>
        </w:rPr>
        <w:t>in-house</w:t>
      </w:r>
      <w:r w:rsidRPr="69E21B87">
        <w:rPr>
          <w:rFonts w:eastAsia="Calibri" w:cs="Calibri"/>
        </w:rPr>
        <w:t>, deve comunque garantire l’aggiudicazione tramite procedura ad evidenza pubblica di almeno il 10% dei servizi oggetto dell’affidamento, a soggetti terzi rispetto a quelli sui quali esercita il controllo analogo.</w:t>
      </w:r>
    </w:p>
    <w:p w14:paraId="437238BA" w14:textId="02A8D752" w:rsidR="0085170E" w:rsidRPr="00247BCF" w:rsidRDefault="0085170E" w:rsidP="007008F2">
      <w:pPr>
        <w:spacing w:before="120" w:after="0" w:line="240" w:lineRule="auto"/>
        <w:ind w:left="709"/>
      </w:pPr>
      <w:r>
        <w:rPr>
          <w:rFonts w:eastAsia="Calibri" w:cs="Calibri"/>
        </w:rPr>
        <w:t xml:space="preserve">Nel caso specifico del Bacino Metropolitano i servizi ad oggi svolti </w:t>
      </w:r>
      <w:r w:rsidR="00D06143">
        <w:rPr>
          <w:rFonts w:eastAsia="Calibri" w:cs="Calibri"/>
        </w:rPr>
        <w:t xml:space="preserve">dalla società GTT spa ammontano a </w:t>
      </w:r>
      <w:r w:rsidR="00204519">
        <w:rPr>
          <w:rFonts w:eastAsia="Calibri" w:cs="Calibri"/>
        </w:rPr>
        <w:t>4</w:t>
      </w:r>
      <w:r w:rsidR="001F060F">
        <w:rPr>
          <w:rFonts w:eastAsia="Calibri" w:cs="Calibri"/>
        </w:rPr>
        <w:t>8</w:t>
      </w:r>
      <w:r w:rsidR="00204519">
        <w:rPr>
          <w:rFonts w:eastAsia="Calibri" w:cs="Calibri"/>
        </w:rPr>
        <w:t>,</w:t>
      </w:r>
      <w:r w:rsidR="001F060F">
        <w:rPr>
          <w:rFonts w:eastAsia="Calibri" w:cs="Calibri"/>
        </w:rPr>
        <w:t>7</w:t>
      </w:r>
      <w:r w:rsidR="00204519">
        <w:rPr>
          <w:rFonts w:eastAsia="Calibri" w:cs="Calibri"/>
        </w:rPr>
        <w:t xml:space="preserve"> milioni di km/anno per tanto </w:t>
      </w:r>
      <w:r w:rsidR="001C5DBC">
        <w:rPr>
          <w:rFonts w:eastAsia="Calibri" w:cs="Calibri"/>
        </w:rPr>
        <w:t xml:space="preserve">il 10% da </w:t>
      </w:r>
      <w:r w:rsidR="00B42492">
        <w:rPr>
          <w:rFonts w:eastAsia="Calibri" w:cs="Calibri"/>
        </w:rPr>
        <w:t>porre a mercato come richiesto dalla norma consiste in una produzione di almeno</w:t>
      </w:r>
      <w:r w:rsidR="001210A3">
        <w:rPr>
          <w:rFonts w:eastAsia="Calibri" w:cs="Calibri"/>
        </w:rPr>
        <w:t xml:space="preserve"> </w:t>
      </w:r>
      <w:r w:rsidR="003033F4">
        <w:rPr>
          <w:rFonts w:eastAsia="Calibri" w:cs="Calibri"/>
        </w:rPr>
        <w:t>4,</w:t>
      </w:r>
      <w:r w:rsidR="001F060F">
        <w:rPr>
          <w:rFonts w:eastAsia="Calibri" w:cs="Calibri"/>
        </w:rPr>
        <w:t>9</w:t>
      </w:r>
      <w:r w:rsidR="003033F4">
        <w:rPr>
          <w:rFonts w:eastAsia="Calibri" w:cs="Calibri"/>
        </w:rPr>
        <w:t xml:space="preserve"> milioni di km/anno.</w:t>
      </w:r>
    </w:p>
    <w:p w14:paraId="03F5F181" w14:textId="77777777" w:rsidR="00FD2CBB" w:rsidRPr="00247BCF" w:rsidRDefault="00FD2CBB" w:rsidP="00F06494">
      <w:pPr>
        <w:spacing w:before="120" w:after="0" w:line="240" w:lineRule="auto"/>
        <w:ind w:left="284"/>
      </w:pPr>
      <w:r w:rsidRPr="69E21B87">
        <w:rPr>
          <w:rFonts w:eastAsia="Calibri" w:cs="Calibri"/>
          <w:i/>
        </w:rPr>
        <w:t>Tale aspetto è già verificato.</w:t>
      </w:r>
    </w:p>
    <w:p w14:paraId="26E34380" w14:textId="097D7F36" w:rsidR="00B566FE" w:rsidRDefault="00FD2CBB" w:rsidP="008719F4">
      <w:pPr>
        <w:spacing w:before="120" w:after="0" w:line="240" w:lineRule="auto"/>
        <w:ind w:left="709"/>
        <w:rPr>
          <w:rFonts w:eastAsia="Calibri" w:cs="Calibri"/>
        </w:rPr>
      </w:pPr>
      <w:r w:rsidRPr="69E21B87">
        <w:rPr>
          <w:rFonts w:eastAsia="Calibri" w:cs="Calibri"/>
        </w:rPr>
        <w:t xml:space="preserve">Infatti, l’autorità competente AMP, ha già distinto i lotti da affidare </w:t>
      </w:r>
      <w:r w:rsidRPr="69E21B87">
        <w:rPr>
          <w:rFonts w:eastAsia="Calibri" w:cs="Calibri"/>
          <w:i/>
        </w:rPr>
        <w:t>in-house</w:t>
      </w:r>
      <w:r w:rsidRPr="69E21B87">
        <w:rPr>
          <w:rFonts w:eastAsia="Calibri" w:cs="Calibri"/>
        </w:rPr>
        <w:t xml:space="preserve"> e quelli da affidare a gara</w:t>
      </w:r>
      <w:r w:rsidR="001F060F">
        <w:rPr>
          <w:rFonts w:eastAsia="Calibri" w:cs="Calibri"/>
        </w:rPr>
        <w:t xml:space="preserve"> sia a livello dell’intera </w:t>
      </w:r>
      <w:r w:rsidR="00121894">
        <w:rPr>
          <w:rFonts w:eastAsia="Calibri" w:cs="Calibri"/>
        </w:rPr>
        <w:t>R</w:t>
      </w:r>
      <w:r w:rsidR="001F060F">
        <w:rPr>
          <w:rFonts w:eastAsia="Calibri" w:cs="Calibri"/>
        </w:rPr>
        <w:t>egione, sia a livello di singolo Bacino</w:t>
      </w:r>
      <w:r w:rsidRPr="69E21B87">
        <w:rPr>
          <w:rFonts w:eastAsia="Calibri" w:cs="Calibri"/>
        </w:rPr>
        <w:t xml:space="preserve">; </w:t>
      </w:r>
      <w:r w:rsidRPr="008D7AEF">
        <w:rPr>
          <w:rFonts w:eastAsia="Calibri" w:cs="Calibri"/>
        </w:rPr>
        <w:t xml:space="preserve">nell’Allegato </w:t>
      </w:r>
      <w:r w:rsidR="00E44017">
        <w:rPr>
          <w:rFonts w:eastAsia="Calibri" w:cs="Calibri"/>
        </w:rPr>
        <w:t>5</w:t>
      </w:r>
      <w:r w:rsidRPr="008D7AEF">
        <w:rPr>
          <w:rFonts w:eastAsia="Calibri" w:cs="Calibri"/>
        </w:rPr>
        <w:t xml:space="preserve"> (alla slide </w:t>
      </w:r>
      <w:r w:rsidR="00ED70B5" w:rsidRPr="008D7AEF">
        <w:rPr>
          <w:rFonts w:eastAsia="Calibri" w:cs="Calibri"/>
        </w:rPr>
        <w:t>2</w:t>
      </w:r>
      <w:r w:rsidRPr="008D7AEF">
        <w:rPr>
          <w:rFonts w:eastAsia="Calibri" w:cs="Calibri"/>
        </w:rPr>
        <w:t>7)</w:t>
      </w:r>
      <w:r w:rsidRPr="69E21B87">
        <w:rPr>
          <w:rFonts w:eastAsia="Calibri" w:cs="Calibri"/>
        </w:rPr>
        <w:t xml:space="preserve"> è riportata la tabella complessiva del quadro di affidamenti in corso</w:t>
      </w:r>
      <w:r w:rsidR="00342122">
        <w:rPr>
          <w:rFonts w:eastAsia="Calibri" w:cs="Calibri"/>
        </w:rPr>
        <w:t xml:space="preserve"> a livello regionale</w:t>
      </w:r>
      <w:r w:rsidR="0076053C">
        <w:rPr>
          <w:rStyle w:val="Rimandonotaapidipagina"/>
          <w:rFonts w:eastAsia="Calibri" w:cs="Calibri"/>
        </w:rPr>
        <w:footnoteReference w:id="42"/>
      </w:r>
      <w:r w:rsidR="003E62DB">
        <w:rPr>
          <w:rFonts w:eastAsia="Calibri" w:cs="Calibri"/>
        </w:rPr>
        <w:t>.</w:t>
      </w:r>
      <w:r w:rsidR="0025517E">
        <w:rPr>
          <w:rFonts w:eastAsia="Calibri" w:cs="Calibri"/>
        </w:rPr>
        <w:t xml:space="preserve"> L’allegato da conto della </w:t>
      </w:r>
      <w:r w:rsidR="00B566FE">
        <w:rPr>
          <w:rFonts w:eastAsia="Calibri" w:cs="Calibri"/>
        </w:rPr>
        <w:t xml:space="preserve">definizione </w:t>
      </w:r>
      <w:r w:rsidR="0025517E">
        <w:rPr>
          <w:rFonts w:eastAsia="Calibri" w:cs="Calibri"/>
        </w:rPr>
        <w:t xml:space="preserve">dei Lotti </w:t>
      </w:r>
      <w:r w:rsidR="00B566FE">
        <w:rPr>
          <w:rFonts w:eastAsia="Calibri" w:cs="Calibri"/>
        </w:rPr>
        <w:t xml:space="preserve">avvenuta nell’ambito della Relazione dei Lotti del Bacino Sud, del Bacino Sus-Est e del Bacino Nord-Est; </w:t>
      </w:r>
      <w:r w:rsidR="00F0116D">
        <w:rPr>
          <w:rFonts w:eastAsia="Calibri" w:cs="Calibri"/>
        </w:rPr>
        <w:t>dà anche atto di quanto emerge per il</w:t>
      </w:r>
      <w:r w:rsidR="00B566FE">
        <w:rPr>
          <w:rFonts w:eastAsia="Calibri" w:cs="Calibri"/>
        </w:rPr>
        <w:t xml:space="preserve"> Bacino Metropolitan</w:t>
      </w:r>
      <w:r w:rsidR="00F0116D">
        <w:rPr>
          <w:rFonts w:eastAsia="Calibri" w:cs="Calibri"/>
        </w:rPr>
        <w:t>o</w:t>
      </w:r>
      <w:r w:rsidR="00B566FE">
        <w:rPr>
          <w:rFonts w:eastAsia="Calibri" w:cs="Calibri"/>
        </w:rPr>
        <w:t xml:space="preserve"> in questa Relazione.</w:t>
      </w:r>
    </w:p>
    <w:p w14:paraId="0D3E9844" w14:textId="09A8AC36" w:rsidR="00FD2CBB" w:rsidRDefault="003E62DB" w:rsidP="00F06494">
      <w:pPr>
        <w:spacing w:before="120" w:after="0" w:line="240" w:lineRule="auto"/>
        <w:ind w:left="709"/>
        <w:rPr>
          <w:rFonts w:eastAsia="Calibri" w:cs="Calibri"/>
        </w:rPr>
      </w:pPr>
      <w:r>
        <w:rPr>
          <w:rFonts w:eastAsia="Calibri" w:cs="Calibri"/>
        </w:rPr>
        <w:t>N</w:t>
      </w:r>
      <w:r w:rsidR="00FD2CBB" w:rsidRPr="69E21B87">
        <w:rPr>
          <w:rFonts w:eastAsia="Calibri" w:cs="Calibri"/>
        </w:rPr>
        <w:t>ella definizione del perimetro de</w:t>
      </w:r>
      <w:r w:rsidR="00E64809">
        <w:rPr>
          <w:rFonts w:eastAsia="Calibri" w:cs="Calibri"/>
        </w:rPr>
        <w:t>l</w:t>
      </w:r>
      <w:r w:rsidR="00FD2CBB" w:rsidRPr="69E21B87">
        <w:rPr>
          <w:rFonts w:eastAsia="Calibri" w:cs="Calibri"/>
        </w:rPr>
        <w:t xml:space="preserve"> lott</w:t>
      </w:r>
      <w:r w:rsidR="00E64809">
        <w:rPr>
          <w:rFonts w:eastAsia="Calibri" w:cs="Calibri"/>
        </w:rPr>
        <w:t>o</w:t>
      </w:r>
      <w:r w:rsidR="00FD2CBB" w:rsidRPr="69E21B87">
        <w:rPr>
          <w:rFonts w:eastAsia="Calibri" w:cs="Calibri"/>
        </w:rPr>
        <w:t xml:space="preserve"> </w:t>
      </w:r>
      <w:r w:rsidR="00FD2CBB" w:rsidRPr="69E21B87">
        <w:rPr>
          <w:rFonts w:eastAsia="Calibri" w:cs="Calibri"/>
          <w:i/>
        </w:rPr>
        <w:t>in-house</w:t>
      </w:r>
      <w:r w:rsidR="00FD2CBB" w:rsidRPr="69E21B87">
        <w:rPr>
          <w:rFonts w:eastAsia="Calibri" w:cs="Calibri"/>
        </w:rPr>
        <w:t xml:space="preserve"> </w:t>
      </w:r>
      <w:r w:rsidRPr="003E62DB">
        <w:rPr>
          <w:rFonts w:eastAsia="Calibri" w:cs="Calibri"/>
        </w:rPr>
        <w:t xml:space="preserve">del Bacino metropolitano, </w:t>
      </w:r>
      <w:r w:rsidR="00FD2CBB" w:rsidRPr="69E21B87">
        <w:rPr>
          <w:rFonts w:eastAsia="Calibri" w:cs="Calibri"/>
        </w:rPr>
        <w:t xml:space="preserve">AMP è intervenuta in riduzione dei servizi affidati </w:t>
      </w:r>
      <w:r w:rsidR="00FD2CBB" w:rsidRPr="69E21B87">
        <w:rPr>
          <w:rFonts w:eastAsia="Calibri" w:cs="Calibri"/>
          <w:i/>
        </w:rPr>
        <w:t>in-house</w:t>
      </w:r>
      <w:r w:rsidR="00FD2CBB" w:rsidRPr="69E21B87">
        <w:rPr>
          <w:rFonts w:eastAsia="Calibri" w:cs="Calibri"/>
        </w:rPr>
        <w:t xml:space="preserve"> </w:t>
      </w:r>
      <w:r w:rsidR="00FE5D06">
        <w:rPr>
          <w:rFonts w:eastAsia="Calibri" w:cs="Calibri"/>
        </w:rPr>
        <w:t>con conseguente assegnazione</w:t>
      </w:r>
      <w:r w:rsidR="00FD2CBB" w:rsidRPr="69E21B87">
        <w:rPr>
          <w:rFonts w:eastAsia="Calibri" w:cs="Calibri"/>
        </w:rPr>
        <w:t xml:space="preserve"> ai lotti di gara</w:t>
      </w:r>
      <w:r w:rsidR="00357C76">
        <w:rPr>
          <w:rFonts w:eastAsia="Calibri" w:cs="Calibri"/>
        </w:rPr>
        <w:t xml:space="preserve"> per consentire il rispetto di tale limite</w:t>
      </w:r>
      <w:r w:rsidR="00FD2CBB" w:rsidRPr="69E21B87">
        <w:rPr>
          <w:rFonts w:eastAsia="Calibri" w:cs="Calibri"/>
        </w:rPr>
        <w:t>.</w:t>
      </w:r>
    </w:p>
    <w:p w14:paraId="559ECDCF" w14:textId="00D14353" w:rsidR="00CA6F0A" w:rsidRDefault="00CF1FDC" w:rsidP="008719F4">
      <w:pPr>
        <w:spacing w:before="120" w:after="0" w:line="240" w:lineRule="auto"/>
        <w:ind w:left="709"/>
        <w:rPr>
          <w:rFonts w:eastAsia="Calibri" w:cs="Calibri"/>
        </w:rPr>
      </w:pPr>
      <w:r>
        <w:rPr>
          <w:rFonts w:eastAsia="Calibri" w:cs="Calibri"/>
        </w:rPr>
        <w:t>Nella seguente tabella sono riportate le produzioni chilometriche svolte</w:t>
      </w:r>
      <w:r w:rsidR="00520D66">
        <w:rPr>
          <w:rFonts w:eastAsia="Calibri" w:cs="Calibri"/>
        </w:rPr>
        <w:t xml:space="preserve"> 202</w:t>
      </w:r>
      <w:r w:rsidR="00356AB2">
        <w:rPr>
          <w:rFonts w:eastAsia="Calibri" w:cs="Calibri"/>
        </w:rPr>
        <w:t>4</w:t>
      </w:r>
      <w:r w:rsidR="00520D66">
        <w:rPr>
          <w:rFonts w:eastAsia="Calibri" w:cs="Calibri"/>
        </w:rPr>
        <w:t xml:space="preserve"> da GTT</w:t>
      </w:r>
      <w:r w:rsidR="00C46243">
        <w:rPr>
          <w:rFonts w:eastAsia="Calibri" w:cs="Calibri"/>
        </w:rPr>
        <w:t xml:space="preserve"> spa e le pro</w:t>
      </w:r>
      <w:r w:rsidR="00693151">
        <w:rPr>
          <w:rFonts w:eastAsia="Calibri" w:cs="Calibri"/>
        </w:rPr>
        <w:t xml:space="preserve">duzioni dei servizi </w:t>
      </w:r>
      <w:r w:rsidR="00265C7D">
        <w:rPr>
          <w:rFonts w:eastAsia="Calibri" w:cs="Calibri"/>
        </w:rPr>
        <w:t xml:space="preserve">nell’anno 2027 </w:t>
      </w:r>
      <w:r w:rsidR="009D1CF5">
        <w:rPr>
          <w:rFonts w:eastAsia="Calibri" w:cs="Calibri"/>
        </w:rPr>
        <w:t>analoghi a quelli svolti nel 2024</w:t>
      </w:r>
      <w:r w:rsidR="00265C7D">
        <w:rPr>
          <w:rFonts w:eastAsia="Calibri" w:cs="Calibri"/>
        </w:rPr>
        <w:t>,</w:t>
      </w:r>
      <w:r w:rsidR="00605C79">
        <w:rPr>
          <w:rFonts w:eastAsia="Calibri" w:cs="Calibri"/>
        </w:rPr>
        <w:t xml:space="preserve"> la cui </w:t>
      </w:r>
      <w:r w:rsidR="00265C7D">
        <w:rPr>
          <w:rFonts w:eastAsia="Calibri" w:cs="Calibri"/>
        </w:rPr>
        <w:t xml:space="preserve">più dettagliata </w:t>
      </w:r>
      <w:r w:rsidR="00605C79">
        <w:rPr>
          <w:rFonts w:eastAsia="Calibri" w:cs="Calibri"/>
        </w:rPr>
        <w:t xml:space="preserve">individuazione e </w:t>
      </w:r>
      <w:r w:rsidR="00265C7D">
        <w:rPr>
          <w:rFonts w:eastAsia="Calibri" w:cs="Calibri"/>
        </w:rPr>
        <w:t>quantificazione</w:t>
      </w:r>
      <w:r w:rsidR="00605C79">
        <w:rPr>
          <w:rFonts w:eastAsia="Calibri" w:cs="Calibri"/>
        </w:rPr>
        <w:t xml:space="preserve"> sarà </w:t>
      </w:r>
      <w:r w:rsidR="00373043">
        <w:rPr>
          <w:rFonts w:eastAsia="Calibri" w:cs="Calibri"/>
        </w:rPr>
        <w:t>descritta</w:t>
      </w:r>
      <w:r w:rsidR="00465D9F">
        <w:rPr>
          <w:rFonts w:eastAsia="Calibri" w:cs="Calibri"/>
        </w:rPr>
        <w:t xml:space="preserve"> nelle relazioni di affidamento</w:t>
      </w:r>
      <w:r w:rsidR="00AB361A">
        <w:rPr>
          <w:rFonts w:eastAsia="Calibri" w:cs="Calibri"/>
        </w:rPr>
        <w:t>.</w:t>
      </w:r>
    </w:p>
    <w:p w14:paraId="4FB0CE8F" w14:textId="77777777" w:rsidR="008719F4" w:rsidRDefault="008719F4" w:rsidP="008719F4">
      <w:pPr>
        <w:spacing w:before="120" w:after="0" w:line="240" w:lineRule="auto"/>
        <w:ind w:left="709"/>
        <w:rPr>
          <w:rFonts w:eastAsia="Calibri" w:cs="Calibri"/>
        </w:rPr>
      </w:pPr>
    </w:p>
    <w:tbl>
      <w:tblPr>
        <w:tblW w:w="4608" w:type="pct"/>
        <w:tblInd w:w="709" w:type="dxa"/>
        <w:tblCellMar>
          <w:left w:w="70" w:type="dxa"/>
          <w:right w:w="70" w:type="dxa"/>
        </w:tblCellMar>
        <w:tblLook w:val="04A0" w:firstRow="1" w:lastRow="0" w:firstColumn="1" w:lastColumn="0" w:noHBand="0" w:noVBand="1"/>
      </w:tblPr>
      <w:tblGrid>
        <w:gridCol w:w="5100"/>
        <w:gridCol w:w="1703"/>
        <w:gridCol w:w="1551"/>
      </w:tblGrid>
      <w:tr w:rsidR="00827828" w:rsidRPr="0008556C" w14:paraId="36A67E21" w14:textId="77777777" w:rsidTr="00CA6F0A">
        <w:trPr>
          <w:trHeight w:val="300"/>
        </w:trPr>
        <w:tc>
          <w:tcPr>
            <w:tcW w:w="3052" w:type="pct"/>
            <w:tcBorders>
              <w:top w:val="nil"/>
              <w:left w:val="nil"/>
              <w:bottom w:val="nil"/>
              <w:right w:val="nil"/>
            </w:tcBorders>
            <w:noWrap/>
            <w:vAlign w:val="bottom"/>
            <w:hideMark/>
          </w:tcPr>
          <w:p w14:paraId="182AFBFD" w14:textId="77777777" w:rsidR="0008556C" w:rsidRPr="0008556C" w:rsidRDefault="0008556C" w:rsidP="0008556C">
            <w:pPr>
              <w:spacing w:after="0" w:line="240" w:lineRule="auto"/>
              <w:jc w:val="left"/>
              <w:rPr>
                <w:rFonts w:ascii="Times New Roman" w:eastAsia="Times New Roman" w:hAnsi="Times New Roman" w:cs="Times New Roman"/>
                <w:sz w:val="24"/>
                <w:szCs w:val="24"/>
              </w:rPr>
            </w:pPr>
          </w:p>
        </w:tc>
        <w:tc>
          <w:tcPr>
            <w:tcW w:w="1019" w:type="pct"/>
            <w:tcBorders>
              <w:top w:val="single" w:sz="4" w:space="0" w:color="A6A6A6"/>
              <w:left w:val="single" w:sz="4" w:space="0" w:color="A6A6A6"/>
              <w:bottom w:val="single" w:sz="4" w:space="0" w:color="A6A6A6"/>
              <w:right w:val="single" w:sz="4" w:space="0" w:color="A6A6A6"/>
            </w:tcBorders>
            <w:shd w:val="clear" w:color="000000" w:fill="EE3438"/>
            <w:noWrap/>
            <w:vAlign w:val="center"/>
            <w:hideMark/>
          </w:tcPr>
          <w:p w14:paraId="4411DDD8" w14:textId="77777777" w:rsidR="0008556C" w:rsidRPr="0008556C" w:rsidRDefault="0008556C" w:rsidP="0008556C">
            <w:pPr>
              <w:spacing w:after="0" w:line="240" w:lineRule="auto"/>
              <w:jc w:val="center"/>
              <w:rPr>
                <w:rFonts w:eastAsia="Times New Roman" w:cs="Calibri"/>
                <w:b/>
                <w:bCs/>
                <w:color w:val="FFFFFF"/>
              </w:rPr>
            </w:pPr>
            <w:r w:rsidRPr="0008556C">
              <w:rPr>
                <w:rFonts w:eastAsia="Times New Roman" w:cs="Calibri"/>
                <w:b/>
                <w:bCs/>
                <w:color w:val="FFFFFF"/>
              </w:rPr>
              <w:t>2024</w:t>
            </w:r>
          </w:p>
        </w:tc>
        <w:tc>
          <w:tcPr>
            <w:tcW w:w="928" w:type="pct"/>
            <w:tcBorders>
              <w:top w:val="single" w:sz="4" w:space="0" w:color="A6A6A6"/>
              <w:left w:val="nil"/>
              <w:bottom w:val="single" w:sz="4" w:space="0" w:color="A6A6A6"/>
              <w:right w:val="single" w:sz="4" w:space="0" w:color="A6A6A6"/>
            </w:tcBorders>
            <w:shd w:val="clear" w:color="000000" w:fill="EE3438"/>
            <w:noWrap/>
            <w:vAlign w:val="center"/>
            <w:hideMark/>
          </w:tcPr>
          <w:p w14:paraId="7C788580" w14:textId="53A959C1" w:rsidR="0008556C" w:rsidRPr="0008556C" w:rsidRDefault="0008556C" w:rsidP="0008556C">
            <w:pPr>
              <w:spacing w:after="0" w:line="240" w:lineRule="auto"/>
              <w:jc w:val="center"/>
              <w:rPr>
                <w:rFonts w:eastAsia="Times New Roman" w:cs="Calibri"/>
                <w:b/>
                <w:bCs/>
                <w:color w:val="FFFFFF"/>
              </w:rPr>
            </w:pPr>
            <w:r w:rsidRPr="0008556C">
              <w:rPr>
                <w:rFonts w:eastAsia="Times New Roman" w:cs="Calibri"/>
                <w:b/>
                <w:bCs/>
                <w:color w:val="FFFFFF"/>
              </w:rPr>
              <w:t>2027</w:t>
            </w:r>
          </w:p>
        </w:tc>
      </w:tr>
      <w:tr w:rsidR="0008556C" w:rsidRPr="0008556C" w14:paraId="678AF24E" w14:textId="77777777" w:rsidTr="00CA6F0A">
        <w:trPr>
          <w:trHeight w:val="300"/>
        </w:trPr>
        <w:tc>
          <w:tcPr>
            <w:tcW w:w="3052" w:type="pct"/>
            <w:tcBorders>
              <w:top w:val="single" w:sz="4" w:space="0" w:color="A6A6A6"/>
              <w:left w:val="single" w:sz="4" w:space="0" w:color="A6A6A6"/>
              <w:bottom w:val="single" w:sz="4" w:space="0" w:color="A6A6A6"/>
              <w:right w:val="single" w:sz="4" w:space="0" w:color="A6A6A6"/>
            </w:tcBorders>
            <w:noWrap/>
            <w:vAlign w:val="bottom"/>
            <w:hideMark/>
          </w:tcPr>
          <w:p w14:paraId="2C4190EE" w14:textId="77777777" w:rsidR="0008556C" w:rsidRPr="0008556C" w:rsidRDefault="0008556C" w:rsidP="0008556C">
            <w:pPr>
              <w:spacing w:after="0" w:line="240" w:lineRule="auto"/>
              <w:jc w:val="right"/>
              <w:rPr>
                <w:rFonts w:eastAsia="Times New Roman" w:cs="Calibri"/>
                <w:color w:val="000000"/>
              </w:rPr>
            </w:pPr>
            <w:r w:rsidRPr="0008556C">
              <w:rPr>
                <w:rFonts w:eastAsia="Times New Roman" w:cs="Calibri"/>
                <w:color w:val="000000"/>
              </w:rPr>
              <w:t xml:space="preserve">produzione GTT servizio automob. urbano e suburbano </w:t>
            </w:r>
          </w:p>
        </w:tc>
        <w:tc>
          <w:tcPr>
            <w:tcW w:w="1019" w:type="pct"/>
            <w:tcBorders>
              <w:top w:val="nil"/>
              <w:left w:val="nil"/>
              <w:bottom w:val="single" w:sz="4" w:space="0" w:color="A6A6A6"/>
              <w:right w:val="single" w:sz="4" w:space="0" w:color="A6A6A6"/>
            </w:tcBorders>
            <w:noWrap/>
            <w:vAlign w:val="bottom"/>
            <w:hideMark/>
          </w:tcPr>
          <w:p w14:paraId="6A61C53D" w14:textId="77777777" w:rsidR="0008556C" w:rsidRPr="0008556C" w:rsidRDefault="0008556C" w:rsidP="008A6BCB">
            <w:pPr>
              <w:spacing w:after="0" w:line="240" w:lineRule="auto"/>
              <w:jc w:val="right"/>
              <w:rPr>
                <w:rFonts w:eastAsia="Times New Roman" w:cs="Calibri"/>
                <w:color w:val="000000"/>
              </w:rPr>
            </w:pPr>
            <w:r w:rsidRPr="0008556C">
              <w:rPr>
                <w:rFonts w:eastAsia="Times New Roman" w:cs="Calibri"/>
                <w:color w:val="000000"/>
              </w:rPr>
              <w:t>31.801.939</w:t>
            </w:r>
          </w:p>
        </w:tc>
        <w:tc>
          <w:tcPr>
            <w:tcW w:w="928" w:type="pct"/>
            <w:tcBorders>
              <w:top w:val="nil"/>
              <w:left w:val="nil"/>
              <w:bottom w:val="single" w:sz="4" w:space="0" w:color="A6A6A6"/>
              <w:right w:val="single" w:sz="4" w:space="0" w:color="A6A6A6"/>
            </w:tcBorders>
            <w:noWrap/>
            <w:vAlign w:val="bottom"/>
            <w:hideMark/>
          </w:tcPr>
          <w:p w14:paraId="43D899A4" w14:textId="4E4F2310" w:rsidR="0008556C" w:rsidRPr="0008556C" w:rsidRDefault="0008556C" w:rsidP="008A6BCB">
            <w:pPr>
              <w:spacing w:after="0" w:line="240" w:lineRule="auto"/>
              <w:jc w:val="right"/>
              <w:rPr>
                <w:rFonts w:eastAsia="Times New Roman" w:cs="Calibri"/>
                <w:color w:val="000000"/>
              </w:rPr>
            </w:pPr>
            <w:r w:rsidRPr="0008556C">
              <w:rPr>
                <w:rFonts w:eastAsia="Times New Roman" w:cs="Calibri"/>
                <w:color w:val="000000"/>
              </w:rPr>
              <w:t xml:space="preserve">29.900.000 </w:t>
            </w:r>
          </w:p>
        </w:tc>
      </w:tr>
      <w:tr w:rsidR="0008556C" w:rsidRPr="0008556C" w14:paraId="109574B9" w14:textId="77777777" w:rsidTr="00CA6F0A">
        <w:trPr>
          <w:trHeight w:val="300"/>
        </w:trPr>
        <w:tc>
          <w:tcPr>
            <w:tcW w:w="3052" w:type="pct"/>
            <w:tcBorders>
              <w:top w:val="nil"/>
              <w:left w:val="single" w:sz="4" w:space="0" w:color="A6A6A6"/>
              <w:bottom w:val="single" w:sz="4" w:space="0" w:color="A6A6A6"/>
              <w:right w:val="single" w:sz="4" w:space="0" w:color="A6A6A6"/>
            </w:tcBorders>
            <w:noWrap/>
            <w:vAlign w:val="bottom"/>
            <w:hideMark/>
          </w:tcPr>
          <w:p w14:paraId="587E9059" w14:textId="77777777" w:rsidR="0008556C" w:rsidRPr="0008556C" w:rsidRDefault="0008556C" w:rsidP="0008556C">
            <w:pPr>
              <w:spacing w:after="0" w:line="240" w:lineRule="auto"/>
              <w:jc w:val="right"/>
              <w:rPr>
                <w:rFonts w:eastAsia="Times New Roman" w:cs="Calibri"/>
                <w:color w:val="000000"/>
              </w:rPr>
            </w:pPr>
            <w:r w:rsidRPr="0008556C">
              <w:rPr>
                <w:rFonts w:eastAsia="Times New Roman" w:cs="Calibri"/>
                <w:color w:val="000000"/>
              </w:rPr>
              <w:t>produzione GTT servizi automob. periurbani</w:t>
            </w:r>
          </w:p>
        </w:tc>
        <w:tc>
          <w:tcPr>
            <w:tcW w:w="1019" w:type="pct"/>
            <w:tcBorders>
              <w:top w:val="nil"/>
              <w:left w:val="nil"/>
              <w:bottom w:val="single" w:sz="4" w:space="0" w:color="A6A6A6"/>
              <w:right w:val="single" w:sz="4" w:space="0" w:color="A6A6A6"/>
            </w:tcBorders>
            <w:noWrap/>
            <w:vAlign w:val="bottom"/>
            <w:hideMark/>
          </w:tcPr>
          <w:p w14:paraId="0A748366" w14:textId="77777777" w:rsidR="0008556C" w:rsidRPr="0008556C" w:rsidRDefault="0008556C" w:rsidP="008A6BCB">
            <w:pPr>
              <w:spacing w:after="0" w:line="240" w:lineRule="auto"/>
              <w:jc w:val="right"/>
              <w:rPr>
                <w:rFonts w:eastAsia="Times New Roman" w:cs="Calibri"/>
                <w:color w:val="000000"/>
              </w:rPr>
            </w:pPr>
            <w:r w:rsidRPr="0008556C">
              <w:rPr>
                <w:rFonts w:eastAsia="Times New Roman" w:cs="Calibri"/>
                <w:color w:val="000000"/>
              </w:rPr>
              <w:t> </w:t>
            </w:r>
          </w:p>
        </w:tc>
        <w:tc>
          <w:tcPr>
            <w:tcW w:w="928" w:type="pct"/>
            <w:tcBorders>
              <w:top w:val="nil"/>
              <w:left w:val="nil"/>
              <w:bottom w:val="single" w:sz="4" w:space="0" w:color="A6A6A6"/>
              <w:right w:val="single" w:sz="4" w:space="0" w:color="A6A6A6"/>
            </w:tcBorders>
            <w:noWrap/>
            <w:vAlign w:val="bottom"/>
            <w:hideMark/>
          </w:tcPr>
          <w:p w14:paraId="32E18419" w14:textId="29C7A477" w:rsidR="0008556C" w:rsidRPr="0008556C" w:rsidRDefault="0008556C" w:rsidP="008A6BCB">
            <w:pPr>
              <w:spacing w:after="0" w:line="240" w:lineRule="auto"/>
              <w:jc w:val="right"/>
              <w:rPr>
                <w:rFonts w:eastAsia="Times New Roman" w:cs="Calibri"/>
                <w:color w:val="000000"/>
              </w:rPr>
            </w:pPr>
            <w:r w:rsidRPr="0008556C">
              <w:rPr>
                <w:rFonts w:eastAsia="Times New Roman" w:cs="Calibri"/>
                <w:color w:val="000000"/>
              </w:rPr>
              <w:t xml:space="preserve">1.901.939 </w:t>
            </w:r>
          </w:p>
        </w:tc>
      </w:tr>
      <w:tr w:rsidR="0008556C" w:rsidRPr="0008556C" w14:paraId="2CAF9330" w14:textId="77777777" w:rsidTr="00CA6F0A">
        <w:trPr>
          <w:trHeight w:val="300"/>
        </w:trPr>
        <w:tc>
          <w:tcPr>
            <w:tcW w:w="3052" w:type="pct"/>
            <w:tcBorders>
              <w:top w:val="nil"/>
              <w:left w:val="single" w:sz="4" w:space="0" w:color="A6A6A6"/>
              <w:bottom w:val="single" w:sz="4" w:space="0" w:color="A6A6A6"/>
              <w:right w:val="single" w:sz="4" w:space="0" w:color="A6A6A6"/>
            </w:tcBorders>
            <w:noWrap/>
            <w:vAlign w:val="bottom"/>
            <w:hideMark/>
          </w:tcPr>
          <w:p w14:paraId="50AB952E" w14:textId="77777777" w:rsidR="0008556C" w:rsidRPr="0008556C" w:rsidRDefault="0008556C" w:rsidP="0008556C">
            <w:pPr>
              <w:spacing w:after="0" w:line="240" w:lineRule="auto"/>
              <w:jc w:val="right"/>
              <w:rPr>
                <w:rFonts w:eastAsia="Times New Roman" w:cs="Calibri"/>
                <w:color w:val="000000"/>
              </w:rPr>
            </w:pPr>
            <w:r w:rsidRPr="0008556C">
              <w:rPr>
                <w:rFonts w:eastAsia="Times New Roman" w:cs="Calibri"/>
                <w:color w:val="000000"/>
              </w:rPr>
              <w:t>produzione GTT extraurbano</w:t>
            </w:r>
          </w:p>
        </w:tc>
        <w:tc>
          <w:tcPr>
            <w:tcW w:w="1019" w:type="pct"/>
            <w:tcBorders>
              <w:top w:val="nil"/>
              <w:left w:val="nil"/>
              <w:bottom w:val="single" w:sz="4" w:space="0" w:color="A6A6A6"/>
              <w:right w:val="single" w:sz="4" w:space="0" w:color="A6A6A6"/>
            </w:tcBorders>
            <w:noWrap/>
            <w:vAlign w:val="bottom"/>
            <w:hideMark/>
          </w:tcPr>
          <w:p w14:paraId="6186D37C" w14:textId="77777777" w:rsidR="0008556C" w:rsidRPr="0008556C" w:rsidRDefault="0008556C" w:rsidP="008A6BCB">
            <w:pPr>
              <w:spacing w:after="0" w:line="240" w:lineRule="auto"/>
              <w:jc w:val="right"/>
              <w:rPr>
                <w:rFonts w:eastAsia="Times New Roman" w:cs="Calibri"/>
                <w:color w:val="000000"/>
              </w:rPr>
            </w:pPr>
            <w:r w:rsidRPr="0008556C">
              <w:rPr>
                <w:rFonts w:eastAsia="Times New Roman" w:cs="Calibri"/>
                <w:color w:val="000000"/>
              </w:rPr>
              <w:t>8.499.947</w:t>
            </w:r>
          </w:p>
        </w:tc>
        <w:tc>
          <w:tcPr>
            <w:tcW w:w="928" w:type="pct"/>
            <w:tcBorders>
              <w:top w:val="nil"/>
              <w:left w:val="nil"/>
              <w:bottom w:val="single" w:sz="4" w:space="0" w:color="A6A6A6"/>
              <w:right w:val="single" w:sz="4" w:space="0" w:color="A6A6A6"/>
            </w:tcBorders>
            <w:noWrap/>
            <w:vAlign w:val="bottom"/>
            <w:hideMark/>
          </w:tcPr>
          <w:p w14:paraId="0C6C2AB8" w14:textId="78C2F8CD" w:rsidR="0008556C" w:rsidRPr="0008556C" w:rsidRDefault="0008556C" w:rsidP="008A6BCB">
            <w:pPr>
              <w:spacing w:after="0" w:line="240" w:lineRule="auto"/>
              <w:jc w:val="right"/>
              <w:rPr>
                <w:rFonts w:eastAsia="Times New Roman" w:cs="Calibri"/>
                <w:color w:val="000000"/>
              </w:rPr>
            </w:pPr>
            <w:r w:rsidRPr="0008556C">
              <w:rPr>
                <w:rFonts w:eastAsia="Times New Roman" w:cs="Calibri"/>
                <w:color w:val="000000"/>
              </w:rPr>
              <w:t xml:space="preserve">2.285.701 </w:t>
            </w:r>
          </w:p>
        </w:tc>
      </w:tr>
      <w:tr w:rsidR="0008556C" w:rsidRPr="0008556C" w14:paraId="5FD59425" w14:textId="77777777" w:rsidTr="00CA6F0A">
        <w:trPr>
          <w:trHeight w:val="300"/>
        </w:trPr>
        <w:tc>
          <w:tcPr>
            <w:tcW w:w="3052" w:type="pct"/>
            <w:tcBorders>
              <w:top w:val="nil"/>
              <w:left w:val="single" w:sz="4" w:space="0" w:color="A6A6A6"/>
              <w:bottom w:val="single" w:sz="4" w:space="0" w:color="A6A6A6"/>
              <w:right w:val="single" w:sz="4" w:space="0" w:color="A6A6A6"/>
            </w:tcBorders>
            <w:noWrap/>
            <w:vAlign w:val="bottom"/>
            <w:hideMark/>
          </w:tcPr>
          <w:p w14:paraId="66AE50B5" w14:textId="64955603" w:rsidR="0008556C" w:rsidRPr="0008556C" w:rsidRDefault="00F669FC" w:rsidP="0008556C">
            <w:pPr>
              <w:spacing w:after="0" w:line="240" w:lineRule="auto"/>
              <w:jc w:val="right"/>
              <w:rPr>
                <w:rFonts w:eastAsia="Times New Roman" w:cs="Calibri"/>
                <w:b/>
                <w:bCs/>
                <w:color w:val="000000"/>
              </w:rPr>
            </w:pPr>
            <w:r>
              <w:rPr>
                <w:rFonts w:eastAsia="Times New Roman" w:cs="Calibri"/>
                <w:b/>
                <w:bCs/>
                <w:color w:val="000000"/>
              </w:rPr>
              <w:t xml:space="preserve">A) </w:t>
            </w:r>
            <w:r w:rsidR="0008556C" w:rsidRPr="0008556C">
              <w:rPr>
                <w:rFonts w:eastAsia="Times New Roman" w:cs="Calibri"/>
                <w:b/>
                <w:bCs/>
                <w:color w:val="000000"/>
              </w:rPr>
              <w:t>Totale produzione GTT servizi automobilistici</w:t>
            </w:r>
          </w:p>
        </w:tc>
        <w:tc>
          <w:tcPr>
            <w:tcW w:w="1019" w:type="pct"/>
            <w:tcBorders>
              <w:top w:val="nil"/>
              <w:left w:val="nil"/>
              <w:bottom w:val="single" w:sz="4" w:space="0" w:color="A6A6A6"/>
              <w:right w:val="single" w:sz="4" w:space="0" w:color="A6A6A6"/>
            </w:tcBorders>
            <w:noWrap/>
            <w:vAlign w:val="bottom"/>
            <w:hideMark/>
          </w:tcPr>
          <w:p w14:paraId="485B1967" w14:textId="77777777" w:rsidR="0008556C" w:rsidRPr="0008556C" w:rsidRDefault="0008556C" w:rsidP="008A6BCB">
            <w:pPr>
              <w:spacing w:after="0" w:line="240" w:lineRule="auto"/>
              <w:jc w:val="right"/>
              <w:rPr>
                <w:rFonts w:eastAsia="Times New Roman" w:cs="Calibri"/>
                <w:b/>
                <w:bCs/>
                <w:color w:val="000000"/>
              </w:rPr>
            </w:pPr>
            <w:r w:rsidRPr="0008556C">
              <w:rPr>
                <w:rFonts w:eastAsia="Times New Roman" w:cs="Calibri"/>
                <w:b/>
                <w:bCs/>
                <w:color w:val="000000"/>
              </w:rPr>
              <w:t>40.301.887</w:t>
            </w:r>
          </w:p>
        </w:tc>
        <w:tc>
          <w:tcPr>
            <w:tcW w:w="928" w:type="pct"/>
            <w:tcBorders>
              <w:top w:val="nil"/>
              <w:left w:val="nil"/>
              <w:bottom w:val="single" w:sz="4" w:space="0" w:color="A6A6A6"/>
              <w:right w:val="single" w:sz="4" w:space="0" w:color="A6A6A6"/>
            </w:tcBorders>
            <w:noWrap/>
            <w:vAlign w:val="bottom"/>
            <w:hideMark/>
          </w:tcPr>
          <w:p w14:paraId="69EA629A" w14:textId="77777777" w:rsidR="0008556C" w:rsidRPr="0008556C" w:rsidRDefault="0008556C" w:rsidP="008A6BCB">
            <w:pPr>
              <w:spacing w:after="0" w:line="240" w:lineRule="auto"/>
              <w:jc w:val="right"/>
              <w:rPr>
                <w:rFonts w:eastAsia="Times New Roman" w:cs="Calibri"/>
                <w:b/>
                <w:bCs/>
                <w:color w:val="000000"/>
              </w:rPr>
            </w:pPr>
            <w:r w:rsidRPr="0008556C">
              <w:rPr>
                <w:rFonts w:eastAsia="Times New Roman" w:cs="Calibri"/>
                <w:b/>
                <w:bCs/>
                <w:color w:val="000000"/>
              </w:rPr>
              <w:t>34.087.640</w:t>
            </w:r>
          </w:p>
        </w:tc>
      </w:tr>
      <w:tr w:rsidR="0008556C" w:rsidRPr="0008556C" w14:paraId="4294D8AE" w14:textId="77777777" w:rsidTr="00CA6F0A">
        <w:trPr>
          <w:trHeight w:val="300"/>
        </w:trPr>
        <w:tc>
          <w:tcPr>
            <w:tcW w:w="3052" w:type="pct"/>
            <w:tcBorders>
              <w:top w:val="nil"/>
              <w:left w:val="single" w:sz="4" w:space="0" w:color="A6A6A6"/>
              <w:bottom w:val="single" w:sz="4" w:space="0" w:color="A6A6A6"/>
              <w:right w:val="single" w:sz="4" w:space="0" w:color="A6A6A6"/>
            </w:tcBorders>
            <w:noWrap/>
            <w:vAlign w:val="bottom"/>
            <w:hideMark/>
          </w:tcPr>
          <w:p w14:paraId="1FA1465B" w14:textId="77777777" w:rsidR="0008556C" w:rsidRPr="0008556C" w:rsidRDefault="0008556C" w:rsidP="0008556C">
            <w:pPr>
              <w:spacing w:after="0" w:line="240" w:lineRule="auto"/>
              <w:jc w:val="right"/>
              <w:rPr>
                <w:rFonts w:eastAsia="Times New Roman" w:cs="Calibri"/>
                <w:color w:val="000000"/>
              </w:rPr>
            </w:pPr>
            <w:r w:rsidRPr="0008556C">
              <w:rPr>
                <w:rFonts w:eastAsia="Times New Roman" w:cs="Calibri"/>
                <w:color w:val="000000"/>
              </w:rPr>
              <w:t>produzione GTT servizio tranviario urbano di Torino</w:t>
            </w:r>
          </w:p>
        </w:tc>
        <w:tc>
          <w:tcPr>
            <w:tcW w:w="1019" w:type="pct"/>
            <w:tcBorders>
              <w:top w:val="nil"/>
              <w:left w:val="nil"/>
              <w:bottom w:val="single" w:sz="4" w:space="0" w:color="A6A6A6"/>
              <w:right w:val="single" w:sz="4" w:space="0" w:color="A6A6A6"/>
            </w:tcBorders>
            <w:noWrap/>
            <w:vAlign w:val="bottom"/>
            <w:hideMark/>
          </w:tcPr>
          <w:p w14:paraId="0914CEA7" w14:textId="32C31AF2" w:rsidR="0008556C" w:rsidRPr="0008556C" w:rsidRDefault="0008556C" w:rsidP="008A6BCB">
            <w:pPr>
              <w:spacing w:after="0" w:line="240" w:lineRule="auto"/>
              <w:jc w:val="right"/>
              <w:rPr>
                <w:rFonts w:eastAsia="Times New Roman" w:cs="Calibri"/>
                <w:color w:val="000000"/>
              </w:rPr>
            </w:pPr>
            <w:r w:rsidRPr="0008556C">
              <w:rPr>
                <w:rFonts w:eastAsia="Times New Roman" w:cs="Calibri"/>
                <w:color w:val="000000"/>
              </w:rPr>
              <w:t xml:space="preserve">5.849.268 </w:t>
            </w:r>
          </w:p>
        </w:tc>
        <w:tc>
          <w:tcPr>
            <w:tcW w:w="928" w:type="pct"/>
            <w:tcBorders>
              <w:top w:val="nil"/>
              <w:left w:val="nil"/>
              <w:bottom w:val="single" w:sz="4" w:space="0" w:color="A6A6A6"/>
              <w:right w:val="single" w:sz="4" w:space="0" w:color="A6A6A6"/>
            </w:tcBorders>
            <w:noWrap/>
            <w:vAlign w:val="bottom"/>
            <w:hideMark/>
          </w:tcPr>
          <w:p w14:paraId="7E489BFB" w14:textId="35C98666" w:rsidR="0008556C" w:rsidRPr="0008556C" w:rsidRDefault="0008556C" w:rsidP="008A6BCB">
            <w:pPr>
              <w:spacing w:after="0" w:line="240" w:lineRule="auto"/>
              <w:jc w:val="right"/>
              <w:rPr>
                <w:rFonts w:eastAsia="Times New Roman" w:cs="Calibri"/>
                <w:color w:val="000000"/>
              </w:rPr>
            </w:pPr>
            <w:r w:rsidRPr="0008556C">
              <w:rPr>
                <w:rFonts w:eastAsia="Times New Roman" w:cs="Calibri"/>
                <w:color w:val="000000"/>
              </w:rPr>
              <w:t xml:space="preserve">5.849.268 </w:t>
            </w:r>
          </w:p>
        </w:tc>
      </w:tr>
      <w:tr w:rsidR="0008556C" w:rsidRPr="0008556C" w14:paraId="1DA7DE7B" w14:textId="77777777" w:rsidTr="00CA6F0A">
        <w:trPr>
          <w:trHeight w:val="300"/>
        </w:trPr>
        <w:tc>
          <w:tcPr>
            <w:tcW w:w="3052" w:type="pct"/>
            <w:tcBorders>
              <w:top w:val="nil"/>
              <w:left w:val="single" w:sz="4" w:space="0" w:color="A6A6A6"/>
              <w:bottom w:val="single" w:sz="4" w:space="0" w:color="A6A6A6"/>
              <w:right w:val="single" w:sz="4" w:space="0" w:color="A6A6A6"/>
            </w:tcBorders>
            <w:noWrap/>
            <w:vAlign w:val="bottom"/>
            <w:hideMark/>
          </w:tcPr>
          <w:p w14:paraId="634965A6" w14:textId="7640FDEB" w:rsidR="0008556C" w:rsidRPr="0008556C" w:rsidRDefault="0008556C" w:rsidP="0008556C">
            <w:pPr>
              <w:spacing w:after="0" w:line="240" w:lineRule="auto"/>
              <w:jc w:val="right"/>
              <w:rPr>
                <w:rFonts w:eastAsia="Times New Roman" w:cs="Calibri"/>
                <w:color w:val="000000"/>
              </w:rPr>
            </w:pPr>
            <w:r w:rsidRPr="0008556C">
              <w:rPr>
                <w:rFonts w:eastAsia="Times New Roman" w:cs="Calibri"/>
                <w:color w:val="000000"/>
              </w:rPr>
              <w:t>produzione servizio metropolitan</w:t>
            </w:r>
            <w:r w:rsidR="00C12B40">
              <w:rPr>
                <w:rFonts w:eastAsia="Times New Roman" w:cs="Calibri"/>
                <w:color w:val="000000"/>
              </w:rPr>
              <w:t>a</w:t>
            </w:r>
            <w:r w:rsidRPr="0008556C">
              <w:rPr>
                <w:rFonts w:eastAsia="Times New Roman" w:cs="Calibri"/>
                <w:color w:val="000000"/>
              </w:rPr>
              <w:t xml:space="preserve"> di Torino</w:t>
            </w:r>
          </w:p>
        </w:tc>
        <w:tc>
          <w:tcPr>
            <w:tcW w:w="1019" w:type="pct"/>
            <w:tcBorders>
              <w:top w:val="nil"/>
              <w:left w:val="nil"/>
              <w:bottom w:val="single" w:sz="4" w:space="0" w:color="A6A6A6"/>
              <w:right w:val="single" w:sz="4" w:space="0" w:color="A6A6A6"/>
            </w:tcBorders>
            <w:noWrap/>
            <w:vAlign w:val="bottom"/>
            <w:hideMark/>
          </w:tcPr>
          <w:p w14:paraId="11CD745D" w14:textId="01ED7E99" w:rsidR="0008556C" w:rsidRPr="0008556C" w:rsidRDefault="0008556C" w:rsidP="008A6BCB">
            <w:pPr>
              <w:spacing w:after="0" w:line="240" w:lineRule="auto"/>
              <w:jc w:val="right"/>
              <w:rPr>
                <w:rFonts w:eastAsia="Times New Roman" w:cs="Calibri"/>
                <w:color w:val="000000"/>
              </w:rPr>
            </w:pPr>
            <w:r w:rsidRPr="0008556C">
              <w:rPr>
                <w:rFonts w:eastAsia="Times New Roman" w:cs="Calibri"/>
                <w:color w:val="000000"/>
              </w:rPr>
              <w:t xml:space="preserve">2.562.568 </w:t>
            </w:r>
          </w:p>
        </w:tc>
        <w:tc>
          <w:tcPr>
            <w:tcW w:w="928" w:type="pct"/>
            <w:tcBorders>
              <w:top w:val="nil"/>
              <w:left w:val="nil"/>
              <w:bottom w:val="single" w:sz="4" w:space="0" w:color="A6A6A6"/>
              <w:right w:val="single" w:sz="4" w:space="0" w:color="A6A6A6"/>
            </w:tcBorders>
            <w:noWrap/>
            <w:vAlign w:val="bottom"/>
            <w:hideMark/>
          </w:tcPr>
          <w:p w14:paraId="11F5CC36" w14:textId="0D66F372" w:rsidR="0008556C" w:rsidRPr="0008556C" w:rsidRDefault="0008556C" w:rsidP="008A6BCB">
            <w:pPr>
              <w:spacing w:after="0" w:line="240" w:lineRule="auto"/>
              <w:jc w:val="right"/>
              <w:rPr>
                <w:rFonts w:eastAsia="Times New Roman" w:cs="Calibri"/>
                <w:color w:val="000000"/>
              </w:rPr>
            </w:pPr>
            <w:r w:rsidRPr="0008556C">
              <w:rPr>
                <w:rFonts w:eastAsia="Times New Roman" w:cs="Calibri"/>
                <w:color w:val="000000"/>
              </w:rPr>
              <w:t xml:space="preserve">2.600.000 </w:t>
            </w:r>
          </w:p>
        </w:tc>
      </w:tr>
      <w:tr w:rsidR="0008556C" w:rsidRPr="0008556C" w14:paraId="1921E1EF" w14:textId="77777777" w:rsidTr="00CA6F0A">
        <w:trPr>
          <w:trHeight w:val="300"/>
        </w:trPr>
        <w:tc>
          <w:tcPr>
            <w:tcW w:w="3052" w:type="pct"/>
            <w:tcBorders>
              <w:top w:val="nil"/>
              <w:left w:val="single" w:sz="4" w:space="0" w:color="A6A6A6"/>
              <w:bottom w:val="single" w:sz="4" w:space="0" w:color="A6A6A6"/>
              <w:right w:val="single" w:sz="4" w:space="0" w:color="A6A6A6"/>
            </w:tcBorders>
            <w:noWrap/>
            <w:vAlign w:val="bottom"/>
            <w:hideMark/>
          </w:tcPr>
          <w:p w14:paraId="4C0EC443" w14:textId="7548334F" w:rsidR="0008556C" w:rsidRPr="0008556C" w:rsidRDefault="00655CAF" w:rsidP="0008556C">
            <w:pPr>
              <w:spacing w:after="0" w:line="240" w:lineRule="auto"/>
              <w:jc w:val="right"/>
              <w:rPr>
                <w:rFonts w:eastAsia="Times New Roman" w:cs="Calibri"/>
                <w:b/>
                <w:bCs/>
                <w:color w:val="000000"/>
              </w:rPr>
            </w:pPr>
            <w:r>
              <w:rPr>
                <w:rFonts w:eastAsia="Times New Roman" w:cs="Calibri"/>
                <w:b/>
                <w:bCs/>
                <w:color w:val="000000"/>
              </w:rPr>
              <w:t xml:space="preserve">B) </w:t>
            </w:r>
            <w:r w:rsidR="0008556C" w:rsidRPr="0008556C">
              <w:rPr>
                <w:rFonts w:eastAsia="Times New Roman" w:cs="Calibri"/>
                <w:b/>
                <w:bCs/>
                <w:color w:val="000000"/>
              </w:rPr>
              <w:t>Totale produzione GTT</w:t>
            </w:r>
          </w:p>
        </w:tc>
        <w:tc>
          <w:tcPr>
            <w:tcW w:w="1019" w:type="pct"/>
            <w:tcBorders>
              <w:top w:val="nil"/>
              <w:left w:val="nil"/>
              <w:bottom w:val="single" w:sz="4" w:space="0" w:color="A6A6A6"/>
              <w:right w:val="single" w:sz="4" w:space="0" w:color="A6A6A6"/>
            </w:tcBorders>
            <w:noWrap/>
            <w:vAlign w:val="bottom"/>
            <w:hideMark/>
          </w:tcPr>
          <w:p w14:paraId="6D8C254A" w14:textId="77777777" w:rsidR="0008556C" w:rsidRPr="0008556C" w:rsidRDefault="0008556C" w:rsidP="008A6BCB">
            <w:pPr>
              <w:spacing w:after="0" w:line="240" w:lineRule="auto"/>
              <w:jc w:val="right"/>
              <w:rPr>
                <w:rFonts w:eastAsia="Times New Roman" w:cs="Calibri"/>
                <w:b/>
                <w:bCs/>
                <w:color w:val="000000"/>
              </w:rPr>
            </w:pPr>
            <w:r w:rsidRPr="0008556C">
              <w:rPr>
                <w:rFonts w:eastAsia="Times New Roman" w:cs="Calibri"/>
                <w:b/>
                <w:bCs/>
                <w:color w:val="000000"/>
              </w:rPr>
              <w:t>48.713.723</w:t>
            </w:r>
          </w:p>
        </w:tc>
        <w:tc>
          <w:tcPr>
            <w:tcW w:w="928" w:type="pct"/>
            <w:tcBorders>
              <w:top w:val="nil"/>
              <w:left w:val="nil"/>
              <w:bottom w:val="single" w:sz="4" w:space="0" w:color="A6A6A6"/>
              <w:right w:val="single" w:sz="4" w:space="0" w:color="A6A6A6"/>
            </w:tcBorders>
            <w:noWrap/>
            <w:vAlign w:val="bottom"/>
            <w:hideMark/>
          </w:tcPr>
          <w:p w14:paraId="347F77C0" w14:textId="77777777" w:rsidR="0008556C" w:rsidRPr="0008556C" w:rsidRDefault="0008556C" w:rsidP="008A6BCB">
            <w:pPr>
              <w:spacing w:after="0" w:line="240" w:lineRule="auto"/>
              <w:jc w:val="right"/>
              <w:rPr>
                <w:rFonts w:eastAsia="Times New Roman" w:cs="Calibri"/>
                <w:b/>
                <w:bCs/>
                <w:color w:val="000000"/>
              </w:rPr>
            </w:pPr>
            <w:r w:rsidRPr="0008556C">
              <w:rPr>
                <w:rFonts w:eastAsia="Times New Roman" w:cs="Calibri"/>
                <w:b/>
                <w:bCs/>
                <w:color w:val="000000"/>
              </w:rPr>
              <w:t>42.536.908</w:t>
            </w:r>
          </w:p>
        </w:tc>
      </w:tr>
    </w:tbl>
    <w:p w14:paraId="75516D3E" w14:textId="402E48AC" w:rsidR="00FB773A" w:rsidRPr="00E2149D" w:rsidRDefault="00FB773A" w:rsidP="00E2149D">
      <w:pPr>
        <w:spacing w:after="200" w:line="240" w:lineRule="auto"/>
        <w:jc w:val="center"/>
        <w:rPr>
          <w:rFonts w:eastAsia="Calibri"/>
          <w:i/>
          <w:color w:val="17406D"/>
          <w:sz w:val="18"/>
          <w:szCs w:val="18"/>
        </w:rPr>
      </w:pPr>
      <w:r w:rsidRPr="00BF35BC">
        <w:rPr>
          <w:rFonts w:eastAsia="Calibri"/>
          <w:i/>
          <w:color w:val="003366"/>
          <w:sz w:val="18"/>
          <w:szCs w:val="18"/>
        </w:rPr>
        <w:t xml:space="preserve">Tabella </w:t>
      </w:r>
      <w:r w:rsidR="00E2149D" w:rsidRPr="00BF35BC">
        <w:rPr>
          <w:rFonts w:cstheme="minorHAnsi"/>
          <w:i/>
          <w:color w:val="003366"/>
          <w:sz w:val="18"/>
          <w:szCs w:val="18"/>
        </w:rPr>
        <w:fldChar w:fldCharType="begin"/>
      </w:r>
      <w:r w:rsidR="00E2149D" w:rsidRPr="00AD01C5">
        <w:rPr>
          <w:rFonts w:eastAsia="Calibri"/>
          <w:i/>
          <w:color w:val="17406D"/>
          <w:sz w:val="18"/>
          <w:szCs w:val="18"/>
        </w:rPr>
        <w:instrText xml:space="preserve"> SEQ Tabella \* ARABIC </w:instrText>
      </w:r>
      <w:r w:rsidR="00E2149D" w:rsidRPr="00BF35BC">
        <w:rPr>
          <w:rFonts w:cstheme="minorHAnsi"/>
          <w:i/>
          <w:color w:val="003366"/>
          <w:sz w:val="18"/>
          <w:szCs w:val="18"/>
        </w:rPr>
        <w:fldChar w:fldCharType="separate"/>
      </w:r>
      <w:r w:rsidR="00073B6D">
        <w:rPr>
          <w:rFonts w:eastAsia="Calibri"/>
          <w:i/>
          <w:noProof/>
          <w:color w:val="17406D"/>
          <w:sz w:val="18"/>
          <w:szCs w:val="18"/>
        </w:rPr>
        <w:t>52</w:t>
      </w:r>
      <w:r w:rsidR="00E2149D" w:rsidRPr="00BF35BC">
        <w:rPr>
          <w:rFonts w:cstheme="minorHAnsi"/>
          <w:i/>
          <w:color w:val="003366"/>
          <w:sz w:val="18"/>
          <w:szCs w:val="18"/>
        </w:rPr>
        <w:fldChar w:fldCharType="end"/>
      </w:r>
      <w:r w:rsidRPr="00BF35BC">
        <w:rPr>
          <w:rFonts w:cstheme="minorHAnsi"/>
          <w:i/>
          <w:color w:val="003366"/>
          <w:sz w:val="18"/>
          <w:szCs w:val="18"/>
        </w:rPr>
        <w:t xml:space="preserve"> </w:t>
      </w:r>
      <w:r w:rsidRPr="00BF35BC">
        <w:rPr>
          <w:rFonts w:eastAsia="Calibri"/>
          <w:color w:val="003366"/>
          <w:sz w:val="18"/>
          <w:szCs w:val="18"/>
        </w:rPr>
        <w:t xml:space="preserve">– </w:t>
      </w:r>
      <w:r w:rsidR="00D50CCB" w:rsidRPr="00E2149D">
        <w:rPr>
          <w:rFonts w:eastAsia="Calibri"/>
          <w:i/>
          <w:color w:val="17406D"/>
          <w:sz w:val="18"/>
          <w:szCs w:val="18"/>
        </w:rPr>
        <w:t xml:space="preserve">Confronto produzione </w:t>
      </w:r>
      <w:r w:rsidR="009324B4" w:rsidRPr="00E2149D">
        <w:rPr>
          <w:rFonts w:eastAsia="Calibri"/>
          <w:i/>
          <w:color w:val="17406D"/>
          <w:sz w:val="18"/>
          <w:szCs w:val="18"/>
        </w:rPr>
        <w:t xml:space="preserve">GTT spa </w:t>
      </w:r>
      <w:r w:rsidR="001F1F85" w:rsidRPr="00E2149D">
        <w:rPr>
          <w:rFonts w:eastAsia="Calibri"/>
          <w:i/>
          <w:color w:val="17406D"/>
          <w:sz w:val="18"/>
          <w:szCs w:val="18"/>
        </w:rPr>
        <w:t>202</w:t>
      </w:r>
      <w:r w:rsidR="00CC6AEE">
        <w:rPr>
          <w:rFonts w:eastAsia="Calibri"/>
          <w:i/>
          <w:color w:val="17406D"/>
          <w:sz w:val="18"/>
          <w:szCs w:val="18"/>
        </w:rPr>
        <w:t>4</w:t>
      </w:r>
      <w:r w:rsidR="009324B4" w:rsidRPr="00E2149D">
        <w:rPr>
          <w:rFonts w:eastAsia="Calibri"/>
          <w:i/>
          <w:color w:val="17406D"/>
          <w:sz w:val="18"/>
          <w:szCs w:val="18"/>
        </w:rPr>
        <w:t xml:space="preserve"> -2027</w:t>
      </w:r>
    </w:p>
    <w:p w14:paraId="2A185736" w14:textId="0F3941FA" w:rsidR="00CA6F0A" w:rsidRDefault="00CA6F0A" w:rsidP="00CA6F0A">
      <w:pPr>
        <w:spacing w:before="120" w:after="0" w:line="240" w:lineRule="auto"/>
        <w:ind w:left="709"/>
        <w:rPr>
          <w:rFonts w:eastAsia="Calibri" w:cs="Calibri"/>
        </w:rPr>
      </w:pPr>
      <w:r>
        <w:rPr>
          <w:rFonts w:eastAsia="Calibri" w:cs="Calibri"/>
        </w:rPr>
        <w:t xml:space="preserve">Come si può evincere dai dati riportati nella tabella la riduzione tra la situazione 2024 e il potenziale affidamento </w:t>
      </w:r>
      <w:r w:rsidRPr="008E665F">
        <w:rPr>
          <w:rFonts w:eastAsia="Calibri" w:cs="Calibri"/>
          <w:i/>
        </w:rPr>
        <w:t>in-house</w:t>
      </w:r>
      <w:r>
        <w:rPr>
          <w:rFonts w:eastAsia="Calibri" w:cs="Calibri"/>
        </w:rPr>
        <w:t xml:space="preserve"> è superiore alla soglia </w:t>
      </w:r>
      <w:r w:rsidR="00567A93">
        <w:rPr>
          <w:rFonts w:eastAsia="Calibri" w:cs="Calibri"/>
        </w:rPr>
        <w:t>del 10 % (</w:t>
      </w:r>
      <w:r>
        <w:rPr>
          <w:rFonts w:eastAsia="Calibri" w:cs="Calibri"/>
        </w:rPr>
        <w:t>4,8 milioni</w:t>
      </w:r>
      <w:r w:rsidR="00567A93">
        <w:rPr>
          <w:rFonts w:eastAsia="Calibri" w:cs="Calibri"/>
        </w:rPr>
        <w:t xml:space="preserve"> di bus-km annui)</w:t>
      </w:r>
      <w:r>
        <w:rPr>
          <w:rFonts w:eastAsia="Calibri" w:cs="Calibri"/>
        </w:rPr>
        <w:t xml:space="preserve"> in quanto è pari a circa il 15% se si considerano i soli servizi automobilisti (rapporto dati della riga A) e del 13% se si considerano tutti i tipi di servizio, compresi quelli di metropolitana (rapporto dati della riga B); se si considera il valore della produzione del servizio metropolitana </w:t>
      </w:r>
      <w:r>
        <w:rPr>
          <w:rFonts w:eastAsia="Calibri" w:cs="Calibri"/>
        </w:rPr>
        <w:lastRenderedPageBreak/>
        <w:t>secondo le modalità di rendicontazione utilizzate da GTT, ovvero i veicoli-km anziché i treni-km</w:t>
      </w:r>
      <w:r>
        <w:rPr>
          <w:rStyle w:val="Rimandonotaapidipagina"/>
          <w:rFonts w:eastAsia="Calibri" w:cs="Calibri"/>
        </w:rPr>
        <w:footnoteReference w:id="43"/>
      </w:r>
      <w:r>
        <w:rPr>
          <w:rFonts w:eastAsia="Calibri" w:cs="Calibri"/>
        </w:rPr>
        <w:t xml:space="preserve">, il rapporto è pari all’11%. </w:t>
      </w:r>
    </w:p>
    <w:p w14:paraId="3564173C" w14:textId="07B1CA3B" w:rsidR="00FD2CBB" w:rsidRPr="00247BCF" w:rsidRDefault="00FD2CBB" w:rsidP="005F602E">
      <w:pPr>
        <w:spacing w:before="120" w:after="0" w:line="240" w:lineRule="auto"/>
      </w:pPr>
      <w:r w:rsidRPr="69E21B87">
        <w:rPr>
          <w:rFonts w:eastAsia="Calibri" w:cs="Calibri"/>
          <w:b/>
        </w:rPr>
        <w:t xml:space="preserve">Ambito territoriale e perimetro dei servizi oggetto dell’affidamento </w:t>
      </w:r>
      <w:r w:rsidRPr="69E21B87">
        <w:rPr>
          <w:rFonts w:eastAsia="Calibri" w:cs="Calibri"/>
          <w:b/>
          <w:i/>
        </w:rPr>
        <w:t>in-house</w:t>
      </w:r>
    </w:p>
    <w:p w14:paraId="5BDC2AEB" w14:textId="77777777" w:rsidR="00FD2CBB" w:rsidRPr="00247BCF" w:rsidRDefault="00FD2CBB" w:rsidP="005F602E">
      <w:pPr>
        <w:spacing w:before="120" w:after="0" w:line="240" w:lineRule="auto"/>
        <w:ind w:left="709"/>
      </w:pPr>
      <w:r w:rsidRPr="69E21B87">
        <w:rPr>
          <w:rFonts w:eastAsia="Calibri" w:cs="Calibri"/>
        </w:rPr>
        <w:t>L’ambito territoriale e il perimetro dei servizi oggetto dell’affidamento costituiscono elementi essenziali nella definizione dei lotti di servizio. È fondamentale individuare con precisione il bacino territoriale di riferimento, affinché la configurazione dell’affidamento risulti coerente con la programmazione dei servizi e con gli obiettivi di integrazione, efficienza e razionalizzazione del sistema di trasporto pubblico locale.</w:t>
      </w:r>
    </w:p>
    <w:p w14:paraId="28675636" w14:textId="77777777" w:rsidR="00FD2CBB" w:rsidRPr="00247BCF" w:rsidRDefault="00FD2CBB" w:rsidP="005F602E">
      <w:pPr>
        <w:spacing w:before="120" w:after="0" w:line="240" w:lineRule="auto"/>
        <w:ind w:left="709"/>
      </w:pPr>
      <w:r w:rsidRPr="69E21B87">
        <w:rPr>
          <w:rFonts w:eastAsia="Calibri" w:cs="Calibri"/>
        </w:rPr>
        <w:t xml:space="preserve">In tale contesto, si ritiene necessario evitare la coesistenza, all’interno di uno stesso lotto, di servizi aventi le medesime finalità trasportistiche affidati con modalità differenti, ovvero </w:t>
      </w:r>
      <w:r w:rsidRPr="69E21B87">
        <w:rPr>
          <w:rFonts w:eastAsia="Calibri" w:cs="Calibri"/>
          <w:i/>
        </w:rPr>
        <w:t>in-house</w:t>
      </w:r>
      <w:r w:rsidRPr="69E21B87">
        <w:rPr>
          <w:rFonts w:eastAsia="Calibri" w:cs="Calibri"/>
        </w:rPr>
        <w:t xml:space="preserve"> e tramite gara. Una tale sovrapposizione risulterebbe non solo incompatibile con i principi di efficienza e integrazione del servizio, ma anche con i criteri di definizione dei lotti stabiliti dalla Delibera ART n. 48/2017, la quale prevede che la suddivisione debba essere effettuata tenendo conto della domanda effettiva e potenziale, e che la delimitazione dei servizi inclusi nel lotto sia strettamente coerente con la domanda da servire.</w:t>
      </w:r>
    </w:p>
    <w:p w14:paraId="1F630B1E" w14:textId="5C29545F" w:rsidR="00FD2CBB" w:rsidRPr="00247BCF" w:rsidRDefault="00FD2CBB" w:rsidP="005F602E">
      <w:pPr>
        <w:spacing w:before="120" w:after="0" w:line="240" w:lineRule="auto"/>
        <w:ind w:left="709"/>
      </w:pPr>
      <w:r w:rsidRPr="69E21B87">
        <w:rPr>
          <w:rFonts w:eastAsia="Calibri" w:cs="Calibri"/>
        </w:rPr>
        <w:t>Inoltre, la presenza di operatori che agiscono in concorrenza sul medesimo mercato all’interno dello stesso ambito territoriale si pone in contrasto con l’impostazione della normativa europea e nazionale, che promuove il principio delle gare “per il mercato” e non “nel mercato”. Questo approccio implica che l’affidamento debba garantire l’</w:t>
      </w:r>
      <w:r w:rsidR="00CF7BFF">
        <w:rPr>
          <w:rFonts w:eastAsia="Calibri" w:cs="Calibri"/>
        </w:rPr>
        <w:t>unitarietà</w:t>
      </w:r>
      <w:r w:rsidRPr="69E21B87">
        <w:rPr>
          <w:rFonts w:eastAsia="Calibri" w:cs="Calibri"/>
        </w:rPr>
        <w:t xml:space="preserve"> gestionale del servizio all’operatore selezionato, evitando situazioni di competizione diretta tra più gestori nello stesso lotto. Tale principio è volto a favorire una gestione unitaria, integrata ed efficiente, riducendo le frammentazioni e le sovrapposizioni che potrebbero compromettere la qualità dell’offerta, la coerenza della programmazione e la sostenibilità economica del servizio.</w:t>
      </w:r>
    </w:p>
    <w:p w14:paraId="35AE4BE6" w14:textId="77777777" w:rsidR="00FD2CBB" w:rsidRPr="00247BCF" w:rsidRDefault="00FD2CBB" w:rsidP="005F602E">
      <w:pPr>
        <w:spacing w:before="120" w:after="0" w:line="240" w:lineRule="auto"/>
        <w:ind w:left="284"/>
      </w:pPr>
      <w:r w:rsidRPr="69E21B87">
        <w:rPr>
          <w:rFonts w:eastAsia="Calibri" w:cs="Calibri"/>
          <w:i/>
        </w:rPr>
        <w:t>Tale verifica è condotta in questa relazione</w:t>
      </w:r>
    </w:p>
    <w:p w14:paraId="7AA293C3" w14:textId="1BE81F22" w:rsidR="00FD2CBB" w:rsidRPr="00247BCF" w:rsidRDefault="00A37BC4" w:rsidP="005F602E">
      <w:pPr>
        <w:spacing w:before="120" w:after="0" w:line="240" w:lineRule="auto"/>
        <w:ind w:left="709"/>
        <w:rPr>
          <w:rFonts w:eastAsia="Calibri" w:cs="Calibri"/>
          <w:highlight w:val="yellow"/>
        </w:rPr>
      </w:pPr>
      <w:r>
        <w:rPr>
          <w:rFonts w:eastAsia="Calibri" w:cs="Calibri"/>
        </w:rPr>
        <w:t>I</w:t>
      </w:r>
      <w:r w:rsidR="00FD2CBB" w:rsidRPr="69E21B87">
        <w:rPr>
          <w:rFonts w:eastAsia="Calibri" w:cs="Calibri"/>
        </w:rPr>
        <w:t xml:space="preserve"> servizi </w:t>
      </w:r>
      <w:r>
        <w:rPr>
          <w:rFonts w:eastAsia="Calibri" w:cs="Calibri"/>
        </w:rPr>
        <w:t xml:space="preserve">di </w:t>
      </w:r>
      <w:r w:rsidR="00FD2CBB" w:rsidRPr="69E21B87">
        <w:rPr>
          <w:rFonts w:eastAsia="Calibri" w:cs="Calibri"/>
        </w:rPr>
        <w:t>metropolitan</w:t>
      </w:r>
      <w:r>
        <w:rPr>
          <w:rFonts w:eastAsia="Calibri" w:cs="Calibri"/>
        </w:rPr>
        <w:t>a</w:t>
      </w:r>
      <w:r w:rsidR="00FD2CBB" w:rsidRPr="69E21B87">
        <w:rPr>
          <w:rFonts w:eastAsia="Calibri" w:cs="Calibri"/>
        </w:rPr>
        <w:t>, i servizi tranviari e automobilisti urbani e suburbani dell</w:t>
      </w:r>
      <w:r w:rsidR="00B85F89">
        <w:rPr>
          <w:rFonts w:eastAsia="Calibri" w:cs="Calibri"/>
        </w:rPr>
        <w:t>’area conurbata</w:t>
      </w:r>
      <w:r w:rsidR="00FD2CBB" w:rsidRPr="69E21B87">
        <w:rPr>
          <w:rFonts w:eastAsia="Calibri" w:cs="Calibri"/>
        </w:rPr>
        <w:t xml:space="preserve"> di Torino sono già oggi gestisti dalla società GTT spa. Tale assetto appare coerente con i presupposti di un affidamento </w:t>
      </w:r>
      <w:r w:rsidR="00FD2CBB" w:rsidRPr="69E21B87">
        <w:rPr>
          <w:rFonts w:eastAsia="Calibri" w:cs="Calibri"/>
          <w:i/>
        </w:rPr>
        <w:t>in-house</w:t>
      </w:r>
      <w:r w:rsidR="00FD2CBB" w:rsidRPr="69E21B87">
        <w:rPr>
          <w:rFonts w:eastAsia="Calibri" w:cs="Calibri"/>
        </w:rPr>
        <w:t xml:space="preserve">, e non emergono particolari criticità che ostacolino l’avvio dei successivi approfondimenti istruttori. </w:t>
      </w:r>
      <w:r w:rsidR="00FD2CBB" w:rsidRPr="00BA6638">
        <w:rPr>
          <w:rFonts w:eastAsia="Calibri" w:cs="Calibri"/>
        </w:rPr>
        <w:t xml:space="preserve">Il lotto </w:t>
      </w:r>
      <w:r w:rsidR="00FD2CBB" w:rsidRPr="00BA6638">
        <w:rPr>
          <w:rFonts w:eastAsia="Calibri" w:cs="Calibri"/>
          <w:i/>
        </w:rPr>
        <w:t xml:space="preserve">in-house </w:t>
      </w:r>
      <w:r w:rsidR="00FD2CBB" w:rsidRPr="00BA6638">
        <w:rPr>
          <w:rFonts w:eastAsia="Calibri" w:cs="Calibri"/>
        </w:rPr>
        <w:t xml:space="preserve">includerà anche i servizi a chiamata attivi sul territorio, come il servizio </w:t>
      </w:r>
      <w:r w:rsidR="006C785C">
        <w:rPr>
          <w:rFonts w:eastAsia="Calibri" w:cs="Calibri"/>
        </w:rPr>
        <w:t>“</w:t>
      </w:r>
      <w:r w:rsidR="00FD2CBB" w:rsidRPr="00BA6638">
        <w:rPr>
          <w:rFonts w:eastAsia="Calibri" w:cs="Calibri"/>
        </w:rPr>
        <w:t>SettiBUS</w:t>
      </w:r>
      <w:r w:rsidR="006C785C">
        <w:rPr>
          <w:rFonts w:eastAsia="Calibri" w:cs="Calibri"/>
        </w:rPr>
        <w:t>”</w:t>
      </w:r>
      <w:r w:rsidR="00FD2CBB" w:rsidRPr="00BA6638">
        <w:rPr>
          <w:rFonts w:eastAsia="Calibri" w:cs="Calibri"/>
        </w:rPr>
        <w:t xml:space="preserve"> del Comune di Settimo, oggetto di uno specifico contratto di servizio attualmente in vigore. Saranno condotte opportune valutazioni per definire le modalità di integrazione di tale servizio, incluso l’eventuale assorbimento all’interno del servizio a chiamata “MeBUS”</w:t>
      </w:r>
      <w:r w:rsidR="00533F21">
        <w:rPr>
          <w:rFonts w:eastAsia="Calibri" w:cs="Calibri"/>
        </w:rPr>
        <w:t xml:space="preserve"> che opera in area limitrofa</w:t>
      </w:r>
      <w:r w:rsidR="00FD2CBB" w:rsidRPr="00BA6638">
        <w:rPr>
          <w:rFonts w:eastAsia="Calibri" w:cs="Calibri"/>
        </w:rPr>
        <w:t xml:space="preserve">. </w:t>
      </w:r>
    </w:p>
    <w:p w14:paraId="4A0B9E8B" w14:textId="7C2DF1F8" w:rsidR="00FD2CBB" w:rsidRPr="00247BCF" w:rsidRDefault="00FD2CBB" w:rsidP="00A068F6">
      <w:pPr>
        <w:spacing w:before="120" w:after="0" w:line="240" w:lineRule="auto"/>
        <w:ind w:left="709"/>
        <w:rPr>
          <w:rFonts w:eastAsia="Calibri" w:cs="Calibri"/>
        </w:rPr>
      </w:pPr>
      <w:r w:rsidRPr="69E21B87">
        <w:rPr>
          <w:rFonts w:eastAsia="Calibri" w:cs="Calibri"/>
        </w:rPr>
        <w:t xml:space="preserve">Per quanto riguarda i servizi extraurbani oggi operati dalla società GTT spa nell’ambito del più ampio contratto di servizio dell’intero bacino metropolitano, sottoscritto con il consorzio Extra.to di cui la società è un consorziato, appare evidente la coesistenza con servizi erogati da altri operatori. </w:t>
      </w:r>
      <w:r w:rsidR="001B6ACB">
        <w:rPr>
          <w:rFonts w:eastAsia="Calibri" w:cs="Calibri"/>
        </w:rPr>
        <w:t>I</w:t>
      </w:r>
      <w:r w:rsidR="00B82B18">
        <w:rPr>
          <w:rFonts w:eastAsia="Calibri" w:cs="Calibri"/>
        </w:rPr>
        <w:t>n</w:t>
      </w:r>
      <w:r w:rsidR="001B6ACB">
        <w:rPr>
          <w:rFonts w:eastAsia="Calibri" w:cs="Calibri"/>
        </w:rPr>
        <w:t xml:space="preserve">oltre è necessario </w:t>
      </w:r>
      <w:r w:rsidR="00B82B18">
        <w:rPr>
          <w:rFonts w:eastAsia="Calibri" w:cs="Calibri"/>
        </w:rPr>
        <w:t>procedere alla ridefinizione dei servizi ai fini del rispetto del</w:t>
      </w:r>
      <w:r w:rsidR="00B82B18" w:rsidRPr="69E21B87">
        <w:rPr>
          <w:rFonts w:eastAsia="Calibri" w:cs="Calibri"/>
        </w:rPr>
        <w:t>l’articolo 4-bis del Decreto-Legge n. 78/2009</w:t>
      </w:r>
      <w:r w:rsidR="00B82B18">
        <w:rPr>
          <w:rFonts w:eastAsia="Calibri" w:cs="Calibri"/>
        </w:rPr>
        <w:t xml:space="preserve"> come già prima illustrato</w:t>
      </w:r>
      <w:r w:rsidR="00B566FE">
        <w:rPr>
          <w:rFonts w:eastAsia="Calibri" w:cs="Calibri"/>
        </w:rPr>
        <w:t>.</w:t>
      </w:r>
      <w:r w:rsidRPr="69E21B87">
        <w:rPr>
          <w:rFonts w:eastAsia="Calibri" w:cs="Calibri"/>
        </w:rPr>
        <w:t xml:space="preserve"> È pertanto necessario procedere con una verifica puntuale della perimetrazione dei servizi da includere nell’affidamento </w:t>
      </w:r>
      <w:r w:rsidRPr="69E21B87">
        <w:rPr>
          <w:rFonts w:eastAsia="Calibri" w:cs="Calibri"/>
          <w:i/>
        </w:rPr>
        <w:t>in-house</w:t>
      </w:r>
      <w:r w:rsidRPr="69E21B87">
        <w:rPr>
          <w:rFonts w:eastAsia="Calibri" w:cs="Calibri"/>
        </w:rPr>
        <w:t xml:space="preserve">, anche nell’ottica di definire un lotto ad alta densità abitativa come </w:t>
      </w:r>
      <w:r w:rsidRPr="69E21B87">
        <w:rPr>
          <w:rFonts w:eastAsia="Calibri" w:cs="Calibri"/>
        </w:rPr>
        <w:lastRenderedPageBreak/>
        <w:t>richiesto dal comune, nonché di garantire la necessaria coerenza normativa e funzionale. Tale verifica sarà condotta nel pros</w:t>
      </w:r>
      <w:r w:rsidR="008748AE">
        <w:rPr>
          <w:rFonts w:eastAsia="Calibri" w:cs="Calibri"/>
        </w:rPr>
        <w:t>i</w:t>
      </w:r>
      <w:r w:rsidRPr="69E21B87">
        <w:rPr>
          <w:rFonts w:eastAsia="Calibri" w:cs="Calibri"/>
        </w:rPr>
        <w:t>eguo del presente capitolo.</w:t>
      </w:r>
    </w:p>
    <w:p w14:paraId="3ACE1A54" w14:textId="77777777" w:rsidR="00FD2CBB" w:rsidRPr="00A36854" w:rsidRDefault="00FD2CBB" w:rsidP="00A068F6">
      <w:pPr>
        <w:spacing w:before="120" w:after="0" w:line="240" w:lineRule="auto"/>
        <w:rPr>
          <w:rFonts w:eastAsia="Calibri" w:cs="Calibri"/>
          <w:b/>
        </w:rPr>
      </w:pPr>
      <w:r w:rsidRPr="00A36854">
        <w:rPr>
          <w:rFonts w:eastAsia="Calibri" w:cs="Calibri"/>
          <w:b/>
        </w:rPr>
        <w:t>Controllo analogo</w:t>
      </w:r>
    </w:p>
    <w:p w14:paraId="0FD4EE92" w14:textId="77777777" w:rsidR="00FD2CBB" w:rsidRPr="00A36854" w:rsidRDefault="00FD2CBB" w:rsidP="00A068F6">
      <w:pPr>
        <w:spacing w:before="120" w:after="0" w:line="240" w:lineRule="auto"/>
        <w:ind w:left="709"/>
        <w:rPr>
          <w:rFonts w:eastAsia="Calibri" w:cs="Calibri"/>
        </w:rPr>
      </w:pPr>
      <w:r w:rsidRPr="00A36854">
        <w:rPr>
          <w:rFonts w:eastAsia="Calibri" w:cs="Calibri"/>
        </w:rPr>
        <w:t xml:space="preserve">Condizione imprescindibile per la legittimità dell’affidamento </w:t>
      </w:r>
      <w:r w:rsidRPr="00A36854">
        <w:rPr>
          <w:rFonts w:eastAsia="Calibri" w:cs="Calibri"/>
          <w:i/>
        </w:rPr>
        <w:t xml:space="preserve">in-house </w:t>
      </w:r>
      <w:r w:rsidRPr="00A36854">
        <w:rPr>
          <w:rFonts w:eastAsia="Calibri" w:cs="Calibri"/>
        </w:rPr>
        <w:t>è la presenza del cd “controllo analogo”. L’ente affidante deve dimostrare di esercitare sulla società affidataria un controllo equivalente a quello che eserciterebbe sui propri servizi interni. Questo implica che il controllo deve essere intenso e strutturale, ed esercitato in modo penetrante e determinante sugli obiettivi strategici e sulle decisioni significative della società.</w:t>
      </w:r>
    </w:p>
    <w:p w14:paraId="76D119A6" w14:textId="77777777" w:rsidR="00FD2CBB" w:rsidRPr="00A36854" w:rsidRDefault="00FD2CBB" w:rsidP="00A068F6">
      <w:pPr>
        <w:spacing w:before="120" w:after="0" w:line="240" w:lineRule="auto"/>
        <w:ind w:left="284"/>
        <w:rPr>
          <w:rFonts w:eastAsia="Calibri" w:cs="Calibri"/>
          <w:i/>
        </w:rPr>
      </w:pPr>
      <w:r w:rsidRPr="00A36854">
        <w:rPr>
          <w:rFonts w:eastAsia="Calibri" w:cs="Calibri"/>
          <w:i/>
        </w:rPr>
        <w:t>Tale verifica è in corso</w:t>
      </w:r>
    </w:p>
    <w:p w14:paraId="4ED1E180" w14:textId="77777777" w:rsidR="00FD2CBB" w:rsidRPr="00A36854" w:rsidRDefault="00FD2CBB" w:rsidP="00A068F6">
      <w:pPr>
        <w:spacing w:before="120" w:after="0" w:line="240" w:lineRule="auto"/>
        <w:ind w:left="709"/>
        <w:rPr>
          <w:rFonts w:eastAsia="Calibri" w:cs="Calibri"/>
        </w:rPr>
      </w:pPr>
      <w:r w:rsidRPr="00A36854">
        <w:rPr>
          <w:rFonts w:eastAsia="Calibri" w:cs="Calibri"/>
        </w:rPr>
        <w:t>La verifica della sussistenza del controllo analogo è attualmente in corso. Nel paragrafo 7.2.2 si riporta lo stato dell’avanzamento istruttorio, con riferimento alla documentazione acquisita e agli elementi valutativi finora emersi.</w:t>
      </w:r>
    </w:p>
    <w:p w14:paraId="64C4D06D" w14:textId="6EB166CC" w:rsidR="00FD2CBB" w:rsidRPr="00247BCF" w:rsidRDefault="00FD2CBB" w:rsidP="00A068F6">
      <w:pPr>
        <w:spacing w:before="120" w:after="0" w:line="240" w:lineRule="auto"/>
      </w:pPr>
      <w:r w:rsidRPr="69E21B87">
        <w:rPr>
          <w:rFonts w:eastAsia="Calibri" w:cs="Calibri"/>
        </w:rPr>
        <w:t>Per quanto concerne la verifica della sussistenza della “qualificata motivazione” (art. 17 comma 2 del D.lgs. n. 201/2022</w:t>
      </w:r>
      <w:r w:rsidRPr="69E21B87">
        <w:rPr>
          <w:rStyle w:val="Rimandonotaapidipagina"/>
          <w:rFonts w:eastAsia="Calibri" w:cs="Calibri"/>
        </w:rPr>
        <w:footnoteReference w:id="44"/>
      </w:r>
      <w:r w:rsidRPr="69E21B87">
        <w:rPr>
          <w:rFonts w:eastAsia="Calibri" w:cs="Calibri"/>
        </w:rPr>
        <w:t xml:space="preserve">) che giustifica il ricorso a tale modalità di affidamento e di tutte le ulteriori caratteristiche esplicitate dal Regolamento 1370/2007, dalla Comunicazione Interpretativa 2023/C 222/01, nonché dalla normativa Nazionale ed in particolare dal d.lgs. 175/2016, dal d.lgs 201/2022 e dalla deliberazione Art 154/2019 </w:t>
      </w:r>
      <w:r w:rsidR="00034BAF">
        <w:rPr>
          <w:rFonts w:eastAsia="Calibri" w:cs="Calibri"/>
        </w:rPr>
        <w:t>così come aggiornata dalla deliberazione ART 64/2024,</w:t>
      </w:r>
      <w:r w:rsidRPr="69E21B87">
        <w:rPr>
          <w:rFonts w:eastAsia="Calibri" w:cs="Calibri"/>
        </w:rPr>
        <w:t xml:space="preserve"> si rimanda alle Relazioni di affidamento.</w:t>
      </w:r>
    </w:p>
    <w:p w14:paraId="6D7CD922" w14:textId="5A962AC5" w:rsidR="00FD2CBB" w:rsidRPr="00247BCF" w:rsidRDefault="00FD2CBB" w:rsidP="008721A6">
      <w:pPr>
        <w:spacing w:before="120" w:after="0" w:line="240" w:lineRule="auto"/>
      </w:pPr>
      <w:r w:rsidRPr="69E21B87">
        <w:rPr>
          <w:rFonts w:eastAsia="Calibri" w:cs="Calibri"/>
        </w:rPr>
        <w:t xml:space="preserve">A valle delle verifiche qui descritte, l’Agenzia procederà ad una nuova fase di consultazione degli stakeholder che si terrà in tempi ristretti, per approfondire i temi richiesti al punto 7 Misura 4 della Delibera ART 159/2019, già trattati in parte durante la prima consultazione ma non finalizzati alla presente tipologia di affidamento </w:t>
      </w:r>
      <w:r w:rsidRPr="69E21B87">
        <w:rPr>
          <w:rFonts w:eastAsia="Calibri" w:cs="Calibri"/>
          <w:i/>
        </w:rPr>
        <w:t>in-house</w:t>
      </w:r>
      <w:r w:rsidRPr="69E21B87">
        <w:rPr>
          <w:rFonts w:eastAsia="Calibri" w:cs="Calibri"/>
        </w:rPr>
        <w:t>; saranno oggetto di tale fase di consultazione:</w:t>
      </w:r>
    </w:p>
    <w:p w14:paraId="69A2F100" w14:textId="77777777" w:rsidR="00FD2CBB" w:rsidRPr="00247BCF" w:rsidRDefault="00FD2CBB" w:rsidP="004B0DBE">
      <w:pPr>
        <w:pStyle w:val="Paragrafoelenco"/>
        <w:numPr>
          <w:ilvl w:val="0"/>
          <w:numId w:val="63"/>
        </w:numPr>
        <w:spacing w:before="120" w:after="0" w:line="240" w:lineRule="auto"/>
        <w:contextualSpacing w:val="0"/>
        <w:rPr>
          <w:rFonts w:eastAsia="Calibri" w:cs="Calibri"/>
        </w:rPr>
      </w:pPr>
      <w:r w:rsidRPr="69E21B87">
        <w:rPr>
          <w:rFonts w:eastAsia="Calibri" w:cs="Calibri"/>
        </w:rPr>
        <w:t>la definizione delle condizioni minime di qualità del servizio, incluse quelli di cui alla delibera ART 53/2024, le relative certificazioni, e gli obiettivi e indicatori previsti ai sensi della Misura 16 della delibera ART 154/2019 e s.m.i..</w:t>
      </w:r>
    </w:p>
    <w:p w14:paraId="2B046C63" w14:textId="69AE7E70" w:rsidR="00FD2CBB" w:rsidRPr="00247BCF" w:rsidRDefault="00FD2CBB" w:rsidP="004B0DBE">
      <w:pPr>
        <w:pStyle w:val="Paragrafoelenco"/>
        <w:numPr>
          <w:ilvl w:val="0"/>
          <w:numId w:val="63"/>
        </w:numPr>
        <w:spacing w:before="120" w:after="0" w:line="240" w:lineRule="auto"/>
        <w:contextualSpacing w:val="0"/>
        <w:rPr>
          <w:rFonts w:eastAsia="Calibri" w:cs="Calibri"/>
        </w:rPr>
      </w:pPr>
      <w:r w:rsidRPr="69E21B87">
        <w:rPr>
          <w:rFonts w:eastAsia="Calibri" w:cs="Calibri"/>
        </w:rPr>
        <w:t>la condivisione dello schema di PAD e del connesso piano di digitalizzazione.</w:t>
      </w:r>
    </w:p>
    <w:p w14:paraId="63BECE35" w14:textId="58E5CC69" w:rsidR="00FD2CBB" w:rsidRPr="00247BCF" w:rsidRDefault="00FD2CBB" w:rsidP="008721A6">
      <w:pPr>
        <w:spacing w:before="120" w:after="0" w:line="240" w:lineRule="auto"/>
      </w:pPr>
      <w:r w:rsidRPr="69E21B87">
        <w:rPr>
          <w:rFonts w:eastAsia="Calibri" w:cs="Calibri"/>
        </w:rPr>
        <w:t>Tali elementi dovranno essere in linea con le aspettative che ci si po</w:t>
      </w:r>
      <w:r w:rsidR="00606AB1">
        <w:rPr>
          <w:rFonts w:eastAsia="Calibri" w:cs="Calibri"/>
        </w:rPr>
        <w:t>n</w:t>
      </w:r>
      <w:r w:rsidRPr="69E21B87">
        <w:rPr>
          <w:rFonts w:eastAsia="Calibri" w:cs="Calibri"/>
        </w:rPr>
        <w:t xml:space="preserve">e </w:t>
      </w:r>
      <w:r w:rsidR="00606AB1">
        <w:rPr>
          <w:rFonts w:eastAsia="Calibri" w:cs="Calibri"/>
        </w:rPr>
        <w:t>nella</w:t>
      </w:r>
      <w:r w:rsidRPr="69E21B87">
        <w:rPr>
          <w:rFonts w:eastAsia="Calibri" w:cs="Calibri"/>
        </w:rPr>
        <w:t xml:space="preserve"> messa a gara dei servizi </w:t>
      </w:r>
      <w:r w:rsidR="00005A89">
        <w:rPr>
          <w:rFonts w:eastAsia="Calibri" w:cs="Calibri"/>
        </w:rPr>
        <w:t>nell’ambito regionale</w:t>
      </w:r>
      <w:r w:rsidRPr="69E21B87">
        <w:rPr>
          <w:rFonts w:eastAsia="Calibri" w:cs="Calibri"/>
        </w:rPr>
        <w:t xml:space="preserve"> e saranno oggetto di benchmark a seguito dell’aggiudicazione con gara </w:t>
      </w:r>
      <w:r w:rsidR="00F91CBF">
        <w:rPr>
          <w:rFonts w:eastAsia="Calibri" w:cs="Calibri"/>
        </w:rPr>
        <w:t>degli altri</w:t>
      </w:r>
      <w:r w:rsidRPr="69E21B87">
        <w:rPr>
          <w:rFonts w:eastAsia="Calibri" w:cs="Calibri"/>
        </w:rPr>
        <w:t xml:space="preserve"> lotti </w:t>
      </w:r>
      <w:r w:rsidR="00F91CBF">
        <w:rPr>
          <w:rFonts w:eastAsia="Calibri" w:cs="Calibri"/>
        </w:rPr>
        <w:t>del Bacino e degli altri Bacini.</w:t>
      </w:r>
    </w:p>
    <w:p w14:paraId="29F9A298" w14:textId="77777777" w:rsidR="00FD2CBB" w:rsidRPr="00CE4933" w:rsidRDefault="00FD2CBB" w:rsidP="001A020C">
      <w:pPr>
        <w:pStyle w:val="Titolo3"/>
        <w:ind w:left="720"/>
        <w:rPr>
          <w:rFonts w:eastAsia="Calibri" w:cs="Calibri"/>
          <w:szCs w:val="24"/>
        </w:rPr>
      </w:pPr>
      <w:bookmarkStart w:id="395" w:name="_Toc213078405"/>
      <w:r w:rsidRPr="00CE4933">
        <w:rPr>
          <w:rFonts w:eastAsia="Calibri" w:cs="Calibri"/>
          <w:szCs w:val="24"/>
        </w:rPr>
        <w:t>Verifica requisiti affidamenti in-house – Controllo analogo</w:t>
      </w:r>
      <w:bookmarkEnd w:id="395"/>
    </w:p>
    <w:p w14:paraId="68DF64CD" w14:textId="77777777" w:rsidR="00FD2CBB" w:rsidRPr="00247BCF" w:rsidRDefault="00FD2CBB" w:rsidP="001A020C">
      <w:pPr>
        <w:spacing w:before="120" w:after="0" w:line="240" w:lineRule="auto"/>
      </w:pPr>
      <w:r w:rsidRPr="69E21B87">
        <w:rPr>
          <w:rFonts w:eastAsia="Calibri" w:cs="Calibri"/>
        </w:rPr>
        <w:t xml:space="preserve">Il primo passaggio del procedimento istruttorio ha riguardato la verifica della sussistenza del controllo analogo, condizione imprescindibile per poter procedere con l’affidamento </w:t>
      </w:r>
      <w:r w:rsidRPr="69E21B87">
        <w:rPr>
          <w:rFonts w:eastAsia="Calibri" w:cs="Calibri"/>
          <w:i/>
        </w:rPr>
        <w:t>in-house</w:t>
      </w:r>
      <w:r w:rsidRPr="69E21B87">
        <w:rPr>
          <w:rFonts w:eastAsia="Calibri" w:cs="Calibri"/>
        </w:rPr>
        <w:t>. A tal fine, l’Agenzia ha richiesto agli Enti consorziati che hanno manifestato la volontà di procedere con tale modalità di affidamento, di trasmettere tutta la documentazione utile a dimostrare l’esistenza di un controllo effettivo e sostanziale sulle società di trasporto pubblico locale partecipate.</w:t>
      </w:r>
    </w:p>
    <w:p w14:paraId="5D2B0688" w14:textId="5A51FB1F" w:rsidR="00FD2CBB" w:rsidRPr="00990F90" w:rsidRDefault="00FD2CBB" w:rsidP="00990F90">
      <w:pPr>
        <w:spacing w:before="120" w:after="0" w:line="240" w:lineRule="auto"/>
        <w:ind w:left="-5" w:right="-2"/>
        <w:rPr>
          <w:rFonts w:eastAsia="Calibri" w:cs="Calibri"/>
        </w:rPr>
      </w:pPr>
      <w:r w:rsidRPr="69E21B87">
        <w:rPr>
          <w:rFonts w:eastAsia="Calibri" w:cs="Calibri"/>
        </w:rPr>
        <w:lastRenderedPageBreak/>
        <w:t xml:space="preserve">Il controllo analogo, come previsto dall’articolo 5, comma 2, del Regolamento (CE) n. </w:t>
      </w:r>
      <w:r w:rsidRPr="00990F90">
        <w:rPr>
          <w:rFonts w:eastAsia="Calibri" w:cs="Calibri"/>
        </w:rPr>
        <w:t>1370/2007,</w:t>
      </w:r>
      <w:r w:rsidRPr="69E21B87">
        <w:rPr>
          <w:rFonts w:eastAsia="Calibri" w:cs="Calibri"/>
        </w:rPr>
        <w:t xml:space="preserve"> </w:t>
      </w:r>
      <w:r w:rsidR="00990F90">
        <w:rPr>
          <w:rFonts w:eastAsia="Calibri" w:cs="Calibri"/>
        </w:rPr>
        <w:t xml:space="preserve">e dalla normativa italiana, </w:t>
      </w:r>
      <w:r w:rsidRPr="69E21B87">
        <w:rPr>
          <w:rFonts w:eastAsia="Calibri" w:cs="Calibri"/>
        </w:rPr>
        <w:t xml:space="preserve">deve essere intenso, strutturale e penetrante, tale da consentire all’Ente affidante di esercitare un’influenza determinante sugli indirizzi strategici e sulle decisioni rilevanti della società, in modo analogo a quanto avverrebbe nei confronti di un proprio servizio interno. Solo in presenza di tale condizione è possibile procedere legittimamente con l’affidamento </w:t>
      </w:r>
      <w:r w:rsidR="00796AC2" w:rsidRPr="00796AC2">
        <w:rPr>
          <w:rFonts w:eastAsia="Calibri" w:cs="Calibri"/>
          <w:i/>
          <w:iCs/>
        </w:rPr>
        <w:t>in-house</w:t>
      </w:r>
      <w:r w:rsidRPr="69E21B87">
        <w:rPr>
          <w:rFonts w:eastAsia="Calibri" w:cs="Calibri"/>
        </w:rPr>
        <w:t>, in conformità alla normativa europea e nazionale.</w:t>
      </w:r>
    </w:p>
    <w:p w14:paraId="56A66520" w14:textId="77777777" w:rsidR="00FD2CBB" w:rsidRPr="00247BCF" w:rsidRDefault="00FD2CBB" w:rsidP="001A020C">
      <w:pPr>
        <w:spacing w:before="120" w:after="0" w:line="240" w:lineRule="auto"/>
        <w:ind w:left="-5" w:right="-2"/>
      </w:pPr>
      <w:r w:rsidRPr="69E21B87">
        <w:rPr>
          <w:rFonts w:eastAsia="Calibri" w:cs="Calibri"/>
        </w:rPr>
        <w:t xml:space="preserve">Nel mese di febbraio 2025 l’Agenzia della Mobilità Piemontese ha avviato formalmente il procedimento istruttorio per l’affidamento </w:t>
      </w:r>
      <w:r w:rsidRPr="69E21B87">
        <w:rPr>
          <w:rFonts w:eastAsia="Calibri" w:cs="Calibri"/>
          <w:i/>
        </w:rPr>
        <w:t>in-house</w:t>
      </w:r>
      <w:r w:rsidRPr="69E21B87">
        <w:rPr>
          <w:rFonts w:eastAsia="Calibri" w:cs="Calibri"/>
        </w:rPr>
        <w:t xml:space="preserve"> del servizio di trasporto pubblico locale, richiedendo agli Enti interessati una documentazione dettagliata che attesti la struttura di governance della società, il livello di rappresentanza dell’ente negli organi societari, le modalità di nomina degli amministratori, nonché le norme statutarie e gli atti ufficiali che dimostrino l’effettivo esercizio di un’influenza determinante sugli indirizzi strategici e sulle decisioni significative della società.</w:t>
      </w:r>
    </w:p>
    <w:p w14:paraId="40216D3B" w14:textId="077CFF99" w:rsidR="00EA2804" w:rsidRPr="00EA2804" w:rsidRDefault="00EA2804" w:rsidP="00EA2804">
      <w:pPr>
        <w:spacing w:before="120" w:after="0" w:line="240" w:lineRule="auto"/>
        <w:ind w:left="-5" w:right="-2"/>
        <w:rPr>
          <w:rFonts w:eastAsia="Calibri" w:cs="Calibri"/>
        </w:rPr>
      </w:pPr>
      <w:r w:rsidRPr="00EA2804">
        <w:rPr>
          <w:rFonts w:eastAsia="Calibri" w:cs="Calibri"/>
        </w:rPr>
        <w:t xml:space="preserve">Allo stato attuale il Comune </w:t>
      </w:r>
      <w:r w:rsidR="00E929DD">
        <w:rPr>
          <w:rFonts w:eastAsia="Calibri" w:cs="Calibri"/>
        </w:rPr>
        <w:t xml:space="preserve">di Torino </w:t>
      </w:r>
      <w:r w:rsidRPr="00EA2804">
        <w:rPr>
          <w:rFonts w:eastAsia="Calibri" w:cs="Calibri"/>
        </w:rPr>
        <w:t xml:space="preserve">ha dato atto della </w:t>
      </w:r>
      <w:r w:rsidR="00E929DD">
        <w:rPr>
          <w:rFonts w:eastAsia="Calibri" w:cs="Calibri"/>
        </w:rPr>
        <w:t>volont</w:t>
      </w:r>
      <w:r w:rsidRPr="00EA2804">
        <w:rPr>
          <w:rFonts w:eastAsia="Calibri" w:cs="Calibri"/>
        </w:rPr>
        <w:t>à di adeguare lo Statuto e sono in corso le procedure amministrative necessarie.</w:t>
      </w:r>
    </w:p>
    <w:p w14:paraId="5D684327" w14:textId="77777777" w:rsidR="00EA2804" w:rsidRPr="00EA2804" w:rsidRDefault="00EA2804" w:rsidP="00EA2804">
      <w:pPr>
        <w:spacing w:before="120" w:after="0" w:line="240" w:lineRule="auto"/>
        <w:ind w:left="-5" w:right="-2"/>
        <w:rPr>
          <w:rFonts w:eastAsia="Calibri" w:cs="Calibri"/>
        </w:rPr>
      </w:pPr>
      <w:r w:rsidRPr="00EA2804">
        <w:rPr>
          <w:rFonts w:eastAsia="Calibri" w:cs="Calibri"/>
        </w:rPr>
        <w:t>Nell’Allegato 9 si riporta la comunicazione effettuata da AMP ed i riscontri pervenuti dal Comune di Torino che danno atto dell’iter di aggiornamento dello Statuto aziendale.</w:t>
      </w:r>
    </w:p>
    <w:p w14:paraId="48824EAC" w14:textId="77777777" w:rsidR="00FD2CBB" w:rsidRPr="00247BCF" w:rsidRDefault="00FD2CBB" w:rsidP="001A020C">
      <w:pPr>
        <w:spacing w:before="120" w:after="0" w:line="240" w:lineRule="auto"/>
        <w:ind w:left="-5" w:right="-2"/>
      </w:pPr>
      <w:r w:rsidRPr="69E21B87">
        <w:rPr>
          <w:rFonts w:eastAsia="Calibri" w:cs="Calibri"/>
        </w:rPr>
        <w:t>La comunicazione trasmessa da Agenzia, evidenzia inoltre che il contratto di servizio dovrà recepire e tradurre operativamente il ruolo di programmazione unitaria e integrata attribuito ad AMP dalla normativa regionale (L.R. 1/2000). In particolare, il contratto dovrà prevedere strumenti e modalità che consentano all’ente affidante AMP di esercitare un controllo penetrante e strutturale sulla gestione della società, garantendo la coerenza con gli obiettivi di integrazione, efficienza e coordinamento del sistema di trasporto pubblico locale.</w:t>
      </w:r>
    </w:p>
    <w:p w14:paraId="4A10F25A" w14:textId="77777777" w:rsidR="00FD2CBB" w:rsidRPr="00247BCF" w:rsidRDefault="00FD2CBB" w:rsidP="001A020C">
      <w:pPr>
        <w:spacing w:before="120" w:after="0" w:line="240" w:lineRule="auto"/>
      </w:pPr>
      <w:r w:rsidRPr="69E21B87">
        <w:rPr>
          <w:rFonts w:eastAsia="Calibri" w:cs="Calibri"/>
        </w:rPr>
        <w:t xml:space="preserve">Il contratto di servizio rappresenta lo strumento giuridico e operativo attraverso cui AMP eserciterà il controllo analogo sulla società affidataria </w:t>
      </w:r>
      <w:r w:rsidRPr="69E21B87">
        <w:rPr>
          <w:rFonts w:eastAsia="Calibri" w:cs="Calibri"/>
          <w:i/>
        </w:rPr>
        <w:t>in-house</w:t>
      </w:r>
      <w:r w:rsidRPr="69E21B87">
        <w:rPr>
          <w:rFonts w:eastAsia="Calibri" w:cs="Calibri"/>
        </w:rPr>
        <w:t>.</w:t>
      </w:r>
    </w:p>
    <w:p w14:paraId="072E46AF" w14:textId="77777777" w:rsidR="00FD2CBB" w:rsidRPr="00247BCF" w:rsidRDefault="00FD2CBB" w:rsidP="001A020C">
      <w:pPr>
        <w:spacing w:before="120" w:after="0" w:line="240" w:lineRule="auto"/>
      </w:pPr>
      <w:r w:rsidRPr="69E21B87">
        <w:rPr>
          <w:rFonts w:eastAsia="Calibri" w:cs="Calibri"/>
        </w:rPr>
        <w:t xml:space="preserve">La differenza primaria tra un contratto di servizio stipulato a seguito di gara e quello previsto per l’affidamento </w:t>
      </w:r>
      <w:r w:rsidRPr="69E21B87">
        <w:rPr>
          <w:rFonts w:eastAsia="Calibri" w:cs="Calibri"/>
          <w:i/>
        </w:rPr>
        <w:t>in-house</w:t>
      </w:r>
      <w:r w:rsidRPr="69E21B87">
        <w:rPr>
          <w:rFonts w:eastAsia="Calibri" w:cs="Calibri"/>
        </w:rPr>
        <w:t xml:space="preserve"> consiste nell’inserimento di una o più clausole specifiche che attribuiscono all’ente affidante poteri di indirizzo, controllo e intervento particolarmente penetranti e strutturali. Queste clausole, che non possono essere presenti nei contratti derivanti da gara, sono invece essenziali per garantire che AMP possa esercitare un’influenza determinante sulle decisioni strategiche e gestionali della società, analogamente a quanto avverrebbe nei confronti di un proprio servizio interno. In particolare, il contratto di servizio </w:t>
      </w:r>
      <w:r w:rsidRPr="69E21B87">
        <w:rPr>
          <w:rFonts w:eastAsia="Calibri" w:cs="Calibri"/>
          <w:i/>
        </w:rPr>
        <w:t>in-house</w:t>
      </w:r>
      <w:r w:rsidRPr="69E21B87">
        <w:rPr>
          <w:rFonts w:eastAsia="Calibri" w:cs="Calibri"/>
        </w:rPr>
        <w:t xml:space="preserve"> deve prevedere strumenti di governance, obblighi di informazione, poteri di approvazione preventiva su atti rilevanti, nonché meccanismi di monitoraggio e verifica costante delle attività aziendali e risoluzione automatica per mancato raggiungimento degli obiettivi.</w:t>
      </w:r>
    </w:p>
    <w:p w14:paraId="155A4ED7" w14:textId="77777777" w:rsidR="00FD2CBB" w:rsidRPr="00247BCF" w:rsidRDefault="00FD2CBB" w:rsidP="001A020C">
      <w:pPr>
        <w:spacing w:before="120" w:after="0" w:line="240" w:lineRule="auto"/>
        <w:ind w:left="-5" w:right="-2"/>
      </w:pPr>
      <w:r w:rsidRPr="69E21B87">
        <w:rPr>
          <w:rFonts w:eastAsia="Calibri" w:cs="Calibri"/>
        </w:rPr>
        <w:t>Solo attraverso specifiche previsioni contrattuali è possibile dimostrare la sussistenza del controllo analogo richiesto dalla normativa europea, assicurando che la gestione del servizio di trasporto pubblico locale sia costantemente orientata e vincolata agli indirizzi e agli interessi pubblici della collettività e agli obiettivi di programmazione pubblica del servizio di trasporto pubblico locale.</w:t>
      </w:r>
    </w:p>
    <w:p w14:paraId="4326A4E7" w14:textId="07B15102" w:rsidR="00470CE0" w:rsidRPr="00470CE0" w:rsidRDefault="00470CE0" w:rsidP="00470CE0">
      <w:pPr>
        <w:spacing w:before="120" w:after="0" w:line="240" w:lineRule="auto"/>
        <w:ind w:left="-5" w:right="-2"/>
        <w:rPr>
          <w:rFonts w:eastAsia="Calibri" w:cs="Calibri"/>
          <w:b/>
          <w:bCs/>
        </w:rPr>
      </w:pPr>
      <w:r w:rsidRPr="00470CE0">
        <w:rPr>
          <w:rFonts w:eastAsia="Calibri" w:cs="Calibri"/>
          <w:b/>
          <w:bCs/>
        </w:rPr>
        <w:t xml:space="preserve">Il rapporto fra </w:t>
      </w:r>
      <w:r>
        <w:rPr>
          <w:rFonts w:eastAsia="Calibri" w:cs="Calibri"/>
          <w:b/>
          <w:bCs/>
        </w:rPr>
        <w:t>AMP</w:t>
      </w:r>
      <w:r w:rsidRPr="00470CE0">
        <w:rPr>
          <w:rFonts w:eastAsia="Calibri" w:cs="Calibri"/>
          <w:b/>
          <w:bCs/>
        </w:rPr>
        <w:t xml:space="preserve"> e concessionario nel Contratto di servizio</w:t>
      </w:r>
      <w:r>
        <w:rPr>
          <w:rFonts w:eastAsia="Calibri" w:cs="Calibri"/>
          <w:b/>
          <w:bCs/>
        </w:rPr>
        <w:t xml:space="preserve"> </w:t>
      </w:r>
      <w:r w:rsidRPr="004B6351">
        <w:rPr>
          <w:rFonts w:eastAsia="Calibri" w:cs="Calibri"/>
          <w:b/>
          <w:i/>
        </w:rPr>
        <w:t>in-house</w:t>
      </w:r>
    </w:p>
    <w:p w14:paraId="1260372C" w14:textId="77777777" w:rsidR="008D2094" w:rsidRPr="008D2094" w:rsidRDefault="008D2094" w:rsidP="008D2094">
      <w:pPr>
        <w:spacing w:before="120" w:after="0" w:line="240" w:lineRule="auto"/>
        <w:ind w:left="-5" w:right="-2"/>
        <w:rPr>
          <w:rFonts w:eastAsia="Calibri" w:cs="Calibri"/>
        </w:rPr>
      </w:pPr>
      <w:r w:rsidRPr="008D2094">
        <w:rPr>
          <w:rFonts w:eastAsia="Calibri" w:cs="Calibri"/>
        </w:rPr>
        <w:t>Il contratto di servizio tra ente concedente e concessionario è lo strumento che disciplina in modo puntuale i rapporti tra chi affida il servizio pubblico e chi lo gestisce, definendo obblighi, standard qualitativi, modalità di controllo, penali e compensazioni. Tale contratto è previsto sia negli affidamenti tramite gara, sia negli affidamenti “in house”, ossia a società controllate dall’ente pubblico. In quest’ultimo caso, la natura del rapporto è diversa: il concessionario è una società partecipata dall’ente, sul quale quest’ultimo esercita un “controllo analogo” a quello che avrebbe sui propri servizi interni. Ciò implica che l’ente non si limita a fissare obiettivi e verificare risultati, ma partecipa alle decisioni strategiche e gestionali, orientando le linee operative e le priorità.</w:t>
      </w:r>
    </w:p>
    <w:p w14:paraId="10314531" w14:textId="24978ED3" w:rsidR="008D2094" w:rsidRPr="008D2094" w:rsidRDefault="008D2094" w:rsidP="008D2094">
      <w:pPr>
        <w:spacing w:before="120" w:after="0" w:line="240" w:lineRule="auto"/>
        <w:ind w:left="-5" w:right="-2"/>
        <w:rPr>
          <w:rFonts w:eastAsia="Calibri" w:cs="Calibri"/>
        </w:rPr>
      </w:pPr>
      <w:r w:rsidRPr="008D2094">
        <w:rPr>
          <w:rFonts w:eastAsia="Calibri" w:cs="Calibri"/>
        </w:rPr>
        <w:lastRenderedPageBreak/>
        <w:t>Questa configurazione consente maggiore flessibilità nell’adeguare il servizio alle esigenze della collettività, pur mantenendo il contratto di servizio come presidio di trasparenza, efficienza e responsabilità, in conformità ai principi di economicità e tutela dell’utenza sanciti dalla normativa europea e nazionale. Diversamente dall’affidamento tramite gara, dove il contratto regola rapporti tra soggetti distinti e potenzialmente in conflitto, nell’</w:t>
      </w:r>
      <w:r w:rsidRPr="00162DC9">
        <w:rPr>
          <w:rFonts w:eastAsia="Calibri" w:cs="Calibri"/>
          <w:i/>
          <w:iCs/>
        </w:rPr>
        <w:t>in</w:t>
      </w:r>
      <w:r w:rsidR="00162DC9" w:rsidRPr="00162DC9">
        <w:rPr>
          <w:rFonts w:eastAsia="Calibri" w:cs="Calibri"/>
          <w:i/>
          <w:iCs/>
        </w:rPr>
        <w:t>-</w:t>
      </w:r>
      <w:r w:rsidRPr="00162DC9">
        <w:rPr>
          <w:rFonts w:eastAsia="Calibri" w:cs="Calibri"/>
          <w:i/>
          <w:iCs/>
        </w:rPr>
        <w:t>house</w:t>
      </w:r>
      <w:r w:rsidRPr="008D2094">
        <w:rPr>
          <w:rFonts w:eastAsia="Calibri" w:cs="Calibri"/>
        </w:rPr>
        <w:t xml:space="preserve"> esso svolge anche una funzione di coordinamento tra soggetti che condividono la stessa missione pubblica.</w:t>
      </w:r>
    </w:p>
    <w:p w14:paraId="4D3810BD" w14:textId="77777777" w:rsidR="008D2094" w:rsidRPr="008D2094" w:rsidRDefault="008D2094" w:rsidP="008D2094">
      <w:pPr>
        <w:spacing w:before="120" w:after="0" w:line="240" w:lineRule="auto"/>
        <w:ind w:left="-5" w:right="-2"/>
        <w:rPr>
          <w:rFonts w:eastAsia="Calibri" w:cs="Calibri"/>
        </w:rPr>
      </w:pPr>
      <w:r w:rsidRPr="008D2094">
        <w:rPr>
          <w:rFonts w:eastAsia="Calibri" w:cs="Calibri"/>
        </w:rPr>
        <w:t>Il Regolamento (CE) 1370/2007, art. 5, par. 2, consente l’affidamento diretto in house anche da parte di più autorità locali, purché almeno una eserciti il controllo analogo. Nel caso dell’affidamento a GTT, il Comune di Torino esercita tale controllo, mentre AMP, pur essendo giuridicamente distinto, è il concessionario del servizio. AMP non partecipa alla governance di GTT, ma, secondo la giurisprudenza europea e nazionale, può esercitare un controllo “rafforzato” mediante strumenti di indirizzo, monitoraggio e verifica. Questo si realizza attraverso la definizione degli obiettivi di servizio, la gestione dei rapporti contrattuali, l’autorizzazione preventiva di atti rilevanti e la separazione dei rischi, senza interferire nella gestione ordinaria dell’azienda. Il controllo avviene tramite atti formali e richieste documentali, salvaguardando l’autonomia gestionale di GTT.</w:t>
      </w:r>
    </w:p>
    <w:p w14:paraId="251A55B7" w14:textId="68DED673" w:rsidR="00470CE0" w:rsidRPr="00470CE0" w:rsidRDefault="00470CE0" w:rsidP="00470CE0">
      <w:pPr>
        <w:spacing w:before="120" w:after="0" w:line="240" w:lineRule="auto"/>
        <w:ind w:left="-5" w:right="-2"/>
        <w:rPr>
          <w:rFonts w:eastAsia="Calibri" w:cs="Calibri"/>
        </w:rPr>
      </w:pPr>
      <w:r w:rsidRPr="00470CE0">
        <w:rPr>
          <w:rFonts w:eastAsia="Calibri" w:cs="Calibri"/>
        </w:rPr>
        <w:t>AMP mantiene così la sua terzietà e il suo ruolo di garante dell</w:t>
      </w:r>
      <w:r w:rsidR="00F65890">
        <w:rPr>
          <w:rFonts w:eastAsia="Calibri" w:cs="Calibri"/>
        </w:rPr>
        <w:t>a funzione pubblica</w:t>
      </w:r>
      <w:r w:rsidRPr="00470CE0">
        <w:rPr>
          <w:rFonts w:eastAsia="Calibri" w:cs="Calibri"/>
        </w:rPr>
        <w:t xml:space="preserve">, senza confondersi con la società affidataria. Questo modello è conforme </w:t>
      </w:r>
      <w:r w:rsidR="00C04079">
        <w:rPr>
          <w:rFonts w:eastAsia="Calibri" w:cs="Calibri"/>
        </w:rPr>
        <w:t>secondo il</w:t>
      </w:r>
      <w:r w:rsidRPr="00470CE0">
        <w:rPr>
          <w:rFonts w:eastAsia="Calibri" w:cs="Calibri"/>
        </w:rPr>
        <w:t xml:space="preserve"> diritto europeo, purché sia garantita la possibilità di esercitare un controllo effettivo e sostanziale sulle scelte della società, anche se non si traduce in una presenza diretta ne</w:t>
      </w:r>
      <w:r w:rsidR="00C04079">
        <w:rPr>
          <w:rFonts w:eastAsia="Calibri" w:cs="Calibri"/>
        </w:rPr>
        <w:t>lla Società</w:t>
      </w:r>
      <w:r w:rsidRPr="00470CE0">
        <w:rPr>
          <w:rFonts w:eastAsia="Calibri" w:cs="Calibri"/>
        </w:rPr>
        <w:t>.</w:t>
      </w:r>
    </w:p>
    <w:p w14:paraId="4415D6FD" w14:textId="138A6EF4" w:rsidR="00CC7BD1" w:rsidRDefault="00CC7BD1" w:rsidP="00470CE0">
      <w:pPr>
        <w:spacing w:before="120" w:after="0" w:line="240" w:lineRule="auto"/>
        <w:ind w:left="-5" w:right="-2"/>
        <w:rPr>
          <w:rFonts w:eastAsia="Calibri" w:cs="Calibri"/>
        </w:rPr>
      </w:pPr>
      <w:r w:rsidRPr="00CC7BD1">
        <w:rPr>
          <w:rFonts w:eastAsia="Calibri" w:cs="Calibri"/>
        </w:rPr>
        <w:t xml:space="preserve">Per rendere effettivo e trasparente il controllo analogo, il contratto di servizio deve contenere specifiche disposizioni aggiuntive rispetto a quelle previste nei contratti derivanti da gara. </w:t>
      </w:r>
      <w:r w:rsidR="00B164DF" w:rsidRPr="00B164DF">
        <w:rPr>
          <w:rFonts w:eastAsia="Calibri" w:cs="Calibri"/>
        </w:rPr>
        <w:t>L’elenco delle clausole che segue</w:t>
      </w:r>
      <w:r w:rsidR="00B164DF">
        <w:rPr>
          <w:rFonts w:eastAsia="Calibri" w:cs="Calibri"/>
        </w:rPr>
        <w:t>,</w:t>
      </w:r>
      <w:r w:rsidR="00B164DF" w:rsidRPr="00B164DF">
        <w:rPr>
          <w:rFonts w:eastAsia="Calibri" w:cs="Calibri"/>
        </w:rPr>
        <w:t xml:space="preserve"> </w:t>
      </w:r>
      <w:r w:rsidR="00840513">
        <w:rPr>
          <w:rFonts w:eastAsia="Calibri" w:cs="Calibri"/>
        </w:rPr>
        <w:t xml:space="preserve">da porre </w:t>
      </w:r>
      <w:r w:rsidRPr="00CC7BD1">
        <w:rPr>
          <w:rFonts w:eastAsia="Calibri" w:cs="Calibri"/>
        </w:rPr>
        <w:t>sotto la rubrica “Controllo analogo”</w:t>
      </w:r>
      <w:r w:rsidR="00840513">
        <w:rPr>
          <w:rFonts w:eastAsia="Calibri" w:cs="Calibri"/>
        </w:rPr>
        <w:t xml:space="preserve"> del Contratto di servizio</w:t>
      </w:r>
      <w:r w:rsidRPr="00CC7BD1">
        <w:rPr>
          <w:rFonts w:eastAsia="Calibri" w:cs="Calibri"/>
        </w:rPr>
        <w:t xml:space="preserve">, </w:t>
      </w:r>
      <w:r w:rsidR="00B164DF" w:rsidRPr="00B164DF">
        <w:rPr>
          <w:rFonts w:eastAsia="Calibri" w:cs="Calibri"/>
        </w:rPr>
        <w:t>rappresenta una prima formulazione di massima</w:t>
      </w:r>
      <w:r w:rsidR="00B164DF">
        <w:rPr>
          <w:rFonts w:eastAsia="Calibri" w:cs="Calibri"/>
        </w:rPr>
        <w:t>; il cds deve prevedere</w:t>
      </w:r>
      <w:r w:rsidR="009271AB">
        <w:rPr>
          <w:rFonts w:eastAsia="Calibri" w:cs="Calibri"/>
        </w:rPr>
        <w:t xml:space="preserve"> che</w:t>
      </w:r>
      <w:r w:rsidR="00B164DF">
        <w:rPr>
          <w:rFonts w:eastAsia="Calibri" w:cs="Calibri"/>
        </w:rPr>
        <w:t>:</w:t>
      </w:r>
    </w:p>
    <w:p w14:paraId="15A82880" w14:textId="0E8EDFB5" w:rsidR="00470CE0" w:rsidRPr="009271AB" w:rsidRDefault="00470CE0" w:rsidP="004B0DBE">
      <w:pPr>
        <w:pStyle w:val="Paragrafoelenco"/>
        <w:numPr>
          <w:ilvl w:val="0"/>
          <w:numId w:val="85"/>
        </w:numPr>
        <w:spacing w:before="120" w:after="0" w:line="240" w:lineRule="auto"/>
        <w:ind w:left="714" w:hanging="357"/>
        <w:contextualSpacing w:val="0"/>
        <w:rPr>
          <w:rFonts w:eastAsia="Calibri" w:cs="Calibri"/>
        </w:rPr>
      </w:pPr>
      <w:r w:rsidRPr="009271AB">
        <w:rPr>
          <w:rFonts w:eastAsia="Calibri" w:cs="Calibri"/>
        </w:rPr>
        <w:t>AMP, pur essendo soggetto giuridicamente distinto, si avvale del controllo esercitato dal Comune di Torino su GTT per garantire il rispetto dei principi del Regolamento 1370/2007;</w:t>
      </w:r>
    </w:p>
    <w:p w14:paraId="6F2675E3" w14:textId="4222F9BC" w:rsidR="00470CE0" w:rsidRPr="009271AB" w:rsidRDefault="00470CE0" w:rsidP="004B0DBE">
      <w:pPr>
        <w:pStyle w:val="Paragrafoelenco"/>
        <w:numPr>
          <w:ilvl w:val="0"/>
          <w:numId w:val="85"/>
        </w:numPr>
        <w:spacing w:before="120" w:after="0" w:line="240" w:lineRule="auto"/>
        <w:ind w:left="714" w:hanging="357"/>
        <w:contextualSpacing w:val="0"/>
        <w:rPr>
          <w:rFonts w:eastAsia="Calibri" w:cs="Calibri"/>
        </w:rPr>
      </w:pPr>
      <w:r w:rsidRPr="009271AB">
        <w:rPr>
          <w:rFonts w:eastAsia="Calibri" w:cs="Calibri"/>
        </w:rPr>
        <w:t>il Comune di Torino mantiene il potere di indirizzo, supervisione e intervento sulle scelte aziendali rilevanti, anche nell’interesse di AMP e degli altri Comuni coinvolti;</w:t>
      </w:r>
    </w:p>
    <w:p w14:paraId="05544345" w14:textId="77777777" w:rsidR="00D2489A" w:rsidRPr="009271AB" w:rsidRDefault="00D2489A" w:rsidP="004B0DBE">
      <w:pPr>
        <w:pStyle w:val="Paragrafoelenco"/>
        <w:numPr>
          <w:ilvl w:val="0"/>
          <w:numId w:val="85"/>
        </w:numPr>
        <w:spacing w:before="120" w:after="0" w:line="240" w:lineRule="auto"/>
        <w:ind w:left="714" w:hanging="357"/>
        <w:contextualSpacing w:val="0"/>
        <w:rPr>
          <w:rFonts w:eastAsia="Calibri" w:cs="Calibri"/>
        </w:rPr>
      </w:pPr>
      <w:r w:rsidRPr="009271AB">
        <w:rPr>
          <w:rFonts w:eastAsia="Calibri" w:cs="Calibri"/>
        </w:rPr>
        <w:t>AMP se necessario attiva il Comune per interventi diretti sulla gestione di GTT mediante l’applicazione delle disposizioni Statutarie;</w:t>
      </w:r>
    </w:p>
    <w:p w14:paraId="125DAA96" w14:textId="66EC0CAE" w:rsidR="00F11210" w:rsidRPr="009271AB" w:rsidRDefault="00470CE0" w:rsidP="004B0DBE">
      <w:pPr>
        <w:pStyle w:val="Paragrafoelenco"/>
        <w:numPr>
          <w:ilvl w:val="0"/>
          <w:numId w:val="85"/>
        </w:numPr>
        <w:spacing w:before="120" w:after="0" w:line="240" w:lineRule="auto"/>
        <w:ind w:left="714" w:hanging="357"/>
        <w:contextualSpacing w:val="0"/>
        <w:rPr>
          <w:rFonts w:eastAsia="Calibri" w:cs="Calibri"/>
        </w:rPr>
      </w:pPr>
      <w:r w:rsidRPr="009271AB">
        <w:rPr>
          <w:rFonts w:eastAsia="Calibri" w:cs="Calibri"/>
        </w:rPr>
        <w:t xml:space="preserve">AMP esercita le sue funzioni di controllo e monitoraggio </w:t>
      </w:r>
      <w:r w:rsidR="00F526F8">
        <w:rPr>
          <w:rFonts w:eastAsia="Calibri" w:cs="Calibri"/>
        </w:rPr>
        <w:t xml:space="preserve">e </w:t>
      </w:r>
      <w:r w:rsidRPr="009271AB">
        <w:rPr>
          <w:rFonts w:eastAsia="Calibri" w:cs="Calibri"/>
        </w:rPr>
        <w:t>strumenti di verifica, reportistica, richieste di informazioni, audizioni</w:t>
      </w:r>
      <w:r w:rsidR="003F22AE" w:rsidRPr="009271AB">
        <w:rPr>
          <w:rFonts w:eastAsia="Calibri" w:cs="Calibri"/>
        </w:rPr>
        <w:t>;</w:t>
      </w:r>
    </w:p>
    <w:p w14:paraId="318578EE" w14:textId="6A4AC546" w:rsidR="00470CE0" w:rsidRPr="009271AB" w:rsidRDefault="00F11210" w:rsidP="004B0DBE">
      <w:pPr>
        <w:pStyle w:val="Paragrafoelenco"/>
        <w:numPr>
          <w:ilvl w:val="0"/>
          <w:numId w:val="85"/>
        </w:numPr>
        <w:spacing w:before="120" w:after="0" w:line="240" w:lineRule="auto"/>
        <w:ind w:left="714" w:hanging="357"/>
        <w:contextualSpacing w:val="0"/>
        <w:rPr>
          <w:rFonts w:eastAsia="Calibri" w:cs="Calibri"/>
        </w:rPr>
      </w:pPr>
      <w:r w:rsidRPr="009271AB">
        <w:rPr>
          <w:rFonts w:eastAsia="Calibri" w:cs="Calibri"/>
        </w:rPr>
        <w:t>AMP esercita le sue funzioni di controllo di tipo economico-finanziario</w:t>
      </w:r>
      <w:r w:rsidR="004B526A">
        <w:rPr>
          <w:rStyle w:val="Rimandonotaapidipagina"/>
          <w:rFonts w:eastAsia="Calibri" w:cs="Calibri"/>
        </w:rPr>
        <w:footnoteReference w:id="45"/>
      </w:r>
      <w:r w:rsidR="00FA1B41">
        <w:rPr>
          <w:rFonts w:eastAsia="Calibri" w:cs="Calibri"/>
        </w:rPr>
        <w:t>,</w:t>
      </w:r>
      <w:r w:rsidR="003F22AE" w:rsidRPr="009271AB">
        <w:rPr>
          <w:rFonts w:eastAsia="Calibri" w:cs="Calibri"/>
        </w:rPr>
        <w:t xml:space="preserve"> con </w:t>
      </w:r>
      <w:r w:rsidR="00470CE0" w:rsidRPr="009271AB">
        <w:rPr>
          <w:rFonts w:eastAsia="Calibri" w:cs="Calibri"/>
        </w:rPr>
        <w:t>parere preventivo vincolante su specifici atti legati al contratto di servizio</w:t>
      </w:r>
      <w:r w:rsidR="00FA1B41">
        <w:rPr>
          <w:rFonts w:eastAsia="Calibri" w:cs="Calibri"/>
        </w:rPr>
        <w:t>, non in</w:t>
      </w:r>
      <w:r w:rsidR="00146AEF">
        <w:rPr>
          <w:rFonts w:eastAsia="Calibri" w:cs="Calibri"/>
        </w:rPr>
        <w:t>terferenti con l’ordinaria gestione di GTT,</w:t>
      </w:r>
      <w:r w:rsidR="00470CE0" w:rsidRPr="009271AB">
        <w:rPr>
          <w:rFonts w:eastAsia="Calibri" w:cs="Calibri"/>
        </w:rPr>
        <w:t xml:space="preserve"> quali ad es. i driver di ripartizione del Conto Economico Consuntivo del CdS</w:t>
      </w:r>
      <w:r w:rsidR="002A40A0">
        <w:rPr>
          <w:rFonts w:eastAsia="Calibri" w:cs="Calibri"/>
        </w:rPr>
        <w:t xml:space="preserve"> e l’acquisizione della documentazione </w:t>
      </w:r>
      <w:r w:rsidR="00CD4D62">
        <w:rPr>
          <w:rFonts w:eastAsia="Calibri" w:cs="Calibri"/>
        </w:rPr>
        <w:t>di budget e di rendicontazione periodica</w:t>
      </w:r>
      <w:r w:rsidR="003F22AE" w:rsidRPr="009271AB">
        <w:rPr>
          <w:rFonts w:eastAsia="Calibri" w:cs="Calibri"/>
        </w:rPr>
        <w:t>;</w:t>
      </w:r>
    </w:p>
    <w:p w14:paraId="255657F0" w14:textId="656BC3DA" w:rsidR="00EA2804" w:rsidRPr="00247BCF" w:rsidRDefault="004931CF" w:rsidP="004931CF">
      <w:pPr>
        <w:spacing w:before="120" w:after="0" w:line="240" w:lineRule="auto"/>
        <w:ind w:right="-2"/>
        <w:rPr>
          <w:rFonts w:eastAsia="Calibri" w:cs="Calibri"/>
          <w:highlight w:val="yellow"/>
        </w:rPr>
      </w:pPr>
      <w:r>
        <w:rPr>
          <w:rFonts w:eastAsia="Calibri" w:cs="Calibri"/>
        </w:rPr>
        <w:t xml:space="preserve">Queste formulazioni </w:t>
      </w:r>
      <w:r w:rsidR="00470CE0" w:rsidRPr="004931CF">
        <w:rPr>
          <w:rFonts w:eastAsia="Calibri" w:cs="Calibri"/>
        </w:rPr>
        <w:t>garantisc</w:t>
      </w:r>
      <w:r>
        <w:rPr>
          <w:rFonts w:eastAsia="Calibri" w:cs="Calibri"/>
        </w:rPr>
        <w:t>ono</w:t>
      </w:r>
      <w:r w:rsidR="00470CE0" w:rsidRPr="004931CF">
        <w:rPr>
          <w:rFonts w:eastAsia="Calibri" w:cs="Calibri"/>
        </w:rPr>
        <w:t xml:space="preserve"> la conformità ai requisiti europei di “controllo analogo”, pur mantenendo la distinzione tra ente regolatore e gestore del servizio.</w:t>
      </w:r>
      <w:r>
        <w:rPr>
          <w:rFonts w:eastAsia="Calibri" w:cs="Calibri"/>
        </w:rPr>
        <w:t xml:space="preserve"> </w:t>
      </w:r>
      <w:r w:rsidR="00470CE0" w:rsidRPr="00470CE0">
        <w:rPr>
          <w:rFonts w:eastAsia="Calibri" w:cs="Calibri"/>
        </w:rPr>
        <w:t xml:space="preserve">In questo modo, il contratto di servizio non solo rispetta la normativa europea, ma rende anche trasparente agli occhi di tutti (cittadini, enti locali interessati, autorità di controllo, alle altre autorità del gruppo, stakeholder) il </w:t>
      </w:r>
      <w:r w:rsidR="00470CE0" w:rsidRPr="00470CE0">
        <w:rPr>
          <w:rFonts w:eastAsia="Calibri" w:cs="Calibri"/>
        </w:rPr>
        <w:lastRenderedPageBreak/>
        <w:t>meccanismo con cui viene esercitato il controllo pubblico sulla società in house, anche quando l’affidamento del servizio di trasporto pubblico passa attraverso un soggetto terzo come AMP.</w:t>
      </w:r>
    </w:p>
    <w:p w14:paraId="663319CD" w14:textId="77777777" w:rsidR="00FD2CBB" w:rsidRPr="00247BCF" w:rsidRDefault="00FD2CBB" w:rsidP="001A020C">
      <w:pPr>
        <w:pStyle w:val="Titolo3"/>
        <w:ind w:left="720"/>
        <w:rPr>
          <w:rFonts w:eastAsia="Calibri" w:cs="Calibri"/>
          <w:iCs/>
          <w:szCs w:val="24"/>
        </w:rPr>
      </w:pPr>
      <w:bookmarkStart w:id="396" w:name="_Toc213078406"/>
      <w:r w:rsidRPr="69E21B87">
        <w:rPr>
          <w:rFonts w:eastAsia="Calibri" w:cs="Calibri"/>
          <w:iCs/>
          <w:szCs w:val="24"/>
        </w:rPr>
        <w:t>Verifica requisiti affidamenti in-house – Pregresse gestioni</w:t>
      </w:r>
      <w:bookmarkEnd w:id="396"/>
    </w:p>
    <w:p w14:paraId="5171BE2A" w14:textId="309A367A" w:rsidR="00FD2CBB" w:rsidRPr="00247BCF" w:rsidRDefault="00FD2CBB" w:rsidP="00E963F1">
      <w:pPr>
        <w:spacing w:before="120" w:after="0" w:line="240" w:lineRule="auto"/>
        <w:ind w:left="-6"/>
      </w:pPr>
      <w:r w:rsidRPr="69E21B87">
        <w:rPr>
          <w:rFonts w:eastAsia="Calibri" w:cs="Calibri"/>
        </w:rPr>
        <w:t xml:space="preserve">La normativa sugli affidamenti </w:t>
      </w:r>
      <w:r w:rsidRPr="69E21B87">
        <w:rPr>
          <w:rFonts w:eastAsia="Calibri" w:cs="Calibri"/>
          <w:i/>
        </w:rPr>
        <w:t>in-house</w:t>
      </w:r>
      <w:r w:rsidRPr="69E21B87">
        <w:rPr>
          <w:rFonts w:eastAsia="Calibri" w:cs="Calibri"/>
        </w:rPr>
        <w:t xml:space="preserve">, in particolare l’art. 17 del D.L. 201/2022, prevede che nella valutazione della legittimità e dell’opportunità dell’affidamento diretto </w:t>
      </w:r>
      <w:r w:rsidR="005B7134" w:rsidRPr="00B565E0">
        <w:rPr>
          <w:rFonts w:eastAsia="Calibri" w:cs="Calibri"/>
          <w:i/>
        </w:rPr>
        <w:t>in-house providi</w:t>
      </w:r>
      <w:r w:rsidR="00B565E0" w:rsidRPr="00B565E0">
        <w:rPr>
          <w:rFonts w:eastAsia="Calibri" w:cs="Calibri"/>
          <w:i/>
        </w:rPr>
        <w:t>ng</w:t>
      </w:r>
      <w:r w:rsidR="00B565E0">
        <w:rPr>
          <w:rFonts w:eastAsia="Calibri" w:cs="Calibri"/>
        </w:rPr>
        <w:t xml:space="preserve"> </w:t>
      </w:r>
      <w:r w:rsidRPr="69E21B87">
        <w:rPr>
          <w:rFonts w:eastAsia="Calibri" w:cs="Calibri"/>
        </w:rPr>
        <w:t xml:space="preserve">sia necessario tenere conto dei risultati delle gestioni pregresse. Questo principio risponde all’esigenza di garantire che la scelta dell’affidamento </w:t>
      </w:r>
      <w:r w:rsidRPr="69E21B87">
        <w:rPr>
          <w:rFonts w:eastAsia="Calibri" w:cs="Calibri"/>
          <w:i/>
        </w:rPr>
        <w:t>in-house</w:t>
      </w:r>
      <w:r w:rsidRPr="69E21B87">
        <w:rPr>
          <w:rFonts w:eastAsia="Calibri" w:cs="Calibri"/>
        </w:rPr>
        <w:t xml:space="preserve"> sia supportata da evidenze oggettive di efficienza, qualità e sostenibilità, e non sia motivata esclusivamente da ragioni formali o di convenienza amministrativa.</w:t>
      </w:r>
    </w:p>
    <w:p w14:paraId="1399324B" w14:textId="77777777" w:rsidR="00FD2CBB" w:rsidRPr="00247BCF" w:rsidRDefault="00FD2CBB" w:rsidP="00E963F1">
      <w:pPr>
        <w:spacing w:before="120" w:after="0" w:line="240" w:lineRule="auto"/>
        <w:ind w:left="-6"/>
      </w:pPr>
      <w:r w:rsidRPr="69E21B87">
        <w:rPr>
          <w:rFonts w:eastAsia="Calibri" w:cs="Calibri"/>
        </w:rPr>
        <w:t xml:space="preserve">In concreto, la valutazione delle gestioni pregresse deve basarsi su una ricognizione puntuale dei risultati conseguiti dall’azienda affidataria negli anni precedenti, con particolare attenzione agli indicatori di qualità del servizio, agli investimenti effettuati, ai costi sostenuti dagli utenti e all’impatto sulla finanza pubblica. È inoltre opportuno confrontare tali risultati con quelli ottenuti da altri operatori attivi sul territorio, anche attraverso benchmark e analisi comparative. Solo una valutazione trasparente e documentata delle gestioni pregresse può fornire una base solida per la motivazione qualificata dell’affidamento </w:t>
      </w:r>
      <w:r w:rsidRPr="69E21B87">
        <w:rPr>
          <w:rFonts w:eastAsia="Calibri" w:cs="Calibri"/>
          <w:i/>
        </w:rPr>
        <w:t>in-house</w:t>
      </w:r>
      <w:r w:rsidRPr="69E21B87">
        <w:rPr>
          <w:rFonts w:eastAsia="Calibri" w:cs="Calibri"/>
        </w:rPr>
        <w:t xml:space="preserve"> e per la definizione di obiettivi chiari e misurabili nel nuovo contratto di servizio.</w:t>
      </w:r>
    </w:p>
    <w:p w14:paraId="557C07F0" w14:textId="77777777" w:rsidR="00DF4B4B" w:rsidRDefault="00FD2CBB" w:rsidP="00E963F1">
      <w:pPr>
        <w:spacing w:before="120" w:after="0" w:line="240" w:lineRule="auto"/>
        <w:ind w:left="-6"/>
        <w:rPr>
          <w:rFonts w:eastAsia="Calibri" w:cs="Calibri"/>
        </w:rPr>
      </w:pPr>
      <w:r w:rsidRPr="69E21B87">
        <w:rPr>
          <w:rFonts w:eastAsia="Calibri" w:cs="Calibri"/>
        </w:rPr>
        <w:t xml:space="preserve">Per una prima valutazione sintetica, viene presentato l’andamento degli indicatori sia dei servizi relativi al contratto </w:t>
      </w:r>
      <w:r w:rsidRPr="107C713E">
        <w:rPr>
          <w:rFonts w:eastAsia="Calibri" w:cs="Calibri"/>
        </w:rPr>
        <w:t>di trasporto</w:t>
      </w:r>
      <w:r w:rsidRPr="69E21B87">
        <w:rPr>
          <w:rFonts w:eastAsia="Calibri" w:cs="Calibri"/>
        </w:rPr>
        <w:t xml:space="preserve"> pubblico locale metropolitano, urbano suburbano interessate all’affidamento </w:t>
      </w:r>
      <w:r w:rsidRPr="69E21B87">
        <w:rPr>
          <w:rFonts w:eastAsia="Calibri" w:cs="Calibri"/>
          <w:i/>
        </w:rPr>
        <w:t>in-house</w:t>
      </w:r>
      <w:r w:rsidRPr="69E21B87">
        <w:rPr>
          <w:rFonts w:eastAsia="Calibri" w:cs="Calibri"/>
        </w:rPr>
        <w:t>, sia dei servizi extraurbani relativi al contratto di Extra.to tratti dall’Osservatorio Nazionale per il TPL (ONTPL)</w:t>
      </w:r>
      <w:r w:rsidR="00B33275">
        <w:rPr>
          <w:rFonts w:eastAsia="Calibri" w:cs="Calibri"/>
        </w:rPr>
        <w:t xml:space="preserve"> </w:t>
      </w:r>
      <w:r w:rsidR="00B33275" w:rsidRPr="69E21B87">
        <w:rPr>
          <w:rFonts w:eastAsia="Calibri" w:cs="Calibri"/>
        </w:rPr>
        <w:t>del Ministero dei Trasporti</w:t>
      </w:r>
      <w:r w:rsidR="00B33275">
        <w:rPr>
          <w:rFonts w:eastAsia="Calibri" w:cs="Calibri"/>
        </w:rPr>
        <w:t xml:space="preserve"> i</w:t>
      </w:r>
      <w:r w:rsidR="00B33275" w:rsidRPr="69E21B87">
        <w:rPr>
          <w:rFonts w:eastAsia="Calibri" w:cs="Calibri"/>
        </w:rPr>
        <w:t xml:space="preserve"> dati riferiti al periodo 2012-2023</w:t>
      </w:r>
      <w:r w:rsidRPr="69E21B87">
        <w:rPr>
          <w:rFonts w:eastAsia="Calibri" w:cs="Calibri"/>
        </w:rPr>
        <w:t>.</w:t>
      </w:r>
    </w:p>
    <w:p w14:paraId="772B2356" w14:textId="7228F0C5" w:rsidR="00FD2CBB" w:rsidRPr="00247BCF" w:rsidRDefault="00DF4B4B" w:rsidP="00E963F1">
      <w:pPr>
        <w:spacing w:before="120" w:after="0" w:line="240" w:lineRule="auto"/>
        <w:ind w:left="-6"/>
        <w:rPr>
          <w:rFonts w:eastAsia="Calibri" w:cs="Calibri"/>
        </w:rPr>
      </w:pPr>
      <w:r>
        <w:rPr>
          <w:rFonts w:eastAsia="Calibri" w:cs="Calibri"/>
        </w:rPr>
        <w:t>N</w:t>
      </w:r>
      <w:r w:rsidR="006068FC">
        <w:rPr>
          <w:rFonts w:eastAsia="Calibri" w:cs="Calibri"/>
        </w:rPr>
        <w:t>el caso del Contratto di Servizio di Extra</w:t>
      </w:r>
      <w:r w:rsidR="00A27DE3">
        <w:rPr>
          <w:rFonts w:eastAsia="Calibri" w:cs="Calibri"/>
        </w:rPr>
        <w:t>TO</w:t>
      </w:r>
      <w:r w:rsidR="006068FC">
        <w:rPr>
          <w:rFonts w:eastAsia="Calibri" w:cs="Calibri"/>
        </w:rPr>
        <w:t xml:space="preserve"> è stata effettuata una </w:t>
      </w:r>
      <w:r w:rsidR="00B03216">
        <w:rPr>
          <w:rFonts w:eastAsia="Calibri" w:cs="Calibri"/>
        </w:rPr>
        <w:t>stima</w:t>
      </w:r>
      <w:r w:rsidR="006068FC">
        <w:rPr>
          <w:rFonts w:eastAsia="Calibri" w:cs="Calibri"/>
        </w:rPr>
        <w:t xml:space="preserve"> </w:t>
      </w:r>
      <w:r w:rsidR="001154A2">
        <w:rPr>
          <w:rFonts w:eastAsia="Calibri" w:cs="Calibri"/>
        </w:rPr>
        <w:t>necessaria per identificare i soli servizi</w:t>
      </w:r>
      <w:r w:rsidR="00FD2CBB" w:rsidRPr="69E21B87">
        <w:rPr>
          <w:rFonts w:eastAsia="Calibri" w:cs="Calibri"/>
        </w:rPr>
        <w:t xml:space="preserve"> operati da GTT</w:t>
      </w:r>
      <w:r w:rsidR="003F7A14">
        <w:rPr>
          <w:rFonts w:eastAsia="Calibri" w:cs="Calibri"/>
        </w:rPr>
        <w:t xml:space="preserve">; si è approfondita la </w:t>
      </w:r>
      <w:r w:rsidR="00B03216">
        <w:rPr>
          <w:rFonts w:eastAsia="Calibri" w:cs="Calibri"/>
        </w:rPr>
        <w:t>stima</w:t>
      </w:r>
      <w:r w:rsidR="003F7A14">
        <w:rPr>
          <w:rFonts w:eastAsia="Calibri" w:cs="Calibri"/>
        </w:rPr>
        <w:t xml:space="preserve"> </w:t>
      </w:r>
      <w:r w:rsidR="005B4B46">
        <w:rPr>
          <w:rFonts w:eastAsia="Calibri" w:cs="Calibri"/>
        </w:rPr>
        <w:t>attraverso</w:t>
      </w:r>
      <w:r w:rsidR="00FD2CBB" w:rsidRPr="58C4FDB0">
        <w:rPr>
          <w:rFonts w:eastAsia="Calibri" w:cs="Calibri"/>
        </w:rPr>
        <w:t xml:space="preserve"> </w:t>
      </w:r>
      <w:r w:rsidR="002B2CA6">
        <w:rPr>
          <w:rFonts w:eastAsia="Calibri" w:cs="Calibri"/>
        </w:rPr>
        <w:t>l’</w:t>
      </w:r>
      <w:r w:rsidR="00FD2CBB" w:rsidRPr="58C4FDB0">
        <w:rPr>
          <w:rFonts w:eastAsia="Calibri" w:cs="Calibri"/>
        </w:rPr>
        <w:t>estr</w:t>
      </w:r>
      <w:r w:rsidR="0070190B">
        <w:rPr>
          <w:rFonts w:eastAsia="Calibri" w:cs="Calibri"/>
        </w:rPr>
        <w:t>azione</w:t>
      </w:r>
      <w:r w:rsidR="00FD2CBB" w:rsidRPr="58C4FDB0">
        <w:rPr>
          <w:rFonts w:eastAsia="Calibri" w:cs="Calibri"/>
        </w:rPr>
        <w:t xml:space="preserve"> </w:t>
      </w:r>
      <w:r w:rsidR="00FD2CBB" w:rsidRPr="0FE2190A">
        <w:rPr>
          <w:rFonts w:eastAsia="Calibri" w:cs="Calibri"/>
        </w:rPr>
        <w:t xml:space="preserve">dei dati </w:t>
      </w:r>
      <w:r w:rsidR="00FD2CBB" w:rsidRPr="14C97701">
        <w:rPr>
          <w:rFonts w:eastAsia="Calibri" w:cs="Calibri"/>
        </w:rPr>
        <w:t xml:space="preserve">aziendali </w:t>
      </w:r>
      <w:r w:rsidR="001154A2">
        <w:rPr>
          <w:rFonts w:eastAsia="Calibri" w:cs="Calibri"/>
        </w:rPr>
        <w:t xml:space="preserve">e l’analisi dei dati che GTT </w:t>
      </w:r>
      <w:r w:rsidR="00FD2CBB" w:rsidRPr="3C9C8177">
        <w:rPr>
          <w:rFonts w:eastAsia="Calibri" w:cs="Calibri"/>
        </w:rPr>
        <w:t xml:space="preserve">ha </w:t>
      </w:r>
      <w:r w:rsidR="00FD2CBB" w:rsidRPr="0CACEA57">
        <w:rPr>
          <w:rFonts w:eastAsia="Calibri" w:cs="Calibri"/>
        </w:rPr>
        <w:t xml:space="preserve">dichiarato </w:t>
      </w:r>
      <w:r w:rsidR="00FD2CBB" w:rsidRPr="05254200">
        <w:rPr>
          <w:rFonts w:eastAsia="Calibri" w:cs="Calibri"/>
        </w:rPr>
        <w:t>all’ART con</w:t>
      </w:r>
      <w:r w:rsidR="00FD2CBB" w:rsidRPr="0885B616">
        <w:rPr>
          <w:rFonts w:eastAsia="Calibri" w:cs="Calibri"/>
        </w:rPr>
        <w:t xml:space="preserve"> la </w:t>
      </w:r>
      <w:r w:rsidR="00FD2CBB" w:rsidRPr="5767F2A8">
        <w:rPr>
          <w:rFonts w:eastAsia="Calibri" w:cs="Calibri"/>
        </w:rPr>
        <w:t xml:space="preserve">contabilità </w:t>
      </w:r>
      <w:r w:rsidR="00FD2CBB" w:rsidRPr="1A930B97">
        <w:rPr>
          <w:rFonts w:eastAsia="Calibri" w:cs="Calibri"/>
        </w:rPr>
        <w:t>regolatoria</w:t>
      </w:r>
      <w:r w:rsidR="00FD2CBB" w:rsidRPr="6F447D79">
        <w:rPr>
          <w:rFonts w:eastAsia="Calibri" w:cs="Calibri"/>
        </w:rPr>
        <w:t>.</w:t>
      </w:r>
      <w:r w:rsidR="00FD2CBB" w:rsidRPr="179DDF9F">
        <w:rPr>
          <w:rFonts w:eastAsia="Calibri" w:cs="Calibri"/>
        </w:rPr>
        <w:t xml:space="preserve"> </w:t>
      </w:r>
      <w:r w:rsidR="00FD2CBB" w:rsidRPr="69E21B87">
        <w:rPr>
          <w:rFonts w:eastAsia="Calibri" w:cs="Calibri"/>
        </w:rPr>
        <w:t>I dati, dichiarati e certificati direttamente dalle aziende, offrono una base oggettiva per l’analisi.</w:t>
      </w:r>
      <w:r>
        <w:rPr>
          <w:rFonts w:eastAsia="Calibri" w:cs="Calibri"/>
        </w:rPr>
        <w:t xml:space="preserve"> In sede di Relazione di affidamento l’analisi delle gestioni pregresse sarà meglio dettagliata</w:t>
      </w:r>
    </w:p>
    <w:p w14:paraId="500FAEA1" w14:textId="77777777" w:rsidR="00FD2CBB" w:rsidRPr="00DF4B4B" w:rsidRDefault="00FD2CBB" w:rsidP="00E963F1">
      <w:pPr>
        <w:spacing w:before="120" w:after="0" w:line="240" w:lineRule="auto"/>
        <w:ind w:left="-6"/>
        <w:rPr>
          <w:rFonts w:eastAsia="Calibri" w:cs="Calibri"/>
        </w:rPr>
      </w:pPr>
      <w:r w:rsidRPr="00DF4B4B">
        <w:rPr>
          <w:rFonts w:eastAsia="Calibri" w:cs="Calibri"/>
        </w:rPr>
        <w:t>Nelle tabelle seguenti</w:t>
      </w:r>
      <w:r w:rsidRPr="69E21B87">
        <w:rPr>
          <w:rFonts w:eastAsia="Calibri" w:cs="Calibri"/>
        </w:rPr>
        <w:t xml:space="preserve">, i valori evidenziati </w:t>
      </w:r>
      <w:r w:rsidRPr="00DF4B4B">
        <w:rPr>
          <w:rFonts w:eastAsia="Calibri" w:cs="Calibri"/>
        </w:rPr>
        <w:t>in azzurro</w:t>
      </w:r>
      <w:r w:rsidRPr="69E21B87">
        <w:rPr>
          <w:rFonts w:eastAsia="Calibri" w:cs="Calibri"/>
        </w:rPr>
        <w:t xml:space="preserve"> individuano i dati utilizzati per le prime considerazioni e analisi preliminari, facilitando l’identificazione immediata degli elementi più significativi ai fini della valutazione. Si precisa che tali dati rappresentano esclusivamente aspetti tecnici ed economici e non forniscono indicazioni sulla qualità prestata e percepita del servizio offerto agli utenti. </w:t>
      </w:r>
    </w:p>
    <w:p w14:paraId="04AB3068" w14:textId="77777777" w:rsidR="00FD2CBB" w:rsidRDefault="00FD2CBB" w:rsidP="00E963F1">
      <w:pPr>
        <w:spacing w:before="120" w:after="0" w:line="240" w:lineRule="auto"/>
        <w:ind w:left="-6"/>
        <w:rPr>
          <w:rFonts w:eastAsia="Calibri" w:cs="Calibri"/>
        </w:rPr>
      </w:pPr>
      <w:r w:rsidRPr="69E21B87">
        <w:rPr>
          <w:rFonts w:eastAsia="Calibri" w:cs="Calibri"/>
        </w:rPr>
        <w:t>Questa analisi consente di mettere in luce le principali dinamiche gestionali e i risultati conseguiti nel tempo dalle società coinvolte, fornendo al contempo indicazioni utili per la definizione degli obiettivi minimi e delle prospettive di crescita per il futuro affidamento.</w:t>
      </w:r>
    </w:p>
    <w:p w14:paraId="7C136F0A" w14:textId="77777777" w:rsidR="00FF348E" w:rsidRDefault="00FF348E" w:rsidP="00FF348E">
      <w:pPr>
        <w:spacing w:before="120" w:after="0" w:line="240" w:lineRule="auto"/>
        <w:ind w:left="-6"/>
        <w:rPr>
          <w:rFonts w:eastAsia="Calibri" w:cs="Calibri"/>
        </w:rPr>
      </w:pPr>
      <w:r w:rsidRPr="00FF348E">
        <w:rPr>
          <w:rFonts w:eastAsia="Calibri" w:cs="Calibri"/>
        </w:rPr>
        <w:t>Le due tabelle riportano i dati e gli indicatori relativi al contratto di servizio urbano e metropolitano gestito da GTT, con riferimento al periodo 2012-2023. Esse forniscono una sintesi delle principali metriche di esercizio e delle performance registrate nell’arco temporale considerato.</w:t>
      </w:r>
    </w:p>
    <w:p w14:paraId="41ACC55F" w14:textId="77777777" w:rsidR="00785F0B" w:rsidRDefault="00FD2CBB" w:rsidP="00785F0B">
      <w:pPr>
        <w:spacing w:before="120" w:after="0" w:line="240" w:lineRule="auto"/>
        <w:ind w:left="-6"/>
        <w:rPr>
          <w:rFonts w:eastAsia="Calibri"/>
          <w:i/>
          <w:iCs/>
          <w:color w:val="17406D"/>
          <w:sz w:val="18"/>
          <w:szCs w:val="18"/>
        </w:rPr>
      </w:pPr>
      <w:r>
        <w:rPr>
          <w:noProof/>
        </w:rPr>
        <w:lastRenderedPageBreak/>
        <w:drawing>
          <wp:inline distT="0" distB="0" distL="0" distR="0" wp14:anchorId="1E0709DF" wp14:editId="0F126703">
            <wp:extent cx="5762625" cy="2524125"/>
            <wp:effectExtent l="0" t="0" r="0" b="0"/>
            <wp:docPr id="1087682910" name="drawing" descr="Immagine che contiene testo, schermata, numero, Caratter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682910" name="drawing" descr="Immagine che contiene testo, schermata, numero, Carattere&#10;&#10;Descrizione generata automaticamente"/>
                    <pic:cNvPicPr/>
                  </pic:nvPicPr>
                  <pic:blipFill>
                    <a:blip r:embed="rId89">
                      <a:extLst>
                        <a:ext uri="{28A0092B-C50C-407E-A947-70E740481C1C}">
                          <a14:useLocalDpi xmlns:a14="http://schemas.microsoft.com/office/drawing/2010/main"/>
                        </a:ext>
                      </a:extLst>
                    </a:blip>
                    <a:stretch>
                      <a:fillRect/>
                    </a:stretch>
                  </pic:blipFill>
                  <pic:spPr>
                    <a:xfrm>
                      <a:off x="0" y="0"/>
                      <a:ext cx="5762625" cy="2524125"/>
                    </a:xfrm>
                    <a:prstGeom prst="rect">
                      <a:avLst/>
                    </a:prstGeom>
                  </pic:spPr>
                </pic:pic>
              </a:graphicData>
            </a:graphic>
          </wp:inline>
        </w:drawing>
      </w:r>
      <w:r w:rsidR="00EA1DBC" w:rsidRPr="00EA1DBC">
        <w:rPr>
          <w:rFonts w:eastAsia="Calibri"/>
          <w:i/>
          <w:iCs/>
          <w:color w:val="17406D"/>
          <w:sz w:val="18"/>
          <w:szCs w:val="18"/>
        </w:rPr>
        <w:t xml:space="preserve"> </w:t>
      </w:r>
    </w:p>
    <w:p w14:paraId="51F31586" w14:textId="77777777" w:rsidR="00785F0B" w:rsidRPr="00785F0B" w:rsidRDefault="00785F0B" w:rsidP="00785F0B">
      <w:pPr>
        <w:spacing w:before="120" w:after="0" w:line="240" w:lineRule="auto"/>
        <w:rPr>
          <w:rFonts w:eastAsia="Calibri" w:cs="Calibri"/>
        </w:rPr>
      </w:pPr>
    </w:p>
    <w:p w14:paraId="03DDECB9" w14:textId="3ED78894" w:rsidR="00FD2CBB" w:rsidRPr="00EA1DBC" w:rsidRDefault="00FD2CBB" w:rsidP="00785F0B">
      <w:pPr>
        <w:spacing w:before="120" w:after="0" w:line="240" w:lineRule="auto"/>
        <w:ind w:left="-6"/>
        <w:jc w:val="center"/>
        <w:rPr>
          <w:rFonts w:eastAsia="Calibri"/>
          <w:i/>
          <w:color w:val="17406D"/>
          <w:sz w:val="18"/>
          <w:szCs w:val="18"/>
        </w:rPr>
      </w:pPr>
      <w:r>
        <w:rPr>
          <w:noProof/>
        </w:rPr>
        <w:drawing>
          <wp:inline distT="0" distB="0" distL="0" distR="0" wp14:anchorId="50069E01" wp14:editId="28E863E2">
            <wp:extent cx="5762625" cy="2524125"/>
            <wp:effectExtent l="0" t="0" r="0" b="0"/>
            <wp:docPr id="250302383" name="drawing" descr="Immagine che contiene testo, schermata, numero, Caratter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302383" name="drawing" descr="Immagine che contiene testo, schermata, numero, Carattere&#10;&#10;Descrizione generata automaticamente"/>
                    <pic:cNvPicPr/>
                  </pic:nvPicPr>
                  <pic:blipFill>
                    <a:blip r:embed="rId90">
                      <a:extLst>
                        <a:ext uri="{28A0092B-C50C-407E-A947-70E740481C1C}">
                          <a14:useLocalDpi xmlns:a14="http://schemas.microsoft.com/office/drawing/2010/main"/>
                        </a:ext>
                      </a:extLst>
                    </a:blip>
                    <a:stretch>
                      <a:fillRect/>
                    </a:stretch>
                  </pic:blipFill>
                  <pic:spPr>
                    <a:xfrm>
                      <a:off x="0" y="0"/>
                      <a:ext cx="5762625" cy="2524125"/>
                    </a:xfrm>
                    <a:prstGeom prst="rect">
                      <a:avLst/>
                    </a:prstGeom>
                  </pic:spPr>
                </pic:pic>
              </a:graphicData>
            </a:graphic>
          </wp:inline>
        </w:drawing>
      </w:r>
      <w:r w:rsidRPr="00BF35BC">
        <w:rPr>
          <w:rFonts w:eastAsia="Calibri"/>
          <w:i/>
          <w:color w:val="003366"/>
          <w:sz w:val="18"/>
          <w:szCs w:val="18"/>
        </w:rPr>
        <w:t xml:space="preserve">Tabella </w:t>
      </w:r>
      <w:r w:rsidR="00EA1DBC" w:rsidRPr="00BF35BC">
        <w:rPr>
          <w:rFonts w:cstheme="minorHAnsi"/>
          <w:i/>
          <w:color w:val="003366"/>
          <w:sz w:val="18"/>
          <w:szCs w:val="18"/>
        </w:rPr>
        <w:fldChar w:fldCharType="begin"/>
      </w:r>
      <w:r w:rsidR="00EA1DBC" w:rsidRPr="00AD01C5">
        <w:rPr>
          <w:rFonts w:eastAsia="Calibri"/>
          <w:i/>
          <w:color w:val="17406D"/>
          <w:sz w:val="18"/>
          <w:szCs w:val="18"/>
        </w:rPr>
        <w:instrText xml:space="preserve"> SEQ Tabella \* ARABIC </w:instrText>
      </w:r>
      <w:r w:rsidR="00EA1DBC" w:rsidRPr="00BF35BC">
        <w:rPr>
          <w:rFonts w:cstheme="minorHAnsi"/>
          <w:i/>
          <w:color w:val="003366"/>
          <w:sz w:val="18"/>
          <w:szCs w:val="18"/>
        </w:rPr>
        <w:fldChar w:fldCharType="separate"/>
      </w:r>
      <w:r w:rsidR="00073B6D">
        <w:rPr>
          <w:rFonts w:eastAsia="Calibri"/>
          <w:i/>
          <w:noProof/>
          <w:color w:val="17406D"/>
          <w:sz w:val="18"/>
          <w:szCs w:val="18"/>
        </w:rPr>
        <w:t>53</w:t>
      </w:r>
      <w:r w:rsidR="00EA1DBC" w:rsidRPr="00BF35BC">
        <w:rPr>
          <w:rFonts w:cstheme="minorHAnsi"/>
          <w:i/>
          <w:color w:val="003366"/>
          <w:sz w:val="18"/>
          <w:szCs w:val="18"/>
        </w:rPr>
        <w:fldChar w:fldCharType="end"/>
      </w:r>
      <w:r w:rsidRPr="00BF35BC">
        <w:rPr>
          <w:rFonts w:cstheme="minorHAnsi"/>
          <w:i/>
          <w:color w:val="003366"/>
          <w:sz w:val="18"/>
          <w:szCs w:val="18"/>
        </w:rPr>
        <w:t xml:space="preserve"> </w:t>
      </w:r>
      <w:r w:rsidRPr="00BF35BC">
        <w:rPr>
          <w:rFonts w:eastAsia="Calibri"/>
          <w:color w:val="003366"/>
          <w:sz w:val="18"/>
          <w:szCs w:val="18"/>
        </w:rPr>
        <w:t xml:space="preserve">– </w:t>
      </w:r>
      <w:r w:rsidRPr="00EA1DBC">
        <w:rPr>
          <w:rFonts w:eastAsia="Calibri"/>
          <w:i/>
          <w:color w:val="17406D"/>
          <w:sz w:val="18"/>
          <w:szCs w:val="18"/>
        </w:rPr>
        <w:t>GTT spa: principali indicatori di gestione servizi metropolitani, urbani e suburbani (dati ONTPL)</w:t>
      </w:r>
    </w:p>
    <w:p w14:paraId="716C4B5F" w14:textId="77777777" w:rsidR="00785F0B" w:rsidRDefault="00785F0B" w:rsidP="004A00D3">
      <w:pPr>
        <w:spacing w:before="120" w:after="0" w:line="240" w:lineRule="auto"/>
        <w:rPr>
          <w:rFonts w:eastAsia="Calibri" w:cs="Calibri"/>
        </w:rPr>
      </w:pPr>
    </w:p>
    <w:p w14:paraId="73CF1D71" w14:textId="17033747" w:rsidR="00FD2CBB" w:rsidRPr="00247BCF" w:rsidRDefault="00FD2CBB" w:rsidP="004A00D3">
      <w:pPr>
        <w:spacing w:before="120" w:after="0" w:line="240" w:lineRule="auto"/>
        <w:rPr>
          <w:rFonts w:eastAsia="Calibri" w:cs="Calibri"/>
        </w:rPr>
      </w:pPr>
      <w:r w:rsidRPr="69E21B87">
        <w:rPr>
          <w:rFonts w:eastAsia="Calibri" w:cs="Calibri"/>
        </w:rPr>
        <w:t xml:space="preserve">Il </w:t>
      </w:r>
      <w:r w:rsidRPr="69E21B87">
        <w:rPr>
          <w:rFonts w:eastAsia="Calibri" w:cs="Calibri"/>
          <w:b/>
        </w:rPr>
        <w:t>rapporto ricavi/costi</w:t>
      </w:r>
      <w:r w:rsidRPr="69E21B87">
        <w:rPr>
          <w:rFonts w:eastAsia="Calibri" w:cs="Calibri"/>
        </w:rPr>
        <w:t xml:space="preserve"> presenta </w:t>
      </w:r>
      <w:r w:rsidR="004250D7" w:rsidRPr="28880C17">
        <w:rPr>
          <w:rFonts w:eastAsia="Calibri" w:cs="Calibri"/>
        </w:rPr>
        <w:t>una tendenza</w:t>
      </w:r>
      <w:r w:rsidRPr="28880C17">
        <w:rPr>
          <w:rFonts w:eastAsia="Calibri" w:cs="Calibri"/>
        </w:rPr>
        <w:t xml:space="preserve"> in crescita</w:t>
      </w:r>
      <w:r w:rsidR="004A1AC5">
        <w:rPr>
          <w:rFonts w:eastAsia="Calibri" w:cs="Calibri"/>
        </w:rPr>
        <w:t>,</w:t>
      </w:r>
      <w:r w:rsidRPr="28880C17">
        <w:rPr>
          <w:rFonts w:eastAsia="Calibri" w:cs="Calibri"/>
        </w:rPr>
        <w:t xml:space="preserve"> arrestat</w:t>
      </w:r>
      <w:r w:rsidR="004250D7">
        <w:rPr>
          <w:rFonts w:eastAsia="Calibri" w:cs="Calibri"/>
        </w:rPr>
        <w:t>a</w:t>
      </w:r>
      <w:r w:rsidRPr="28880C17">
        <w:rPr>
          <w:rFonts w:eastAsia="Calibri" w:cs="Calibri"/>
        </w:rPr>
        <w:t xml:space="preserve">si durante la </w:t>
      </w:r>
      <w:r w:rsidRPr="394FCA3C">
        <w:rPr>
          <w:rFonts w:eastAsia="Calibri" w:cs="Calibri"/>
        </w:rPr>
        <w:t>pandemia</w:t>
      </w:r>
      <w:r w:rsidRPr="69E21B87">
        <w:rPr>
          <w:rFonts w:eastAsia="Calibri" w:cs="Calibri"/>
        </w:rPr>
        <w:t xml:space="preserve"> 2020 (anno Covid)</w:t>
      </w:r>
      <w:r w:rsidR="004A1AC5">
        <w:rPr>
          <w:rFonts w:eastAsia="Calibri" w:cs="Calibri"/>
        </w:rPr>
        <w:t>,</w:t>
      </w:r>
      <w:r w:rsidRPr="69E21B87">
        <w:rPr>
          <w:rFonts w:eastAsia="Calibri" w:cs="Calibri"/>
        </w:rPr>
        <w:t xml:space="preserve"> </w:t>
      </w:r>
      <w:r w:rsidRPr="712681F5">
        <w:rPr>
          <w:rFonts w:eastAsia="Calibri" w:cs="Calibri"/>
        </w:rPr>
        <w:t>con</w:t>
      </w:r>
      <w:r w:rsidRPr="3DC8D2E9">
        <w:rPr>
          <w:rFonts w:eastAsia="Calibri" w:cs="Calibri"/>
        </w:rPr>
        <w:t xml:space="preserve"> valori</w:t>
      </w:r>
      <w:r w:rsidRPr="69E21B87">
        <w:rPr>
          <w:rFonts w:eastAsia="Calibri" w:cs="Calibri"/>
        </w:rPr>
        <w:t xml:space="preserve"> decisamente al di sopra l’obiettivo del 35%, quindi in linea con quanto previsto dalla normativa in merito a tale obiettivo.</w:t>
      </w:r>
    </w:p>
    <w:p w14:paraId="6BA966A5" w14:textId="1B34F3BC" w:rsidR="00FD2CBB" w:rsidRPr="00247BCF" w:rsidRDefault="00FD2CBB" w:rsidP="004A00D3">
      <w:pPr>
        <w:spacing w:before="120" w:after="0" w:line="240" w:lineRule="auto"/>
        <w:rPr>
          <w:rFonts w:eastAsia="Calibri" w:cs="Calibri"/>
          <w:highlight w:val="yellow"/>
        </w:rPr>
      </w:pPr>
      <w:r w:rsidRPr="69E21B87">
        <w:rPr>
          <w:rFonts w:eastAsia="Calibri" w:cs="Calibri"/>
        </w:rPr>
        <w:t>Seppur tale indicatore è largamente positivo rispetto agli obietti</w:t>
      </w:r>
      <w:r w:rsidR="00D64EBF">
        <w:rPr>
          <w:rFonts w:eastAsia="Calibri" w:cs="Calibri"/>
        </w:rPr>
        <w:t>vi</w:t>
      </w:r>
      <w:r w:rsidRPr="69E21B87">
        <w:rPr>
          <w:rFonts w:eastAsia="Calibri" w:cs="Calibri"/>
        </w:rPr>
        <w:t xml:space="preserve">, occorre evidenziare che l’andamento dei </w:t>
      </w:r>
      <w:r w:rsidRPr="69E21B87">
        <w:rPr>
          <w:rFonts w:eastAsia="Calibri" w:cs="Calibri"/>
          <w:b/>
        </w:rPr>
        <w:t>costi</w:t>
      </w:r>
      <w:r w:rsidRPr="69E21B87">
        <w:rPr>
          <w:rFonts w:eastAsia="Calibri" w:cs="Calibri"/>
        </w:rPr>
        <w:t xml:space="preserve"> </w:t>
      </w:r>
      <w:r w:rsidRPr="02843E5F">
        <w:rPr>
          <w:rFonts w:eastAsia="Calibri" w:cs="Calibri"/>
          <w:b/>
        </w:rPr>
        <w:t>di servizio</w:t>
      </w:r>
      <w:r w:rsidRPr="69E21B87">
        <w:rPr>
          <w:rFonts w:eastAsia="Calibri" w:cs="Calibri"/>
        </w:rPr>
        <w:t xml:space="preserve"> (stimati come somma dei corrispettivi al netto dell’infrastruttura e dei ricavi) tra il 2012 e il 2023 ha un trend in contrazione con una riduzione complessiva sull’intero periodo di riferimento del -10,8%, in controtendenza rispetto all’indice nazionale dei prezzi al consumo per lo stesso periodo</w:t>
      </w:r>
      <w:r w:rsidRPr="69E21B87">
        <w:rPr>
          <w:rStyle w:val="Rimandonotaapidipagina"/>
          <w:rFonts w:eastAsia="Calibri" w:cs="Calibri"/>
        </w:rPr>
        <w:footnoteReference w:id="46"/>
      </w:r>
      <w:r w:rsidRPr="69E21B87">
        <w:rPr>
          <w:rFonts w:eastAsia="Calibri" w:cs="Calibri"/>
        </w:rPr>
        <w:t xml:space="preserve">. Tale contrazione dei costi può essere legata alla consistente riduzione del numero di addetti (-17,7%) che costituisce in genere una voce rilevante dei costi all’interno del bilancio delle aziende di TPL, </w:t>
      </w:r>
      <w:r w:rsidRPr="157BBE12">
        <w:rPr>
          <w:rFonts w:eastAsia="Calibri" w:cs="Calibri"/>
        </w:rPr>
        <w:t>nonché con la riduzione della produzione (-</w:t>
      </w:r>
      <w:r w:rsidRPr="2D193555">
        <w:rPr>
          <w:rFonts w:eastAsia="Calibri" w:cs="Calibri"/>
        </w:rPr>
        <w:t>34,9</w:t>
      </w:r>
      <w:r w:rsidRPr="157BBE12">
        <w:rPr>
          <w:rFonts w:eastAsia="Calibri" w:cs="Calibri"/>
        </w:rPr>
        <w:t>%)</w:t>
      </w:r>
      <w:r w:rsidR="00071E22">
        <w:rPr>
          <w:rFonts w:eastAsia="Calibri" w:cs="Calibri"/>
        </w:rPr>
        <w:t xml:space="preserve"> che ha interessato </w:t>
      </w:r>
      <w:r w:rsidR="007827D0">
        <w:rPr>
          <w:rFonts w:eastAsia="Calibri" w:cs="Calibri"/>
        </w:rPr>
        <w:t>prevalentemente</w:t>
      </w:r>
      <w:r w:rsidR="00071E22">
        <w:rPr>
          <w:rFonts w:eastAsia="Calibri" w:cs="Calibri"/>
        </w:rPr>
        <w:t xml:space="preserve"> linee a basso traffico</w:t>
      </w:r>
      <w:r w:rsidR="007827D0">
        <w:rPr>
          <w:rFonts w:eastAsia="Calibri" w:cs="Calibri"/>
        </w:rPr>
        <w:t xml:space="preserve"> e bassa produttività</w:t>
      </w:r>
      <w:r w:rsidRPr="157BBE12">
        <w:rPr>
          <w:rFonts w:eastAsia="Calibri" w:cs="Calibri"/>
        </w:rPr>
        <w:t xml:space="preserve">. </w:t>
      </w:r>
      <w:r w:rsidRPr="2D193555">
        <w:rPr>
          <w:rFonts w:eastAsia="Calibri" w:cs="Calibri"/>
        </w:rPr>
        <w:t>Nonostante i costi vivi di gestione siano in flessione</w:t>
      </w:r>
      <w:r w:rsidR="00951AF6">
        <w:rPr>
          <w:rFonts w:eastAsia="Calibri" w:cs="Calibri"/>
        </w:rPr>
        <w:t>,</w:t>
      </w:r>
      <w:r w:rsidRPr="2D193555">
        <w:rPr>
          <w:rFonts w:eastAsia="Calibri" w:cs="Calibri"/>
        </w:rPr>
        <w:t xml:space="preserve"> il corrispettivo medio/veic-km risulta incrementato del 33% per effetto della riduzione </w:t>
      </w:r>
      <w:r w:rsidRPr="2D193555">
        <w:rPr>
          <w:rFonts w:eastAsia="Calibri" w:cs="Calibri"/>
        </w:rPr>
        <w:lastRenderedPageBreak/>
        <w:t xml:space="preserve">chilometrica, così come il costo </w:t>
      </w:r>
      <w:r w:rsidRPr="04931BDB">
        <w:rPr>
          <w:rFonts w:eastAsia="Calibri" w:cs="Calibri"/>
        </w:rPr>
        <w:t xml:space="preserve">complessivo </w:t>
      </w:r>
      <w:r w:rsidRPr="2D193555">
        <w:rPr>
          <w:rFonts w:eastAsia="Calibri" w:cs="Calibri"/>
        </w:rPr>
        <w:t>di servizio (C+R)/veic-km che</w:t>
      </w:r>
      <w:r w:rsidR="00787E0B">
        <w:rPr>
          <w:rFonts w:eastAsia="Calibri" w:cs="Calibri"/>
        </w:rPr>
        <w:t xml:space="preserve"> passa da 4</w:t>
      </w:r>
      <w:r w:rsidR="001F6266">
        <w:rPr>
          <w:rFonts w:eastAsia="Calibri" w:cs="Calibri"/>
        </w:rPr>
        <w:t>,</w:t>
      </w:r>
      <w:r w:rsidR="00787E0B">
        <w:rPr>
          <w:rFonts w:eastAsia="Calibri" w:cs="Calibri"/>
        </w:rPr>
        <w:t xml:space="preserve">97 €/km </w:t>
      </w:r>
      <w:r w:rsidR="00CF5B80">
        <w:rPr>
          <w:rFonts w:eastAsia="Calibri" w:cs="Calibri"/>
        </w:rPr>
        <w:t>a 6,92 €/km, con un</w:t>
      </w:r>
      <w:r w:rsidRPr="2D193555">
        <w:rPr>
          <w:rFonts w:eastAsia="Calibri" w:cs="Calibri"/>
        </w:rPr>
        <w:t xml:space="preserve"> incremento del 39,2%.</w:t>
      </w:r>
    </w:p>
    <w:p w14:paraId="5CD3A5AD" w14:textId="1E587182" w:rsidR="00FD2CBB" w:rsidRPr="00247BCF" w:rsidRDefault="00FD2CBB" w:rsidP="006B0819">
      <w:pPr>
        <w:spacing w:before="120" w:after="0" w:line="240" w:lineRule="auto"/>
        <w:rPr>
          <w:rFonts w:eastAsia="Calibri" w:cs="Calibri"/>
        </w:rPr>
      </w:pPr>
      <w:r w:rsidRPr="02843E5F">
        <w:rPr>
          <w:rFonts w:eastAsia="Calibri" w:cs="Calibri"/>
        </w:rPr>
        <w:t xml:space="preserve">L’andamento dei </w:t>
      </w:r>
      <w:r w:rsidRPr="02843E5F">
        <w:rPr>
          <w:rFonts w:eastAsia="Calibri" w:cs="Calibri"/>
          <w:b/>
        </w:rPr>
        <w:t>ricavi</w:t>
      </w:r>
      <w:r w:rsidRPr="02843E5F">
        <w:rPr>
          <w:rFonts w:eastAsia="Calibri" w:cs="Calibri"/>
        </w:rPr>
        <w:t xml:space="preserve"> sul lungo periodo risulta stabile, mentre il ricavo medio passeggero ha visto una riduzione </w:t>
      </w:r>
      <w:r w:rsidR="00282559" w:rsidRPr="02843E5F">
        <w:rPr>
          <w:rFonts w:eastAsia="Calibri" w:cs="Calibri"/>
        </w:rPr>
        <w:t xml:space="preserve">del 10% </w:t>
      </w:r>
      <w:r w:rsidRPr="02843E5F">
        <w:rPr>
          <w:rFonts w:eastAsia="Calibri" w:cs="Calibri"/>
        </w:rPr>
        <w:t xml:space="preserve"> tra il 2012 e il 2023 nonostante l’incremento avvenuto per l’adeguamento tariffario regionale dei titoli di viaggio (pari a</w:t>
      </w:r>
      <w:r w:rsidR="00282559">
        <w:rPr>
          <w:rFonts w:eastAsia="Calibri" w:cs="Calibri"/>
        </w:rPr>
        <w:t xml:space="preserve"> circa i</w:t>
      </w:r>
      <w:r w:rsidRPr="02843E5F">
        <w:rPr>
          <w:rFonts w:eastAsia="Calibri" w:cs="Calibri"/>
        </w:rPr>
        <w:t>l 5% per il TPL su gomma); occorre tener conto che questo indicatore ha un andamento abbastanza costante con una media di 0,34 €/pax il che evidenzia come questa dinamica sia da indagare con attenzione</w:t>
      </w:r>
      <w:r w:rsidR="00FF3A02">
        <w:rPr>
          <w:rFonts w:eastAsia="Calibri" w:cs="Calibri"/>
        </w:rPr>
        <w:t xml:space="preserve"> anche in relazione all’andamento delle tariffe</w:t>
      </w:r>
      <w:r w:rsidRPr="02843E5F">
        <w:rPr>
          <w:rFonts w:eastAsia="Calibri" w:cs="Calibri"/>
        </w:rPr>
        <w:t>.</w:t>
      </w:r>
    </w:p>
    <w:p w14:paraId="4CF9C889" w14:textId="63AA4623" w:rsidR="00676C4C" w:rsidRPr="00713F83" w:rsidRDefault="00FD2CBB" w:rsidP="006B0819">
      <w:pPr>
        <w:spacing w:before="120" w:after="0" w:line="240" w:lineRule="auto"/>
        <w:rPr>
          <w:rFonts w:eastAsia="Calibri" w:cs="Calibri"/>
        </w:rPr>
      </w:pPr>
      <w:r w:rsidRPr="4BD603AE">
        <w:rPr>
          <w:rFonts w:eastAsia="Calibri" w:cs="Calibri"/>
        </w:rPr>
        <w:t xml:space="preserve">La </w:t>
      </w:r>
      <w:r w:rsidRPr="4BD603AE">
        <w:rPr>
          <w:rFonts w:eastAsia="Calibri" w:cs="Calibri"/>
          <w:b/>
        </w:rPr>
        <w:t>produttività</w:t>
      </w:r>
      <w:r w:rsidRPr="4BD603AE">
        <w:rPr>
          <w:rFonts w:eastAsia="Calibri" w:cs="Calibri"/>
        </w:rPr>
        <w:t xml:space="preserve"> del servizio, </w:t>
      </w:r>
      <w:r w:rsidR="003D73E0" w:rsidRPr="003D73E0">
        <w:rPr>
          <w:rFonts w:eastAsia="Calibri" w:cs="Calibri"/>
        </w:rPr>
        <w:t xml:space="preserve">misurata attraverso il </w:t>
      </w:r>
      <w:r w:rsidRPr="4BD603AE">
        <w:rPr>
          <w:rFonts w:eastAsia="Calibri" w:cs="Calibri"/>
        </w:rPr>
        <w:t xml:space="preserve">rapporto </w:t>
      </w:r>
      <w:r w:rsidR="003D73E0" w:rsidRPr="003D73E0">
        <w:rPr>
          <w:rFonts w:eastAsia="Calibri" w:cs="Calibri"/>
        </w:rPr>
        <w:t>veicoli</w:t>
      </w:r>
      <w:r w:rsidRPr="4BD603AE">
        <w:rPr>
          <w:rFonts w:eastAsia="Calibri" w:cs="Calibri"/>
        </w:rPr>
        <w:t>-km</w:t>
      </w:r>
      <w:r w:rsidR="003D73E0" w:rsidRPr="003D73E0">
        <w:rPr>
          <w:rFonts w:eastAsia="Calibri" w:cs="Calibri"/>
        </w:rPr>
        <w:t xml:space="preserve"> per </w:t>
      </w:r>
      <w:r w:rsidRPr="4BD603AE">
        <w:rPr>
          <w:rFonts w:eastAsia="Calibri" w:cs="Calibri"/>
        </w:rPr>
        <w:t xml:space="preserve">addetto, </w:t>
      </w:r>
      <w:r w:rsidR="003D73E0" w:rsidRPr="003D73E0">
        <w:rPr>
          <w:rFonts w:eastAsia="Calibri" w:cs="Calibri"/>
        </w:rPr>
        <w:t xml:space="preserve">registra nel </w:t>
      </w:r>
      <w:r w:rsidRPr="4BD603AE">
        <w:rPr>
          <w:rFonts w:eastAsia="Calibri" w:cs="Calibri"/>
        </w:rPr>
        <w:t xml:space="preserve">periodo di riferimento </w:t>
      </w:r>
      <w:r w:rsidR="003D73E0" w:rsidRPr="003D73E0">
        <w:rPr>
          <w:rFonts w:eastAsia="Calibri" w:cs="Calibri"/>
        </w:rPr>
        <w:t>una contrazione pari al -</w:t>
      </w:r>
      <w:r w:rsidRPr="4BD603AE">
        <w:rPr>
          <w:rFonts w:eastAsia="Calibri" w:cs="Calibri"/>
        </w:rPr>
        <w:t>20,9</w:t>
      </w:r>
      <w:r w:rsidR="003D73E0" w:rsidRPr="003D73E0">
        <w:rPr>
          <w:rFonts w:eastAsia="Calibri" w:cs="Calibri"/>
        </w:rPr>
        <w:t>%. Tale</w:t>
      </w:r>
      <w:r w:rsidRPr="4BD603AE">
        <w:rPr>
          <w:rFonts w:eastAsia="Calibri" w:cs="Calibri"/>
        </w:rPr>
        <w:t xml:space="preserve"> riduzione è </w:t>
      </w:r>
      <w:r w:rsidR="003D73E0" w:rsidRPr="003D73E0">
        <w:rPr>
          <w:rFonts w:eastAsia="Calibri" w:cs="Calibri"/>
        </w:rPr>
        <w:t>imputabile a una diminuzione</w:t>
      </w:r>
      <w:r w:rsidRPr="4BD603AE">
        <w:rPr>
          <w:rFonts w:eastAsia="Calibri" w:cs="Calibri"/>
        </w:rPr>
        <w:t xml:space="preserve"> complessiva dei chilometri </w:t>
      </w:r>
      <w:r w:rsidR="003D73E0" w:rsidRPr="003D73E0">
        <w:rPr>
          <w:rFonts w:eastAsia="Calibri" w:cs="Calibri"/>
        </w:rPr>
        <w:t xml:space="preserve">percorsi, </w:t>
      </w:r>
      <w:r w:rsidRPr="4BD603AE">
        <w:rPr>
          <w:rFonts w:eastAsia="Calibri" w:cs="Calibri"/>
        </w:rPr>
        <w:t xml:space="preserve">più </w:t>
      </w:r>
      <w:r w:rsidR="003D73E0" w:rsidRPr="003D73E0">
        <w:rPr>
          <w:rFonts w:eastAsia="Calibri" w:cs="Calibri"/>
        </w:rPr>
        <w:t>marcata</w:t>
      </w:r>
      <w:r w:rsidRPr="4BD603AE">
        <w:rPr>
          <w:rFonts w:eastAsia="Calibri" w:cs="Calibri"/>
        </w:rPr>
        <w:t xml:space="preserve"> rispetto alla riduzione </w:t>
      </w:r>
      <w:r w:rsidR="003D73E0" w:rsidRPr="003D73E0">
        <w:rPr>
          <w:rFonts w:eastAsia="Calibri" w:cs="Calibri"/>
        </w:rPr>
        <w:t xml:space="preserve">del numero di </w:t>
      </w:r>
      <w:r w:rsidRPr="4BD603AE">
        <w:rPr>
          <w:rFonts w:eastAsia="Calibri" w:cs="Calibri"/>
        </w:rPr>
        <w:t>addetti</w:t>
      </w:r>
      <w:r w:rsidR="003D73E0" w:rsidRPr="003D73E0">
        <w:rPr>
          <w:rFonts w:eastAsia="Calibri" w:cs="Calibri"/>
        </w:rPr>
        <w:t>, evidenziando un calo di efficienza operativa.</w:t>
      </w:r>
    </w:p>
    <w:p w14:paraId="7A6D814F" w14:textId="3AED9700" w:rsidR="00FF348E" w:rsidRDefault="00FF348E" w:rsidP="00FF348E">
      <w:pPr>
        <w:spacing w:before="120" w:after="0" w:line="240" w:lineRule="auto"/>
        <w:ind w:left="-6"/>
        <w:rPr>
          <w:rFonts w:eastAsia="Calibri" w:cs="Calibri"/>
        </w:rPr>
      </w:pPr>
      <w:r w:rsidRPr="00FF348E">
        <w:rPr>
          <w:rFonts w:eastAsia="Calibri" w:cs="Calibri"/>
        </w:rPr>
        <w:t>Le due tabelle riportano i dati e gli indicatori relativi a</w:t>
      </w:r>
      <w:r>
        <w:rPr>
          <w:rFonts w:eastAsia="Calibri" w:cs="Calibri"/>
        </w:rPr>
        <w:t xml:space="preserve">i servizi gestiti da GTT nell’ambito dei </w:t>
      </w:r>
      <w:r w:rsidRPr="00FF348E">
        <w:rPr>
          <w:rFonts w:eastAsia="Calibri" w:cs="Calibri"/>
        </w:rPr>
        <w:t>contratt</w:t>
      </w:r>
      <w:r>
        <w:rPr>
          <w:rFonts w:eastAsia="Calibri" w:cs="Calibri"/>
        </w:rPr>
        <w:t>i</w:t>
      </w:r>
      <w:r w:rsidRPr="00FF348E">
        <w:rPr>
          <w:rFonts w:eastAsia="Calibri" w:cs="Calibri"/>
        </w:rPr>
        <w:t xml:space="preserve"> di servizio </w:t>
      </w:r>
      <w:r>
        <w:rPr>
          <w:rFonts w:eastAsia="Calibri" w:cs="Calibri"/>
        </w:rPr>
        <w:t>riferiti alla Città Metropolitana di Torino</w:t>
      </w:r>
      <w:r w:rsidRPr="00FF348E">
        <w:rPr>
          <w:rFonts w:eastAsia="Calibri" w:cs="Calibri"/>
        </w:rPr>
        <w:t>, con riferimento al periodo 2012-2023. Esse forniscono una sintesi delle principali metriche di esercizio e delle performance registrate nell’arco temporale considerato.</w:t>
      </w:r>
    </w:p>
    <w:p w14:paraId="7E7B524F" w14:textId="5178B4F0" w:rsidR="00514DEF" w:rsidRDefault="00514DEF" w:rsidP="00676C4C">
      <w:pPr>
        <w:spacing w:before="120" w:after="0" w:line="240" w:lineRule="auto"/>
        <w:jc w:val="center"/>
        <w:rPr>
          <w:noProof/>
        </w:rPr>
      </w:pPr>
      <w:r w:rsidRPr="00514DEF">
        <w:rPr>
          <w:noProof/>
        </w:rPr>
        <w:drawing>
          <wp:inline distT="0" distB="0" distL="0" distR="0" wp14:anchorId="4CA357E4" wp14:editId="06CF8EBC">
            <wp:extent cx="5759450" cy="2642870"/>
            <wp:effectExtent l="0" t="0" r="0" b="5080"/>
            <wp:docPr id="144890985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759450" cy="2642870"/>
                    </a:xfrm>
                    <a:prstGeom prst="rect">
                      <a:avLst/>
                    </a:prstGeom>
                    <a:noFill/>
                    <a:ln>
                      <a:noFill/>
                    </a:ln>
                  </pic:spPr>
                </pic:pic>
              </a:graphicData>
            </a:graphic>
          </wp:inline>
        </w:drawing>
      </w:r>
    </w:p>
    <w:p w14:paraId="302AF127" w14:textId="77777777" w:rsidR="003C247E" w:rsidRPr="003C247E" w:rsidRDefault="003C247E" w:rsidP="003C247E">
      <w:pPr>
        <w:spacing w:before="120" w:after="0" w:line="240" w:lineRule="auto"/>
        <w:rPr>
          <w:rFonts w:eastAsia="Calibri" w:cs="Calibri"/>
        </w:rPr>
      </w:pPr>
    </w:p>
    <w:p w14:paraId="4E5258F1" w14:textId="4B9BB992" w:rsidR="00FD2CBB" w:rsidRPr="00247BCF" w:rsidRDefault="00514DEF" w:rsidP="00676C4C">
      <w:pPr>
        <w:spacing w:before="120" w:after="0" w:line="240" w:lineRule="auto"/>
        <w:jc w:val="center"/>
      </w:pPr>
      <w:r w:rsidRPr="00514DEF">
        <w:rPr>
          <w:noProof/>
        </w:rPr>
        <w:drawing>
          <wp:inline distT="0" distB="0" distL="0" distR="0" wp14:anchorId="500DFC6F" wp14:editId="0F5F973B">
            <wp:extent cx="5759450" cy="2642870"/>
            <wp:effectExtent l="0" t="0" r="0" b="5080"/>
            <wp:docPr id="458642216"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5759450" cy="2642870"/>
                    </a:xfrm>
                    <a:prstGeom prst="rect">
                      <a:avLst/>
                    </a:prstGeom>
                    <a:noFill/>
                    <a:ln>
                      <a:noFill/>
                    </a:ln>
                  </pic:spPr>
                </pic:pic>
              </a:graphicData>
            </a:graphic>
          </wp:inline>
        </w:drawing>
      </w:r>
    </w:p>
    <w:p w14:paraId="482AEA72" w14:textId="30A85073" w:rsidR="00FD2CBB" w:rsidRPr="00247BCF" w:rsidRDefault="00FD2CBB" w:rsidP="006B0819">
      <w:pPr>
        <w:spacing w:after="240" w:line="240" w:lineRule="auto"/>
        <w:jc w:val="center"/>
      </w:pPr>
      <w:bookmarkStart w:id="397" w:name="_Ref212971661"/>
      <w:r w:rsidRPr="00BF35BC">
        <w:rPr>
          <w:rFonts w:eastAsia="Calibri"/>
          <w:i/>
          <w:color w:val="003366"/>
          <w:sz w:val="18"/>
          <w:szCs w:val="18"/>
        </w:rPr>
        <w:t xml:space="preserve">Tabella </w:t>
      </w:r>
      <w:r w:rsidR="00A27FBD" w:rsidRPr="00BF35BC">
        <w:rPr>
          <w:rFonts w:cstheme="minorHAnsi"/>
          <w:i/>
          <w:iCs/>
          <w:color w:val="003366"/>
          <w:sz w:val="18"/>
          <w:szCs w:val="18"/>
        </w:rPr>
        <w:fldChar w:fldCharType="begin"/>
      </w:r>
      <w:r w:rsidR="00A27FBD" w:rsidRPr="00BF35BC">
        <w:rPr>
          <w:rFonts w:cstheme="minorHAnsi"/>
          <w:i/>
          <w:iCs/>
          <w:color w:val="003366"/>
          <w:sz w:val="18"/>
          <w:szCs w:val="18"/>
        </w:rPr>
        <w:instrText xml:space="preserve"> SEQ Tabella \* ARABIC </w:instrText>
      </w:r>
      <w:r w:rsidR="00A27FBD" w:rsidRPr="00BF35BC">
        <w:rPr>
          <w:rFonts w:cstheme="minorHAnsi"/>
          <w:i/>
          <w:iCs/>
          <w:color w:val="003366"/>
          <w:sz w:val="18"/>
          <w:szCs w:val="18"/>
        </w:rPr>
        <w:fldChar w:fldCharType="separate"/>
      </w:r>
      <w:r w:rsidR="00073B6D">
        <w:rPr>
          <w:rFonts w:cstheme="minorHAnsi"/>
          <w:i/>
          <w:iCs/>
          <w:noProof/>
          <w:color w:val="003366"/>
          <w:sz w:val="18"/>
          <w:szCs w:val="18"/>
        </w:rPr>
        <w:t>54</w:t>
      </w:r>
      <w:r w:rsidR="00A27FBD" w:rsidRPr="00BF35BC">
        <w:rPr>
          <w:rFonts w:cstheme="minorHAnsi"/>
          <w:i/>
          <w:iCs/>
          <w:noProof/>
          <w:color w:val="003366"/>
          <w:sz w:val="18"/>
          <w:szCs w:val="18"/>
        </w:rPr>
        <w:fldChar w:fldCharType="end"/>
      </w:r>
      <w:bookmarkEnd w:id="397"/>
      <w:r w:rsidRPr="00BF35BC">
        <w:rPr>
          <w:rFonts w:cstheme="minorHAnsi"/>
          <w:i/>
          <w:color w:val="003366"/>
          <w:sz w:val="18"/>
          <w:szCs w:val="18"/>
        </w:rPr>
        <w:t xml:space="preserve"> </w:t>
      </w:r>
      <w:r w:rsidRPr="00BF35BC">
        <w:rPr>
          <w:rFonts w:eastAsia="Calibri"/>
          <w:color w:val="003366"/>
          <w:sz w:val="18"/>
          <w:szCs w:val="18"/>
        </w:rPr>
        <w:t xml:space="preserve">– </w:t>
      </w:r>
      <w:r w:rsidRPr="69E21B87">
        <w:rPr>
          <w:rFonts w:eastAsia="Calibri" w:cs="Calibri"/>
          <w:i/>
          <w:color w:val="242852"/>
          <w:sz w:val="18"/>
          <w:szCs w:val="18"/>
        </w:rPr>
        <w:t xml:space="preserve">GTT spa: principali indicatori di gestione servizi extraurbani </w:t>
      </w:r>
      <w:r w:rsidR="003C247E">
        <w:rPr>
          <w:rFonts w:eastAsia="Calibri" w:cs="Calibri"/>
          <w:i/>
          <w:iCs/>
          <w:color w:val="242852"/>
          <w:sz w:val="18"/>
          <w:szCs w:val="18"/>
        </w:rPr>
        <w:t>(</w:t>
      </w:r>
      <w:r w:rsidR="009E00DE">
        <w:rPr>
          <w:rFonts w:eastAsia="Calibri" w:cs="Calibri"/>
          <w:i/>
          <w:iCs/>
          <w:color w:val="242852"/>
          <w:sz w:val="18"/>
          <w:szCs w:val="18"/>
        </w:rPr>
        <w:t xml:space="preserve">ns. elaborazione su </w:t>
      </w:r>
      <w:r w:rsidRPr="69E21B87">
        <w:rPr>
          <w:rFonts w:eastAsia="Calibri" w:cs="Calibri"/>
          <w:i/>
          <w:color w:val="242852"/>
          <w:sz w:val="18"/>
          <w:szCs w:val="18"/>
        </w:rPr>
        <w:t xml:space="preserve">dati </w:t>
      </w:r>
      <w:r w:rsidR="004177B5">
        <w:rPr>
          <w:rFonts w:eastAsia="Calibri" w:cs="Calibri"/>
          <w:i/>
          <w:iCs/>
          <w:color w:val="242852"/>
          <w:sz w:val="18"/>
          <w:szCs w:val="18"/>
        </w:rPr>
        <w:t xml:space="preserve">COREG e </w:t>
      </w:r>
      <w:r w:rsidRPr="69E21B87">
        <w:rPr>
          <w:rFonts w:eastAsia="Calibri" w:cs="Calibri"/>
          <w:i/>
          <w:color w:val="242852"/>
          <w:sz w:val="18"/>
          <w:szCs w:val="18"/>
        </w:rPr>
        <w:t>ONTPL)</w:t>
      </w:r>
    </w:p>
    <w:p w14:paraId="44B73B71" w14:textId="77777777" w:rsidR="001C6BB1" w:rsidRDefault="00FD2CBB" w:rsidP="006B0819">
      <w:pPr>
        <w:spacing w:before="120" w:after="0" w:line="240" w:lineRule="auto"/>
        <w:rPr>
          <w:rFonts w:eastAsia="Calibri" w:cs="Calibri"/>
        </w:rPr>
      </w:pPr>
      <w:r w:rsidRPr="006B0819">
        <w:rPr>
          <w:rFonts w:eastAsia="Calibri" w:cs="Calibri"/>
        </w:rPr>
        <w:lastRenderedPageBreak/>
        <w:t xml:space="preserve">Il </w:t>
      </w:r>
      <w:r w:rsidRPr="006B0819">
        <w:rPr>
          <w:rFonts w:eastAsia="Calibri" w:cs="Calibri"/>
          <w:b/>
        </w:rPr>
        <w:t>rapporto ricavi/costi</w:t>
      </w:r>
      <w:r w:rsidRPr="006B0819">
        <w:rPr>
          <w:rFonts w:eastAsia="Calibri" w:cs="Calibri"/>
        </w:rPr>
        <w:t xml:space="preserve"> presenta </w:t>
      </w:r>
      <w:r w:rsidR="001C6BB1" w:rsidRPr="006B0819">
        <w:rPr>
          <w:rFonts w:eastAsia="Calibri" w:cs="Calibri"/>
        </w:rPr>
        <w:t>una tendenza</w:t>
      </w:r>
      <w:r w:rsidRPr="006B0819">
        <w:rPr>
          <w:rFonts w:eastAsia="Calibri" w:cs="Calibri"/>
        </w:rPr>
        <w:t xml:space="preserve"> in crescita arrestatosi durante la pandemia 2020 (anno Covid) e in ripresa dal 2022, con valori quindi in linea con </w:t>
      </w:r>
      <w:r w:rsidR="001C6BB1">
        <w:rPr>
          <w:rFonts w:eastAsia="Calibri" w:cs="Calibri"/>
        </w:rPr>
        <w:t xml:space="preserve">l’obiettivo del 35% </w:t>
      </w:r>
      <w:r w:rsidRPr="006B0819">
        <w:rPr>
          <w:rFonts w:eastAsia="Calibri" w:cs="Calibri"/>
        </w:rPr>
        <w:t>previsto dalla normativa</w:t>
      </w:r>
      <w:r w:rsidR="001C6BB1">
        <w:rPr>
          <w:rFonts w:eastAsia="Calibri" w:cs="Calibri"/>
        </w:rPr>
        <w:t>.</w:t>
      </w:r>
    </w:p>
    <w:p w14:paraId="53BC099B" w14:textId="4BE24196" w:rsidR="00FD2CBB" w:rsidRPr="006B0819" w:rsidRDefault="003B7CF8" w:rsidP="006B0819">
      <w:pPr>
        <w:spacing w:before="120" w:after="0" w:line="240" w:lineRule="auto"/>
        <w:rPr>
          <w:rFonts w:eastAsia="Calibri" w:cs="Calibri"/>
          <w:highlight w:val="yellow"/>
        </w:rPr>
      </w:pPr>
      <w:r>
        <w:rPr>
          <w:rFonts w:eastAsia="Calibri" w:cs="Calibri"/>
        </w:rPr>
        <w:t>O</w:t>
      </w:r>
      <w:r w:rsidR="00FD2CBB" w:rsidRPr="006B0819">
        <w:rPr>
          <w:rFonts w:eastAsia="Calibri" w:cs="Calibri"/>
        </w:rPr>
        <w:t xml:space="preserve">ccorre evidenziare che l’andamento dei </w:t>
      </w:r>
      <w:r w:rsidR="00FD2CBB" w:rsidRPr="006B0819">
        <w:rPr>
          <w:rFonts w:eastAsia="Calibri" w:cs="Calibri"/>
          <w:b/>
        </w:rPr>
        <w:t>costi</w:t>
      </w:r>
      <w:r w:rsidR="00FD2CBB" w:rsidRPr="006B0819">
        <w:rPr>
          <w:rFonts w:eastAsia="Calibri" w:cs="Calibri"/>
        </w:rPr>
        <w:t xml:space="preserve"> </w:t>
      </w:r>
      <w:r w:rsidR="00FD2CBB" w:rsidRPr="006B0819">
        <w:rPr>
          <w:rFonts w:eastAsia="Calibri" w:cs="Calibri"/>
          <w:b/>
        </w:rPr>
        <w:t>di servizio</w:t>
      </w:r>
      <w:r w:rsidR="00FD2CBB" w:rsidRPr="006B0819">
        <w:rPr>
          <w:rFonts w:eastAsia="Calibri" w:cs="Calibri"/>
        </w:rPr>
        <w:t xml:space="preserve"> (stimati come somma dei corrispettivi al netto dell’infrastruttura e dei ricavi) tra il 2012 e il 2023 ha un trend in contrazione con una riduzione complessiva sull’intero periodo di riferimento del –7,3%, in controtendenza rispetto all’indice nazionale dei prezzi al consumo per lo stesso periodo</w:t>
      </w:r>
      <w:r w:rsidR="00FD2CBB" w:rsidRPr="006B0819">
        <w:rPr>
          <w:rStyle w:val="Rimandonotaapidipagina"/>
          <w:rFonts w:eastAsia="Calibri" w:cs="Calibri"/>
        </w:rPr>
        <w:footnoteReference w:id="47"/>
      </w:r>
      <w:r w:rsidR="00FD2CBB" w:rsidRPr="006B0819">
        <w:rPr>
          <w:rFonts w:eastAsia="Calibri" w:cs="Calibri"/>
        </w:rPr>
        <w:t>. Tale contrazione dei costi può essere legata alla consistente riduzione del numero di addetti (-10,7%) che costituisce una voce rilevante dei costi all’interno del bilancio delle aziende di TPL, nonché con la riduzione della produzione (-18,52%). Nonostante i costi vivi di gestione siano in flessione il corrispettivo medio/veic-km risulta incrementato del 6,7% per effetto della riduzione chilometrica, così come il costo COMPLESSIVO di servizio (C+CCNL+R)/veic-km che risulta incrementato del 12,2%.</w:t>
      </w:r>
    </w:p>
    <w:p w14:paraId="6FC95B2B" w14:textId="77777777" w:rsidR="00FD2CBB" w:rsidRDefault="00FD2CBB" w:rsidP="006B0819">
      <w:pPr>
        <w:spacing w:before="120" w:after="0" w:line="240" w:lineRule="auto"/>
        <w:rPr>
          <w:rFonts w:eastAsia="Calibri" w:cs="Calibri"/>
        </w:rPr>
      </w:pPr>
      <w:r w:rsidRPr="02843E5F">
        <w:rPr>
          <w:rFonts w:eastAsia="Calibri" w:cs="Calibri"/>
        </w:rPr>
        <w:t xml:space="preserve">L’andamento dei </w:t>
      </w:r>
      <w:r w:rsidRPr="02843E5F">
        <w:rPr>
          <w:rFonts w:eastAsia="Calibri" w:cs="Calibri"/>
          <w:b/>
        </w:rPr>
        <w:t>ricavi</w:t>
      </w:r>
      <w:r w:rsidRPr="02843E5F">
        <w:rPr>
          <w:rFonts w:eastAsia="Calibri" w:cs="Calibri"/>
        </w:rPr>
        <w:t xml:space="preserve"> sul lungo periodo risulta pressoché costante (+0,9%), mentre il ricavo medio passeggero ha visto un aumento tra il 2012 e il 2023 del 32,2% in parte legato all’incremento avvenuto per l’adeguamento tariffario regionale dei titoli di viaggio (pari al 5% per il TPL su gomma).</w:t>
      </w:r>
    </w:p>
    <w:p w14:paraId="1ABB74FD" w14:textId="77777777" w:rsidR="00FD2CBB" w:rsidRDefault="00FD2CBB" w:rsidP="006B0819">
      <w:pPr>
        <w:spacing w:before="120" w:after="0" w:line="240" w:lineRule="auto"/>
        <w:rPr>
          <w:rFonts w:eastAsia="Calibri" w:cs="Calibri"/>
        </w:rPr>
      </w:pPr>
      <w:r w:rsidRPr="014408BC">
        <w:rPr>
          <w:rFonts w:eastAsia="Calibri" w:cs="Calibri"/>
        </w:rPr>
        <w:t xml:space="preserve">La </w:t>
      </w:r>
      <w:r w:rsidRPr="014408BC">
        <w:rPr>
          <w:rFonts w:eastAsia="Calibri" w:cs="Calibri"/>
          <w:b/>
        </w:rPr>
        <w:t>produttività</w:t>
      </w:r>
      <w:r w:rsidRPr="014408BC">
        <w:rPr>
          <w:rFonts w:eastAsia="Calibri" w:cs="Calibri"/>
        </w:rPr>
        <w:t xml:space="preserve"> del servizio, valutata sul rapporto veic-km/addetto, per il periodo di riferimento è in calo (-8,8%), tale riduzione è il risultato di una riduzione complessiva dei chilometri più alta rispetto alla riduzione degli addetti.</w:t>
      </w:r>
    </w:p>
    <w:p w14:paraId="208A091D" w14:textId="77777777" w:rsidR="0087783A" w:rsidRPr="005670FB" w:rsidRDefault="0087783A" w:rsidP="006B0819">
      <w:pPr>
        <w:spacing w:before="120" w:after="0" w:line="240" w:lineRule="auto"/>
        <w:rPr>
          <w:rFonts w:eastAsia="Calibri" w:cs="Calibri"/>
        </w:rPr>
      </w:pPr>
    </w:p>
    <w:p w14:paraId="2483C4D6" w14:textId="77777777" w:rsidR="00FD2CBB" w:rsidRPr="00BF1223" w:rsidRDefault="00FD2CBB" w:rsidP="00FD2CBB">
      <w:pPr>
        <w:pStyle w:val="Titolo2"/>
        <w:ind w:left="567"/>
      </w:pPr>
      <w:bookmarkStart w:id="398" w:name="_Ref192237806"/>
      <w:bookmarkStart w:id="399" w:name="_Ref192237828"/>
      <w:bookmarkStart w:id="400" w:name="_Ref192237836"/>
      <w:bookmarkStart w:id="401" w:name="_Toc193195795"/>
      <w:bookmarkStart w:id="402" w:name="_Toc1910699228"/>
      <w:bookmarkStart w:id="403" w:name="_Ref193812689"/>
      <w:bookmarkStart w:id="404" w:name="_Ref193816193"/>
      <w:bookmarkStart w:id="405" w:name="_Toc197695723"/>
      <w:bookmarkStart w:id="406" w:name="_Ref204090195"/>
      <w:bookmarkStart w:id="407" w:name="_Toc204328763"/>
      <w:bookmarkStart w:id="408" w:name="_Toc213078407"/>
      <w:r w:rsidRPr="00BF1223">
        <w:t>Valutazioni economiche per la suddivisione dei lotti</w:t>
      </w:r>
      <w:bookmarkEnd w:id="398"/>
      <w:bookmarkEnd w:id="399"/>
      <w:bookmarkEnd w:id="400"/>
      <w:bookmarkEnd w:id="401"/>
      <w:bookmarkEnd w:id="402"/>
      <w:bookmarkEnd w:id="403"/>
      <w:bookmarkEnd w:id="404"/>
      <w:bookmarkEnd w:id="405"/>
      <w:bookmarkEnd w:id="406"/>
      <w:bookmarkEnd w:id="407"/>
      <w:bookmarkEnd w:id="408"/>
    </w:p>
    <w:p w14:paraId="6E22FEAF" w14:textId="77777777" w:rsidR="00FD2CBB" w:rsidRPr="00AD01C5" w:rsidRDefault="00FD2CBB" w:rsidP="00CB071E">
      <w:pPr>
        <w:spacing w:before="120" w:after="0" w:line="240" w:lineRule="auto"/>
        <w:rPr>
          <w:rFonts w:eastAsia="Calibri"/>
        </w:rPr>
      </w:pPr>
      <w:r w:rsidRPr="00AD01C5">
        <w:rPr>
          <w:rFonts w:eastAsia="Calibri"/>
        </w:rPr>
        <w:t>Si è provveduto a definire i costi standard sulla base del metodo della regressione lineare specificato per i servizi con autolinea di cui al punto 1 dell’art. 6 del Decreto del MIT n° 157/2018 così definito:</w:t>
      </w:r>
    </w:p>
    <w:p w14:paraId="4F918193" w14:textId="77777777" w:rsidR="00FD2CBB" w:rsidRPr="00AD01C5" w:rsidRDefault="00FD2CBB" w:rsidP="000A758C">
      <w:pPr>
        <w:spacing w:before="120" w:after="0" w:line="240" w:lineRule="auto"/>
        <w:rPr>
          <w:rFonts w:eastAsia="Calibri"/>
        </w:rPr>
      </w:pPr>
    </w:p>
    <w:p w14:paraId="1C24C3F0" w14:textId="77777777" w:rsidR="00FD2CBB" w:rsidRPr="00AD01C5" w:rsidRDefault="00FD2CBB" w:rsidP="00E6544F">
      <w:pPr>
        <w:pBdr>
          <w:top w:val="single" w:sz="8" w:space="2" w:color="50B4C8"/>
          <w:bottom w:val="single" w:sz="8" w:space="8" w:color="50B4C8"/>
        </w:pBdr>
        <w:spacing w:after="0" w:line="240" w:lineRule="auto"/>
        <w:ind w:left="567" w:right="565"/>
        <w:rPr>
          <w:rFonts w:eastAsia="Times New Roman" w:cs="Calibri"/>
          <w:color w:val="50B4C8"/>
          <w:szCs w:val="20"/>
          <w:shd w:val="clear" w:color="auto" w:fill="FFFFFF"/>
        </w:rPr>
      </w:pPr>
      <w:r w:rsidRPr="00AD01C5">
        <w:rPr>
          <w:rFonts w:eastAsia="Times New Roman" w:cs="Calibri"/>
          <w:color w:val="50B4C8"/>
          <w:szCs w:val="20"/>
          <w:shd w:val="clear" w:color="auto" w:fill="FFFFFF"/>
        </w:rPr>
        <w:t xml:space="preserve">Costo standard unitario (€/bus-km) = </w:t>
      </w:r>
    </w:p>
    <w:p w14:paraId="497D985E" w14:textId="77777777" w:rsidR="00FD2CBB" w:rsidRPr="00AD01C5" w:rsidRDefault="00FD2CBB" w:rsidP="00E6544F">
      <w:pPr>
        <w:pBdr>
          <w:top w:val="single" w:sz="8" w:space="2" w:color="50B4C8"/>
          <w:bottom w:val="single" w:sz="8" w:space="8" w:color="50B4C8"/>
        </w:pBdr>
        <w:spacing w:after="0" w:line="240" w:lineRule="auto"/>
        <w:ind w:left="567" w:right="565"/>
        <w:rPr>
          <w:rFonts w:eastAsia="Times New Roman" w:cs="Calibri"/>
          <w:color w:val="50B4C8"/>
          <w:szCs w:val="20"/>
          <w:shd w:val="clear" w:color="auto" w:fill="FFFFFF"/>
        </w:rPr>
      </w:pPr>
      <w:r w:rsidRPr="00AD01C5">
        <w:rPr>
          <w:rFonts w:eastAsia="Times New Roman" w:cs="Calibri"/>
          <w:color w:val="50B4C8"/>
          <w:szCs w:val="20"/>
          <w:shd w:val="clear" w:color="auto" w:fill="FFFFFF"/>
        </w:rPr>
        <w:t>+14,07855</w:t>
      </w:r>
    </w:p>
    <w:p w14:paraId="724B213E" w14:textId="77777777" w:rsidR="00FD2CBB" w:rsidRPr="00AD01C5" w:rsidRDefault="00FD2CBB" w:rsidP="00E6544F">
      <w:pPr>
        <w:pBdr>
          <w:top w:val="single" w:sz="8" w:space="2" w:color="50B4C8"/>
          <w:bottom w:val="single" w:sz="8" w:space="8" w:color="50B4C8"/>
        </w:pBdr>
        <w:spacing w:after="0" w:line="240" w:lineRule="auto"/>
        <w:ind w:left="567" w:right="565"/>
        <w:rPr>
          <w:rFonts w:eastAsia="Times New Roman" w:cs="Calibri"/>
          <w:color w:val="50B4C8"/>
          <w:szCs w:val="20"/>
          <w:shd w:val="clear" w:color="auto" w:fill="FFFFFF"/>
        </w:rPr>
      </w:pPr>
      <w:r w:rsidRPr="00AD01C5">
        <w:rPr>
          <w:rFonts w:eastAsia="Times New Roman" w:cs="Calibri"/>
          <w:color w:val="50B4C8"/>
          <w:szCs w:val="20"/>
          <w:shd w:val="clear" w:color="auto" w:fill="FFFFFF"/>
        </w:rPr>
        <w:t>-0,59230 x velocità commerciale</w:t>
      </w:r>
    </w:p>
    <w:p w14:paraId="47473239" w14:textId="77777777" w:rsidR="00FD2CBB" w:rsidRPr="00AD01C5" w:rsidRDefault="00FD2CBB" w:rsidP="00E6544F">
      <w:pPr>
        <w:pBdr>
          <w:top w:val="single" w:sz="8" w:space="2" w:color="50B4C8"/>
          <w:bottom w:val="single" w:sz="8" w:space="8" w:color="50B4C8"/>
        </w:pBdr>
        <w:spacing w:after="0" w:line="240" w:lineRule="auto"/>
        <w:ind w:left="567" w:right="565"/>
        <w:rPr>
          <w:rFonts w:eastAsia="Times New Roman" w:cs="Calibri"/>
          <w:color w:val="50B4C8"/>
          <w:szCs w:val="20"/>
          <w:shd w:val="clear" w:color="auto" w:fill="FFFFFF"/>
        </w:rPr>
      </w:pPr>
      <w:r w:rsidRPr="00AD01C5">
        <w:rPr>
          <w:rFonts w:eastAsia="Times New Roman" w:cs="Calibri"/>
          <w:color w:val="50B4C8"/>
          <w:szCs w:val="20"/>
          <w:shd w:val="clear" w:color="auto" w:fill="FFFFFF"/>
        </w:rPr>
        <w:t>+0,50837 x V1 x (velocità commerciale- 17)</w:t>
      </w:r>
    </w:p>
    <w:p w14:paraId="115E815D" w14:textId="77777777" w:rsidR="00FD2CBB" w:rsidRPr="00AD01C5" w:rsidRDefault="00FD2CBB" w:rsidP="00E6544F">
      <w:pPr>
        <w:pBdr>
          <w:top w:val="single" w:sz="8" w:space="2" w:color="50B4C8"/>
          <w:bottom w:val="single" w:sz="8" w:space="8" w:color="50B4C8"/>
        </w:pBdr>
        <w:spacing w:after="0" w:line="240" w:lineRule="auto"/>
        <w:ind w:left="567" w:right="565"/>
        <w:rPr>
          <w:rFonts w:eastAsia="Times New Roman" w:cs="Calibri"/>
          <w:color w:val="50B4C8"/>
          <w:szCs w:val="20"/>
          <w:shd w:val="clear" w:color="auto" w:fill="FFFFFF"/>
        </w:rPr>
      </w:pPr>
      <w:r w:rsidRPr="00AD01C5">
        <w:rPr>
          <w:rFonts w:eastAsia="Times New Roman" w:cs="Calibri"/>
          <w:color w:val="50B4C8"/>
          <w:szCs w:val="20"/>
          <w:shd w:val="clear" w:color="auto" w:fill="FFFFFF"/>
        </w:rPr>
        <w:t>+0,06827 x V2 x (velocità commerciale- 32)</w:t>
      </w:r>
    </w:p>
    <w:p w14:paraId="7195794A" w14:textId="77777777" w:rsidR="00FD2CBB" w:rsidRPr="00AD01C5" w:rsidRDefault="00FD2CBB" w:rsidP="00E6544F">
      <w:pPr>
        <w:pBdr>
          <w:top w:val="single" w:sz="8" w:space="2" w:color="50B4C8"/>
          <w:bottom w:val="single" w:sz="8" w:space="8" w:color="50B4C8"/>
        </w:pBdr>
        <w:spacing w:after="0" w:line="240" w:lineRule="auto"/>
        <w:ind w:left="567" w:right="565"/>
        <w:rPr>
          <w:rFonts w:eastAsia="Times New Roman" w:cs="Calibri"/>
          <w:color w:val="50B4C8"/>
          <w:szCs w:val="20"/>
          <w:shd w:val="clear" w:color="auto" w:fill="FFFFFF"/>
        </w:rPr>
      </w:pPr>
      <w:r w:rsidRPr="00AD01C5">
        <w:rPr>
          <w:rFonts w:eastAsia="Times New Roman" w:cs="Calibri"/>
          <w:color w:val="50B4C8"/>
          <w:szCs w:val="20"/>
          <w:shd w:val="clear" w:color="auto" w:fill="FFFFFF"/>
        </w:rPr>
        <w:t>-0,18583 x K1 x quantità bus-km di servizio</w:t>
      </w:r>
    </w:p>
    <w:p w14:paraId="0E5B080B" w14:textId="77777777" w:rsidR="00FD2CBB" w:rsidRPr="00AD01C5" w:rsidRDefault="00FD2CBB" w:rsidP="00E6544F">
      <w:pPr>
        <w:pBdr>
          <w:top w:val="single" w:sz="8" w:space="2" w:color="50B4C8"/>
          <w:bottom w:val="single" w:sz="8" w:space="8" w:color="50B4C8"/>
        </w:pBdr>
        <w:spacing w:after="0" w:line="240" w:lineRule="auto"/>
        <w:ind w:left="567" w:right="565"/>
        <w:rPr>
          <w:rFonts w:eastAsia="Times New Roman" w:cs="Calibri"/>
          <w:color w:val="50B4C8"/>
          <w:szCs w:val="20"/>
          <w:shd w:val="clear" w:color="auto" w:fill="FFFFFF"/>
        </w:rPr>
      </w:pPr>
      <w:r w:rsidRPr="00AD01C5">
        <w:rPr>
          <w:rFonts w:eastAsia="Times New Roman" w:cs="Calibri"/>
          <w:color w:val="50B4C8"/>
          <w:szCs w:val="20"/>
          <w:shd w:val="clear" w:color="auto" w:fill="FFFFFF"/>
        </w:rPr>
        <w:t>+0,01559 x K2 x quantità bus-km di servizio</w:t>
      </w:r>
    </w:p>
    <w:p w14:paraId="555040B9" w14:textId="77777777" w:rsidR="00FD2CBB" w:rsidRPr="00AD01C5" w:rsidRDefault="00FD2CBB" w:rsidP="00E6544F">
      <w:pPr>
        <w:pBdr>
          <w:top w:val="single" w:sz="8" w:space="2" w:color="50B4C8"/>
          <w:bottom w:val="single" w:sz="8" w:space="8" w:color="50B4C8"/>
        </w:pBdr>
        <w:spacing w:after="0" w:line="240" w:lineRule="auto"/>
        <w:ind w:left="567" w:right="565"/>
        <w:rPr>
          <w:rFonts w:eastAsia="Times New Roman" w:cs="Calibri"/>
          <w:color w:val="50B4C8"/>
          <w:szCs w:val="20"/>
          <w:shd w:val="clear" w:color="auto" w:fill="FFFFFF"/>
        </w:rPr>
      </w:pPr>
      <w:r w:rsidRPr="00AD01C5">
        <w:rPr>
          <w:rFonts w:eastAsia="Times New Roman" w:cs="Calibri"/>
          <w:color w:val="50B4C8"/>
          <w:szCs w:val="20"/>
          <w:shd w:val="clear" w:color="auto" w:fill="FFFFFF"/>
        </w:rPr>
        <w:t>+1,46083 x ammodernamento del materiale rotabile per bus-km di servizio</w:t>
      </w:r>
    </w:p>
    <w:p w14:paraId="3F8DC2D9" w14:textId="77777777" w:rsidR="00E6544F" w:rsidRDefault="00E6544F" w:rsidP="000A758C">
      <w:pPr>
        <w:spacing w:before="120" w:after="0" w:line="240" w:lineRule="auto"/>
        <w:rPr>
          <w:rFonts w:eastAsia="Calibri" w:cs="Times New Roman"/>
        </w:rPr>
      </w:pPr>
    </w:p>
    <w:p w14:paraId="02CFD1ED" w14:textId="1F84AA80" w:rsidR="00FD2CBB" w:rsidRPr="00AD01C5" w:rsidRDefault="00FD2CBB" w:rsidP="000A758C">
      <w:pPr>
        <w:spacing w:before="120" w:after="0" w:line="240" w:lineRule="auto"/>
        <w:rPr>
          <w:rFonts w:eastAsia="Calibri" w:cs="Times New Roman"/>
        </w:rPr>
      </w:pPr>
      <w:r w:rsidRPr="00AD01C5">
        <w:rPr>
          <w:rFonts w:eastAsia="Calibri" w:cs="Times New Roman"/>
        </w:rPr>
        <w:t xml:space="preserve">Si evince che il costo standard per i servizi su autolinea variano in funzione della </w:t>
      </w:r>
      <w:r w:rsidRPr="000A758C">
        <w:rPr>
          <w:rFonts w:eastAsia="Calibri"/>
        </w:rPr>
        <w:t>velocità commerciale media</w:t>
      </w:r>
      <w:r w:rsidRPr="00AD01C5">
        <w:rPr>
          <w:rFonts w:eastAsia="Calibri" w:cs="Times New Roman"/>
        </w:rPr>
        <w:t xml:space="preserve"> e della </w:t>
      </w:r>
      <w:r w:rsidRPr="000A758C">
        <w:rPr>
          <w:rFonts w:eastAsia="Calibri"/>
        </w:rPr>
        <w:t>dimensione della produzione chilometrica annua</w:t>
      </w:r>
      <w:r w:rsidRPr="00AD01C5">
        <w:rPr>
          <w:rFonts w:eastAsia="Calibri" w:cs="Times New Roman"/>
        </w:rPr>
        <w:t xml:space="preserve"> dei servizi considerati.</w:t>
      </w:r>
    </w:p>
    <w:p w14:paraId="79B526F8" w14:textId="0C8E28E4" w:rsidR="00FD2CBB" w:rsidRPr="00CE0EDB" w:rsidRDefault="00FD2CBB" w:rsidP="000A758C">
      <w:pPr>
        <w:spacing w:before="120" w:after="0" w:line="240" w:lineRule="auto"/>
        <w:rPr>
          <w:rFonts w:eastAsia="Calibri" w:cs="Times New Roman"/>
          <w:color w:val="000000"/>
        </w:rPr>
      </w:pPr>
      <w:r w:rsidRPr="00CE0EDB">
        <w:rPr>
          <w:rFonts w:eastAsia="Calibri"/>
          <w:color w:val="000000"/>
        </w:rPr>
        <w:t xml:space="preserve">L’andamento del costo standard, esclusa la componente relativa agli ammortamenti, in </w:t>
      </w:r>
      <w:r w:rsidRPr="00CE0EDB">
        <w:rPr>
          <w:rFonts w:eastAsia="Calibri" w:cs="Times New Roman"/>
          <w:color w:val="000000"/>
        </w:rPr>
        <w:t xml:space="preserve">funzione della velocità commerciale media e della dimensione della produzione chilometrica annua è riportato nel diagramma di </w:t>
      </w:r>
      <w:r w:rsidR="00CE0EDB" w:rsidRPr="00CE0EDB">
        <w:rPr>
          <w:rFonts w:eastAsia="Calibri" w:cs="Times New Roman"/>
          <w:color w:val="000000"/>
        </w:rPr>
        <w:fldChar w:fldCharType="begin"/>
      </w:r>
      <w:r w:rsidR="00CE0EDB" w:rsidRPr="00CE0EDB">
        <w:rPr>
          <w:rFonts w:eastAsia="Calibri" w:cs="Times New Roman"/>
          <w:color w:val="000000"/>
        </w:rPr>
        <w:instrText xml:space="preserve"> REF _Ref212923650 \h  \* MERGEFORMAT </w:instrText>
      </w:r>
      <w:r w:rsidR="00CE0EDB" w:rsidRPr="00CE0EDB">
        <w:rPr>
          <w:rFonts w:eastAsia="Calibri" w:cs="Times New Roman"/>
          <w:color w:val="000000"/>
        </w:rPr>
      </w:r>
      <w:r w:rsidR="00CE0EDB" w:rsidRPr="00CE0EDB">
        <w:rPr>
          <w:rFonts w:eastAsia="Calibri" w:cs="Times New Roman"/>
          <w:color w:val="000000"/>
        </w:rPr>
        <w:fldChar w:fldCharType="separate"/>
      </w:r>
      <w:r w:rsidR="00073B6D" w:rsidRPr="00073B6D">
        <w:rPr>
          <w:rFonts w:eastAsia="Calibri"/>
          <w:color w:val="000000"/>
        </w:rPr>
        <w:t xml:space="preserve">Figura </w:t>
      </w:r>
      <w:r w:rsidR="00073B6D" w:rsidRPr="00073B6D">
        <w:rPr>
          <w:rFonts w:asciiTheme="minorHAnsi" w:hAnsiTheme="minorHAnsi" w:cstheme="minorHAnsi"/>
          <w:noProof/>
          <w:color w:val="000000"/>
          <w14:textOutline w14:w="0" w14:cap="rnd" w14:cmpd="sng" w14:algn="ctr">
            <w14:solidFill>
              <w14:srgbClr w14:val="FF6C6C"/>
            </w14:solidFill>
            <w14:prstDash w14:val="solid"/>
            <w14:bevel/>
          </w14:textOutline>
        </w:rPr>
        <w:t>38</w:t>
      </w:r>
      <w:r w:rsidR="00CE0EDB" w:rsidRPr="00CE0EDB">
        <w:rPr>
          <w:rFonts w:eastAsia="Calibri" w:cs="Times New Roman"/>
          <w:color w:val="000000"/>
        </w:rPr>
        <w:fldChar w:fldCharType="end"/>
      </w:r>
    </w:p>
    <w:p w14:paraId="35A4E8F0" w14:textId="77777777" w:rsidR="00FD2CBB" w:rsidRPr="00AD01C5" w:rsidRDefault="00FD2CBB" w:rsidP="00FD2CBB">
      <w:pPr>
        <w:spacing w:before="120" w:after="0" w:line="240" w:lineRule="auto"/>
        <w:jc w:val="center"/>
        <w:rPr>
          <w:rFonts w:eastAsia="Calibri"/>
        </w:rPr>
      </w:pPr>
      <w:r w:rsidRPr="00AD01C5">
        <w:rPr>
          <w:rFonts w:eastAsia="Calibri" w:cs="Times New Roman"/>
          <w:noProof/>
        </w:rPr>
        <w:lastRenderedPageBreak/>
        <w:drawing>
          <wp:inline distT="0" distB="0" distL="0" distR="0" wp14:anchorId="2B165CC6" wp14:editId="159C7B8F">
            <wp:extent cx="5670468" cy="3699189"/>
            <wp:effectExtent l="19050" t="19050" r="26035" b="15875"/>
            <wp:docPr id="68" name="Immagine 68" descr="Immagine che contiene diagramma, linea, testo, Diagramm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magine 68" descr="Immagine che contiene diagramma, linea, testo, Diagramma&#10;&#10;Descrizione generata automaticamente"/>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5862530" cy="3824482"/>
                    </a:xfrm>
                    <a:prstGeom prst="rect">
                      <a:avLst/>
                    </a:prstGeom>
                    <a:noFill/>
                    <a:ln w="19050">
                      <a:solidFill>
                        <a:srgbClr val="EE3438"/>
                      </a:solidFill>
                    </a:ln>
                  </pic:spPr>
                </pic:pic>
              </a:graphicData>
            </a:graphic>
          </wp:inline>
        </w:drawing>
      </w:r>
    </w:p>
    <w:p w14:paraId="12891EE0" w14:textId="07BF2210" w:rsidR="00FD2CBB" w:rsidRPr="00AD01C5" w:rsidRDefault="00FD2CBB" w:rsidP="00041441">
      <w:pPr>
        <w:spacing w:after="240" w:line="240" w:lineRule="auto"/>
        <w:jc w:val="center"/>
        <w:rPr>
          <w:rFonts w:eastAsia="Calibri" w:cs="Times New Roman"/>
          <w:i/>
          <w:color w:val="17406D"/>
          <w:sz w:val="18"/>
        </w:rPr>
      </w:pPr>
      <w:bookmarkStart w:id="409" w:name="_Ref212923650"/>
      <w:bookmarkStart w:id="410" w:name="_Toc127529324"/>
      <w:bookmarkStart w:id="411" w:name="_Toc137740118"/>
      <w:r w:rsidRPr="00AD01C5">
        <w:rPr>
          <w:rFonts w:eastAsia="Calibri"/>
          <w:i/>
          <w:color w:val="003366"/>
          <w:sz w:val="18"/>
          <w:szCs w:val="18"/>
        </w:rPr>
        <w:t xml:space="preserve">Figura </w:t>
      </w:r>
      <w:r w:rsidRPr="00B50CF2">
        <w:rPr>
          <w:rFonts w:asciiTheme="minorHAnsi" w:hAnsiTheme="minorHAnsi" w:cstheme="minorHAnsi"/>
          <w:i/>
          <w:color w:val="003366"/>
          <w:sz w:val="18"/>
          <w:szCs w:val="18"/>
          <w14:textOutline w14:w="0" w14:cap="rnd" w14:cmpd="sng" w14:algn="ctr">
            <w14:solidFill>
              <w14:srgbClr w14:val="FF6C6C"/>
            </w14:solidFill>
            <w14:prstDash w14:val="solid"/>
            <w14:bevel/>
          </w14:textOutline>
        </w:rPr>
        <w:fldChar w:fldCharType="begin"/>
      </w:r>
      <w:r w:rsidRPr="00AD01C5">
        <w:rPr>
          <w:rFonts w:eastAsia="Calibri"/>
          <w:i/>
          <w:color w:val="17406D"/>
          <w:sz w:val="18"/>
          <w:szCs w:val="18"/>
        </w:rPr>
        <w:instrText xml:space="preserve"> SEQ Figura \* ARABIC </w:instrText>
      </w:r>
      <w:r w:rsidRPr="00B50CF2">
        <w:rPr>
          <w:rFonts w:asciiTheme="minorHAnsi" w:hAnsiTheme="minorHAnsi" w:cstheme="minorHAnsi"/>
          <w:i/>
          <w:color w:val="003366"/>
          <w:sz w:val="18"/>
          <w:szCs w:val="18"/>
          <w14:textOutline w14:w="0" w14:cap="rnd" w14:cmpd="sng" w14:algn="ctr">
            <w14:solidFill>
              <w14:srgbClr w14:val="FF6C6C"/>
            </w14:solidFill>
            <w14:prstDash w14:val="solid"/>
            <w14:bevel/>
          </w14:textOutline>
        </w:rPr>
        <w:fldChar w:fldCharType="separate"/>
      </w:r>
      <w:r w:rsidR="00073B6D">
        <w:rPr>
          <w:rFonts w:eastAsia="Calibri"/>
          <w:i/>
          <w:noProof/>
          <w:color w:val="17406D"/>
          <w:sz w:val="18"/>
          <w:szCs w:val="18"/>
        </w:rPr>
        <w:t>38</w:t>
      </w:r>
      <w:r w:rsidRPr="00B50CF2">
        <w:rPr>
          <w:rFonts w:asciiTheme="minorHAnsi" w:hAnsiTheme="minorHAnsi" w:cstheme="minorHAnsi"/>
          <w:i/>
          <w:color w:val="003366"/>
          <w:sz w:val="18"/>
          <w:szCs w:val="18"/>
          <w14:textOutline w14:w="0" w14:cap="rnd" w14:cmpd="sng" w14:algn="ctr">
            <w14:solidFill>
              <w14:srgbClr w14:val="FF6C6C"/>
            </w14:solidFill>
            <w14:prstDash w14:val="solid"/>
            <w14:bevel/>
          </w14:textOutline>
        </w:rPr>
        <w:fldChar w:fldCharType="end"/>
      </w:r>
      <w:bookmarkEnd w:id="409"/>
      <w:r w:rsidRPr="00AD01C5">
        <w:rPr>
          <w:rFonts w:eastAsia="Calibri"/>
          <w:color w:val="003366"/>
          <w:sz w:val="18"/>
          <w:szCs w:val="18"/>
        </w:rPr>
        <w:t xml:space="preserve"> </w:t>
      </w:r>
      <w:r w:rsidR="00CE0EDB" w:rsidRPr="00AD01C5">
        <w:rPr>
          <w:rFonts w:eastAsia="Calibri"/>
          <w:iCs/>
          <w:color w:val="003366"/>
          <w:sz w:val="18"/>
          <w:szCs w:val="18"/>
        </w:rPr>
        <w:t>–</w:t>
      </w:r>
      <w:r w:rsidRPr="00AD01C5">
        <w:rPr>
          <w:rFonts w:eastAsia="Calibri"/>
          <w:color w:val="003366"/>
          <w:sz w:val="18"/>
          <w:szCs w:val="18"/>
        </w:rPr>
        <w:t xml:space="preserve"> </w:t>
      </w:r>
      <w:r w:rsidRPr="00AD01C5">
        <w:rPr>
          <w:rFonts w:eastAsia="Calibri"/>
          <w:i/>
          <w:color w:val="17406D"/>
          <w:sz w:val="18"/>
          <w:szCs w:val="18"/>
        </w:rPr>
        <w:t>Costo standard dei servizi di autolinea esclusa componente dipendente dall’ammortamento</w:t>
      </w:r>
      <w:bookmarkEnd w:id="410"/>
      <w:bookmarkEnd w:id="411"/>
    </w:p>
    <w:p w14:paraId="31722921" w14:textId="77777777" w:rsidR="00FD2CBB" w:rsidRPr="00AD01C5" w:rsidRDefault="00FD2CBB" w:rsidP="000A758C">
      <w:pPr>
        <w:spacing w:before="120" w:after="0" w:line="240" w:lineRule="auto"/>
        <w:rPr>
          <w:rFonts w:eastAsia="Calibri" w:cs="Times New Roman"/>
        </w:rPr>
      </w:pPr>
      <w:r w:rsidRPr="00AD01C5">
        <w:rPr>
          <w:rFonts w:eastAsia="Calibri" w:cs="Times New Roman"/>
        </w:rPr>
        <w:t>Si osserva che per fascia di produzione chilometrica annua che varia tra 1 milione e poco più di 9 milioni di veicoli-km/anno, il costo standard è inferiore rispetto a qualsiasi altro valore corrispondente a produzioni al di fuori di questo intervallo. Il costo standard raggiunge il minimo assoluto a 4 milioni di veicoli-km/anno.</w:t>
      </w:r>
    </w:p>
    <w:p w14:paraId="03A0A1D8" w14:textId="77777777" w:rsidR="00FD2CBB" w:rsidRPr="00AD01C5" w:rsidRDefault="00FD2CBB" w:rsidP="000A758C">
      <w:pPr>
        <w:spacing w:before="120" w:after="0" w:line="240" w:lineRule="auto"/>
        <w:rPr>
          <w:rFonts w:eastAsia="Calibri" w:cs="Times New Roman"/>
        </w:rPr>
      </w:pPr>
      <w:r w:rsidRPr="00AD01C5">
        <w:rPr>
          <w:rFonts w:eastAsia="Calibri" w:cs="Times New Roman"/>
        </w:rPr>
        <w:t>Dal grafico riportato in figura, si nota anche un valore limite di "saturazione" per produzioni pari o superiori a 10 milioni di veicoli-km/anno, così come un valore “incomprimibile” per produzioni inferiori ad 1 milione di veicoli-km/anno. Si nota anche come la funzione descrittiva del costo standard abbia una crescita asimmetrica intorno al valore minimo; anche per valori inferiori dei 4 di veicoli-km/anno (fino a circa 3,6 di veicoli-km/anno) e per valori superiori (fino a circa 5,6 di veicoli-km/anno) la crescita del costo standard ottimo è molto contenuta.</w:t>
      </w:r>
    </w:p>
    <w:p w14:paraId="446DA08D" w14:textId="77777777" w:rsidR="00FD2CBB" w:rsidRPr="00AD01C5" w:rsidRDefault="00FD2CBB" w:rsidP="000A758C">
      <w:pPr>
        <w:spacing w:before="120" w:after="0" w:line="240" w:lineRule="auto"/>
        <w:rPr>
          <w:rFonts w:eastAsia="Calibri" w:cs="Times New Roman"/>
        </w:rPr>
      </w:pPr>
      <w:r w:rsidRPr="00AD01C5">
        <w:rPr>
          <w:rFonts w:eastAsia="Calibri" w:cs="Times New Roman"/>
        </w:rPr>
        <w:t xml:space="preserve">Nell’effettuare la valutazione dei costi standard per i servizi afferenti al Bacino Sud si è assunto un ammortamento standard per veicolo calcolato secondo la metodologia indicata all’art.9 del decreto ministeriale 157/2018, ovvero </w:t>
      </w:r>
      <w:r w:rsidRPr="00AD01C5">
        <w:rPr>
          <w:rFonts w:eastAsia="Calibri"/>
        </w:rPr>
        <w:t>pari all'ammortamento annuo del veicolo rapportato ad una quantità standard di chilometri percorsi.</w:t>
      </w:r>
    </w:p>
    <w:p w14:paraId="3CB52D32" w14:textId="77777777" w:rsidR="00FD2CBB" w:rsidRPr="00AD01C5" w:rsidRDefault="00FD2CBB" w:rsidP="000A758C">
      <w:pPr>
        <w:spacing w:before="120" w:after="0" w:line="240" w:lineRule="auto"/>
        <w:rPr>
          <w:rFonts w:eastAsia="Calibri"/>
        </w:rPr>
      </w:pPr>
      <w:r w:rsidRPr="00AD01C5">
        <w:rPr>
          <w:rFonts w:eastAsia="Calibri" w:cs="Times New Roman"/>
          <w:color w:val="000000"/>
        </w:rPr>
        <w:t xml:space="preserve">Il valore unitario dell’ammortamento standard del materiale rotabile è stato dunque determinato assumendo un cofinanziamento al 50%, una vita tecnica utile di 15 anni, una produttività media di 44.000 km e valori di costo di acquisto </w:t>
      </w:r>
      <w:r w:rsidRPr="00AD01C5">
        <w:rPr>
          <w:rFonts w:eastAsia="Calibri"/>
        </w:rPr>
        <w:t xml:space="preserve">standard pari a 244.100 € per gli autobus con allestimenti urbani-suburbani e pari a 221.450 € per gli autobus con allestimento extraurbano. Tali valori corrispondono al costo di un veicolo di moderna generazione, corredato degli equipaggiamenti e dei dispositivi necessari ed essenziali al servizio quali, ad esempio, AVM, conta passeggeri, bigliettazione </w:t>
      </w:r>
      <w:r w:rsidRPr="00AD01C5">
        <w:rPr>
          <w:rFonts w:eastAsia="Calibri"/>
        </w:rPr>
        <w:lastRenderedPageBreak/>
        <w:t>elettronica per entrambe le tipologie di allestimento. L’esito della valutazione del costo standard è stato aggiornato al 2025 secondo quanto previsto dall’art. 10 comma 1 del DM 157/2018</w:t>
      </w:r>
      <w:r w:rsidRPr="00AD01C5">
        <w:rPr>
          <w:rFonts w:eastAsia="Calibri"/>
          <w:vertAlign w:val="superscript"/>
        </w:rPr>
        <w:footnoteReference w:id="48"/>
      </w:r>
      <w:r w:rsidRPr="00AD01C5">
        <w:rPr>
          <w:rFonts w:eastAsia="Calibri"/>
        </w:rPr>
        <w:t>.</w:t>
      </w:r>
    </w:p>
    <w:p w14:paraId="0D93A731" w14:textId="77777777" w:rsidR="00FD2CBB" w:rsidRPr="00AD01C5" w:rsidRDefault="00FD2CBB" w:rsidP="000A758C">
      <w:pPr>
        <w:spacing w:before="120" w:after="0" w:line="240" w:lineRule="auto"/>
        <w:rPr>
          <w:rFonts w:eastAsia="Calibri"/>
        </w:rPr>
      </w:pPr>
      <w:r w:rsidRPr="00AD01C5">
        <w:rPr>
          <w:rFonts w:eastAsia="Calibri"/>
        </w:rPr>
        <w:t>L’aggiornamento è stato effettuato utilizzando il coefficiente ISTAT NIC 072 del 2024 calcolato su base 2017 ottenendo un coefficiente di adeguamento pari al valore di 1,20</w:t>
      </w:r>
      <w:r w:rsidRPr="00AD01C5">
        <w:rPr>
          <w:rFonts w:eastAsia="Calibri"/>
          <w:vertAlign w:val="superscript"/>
        </w:rPr>
        <w:footnoteReference w:id="49"/>
      </w:r>
      <w:r w:rsidRPr="00AD01C5">
        <w:rPr>
          <w:rFonts w:eastAsia="Calibri"/>
        </w:rPr>
        <w:t>.</w:t>
      </w:r>
    </w:p>
    <w:p w14:paraId="7481B5F9" w14:textId="77777777" w:rsidR="00FD2CBB" w:rsidRPr="00AD01C5" w:rsidRDefault="00FD2CBB" w:rsidP="000A758C">
      <w:pPr>
        <w:spacing w:before="120" w:after="0" w:line="240" w:lineRule="auto"/>
        <w:rPr>
          <w:rFonts w:eastAsia="Calibri" w:cs="Times New Roman"/>
          <w:b/>
          <w:color w:val="000000"/>
        </w:rPr>
      </w:pPr>
      <w:r w:rsidRPr="00AD01C5">
        <w:rPr>
          <w:rFonts w:eastAsia="Calibri" w:cs="Times New Roman"/>
          <w:b/>
          <w:color w:val="000000"/>
        </w:rPr>
        <w:t>Unità di rete</w:t>
      </w:r>
    </w:p>
    <w:p w14:paraId="2F2F13FC" w14:textId="7A739DCE" w:rsidR="00FD2CBB" w:rsidRPr="00B16FF2" w:rsidRDefault="00FD2CBB" w:rsidP="000A758C">
      <w:pPr>
        <w:spacing w:before="120" w:after="0" w:line="240" w:lineRule="auto"/>
        <w:rPr>
          <w:rFonts w:eastAsia="Calibri" w:cs="Times New Roman"/>
        </w:rPr>
      </w:pPr>
      <w:r w:rsidRPr="00B16FF2">
        <w:rPr>
          <w:rFonts w:eastAsia="Calibri" w:cs="Times New Roman"/>
        </w:rPr>
        <w:t>Prendendo in considerazione le linee e le produzioni chilometriche definite per ciascuna localizzazione nello scenario di massima ottimizzazione individuata in precedenza (</w:t>
      </w:r>
      <w:r w:rsidR="00B16FF2" w:rsidRPr="00B16FF2">
        <w:rPr>
          <w:rFonts w:eastAsia="Calibri" w:cs="Times New Roman"/>
        </w:rPr>
        <w:fldChar w:fldCharType="begin"/>
      </w:r>
      <w:r w:rsidR="00B16FF2" w:rsidRPr="00B16FF2">
        <w:rPr>
          <w:rFonts w:eastAsia="Calibri" w:cs="Times New Roman"/>
        </w:rPr>
        <w:instrText xml:space="preserve"> REF _Ref212924002 \h  \* MERGEFORMAT </w:instrText>
      </w:r>
      <w:r w:rsidR="00B16FF2" w:rsidRPr="00B16FF2">
        <w:rPr>
          <w:rFonts w:eastAsia="Calibri" w:cs="Times New Roman"/>
        </w:rPr>
      </w:r>
      <w:r w:rsidR="00B16FF2" w:rsidRPr="00B16FF2">
        <w:rPr>
          <w:rFonts w:eastAsia="Calibri" w:cs="Times New Roman"/>
        </w:rPr>
        <w:fldChar w:fldCharType="separate"/>
      </w:r>
      <w:r w:rsidR="00073B6D" w:rsidRPr="00073B6D">
        <w:rPr>
          <w:rFonts w:eastAsia="Calibri"/>
        </w:rPr>
        <w:t xml:space="preserve">Tabella </w:t>
      </w:r>
      <w:r w:rsidR="00073B6D" w:rsidRPr="00073B6D">
        <w:rPr>
          <w:rFonts w:cstheme="minorHAnsi"/>
          <w:noProof/>
        </w:rPr>
        <w:t xml:space="preserve">47 </w:t>
      </w:r>
      <w:r w:rsidR="00073B6D" w:rsidRPr="00073B6D">
        <w:rPr>
          <w:rFonts w:eastAsia="Calibri"/>
        </w:rPr>
        <w:t>– Scenario 3.2</w:t>
      </w:r>
      <w:r w:rsidR="00B16FF2" w:rsidRPr="00B16FF2">
        <w:rPr>
          <w:rFonts w:eastAsia="Calibri" w:cs="Times New Roman"/>
        </w:rPr>
        <w:fldChar w:fldCharType="end"/>
      </w:r>
      <w:r w:rsidRPr="00B16FF2">
        <w:rPr>
          <w:rFonts w:eastAsia="Calibri" w:cs="Times New Roman"/>
        </w:rPr>
        <w:t xml:space="preserve">), sono </w:t>
      </w:r>
      <w:r w:rsidR="00E81F20">
        <w:rPr>
          <w:rFonts w:eastAsia="Calibri" w:cs="Times New Roman"/>
        </w:rPr>
        <w:t>s</w:t>
      </w:r>
      <w:r w:rsidRPr="00B16FF2">
        <w:rPr>
          <w:rFonts w:eastAsia="Calibri" w:cs="Times New Roman"/>
        </w:rPr>
        <w:t>tati inclusi i servizi inerenti agli accordi di programma ed esclusi i servizi delle linee inter-bacino già assegnate ai bacini confinanti (</w:t>
      </w:r>
      <w:r w:rsidR="00706A41" w:rsidRPr="009901C2">
        <w:rPr>
          <w:rFonts w:eastAsia="Calibri"/>
        </w:rPr>
        <w:fldChar w:fldCharType="begin"/>
      </w:r>
      <w:r w:rsidR="00706A41" w:rsidRPr="009901C2">
        <w:rPr>
          <w:rFonts w:eastAsia="Calibri"/>
        </w:rPr>
        <w:instrText xml:space="preserve"> REF _Ref212924130 \h </w:instrText>
      </w:r>
      <w:r w:rsidR="009901C2">
        <w:rPr>
          <w:rFonts w:eastAsia="Calibri"/>
        </w:rPr>
        <w:instrText xml:space="preserve"> \* MERGEFORMAT </w:instrText>
      </w:r>
      <w:r w:rsidR="00706A41" w:rsidRPr="009901C2">
        <w:rPr>
          <w:rFonts w:eastAsia="Calibri"/>
        </w:rPr>
      </w:r>
      <w:r w:rsidR="00706A41" w:rsidRPr="009901C2">
        <w:rPr>
          <w:rFonts w:eastAsia="Calibri"/>
        </w:rPr>
        <w:fldChar w:fldCharType="separate"/>
      </w:r>
      <w:r w:rsidR="00073B6D" w:rsidRPr="00073B6D">
        <w:rPr>
          <w:rFonts w:eastAsia="Calibri"/>
        </w:rPr>
        <w:t>Tabella 51</w:t>
      </w:r>
      <w:r w:rsidR="00706A41" w:rsidRPr="009901C2">
        <w:rPr>
          <w:rFonts w:eastAsia="Calibri"/>
        </w:rPr>
        <w:fldChar w:fldCharType="end"/>
      </w:r>
      <w:r w:rsidRPr="00B16FF2">
        <w:rPr>
          <w:rFonts w:eastAsia="Calibri" w:cs="Times New Roman"/>
        </w:rPr>
        <w:t>) e si è proceduto all’accorpamento di gruppi di linee.</w:t>
      </w:r>
    </w:p>
    <w:p w14:paraId="3C1E6E35" w14:textId="77777777" w:rsidR="00FD2CBB" w:rsidRPr="00AD01C5" w:rsidRDefault="00FD2CBB" w:rsidP="000A758C">
      <w:pPr>
        <w:spacing w:before="120" w:after="0" w:line="240" w:lineRule="auto"/>
        <w:rPr>
          <w:rFonts w:eastAsia="Calibri" w:cs="Times New Roman"/>
          <w:color w:val="000000"/>
        </w:rPr>
      </w:pPr>
      <w:r w:rsidRPr="00AD01C5">
        <w:rPr>
          <w:rFonts w:eastAsia="Calibri" w:cs="Times New Roman"/>
          <w:color w:val="000000"/>
        </w:rPr>
        <w:t>L'obiettivo principale di questo processo è individuare unità di rete funzionali, ciascuna con una produzione chilometrica il più possibile prossima alla soglia ottimale di 4 milioni di veicoli-km/anno.</w:t>
      </w:r>
    </w:p>
    <w:p w14:paraId="7676C1EA" w14:textId="77777777" w:rsidR="00FD2CBB" w:rsidRPr="00AD01C5" w:rsidRDefault="00FD2CBB" w:rsidP="000A758C">
      <w:pPr>
        <w:spacing w:before="120" w:after="0" w:line="240" w:lineRule="auto"/>
        <w:rPr>
          <w:rFonts w:eastAsia="Calibri" w:cs="Times New Roman"/>
          <w:color w:val="000000"/>
        </w:rPr>
      </w:pPr>
      <w:r w:rsidRPr="00AD01C5">
        <w:rPr>
          <w:rFonts w:eastAsia="Calibri" w:cs="Times New Roman"/>
          <w:color w:val="000000"/>
        </w:rPr>
        <w:t>Per raggiungere questo obiettivo, si seguono i seguenti passaggi:</w:t>
      </w:r>
    </w:p>
    <w:p w14:paraId="44FA25F8" w14:textId="77777777" w:rsidR="00FD2CBB" w:rsidRPr="00AD01C5" w:rsidRDefault="00FD2CBB" w:rsidP="004B0DBE">
      <w:pPr>
        <w:numPr>
          <w:ilvl w:val="0"/>
          <w:numId w:val="81"/>
        </w:numPr>
        <w:spacing w:before="120" w:after="0" w:line="240" w:lineRule="auto"/>
        <w:rPr>
          <w:rFonts w:eastAsia="Calibri" w:cs="Times New Roman"/>
          <w:color w:val="000000"/>
        </w:rPr>
      </w:pPr>
      <w:r w:rsidRPr="00AD01C5">
        <w:rPr>
          <w:rFonts w:eastAsia="Calibri" w:cs="Times New Roman"/>
          <w:color w:val="000000"/>
        </w:rPr>
        <w:t>accorpamento dei gruppi di linee: si procede all'accorpamento dei gruppi di linee tenendo conto delle produzioni chilometriche incrementate. L'obiettivo è formare unità di rete che abbiano una produzione chilometrica complessiva il più possibile vicina alla soglia ottimale di 4 milioni di veicoli-km/anno. Questo accorpamento viene effettuato considerando variabili come la contiguità geografica;</w:t>
      </w:r>
    </w:p>
    <w:p w14:paraId="4B8F6D97" w14:textId="77777777" w:rsidR="00FD2CBB" w:rsidRPr="00AD01C5" w:rsidRDefault="00FD2CBB" w:rsidP="004B0DBE">
      <w:pPr>
        <w:numPr>
          <w:ilvl w:val="0"/>
          <w:numId w:val="81"/>
        </w:numPr>
        <w:spacing w:before="120" w:after="0" w:line="240" w:lineRule="auto"/>
        <w:rPr>
          <w:rFonts w:eastAsia="Calibri" w:cs="Times New Roman"/>
          <w:color w:val="000000"/>
        </w:rPr>
      </w:pPr>
      <w:r w:rsidRPr="00AD01C5">
        <w:rPr>
          <w:rFonts w:eastAsia="Calibri" w:cs="Times New Roman"/>
          <w:color w:val="000000"/>
        </w:rPr>
        <w:t>aggiustamenti e ottimizzazioni finali: se necessario, si effettuano aggiustamenti e ottimizzazioni finali per affinare ulteriormente la configurazione delle unità di rete. Questo può includere la redistribuzione delle linee tra le unità di rete o la modifica delle produzioni chilometriche per raggiungere l'obiettivo prefissato.</w:t>
      </w:r>
    </w:p>
    <w:p w14:paraId="586C132B" w14:textId="77777777" w:rsidR="00FD2CBB" w:rsidRPr="00AD01C5" w:rsidRDefault="00FD2CBB" w:rsidP="000A758C">
      <w:pPr>
        <w:spacing w:before="120" w:after="0" w:line="240" w:lineRule="auto"/>
        <w:rPr>
          <w:rFonts w:eastAsia="Calibri" w:cs="Times New Roman"/>
          <w:color w:val="000000"/>
        </w:rPr>
      </w:pPr>
      <w:r w:rsidRPr="00AD01C5">
        <w:rPr>
          <w:rFonts w:eastAsia="Calibri" w:cs="Times New Roman"/>
          <w:color w:val="000000"/>
        </w:rPr>
        <w:t>L'intero processo è finalizzato a creare una rete di trasporto pubblico locale più efficiente e sostenibile, con unità di rete ottimizzate per garantire una gestione efficace e una riduzione dei costi operativi complessivi.</w:t>
      </w:r>
    </w:p>
    <w:p w14:paraId="4528463E" w14:textId="77777777" w:rsidR="00FD2CBB" w:rsidRPr="00AD01C5" w:rsidRDefault="00FD2CBB" w:rsidP="000A758C">
      <w:pPr>
        <w:spacing w:before="120" w:after="0" w:line="240" w:lineRule="auto"/>
        <w:rPr>
          <w:rFonts w:eastAsia="Calibri" w:cs="Times New Roman"/>
          <w:color w:val="000000"/>
        </w:rPr>
      </w:pPr>
      <w:r w:rsidRPr="00AD01C5">
        <w:rPr>
          <w:rFonts w:eastAsia="Calibri" w:cs="Times New Roman"/>
          <w:color w:val="000000"/>
        </w:rPr>
        <w:t>Dal programma di esercizio si ricavano la durata d’esercizio e la percorrenza per ciascuna linea presa in considerazione suddividendole fra urbane ed extraurbane potendo desumere qualsiasi successiva aggregazione (unità di rete, lotti), elementi da cui si può procedere alla valutazione:</w:t>
      </w:r>
    </w:p>
    <w:p w14:paraId="351B8866" w14:textId="77777777" w:rsidR="00FD2CBB" w:rsidRPr="00AD01C5" w:rsidRDefault="00FD2CBB" w:rsidP="004B0DBE">
      <w:pPr>
        <w:numPr>
          <w:ilvl w:val="0"/>
          <w:numId w:val="82"/>
        </w:numPr>
        <w:spacing w:before="120" w:after="0" w:line="240" w:lineRule="auto"/>
        <w:rPr>
          <w:rFonts w:eastAsia="Calibri" w:cs="Times New Roman"/>
          <w:color w:val="000000"/>
        </w:rPr>
      </w:pPr>
      <w:r w:rsidRPr="00AD01C5">
        <w:rPr>
          <w:rFonts w:eastAsia="Calibri" w:cs="Times New Roman"/>
          <w:color w:val="000000"/>
        </w:rPr>
        <w:t>delle velocità commerciale programmata (come rapporto fra la produzione commerciale complessiva ed il tempo commerciale complessivo) dei servizi inseriti nell’unità di rete;</w:t>
      </w:r>
    </w:p>
    <w:p w14:paraId="7C4C7CA7" w14:textId="77777777" w:rsidR="00FD2CBB" w:rsidRPr="00AD01C5" w:rsidRDefault="00FD2CBB" w:rsidP="004B0DBE">
      <w:pPr>
        <w:numPr>
          <w:ilvl w:val="0"/>
          <w:numId w:val="82"/>
        </w:numPr>
        <w:spacing w:before="120" w:after="0" w:line="240" w:lineRule="auto"/>
        <w:rPr>
          <w:rFonts w:eastAsia="Calibri" w:cs="Times New Roman"/>
          <w:color w:val="000000"/>
        </w:rPr>
      </w:pPr>
      <w:r w:rsidRPr="00AD01C5">
        <w:rPr>
          <w:rFonts w:eastAsia="Calibri" w:cs="Times New Roman"/>
          <w:color w:val="000000"/>
        </w:rPr>
        <w:t>della velocità commerciale standard</w:t>
      </w:r>
      <w:r w:rsidRPr="69E21B87">
        <w:rPr>
          <w:rFonts w:eastAsia="Times New Roman" w:cs="Calibri"/>
          <w:color w:val="000000"/>
          <w:sz w:val="18"/>
          <w:szCs w:val="18"/>
          <w:vertAlign w:val="superscript"/>
        </w:rPr>
        <w:footnoteReference w:id="50"/>
      </w:r>
      <w:r w:rsidRPr="00AD01C5">
        <w:rPr>
          <w:rFonts w:eastAsia="Calibri" w:cs="Times New Roman"/>
          <w:color w:val="000000"/>
        </w:rPr>
        <w:t xml:space="preserve"> per i servizi urbani e per i servizi extraurbani utilizzando le tempistiche rettificate indicate dal DM 157/2018;</w:t>
      </w:r>
    </w:p>
    <w:p w14:paraId="1D571D70" w14:textId="77777777" w:rsidR="00FD2CBB" w:rsidRPr="00AD01C5" w:rsidRDefault="00FD2CBB" w:rsidP="004B0DBE">
      <w:pPr>
        <w:numPr>
          <w:ilvl w:val="0"/>
          <w:numId w:val="82"/>
        </w:numPr>
        <w:spacing w:before="120" w:after="0" w:line="240" w:lineRule="auto"/>
        <w:rPr>
          <w:rFonts w:eastAsia="Calibri" w:cs="Times New Roman"/>
          <w:color w:val="000000"/>
        </w:rPr>
      </w:pPr>
      <w:r w:rsidRPr="00AD01C5">
        <w:rPr>
          <w:rFonts w:eastAsia="Calibri" w:cs="Times New Roman"/>
          <w:color w:val="000000"/>
        </w:rPr>
        <w:lastRenderedPageBreak/>
        <w:t>del n° di veicoli necessari al servizio;</w:t>
      </w:r>
    </w:p>
    <w:p w14:paraId="32111473" w14:textId="1D0D18BC" w:rsidR="00FD2CBB" w:rsidRPr="00AD01C5" w:rsidRDefault="00FD2CBB" w:rsidP="004B0DBE">
      <w:pPr>
        <w:numPr>
          <w:ilvl w:val="0"/>
          <w:numId w:val="82"/>
        </w:numPr>
        <w:spacing w:before="120" w:after="0" w:line="240" w:lineRule="auto"/>
        <w:rPr>
          <w:rFonts w:eastAsia="Calibri" w:cs="Times New Roman"/>
          <w:color w:val="000000"/>
        </w:rPr>
      </w:pPr>
      <w:r w:rsidRPr="00AD01C5">
        <w:rPr>
          <w:rFonts w:eastAsia="Calibri" w:cs="Times New Roman"/>
          <w:color w:val="000000"/>
        </w:rPr>
        <w:t xml:space="preserve">dei costi standard riportati al </w:t>
      </w:r>
      <w:r w:rsidRPr="00420289">
        <w:rPr>
          <w:rFonts w:eastAsia="Calibri" w:cs="Times New Roman"/>
          <w:color w:val="000000"/>
        </w:rPr>
        <w:t xml:space="preserve">paragrafo </w:t>
      </w:r>
      <w:r w:rsidR="00EC5524">
        <w:rPr>
          <w:rFonts w:eastAsia="Calibri" w:cs="Times New Roman"/>
          <w:color w:val="000000"/>
        </w:rPr>
        <w:fldChar w:fldCharType="begin"/>
      </w:r>
      <w:r w:rsidR="00EC5524">
        <w:rPr>
          <w:rFonts w:eastAsia="Calibri" w:cs="Times New Roman"/>
          <w:color w:val="000000"/>
        </w:rPr>
        <w:instrText xml:space="preserve"> REF _Ref212733755 \r \h </w:instrText>
      </w:r>
      <w:r w:rsidR="00EC5524">
        <w:rPr>
          <w:rFonts w:eastAsia="Calibri" w:cs="Times New Roman"/>
          <w:color w:val="000000"/>
        </w:rPr>
      </w:r>
      <w:r w:rsidR="00EC5524">
        <w:rPr>
          <w:rFonts w:eastAsia="Calibri" w:cs="Times New Roman"/>
          <w:color w:val="000000"/>
        </w:rPr>
        <w:fldChar w:fldCharType="separate"/>
      </w:r>
      <w:r w:rsidR="00073B6D">
        <w:rPr>
          <w:rFonts w:eastAsia="Calibri" w:cs="Times New Roman"/>
          <w:color w:val="000000"/>
        </w:rPr>
        <w:t>7.5</w:t>
      </w:r>
      <w:r w:rsidR="00EC5524">
        <w:rPr>
          <w:rFonts w:eastAsia="Calibri" w:cs="Times New Roman"/>
          <w:color w:val="000000"/>
        </w:rPr>
        <w:fldChar w:fldCharType="end"/>
      </w:r>
      <w:r w:rsidRPr="00420289">
        <w:rPr>
          <w:rFonts w:eastAsia="Calibri" w:cs="Times New Roman"/>
          <w:color w:val="000000"/>
        </w:rPr>
        <w:t>.</w:t>
      </w:r>
    </w:p>
    <w:p w14:paraId="544A538C" w14:textId="77777777" w:rsidR="00FD2CBB" w:rsidRPr="00AD01C5" w:rsidRDefault="00FD2CBB" w:rsidP="00B63B49">
      <w:pPr>
        <w:spacing w:before="120" w:after="0" w:line="240" w:lineRule="auto"/>
        <w:rPr>
          <w:rFonts w:eastAsia="Calibri" w:cs="Calibri"/>
        </w:rPr>
      </w:pPr>
      <w:r w:rsidRPr="71EE7570">
        <w:rPr>
          <w:rFonts w:eastAsia="Calibri" w:cs="Times New Roman"/>
          <w:color w:val="000000" w:themeColor="text1"/>
        </w:rPr>
        <w:t>Occorre precisare che al fine di individuare servizi omogenei che soddisfino la richiesta pervenuta da parte della Città di Torino di definire un “</w:t>
      </w:r>
      <w:r w:rsidRPr="71EE7570">
        <w:rPr>
          <w:rFonts w:eastAsia="Calibri" w:cs="Times New Roman"/>
          <w:i/>
          <w:color w:val="000000" w:themeColor="text1"/>
        </w:rPr>
        <w:t>l</w:t>
      </w:r>
      <w:r w:rsidRPr="71EE7570">
        <w:rPr>
          <w:rFonts w:eastAsia="Calibri" w:cs="Calibri"/>
          <w:i/>
        </w:rPr>
        <w:t>otto unico ad alta densità abitativa</w:t>
      </w:r>
      <w:r w:rsidRPr="71EE7570">
        <w:rPr>
          <w:rFonts w:eastAsia="Calibri" w:cs="Calibri"/>
        </w:rPr>
        <w:t>”, sono stati inseriti in un’unica unità di rete le linee che il sistema di ottimizzazione ha assegnato a depositi localizzati internamente al Comune di Torino. Questo approccio ha permesso di:</w:t>
      </w:r>
    </w:p>
    <w:p w14:paraId="4273FE8C" w14:textId="77777777" w:rsidR="00FD2CBB" w:rsidRPr="00AD01C5" w:rsidRDefault="00FD2CBB" w:rsidP="004B0DBE">
      <w:pPr>
        <w:pStyle w:val="Paragrafoelenco"/>
        <w:numPr>
          <w:ilvl w:val="0"/>
          <w:numId w:val="62"/>
        </w:numPr>
        <w:spacing w:before="120" w:after="0" w:line="240" w:lineRule="auto"/>
        <w:contextualSpacing w:val="0"/>
        <w:rPr>
          <w:rFonts w:eastAsia="Calibri" w:cs="Calibri"/>
        </w:rPr>
      </w:pPr>
      <w:r w:rsidRPr="71EE7570">
        <w:rPr>
          <w:rFonts w:eastAsia="Calibri" w:cs="Calibri"/>
        </w:rPr>
        <w:t>raggruppare linee con caratteristiche di collegamento periurbano e/o finalità trasportistiche affini, quali ad esempio le linee c.d. operarie;</w:t>
      </w:r>
    </w:p>
    <w:p w14:paraId="76F90EC8" w14:textId="77777777" w:rsidR="00FD2CBB" w:rsidRPr="00AD01C5" w:rsidRDefault="00FD2CBB" w:rsidP="004B0DBE">
      <w:pPr>
        <w:pStyle w:val="Paragrafoelenco"/>
        <w:numPr>
          <w:ilvl w:val="0"/>
          <w:numId w:val="62"/>
        </w:numPr>
        <w:spacing w:before="120" w:after="0" w:line="240" w:lineRule="auto"/>
        <w:contextualSpacing w:val="0"/>
        <w:rPr>
          <w:rFonts w:eastAsia="Calibri" w:cs="Calibri"/>
        </w:rPr>
      </w:pPr>
      <w:r w:rsidRPr="71EE7570">
        <w:rPr>
          <w:rFonts w:eastAsia="Calibri" w:cs="Calibri"/>
        </w:rPr>
        <w:t>mantenere una continuità territoriale con i servizi urbani e suburbani.</w:t>
      </w:r>
    </w:p>
    <w:p w14:paraId="4BB90B43" w14:textId="7891F8DC" w:rsidR="00FD2CBB" w:rsidRPr="00AD01C5" w:rsidRDefault="00FD2CBB" w:rsidP="00B63B49">
      <w:pPr>
        <w:spacing w:before="120" w:after="0" w:line="240" w:lineRule="auto"/>
        <w:rPr>
          <w:rFonts w:eastAsia="Calibri" w:cs="Times New Roman"/>
          <w:color w:val="000000" w:themeColor="text1"/>
        </w:rPr>
      </w:pPr>
      <w:r w:rsidRPr="71EE7570">
        <w:rPr>
          <w:rFonts w:eastAsia="Calibri" w:cs="Times New Roman"/>
          <w:color w:val="000000" w:themeColor="text1"/>
        </w:rPr>
        <w:t>In particolare, per gli elementi appena descritti si evidenzia che è stata condotta un’analisi di dettaglio sulle linee “</w:t>
      </w:r>
      <w:r w:rsidRPr="71EE7570">
        <w:rPr>
          <w:rFonts w:eastAsia="Calibri" w:cs="Times New Roman"/>
          <w:i/>
          <w:color w:val="000000" w:themeColor="text1"/>
        </w:rPr>
        <w:t>3106 Crescentino-Chivasso-Torino Fiat Mirafiori”</w:t>
      </w:r>
      <w:r w:rsidRPr="71EE7570">
        <w:rPr>
          <w:rFonts w:eastAsia="Calibri" w:cs="Times New Roman"/>
          <w:color w:val="000000" w:themeColor="text1"/>
        </w:rPr>
        <w:t xml:space="preserve"> e “</w:t>
      </w:r>
      <w:r w:rsidRPr="71EE7570">
        <w:rPr>
          <w:rFonts w:eastAsia="Calibri" w:cs="Times New Roman"/>
          <w:i/>
          <w:color w:val="000000" w:themeColor="text1"/>
        </w:rPr>
        <w:t>3107 Brusasco-Settimo-Torino"</w:t>
      </w:r>
      <w:r w:rsidRPr="71EE7570">
        <w:rPr>
          <w:rFonts w:eastAsia="Calibri" w:cs="Times New Roman"/>
          <w:color w:val="000000" w:themeColor="text1"/>
        </w:rPr>
        <w:t>, le quali sono state assegnate ai depositi di Torino e</w:t>
      </w:r>
      <w:r w:rsidR="00D11E72">
        <w:rPr>
          <w:rFonts w:eastAsia="Calibri" w:cs="Times New Roman"/>
          <w:color w:val="000000" w:themeColor="text1"/>
        </w:rPr>
        <w:t>d</w:t>
      </w:r>
      <w:r w:rsidRPr="71EE7570">
        <w:rPr>
          <w:rFonts w:eastAsia="Calibri" w:cs="Times New Roman"/>
          <w:color w:val="000000" w:themeColor="text1"/>
        </w:rPr>
        <w:t xml:space="preserve"> hanno </w:t>
      </w:r>
      <w:r w:rsidR="00D11E72">
        <w:rPr>
          <w:rFonts w:eastAsia="Calibri" w:cs="Times New Roman"/>
          <w:color w:val="000000" w:themeColor="text1"/>
        </w:rPr>
        <w:t xml:space="preserve">un </w:t>
      </w:r>
      <w:r w:rsidRPr="71EE7570">
        <w:rPr>
          <w:rFonts w:eastAsia="Calibri" w:cs="Times New Roman"/>
          <w:color w:val="000000" w:themeColor="text1"/>
        </w:rPr>
        <w:t xml:space="preserve">articolato sviluppo di percorsi. Alcuni percorsi originano e destinano a est di Chivasso e pertanto non hanno di fatto una continuità territoriale con la Città di Torino e l’area di cintura. Altri percorsi ancora con origine sì in Torino, ma con un punto di destinazione estremamente periferico (e viceversa) che per tanto non hanno una valenza periurbana. Inoltre, in entrambi i casi il mantenimento di tali percorsi all’interno di un gruppo di linee “Torino centriche” comporta la frammentazione dell’insieme dei servizi presenti tra Chivasso e il confine provinciale. </w:t>
      </w:r>
    </w:p>
    <w:p w14:paraId="14F1E5E1" w14:textId="7BABD1B2" w:rsidR="00FD2CBB" w:rsidRPr="00AD01C5" w:rsidRDefault="00FD2CBB" w:rsidP="00B63B49">
      <w:pPr>
        <w:spacing w:before="120" w:after="0" w:line="240" w:lineRule="auto"/>
        <w:rPr>
          <w:rFonts w:eastAsia="Calibri" w:cs="Times New Roman"/>
          <w:color w:val="000000" w:themeColor="text1"/>
        </w:rPr>
      </w:pPr>
      <w:r w:rsidRPr="71EE7570">
        <w:rPr>
          <w:rFonts w:eastAsia="Calibri" w:cs="Times New Roman"/>
          <w:color w:val="000000" w:themeColor="text1"/>
        </w:rPr>
        <w:t>Per tali ragioni queste due linee sono state entrambe suddivise in due gruppi di percorsi ciascuna: uno periurbano con origini e destinazioni comprese tra Torino e Chivasso, e</w:t>
      </w:r>
      <w:r w:rsidR="0006162D">
        <w:rPr>
          <w:rFonts w:eastAsia="Calibri" w:cs="Times New Roman"/>
          <w:color w:val="000000" w:themeColor="text1"/>
        </w:rPr>
        <w:t>d</w:t>
      </w:r>
      <w:r w:rsidRPr="71EE7570">
        <w:rPr>
          <w:rFonts w:eastAsia="Calibri" w:cs="Times New Roman"/>
          <w:color w:val="000000" w:themeColor="text1"/>
        </w:rPr>
        <w:t xml:space="preserve"> un secondo extraurbano quando l’origine o la destinazione o entrambe coinvolgevano punti più periferici ad est di Chivasso.</w:t>
      </w:r>
    </w:p>
    <w:p w14:paraId="1F0CA8BB" w14:textId="77777777" w:rsidR="00FD2CBB" w:rsidRDefault="00FD2CBB" w:rsidP="00B63B49">
      <w:pPr>
        <w:spacing w:before="120" w:after="0" w:line="240" w:lineRule="auto"/>
        <w:rPr>
          <w:rFonts w:eastAsia="Calibri" w:cs="Times New Roman"/>
          <w:color w:val="000000" w:themeColor="text1"/>
        </w:rPr>
      </w:pPr>
      <w:r w:rsidRPr="71EE7570">
        <w:rPr>
          <w:rFonts w:eastAsia="Calibri" w:cs="Times New Roman"/>
          <w:color w:val="000000" w:themeColor="text1"/>
        </w:rPr>
        <w:t>Nella tabella seguente si riportano le unità di rete, individuate a valle dell’accorpamento dei gruppi di linee secondo i criteri sopra descritti, specificando per ciascuna i principali parametri desunti dal programma di esercizio.</w:t>
      </w:r>
    </w:p>
    <w:p w14:paraId="6B39DCCA" w14:textId="77777777" w:rsidR="00C607F0" w:rsidRPr="00AD01C5" w:rsidRDefault="00C607F0" w:rsidP="00761007">
      <w:pPr>
        <w:spacing w:before="120" w:after="0" w:line="240" w:lineRule="auto"/>
        <w:rPr>
          <w:rFonts w:eastAsia="Calibri" w:cs="Times New Roman"/>
          <w:color w:val="000000" w:themeColor="text1"/>
        </w:rPr>
      </w:pPr>
    </w:p>
    <w:tbl>
      <w:tblPr>
        <w:tblW w:w="5000" w:type="pct"/>
        <w:jc w:val="center"/>
        <w:tblCellMar>
          <w:left w:w="70" w:type="dxa"/>
          <w:right w:w="70" w:type="dxa"/>
        </w:tblCellMar>
        <w:tblLook w:val="04A0" w:firstRow="1" w:lastRow="0" w:firstColumn="1" w:lastColumn="0" w:noHBand="0" w:noVBand="1"/>
      </w:tblPr>
      <w:tblGrid>
        <w:gridCol w:w="1227"/>
        <w:gridCol w:w="1451"/>
        <w:gridCol w:w="1093"/>
        <w:gridCol w:w="901"/>
        <w:gridCol w:w="1015"/>
        <w:gridCol w:w="719"/>
        <w:gridCol w:w="40"/>
        <w:gridCol w:w="536"/>
        <w:gridCol w:w="40"/>
        <w:gridCol w:w="536"/>
        <w:gridCol w:w="40"/>
        <w:gridCol w:w="605"/>
        <w:gridCol w:w="34"/>
        <w:gridCol w:w="823"/>
      </w:tblGrid>
      <w:tr w:rsidR="00FD2CBB" w:rsidRPr="00AD01C5" w14:paraId="3EECB828" w14:textId="77777777" w:rsidTr="00A27FBD">
        <w:trPr>
          <w:trHeight w:val="764"/>
          <w:jc w:val="center"/>
        </w:trPr>
        <w:tc>
          <w:tcPr>
            <w:tcW w:w="67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E3438"/>
            <w:vAlign w:val="center"/>
            <w:hideMark/>
          </w:tcPr>
          <w:p w14:paraId="43B1C60E" w14:textId="77777777" w:rsidR="00FD2CBB" w:rsidRPr="00AD01C5" w:rsidRDefault="00FD2CBB" w:rsidP="00B63B49">
            <w:pPr>
              <w:spacing w:after="0" w:line="240" w:lineRule="auto"/>
              <w:jc w:val="center"/>
              <w:rPr>
                <w:rFonts w:eastAsia="Times New Roman" w:cs="Calibri"/>
                <w:b/>
                <w:color w:val="000000"/>
                <w:sz w:val="18"/>
                <w:szCs w:val="18"/>
              </w:rPr>
            </w:pPr>
            <w:r w:rsidRPr="00AD01C5">
              <w:rPr>
                <w:rFonts w:eastAsia="Times New Roman" w:cs="Calibri"/>
                <w:b/>
                <w:color w:val="000000"/>
                <w:sz w:val="18"/>
                <w:szCs w:val="18"/>
              </w:rPr>
              <w:t>Unità di rete</w:t>
            </w:r>
          </w:p>
        </w:tc>
        <w:tc>
          <w:tcPr>
            <w:tcW w:w="801" w:type="pct"/>
            <w:tcBorders>
              <w:top w:val="single" w:sz="4" w:space="0" w:color="A6A6A6" w:themeColor="background1" w:themeShade="A6"/>
              <w:left w:val="nil"/>
              <w:bottom w:val="single" w:sz="4" w:space="0" w:color="A6A6A6" w:themeColor="background1" w:themeShade="A6"/>
              <w:right w:val="single" w:sz="4" w:space="0" w:color="A6A6A6" w:themeColor="background1" w:themeShade="A6"/>
            </w:tcBorders>
            <w:shd w:val="clear" w:color="auto" w:fill="EE3438"/>
            <w:vAlign w:val="center"/>
            <w:hideMark/>
          </w:tcPr>
          <w:p w14:paraId="1607E2CD" w14:textId="77777777" w:rsidR="00FD2CBB" w:rsidRPr="00AD01C5" w:rsidRDefault="00FD2CBB" w:rsidP="00B63B49">
            <w:pPr>
              <w:spacing w:after="0" w:line="240" w:lineRule="auto"/>
              <w:jc w:val="left"/>
              <w:rPr>
                <w:rFonts w:eastAsia="Times New Roman" w:cs="Calibri"/>
                <w:b/>
                <w:color w:val="000000"/>
                <w:sz w:val="18"/>
                <w:szCs w:val="18"/>
              </w:rPr>
            </w:pPr>
            <w:r w:rsidRPr="00AD01C5">
              <w:rPr>
                <w:rFonts w:eastAsia="Times New Roman" w:cs="Calibri"/>
                <w:b/>
                <w:color w:val="000000"/>
                <w:sz w:val="18"/>
                <w:szCs w:val="18"/>
              </w:rPr>
              <w:t>Descrizione</w:t>
            </w:r>
          </w:p>
        </w:tc>
        <w:tc>
          <w:tcPr>
            <w:tcW w:w="603" w:type="pct"/>
            <w:tcBorders>
              <w:top w:val="single" w:sz="4" w:space="0" w:color="A6A6A6" w:themeColor="background1" w:themeShade="A6"/>
              <w:left w:val="nil"/>
              <w:bottom w:val="single" w:sz="4" w:space="0" w:color="A6A6A6" w:themeColor="background1" w:themeShade="A6"/>
              <w:right w:val="single" w:sz="4" w:space="0" w:color="A6A6A6" w:themeColor="background1" w:themeShade="A6"/>
            </w:tcBorders>
            <w:shd w:val="clear" w:color="auto" w:fill="EE3438"/>
            <w:vAlign w:val="center"/>
            <w:hideMark/>
          </w:tcPr>
          <w:p w14:paraId="47949289" w14:textId="77777777" w:rsidR="00FD2CBB" w:rsidRPr="00AD01C5" w:rsidRDefault="00FD2CBB" w:rsidP="00B63B49">
            <w:pPr>
              <w:spacing w:after="0" w:line="240" w:lineRule="auto"/>
              <w:jc w:val="center"/>
              <w:rPr>
                <w:rFonts w:eastAsia="Times New Roman" w:cs="Calibri"/>
                <w:b/>
                <w:color w:val="000000"/>
                <w:sz w:val="18"/>
                <w:szCs w:val="18"/>
              </w:rPr>
            </w:pPr>
            <w:r w:rsidRPr="00AD01C5">
              <w:rPr>
                <w:rFonts w:eastAsia="Times New Roman" w:cs="Calibri"/>
                <w:b/>
                <w:color w:val="000000"/>
                <w:sz w:val="18"/>
                <w:szCs w:val="18"/>
              </w:rPr>
              <w:t>veic-km/anno servizi extraurbani</w:t>
            </w:r>
          </w:p>
        </w:tc>
        <w:tc>
          <w:tcPr>
            <w:tcW w:w="497" w:type="pct"/>
            <w:tcBorders>
              <w:top w:val="single" w:sz="4" w:space="0" w:color="A6A6A6" w:themeColor="background1" w:themeShade="A6"/>
              <w:left w:val="nil"/>
              <w:bottom w:val="single" w:sz="4" w:space="0" w:color="A6A6A6" w:themeColor="background1" w:themeShade="A6"/>
              <w:right w:val="single" w:sz="4" w:space="0" w:color="A6A6A6" w:themeColor="background1" w:themeShade="A6"/>
            </w:tcBorders>
            <w:shd w:val="clear" w:color="auto" w:fill="EE3438"/>
            <w:vAlign w:val="center"/>
            <w:hideMark/>
          </w:tcPr>
          <w:p w14:paraId="29C67739" w14:textId="77777777" w:rsidR="00FD2CBB" w:rsidRPr="00AD01C5" w:rsidRDefault="00FD2CBB" w:rsidP="00B63B49">
            <w:pPr>
              <w:spacing w:after="0" w:line="240" w:lineRule="auto"/>
              <w:jc w:val="center"/>
              <w:rPr>
                <w:rFonts w:eastAsia="Times New Roman" w:cs="Calibri"/>
                <w:b/>
                <w:color w:val="000000"/>
                <w:sz w:val="18"/>
                <w:szCs w:val="18"/>
              </w:rPr>
            </w:pPr>
            <w:r w:rsidRPr="00AD01C5">
              <w:rPr>
                <w:rFonts w:eastAsia="Times New Roman" w:cs="Calibri"/>
                <w:b/>
                <w:color w:val="000000"/>
                <w:sz w:val="18"/>
                <w:szCs w:val="18"/>
              </w:rPr>
              <w:t>veic-km/anno servizi urbani</w:t>
            </w:r>
          </w:p>
        </w:tc>
        <w:tc>
          <w:tcPr>
            <w:tcW w:w="560" w:type="pct"/>
            <w:tcBorders>
              <w:top w:val="single" w:sz="4" w:space="0" w:color="A6A6A6" w:themeColor="background1" w:themeShade="A6"/>
              <w:left w:val="nil"/>
              <w:bottom w:val="single" w:sz="4" w:space="0" w:color="A6A6A6" w:themeColor="background1" w:themeShade="A6"/>
              <w:right w:val="single" w:sz="4" w:space="0" w:color="A6A6A6" w:themeColor="background1" w:themeShade="A6"/>
            </w:tcBorders>
            <w:shd w:val="clear" w:color="auto" w:fill="EE3438"/>
            <w:vAlign w:val="center"/>
            <w:hideMark/>
          </w:tcPr>
          <w:p w14:paraId="3DD89D4C" w14:textId="77777777" w:rsidR="00FD2CBB" w:rsidRPr="00AD01C5" w:rsidRDefault="00FD2CBB" w:rsidP="00B63B49">
            <w:pPr>
              <w:spacing w:after="0" w:line="240" w:lineRule="auto"/>
              <w:jc w:val="center"/>
              <w:rPr>
                <w:rFonts w:eastAsia="Times New Roman" w:cs="Calibri"/>
                <w:b/>
                <w:color w:val="000000"/>
                <w:sz w:val="18"/>
                <w:szCs w:val="18"/>
              </w:rPr>
            </w:pPr>
            <w:r w:rsidRPr="00AD01C5">
              <w:rPr>
                <w:rFonts w:eastAsia="Times New Roman" w:cs="Calibri"/>
                <w:b/>
                <w:color w:val="000000"/>
                <w:sz w:val="18"/>
                <w:szCs w:val="18"/>
              </w:rPr>
              <w:t xml:space="preserve">veic-km/anno </w:t>
            </w:r>
          </w:p>
        </w:tc>
        <w:tc>
          <w:tcPr>
            <w:tcW w:w="397" w:type="pct"/>
            <w:tcBorders>
              <w:top w:val="single" w:sz="4" w:space="0" w:color="A6A6A6" w:themeColor="background1" w:themeShade="A6"/>
              <w:left w:val="nil"/>
              <w:bottom w:val="single" w:sz="4" w:space="0" w:color="A6A6A6" w:themeColor="background1" w:themeShade="A6"/>
              <w:right w:val="single" w:sz="4" w:space="0" w:color="A6A6A6" w:themeColor="background1" w:themeShade="A6"/>
            </w:tcBorders>
            <w:shd w:val="clear" w:color="auto" w:fill="EE3438"/>
            <w:vAlign w:val="center"/>
            <w:hideMark/>
          </w:tcPr>
          <w:p w14:paraId="3A175369" w14:textId="77777777" w:rsidR="00FD2CBB" w:rsidRPr="00AD01C5" w:rsidRDefault="00FD2CBB" w:rsidP="00B63B49">
            <w:pPr>
              <w:spacing w:after="0" w:line="240" w:lineRule="auto"/>
              <w:jc w:val="center"/>
              <w:rPr>
                <w:rFonts w:eastAsia="Times New Roman" w:cs="Calibri"/>
                <w:b/>
                <w:color w:val="000000"/>
                <w:sz w:val="18"/>
                <w:szCs w:val="18"/>
              </w:rPr>
            </w:pPr>
            <w:r w:rsidRPr="00AD01C5">
              <w:rPr>
                <w:rFonts w:eastAsia="Times New Roman" w:cs="Calibri"/>
                <w:b/>
                <w:color w:val="000000"/>
                <w:sz w:val="18"/>
                <w:szCs w:val="18"/>
              </w:rPr>
              <w:t>% urbane</w:t>
            </w:r>
          </w:p>
        </w:tc>
        <w:tc>
          <w:tcPr>
            <w:tcW w:w="318" w:type="pct"/>
            <w:gridSpan w:val="2"/>
            <w:tcBorders>
              <w:top w:val="single" w:sz="4" w:space="0" w:color="A6A6A6" w:themeColor="background1" w:themeShade="A6"/>
              <w:left w:val="nil"/>
              <w:bottom w:val="single" w:sz="4" w:space="0" w:color="A6A6A6" w:themeColor="background1" w:themeShade="A6"/>
              <w:right w:val="single" w:sz="4" w:space="0" w:color="A6A6A6" w:themeColor="background1" w:themeShade="A6"/>
            </w:tcBorders>
            <w:shd w:val="clear" w:color="auto" w:fill="EE3438"/>
            <w:vAlign w:val="center"/>
            <w:hideMark/>
          </w:tcPr>
          <w:p w14:paraId="2BE7C514" w14:textId="77777777" w:rsidR="00FD2CBB" w:rsidRPr="00AD01C5" w:rsidRDefault="00FD2CBB" w:rsidP="00B63B49">
            <w:pPr>
              <w:spacing w:after="0" w:line="240" w:lineRule="auto"/>
              <w:jc w:val="center"/>
              <w:rPr>
                <w:rFonts w:eastAsia="Times New Roman" w:cs="Calibri"/>
                <w:b/>
                <w:color w:val="000000"/>
                <w:sz w:val="18"/>
                <w:szCs w:val="18"/>
              </w:rPr>
            </w:pPr>
            <w:r w:rsidRPr="00AD01C5">
              <w:rPr>
                <w:rFonts w:eastAsia="Times New Roman" w:cs="Calibri"/>
                <w:b/>
                <w:color w:val="000000"/>
                <w:sz w:val="18"/>
                <w:szCs w:val="18"/>
              </w:rPr>
              <w:t>Vel. Prog. Km/h</w:t>
            </w:r>
          </w:p>
        </w:tc>
        <w:tc>
          <w:tcPr>
            <w:tcW w:w="318" w:type="pct"/>
            <w:gridSpan w:val="2"/>
            <w:tcBorders>
              <w:top w:val="single" w:sz="4" w:space="0" w:color="A6A6A6" w:themeColor="background1" w:themeShade="A6"/>
              <w:left w:val="nil"/>
              <w:bottom w:val="single" w:sz="4" w:space="0" w:color="A6A6A6" w:themeColor="background1" w:themeShade="A6"/>
              <w:right w:val="single" w:sz="4" w:space="0" w:color="A6A6A6" w:themeColor="background1" w:themeShade="A6"/>
            </w:tcBorders>
            <w:shd w:val="clear" w:color="auto" w:fill="EE3438"/>
            <w:vAlign w:val="center"/>
            <w:hideMark/>
          </w:tcPr>
          <w:p w14:paraId="75805340" w14:textId="77777777" w:rsidR="00FD2CBB" w:rsidRPr="00AD01C5" w:rsidRDefault="00FD2CBB" w:rsidP="00B63B49">
            <w:pPr>
              <w:spacing w:after="0" w:line="240" w:lineRule="auto"/>
              <w:jc w:val="center"/>
              <w:rPr>
                <w:rFonts w:eastAsia="Times New Roman" w:cs="Calibri"/>
                <w:b/>
                <w:color w:val="000000"/>
                <w:sz w:val="18"/>
                <w:szCs w:val="18"/>
              </w:rPr>
            </w:pPr>
            <w:r w:rsidRPr="00AD01C5">
              <w:rPr>
                <w:rFonts w:eastAsia="Times New Roman" w:cs="Calibri"/>
                <w:b/>
                <w:color w:val="000000"/>
                <w:sz w:val="18"/>
                <w:szCs w:val="18"/>
              </w:rPr>
              <w:t>Vel. Stan. Km/h</w:t>
            </w:r>
          </w:p>
        </w:tc>
        <w:tc>
          <w:tcPr>
            <w:tcW w:w="356" w:type="pct"/>
            <w:gridSpan w:val="2"/>
            <w:tcBorders>
              <w:top w:val="single" w:sz="4" w:space="0" w:color="A6A6A6" w:themeColor="background1" w:themeShade="A6"/>
              <w:left w:val="nil"/>
              <w:bottom w:val="single" w:sz="4" w:space="0" w:color="A6A6A6" w:themeColor="background1" w:themeShade="A6"/>
              <w:right w:val="single" w:sz="4" w:space="0" w:color="A6A6A6" w:themeColor="background1" w:themeShade="A6"/>
            </w:tcBorders>
            <w:shd w:val="clear" w:color="auto" w:fill="EE3438"/>
            <w:vAlign w:val="center"/>
            <w:hideMark/>
          </w:tcPr>
          <w:p w14:paraId="5706A6EC" w14:textId="77777777" w:rsidR="00FD2CBB" w:rsidRPr="00AD01C5" w:rsidRDefault="00FD2CBB" w:rsidP="00B63B49">
            <w:pPr>
              <w:spacing w:after="0" w:line="240" w:lineRule="auto"/>
              <w:jc w:val="center"/>
              <w:rPr>
                <w:rFonts w:eastAsia="Times New Roman" w:cs="Calibri"/>
                <w:b/>
                <w:color w:val="000000"/>
                <w:sz w:val="18"/>
                <w:szCs w:val="18"/>
              </w:rPr>
            </w:pPr>
            <w:r w:rsidRPr="00AD01C5">
              <w:rPr>
                <w:rFonts w:eastAsia="Times New Roman" w:cs="Calibri"/>
                <w:b/>
                <w:color w:val="000000"/>
                <w:sz w:val="18"/>
                <w:szCs w:val="18"/>
              </w:rPr>
              <w:t xml:space="preserve">bus urbani </w:t>
            </w:r>
          </w:p>
        </w:tc>
        <w:tc>
          <w:tcPr>
            <w:tcW w:w="474" w:type="pct"/>
            <w:gridSpan w:val="2"/>
            <w:tcBorders>
              <w:top w:val="single" w:sz="4" w:space="0" w:color="A6A6A6" w:themeColor="background1" w:themeShade="A6"/>
              <w:left w:val="nil"/>
              <w:bottom w:val="single" w:sz="4" w:space="0" w:color="A6A6A6" w:themeColor="background1" w:themeShade="A6"/>
              <w:right w:val="single" w:sz="4" w:space="0" w:color="A6A6A6" w:themeColor="background1" w:themeShade="A6"/>
            </w:tcBorders>
            <w:shd w:val="clear" w:color="auto" w:fill="EE3438"/>
            <w:vAlign w:val="center"/>
            <w:hideMark/>
          </w:tcPr>
          <w:p w14:paraId="353EA27F" w14:textId="77777777" w:rsidR="00FD2CBB" w:rsidRPr="00AD01C5" w:rsidRDefault="00FD2CBB" w:rsidP="00B63B49">
            <w:pPr>
              <w:spacing w:after="0" w:line="240" w:lineRule="auto"/>
              <w:jc w:val="center"/>
              <w:rPr>
                <w:rFonts w:eastAsia="Times New Roman" w:cs="Calibri"/>
                <w:b/>
                <w:color w:val="000000"/>
                <w:sz w:val="18"/>
                <w:szCs w:val="18"/>
              </w:rPr>
            </w:pPr>
            <w:r w:rsidRPr="00AD01C5">
              <w:rPr>
                <w:rFonts w:eastAsia="Times New Roman" w:cs="Calibri"/>
                <w:b/>
                <w:color w:val="000000"/>
                <w:sz w:val="18"/>
                <w:szCs w:val="18"/>
              </w:rPr>
              <w:t>bus extraurb.</w:t>
            </w:r>
          </w:p>
        </w:tc>
      </w:tr>
      <w:tr w:rsidR="00FD2CBB" w:rsidRPr="00AD01C5" w14:paraId="076C6A7A" w14:textId="77777777" w:rsidTr="00A27FBD">
        <w:trPr>
          <w:trHeight w:val="765"/>
          <w:jc w:val="center"/>
        </w:trPr>
        <w:tc>
          <w:tcPr>
            <w:tcW w:w="677"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1A619E17" w14:textId="77777777" w:rsidR="00FD2CBB" w:rsidRDefault="00FD2CBB" w:rsidP="00B63B49">
            <w:pPr>
              <w:spacing w:after="0" w:line="240" w:lineRule="auto"/>
              <w:jc w:val="center"/>
              <w:rPr>
                <w:rFonts w:eastAsia="Times New Roman" w:cs="Calibri"/>
                <w:color w:val="000000" w:themeColor="text1"/>
                <w:sz w:val="18"/>
                <w:szCs w:val="18"/>
              </w:rPr>
            </w:pPr>
            <w:r w:rsidRPr="69E21B87">
              <w:rPr>
                <w:rFonts w:eastAsia="Times New Roman" w:cs="Calibri"/>
                <w:color w:val="000000" w:themeColor="text1"/>
                <w:sz w:val="18"/>
                <w:szCs w:val="18"/>
              </w:rPr>
              <w:t>UR1</w:t>
            </w:r>
            <w:r>
              <w:br/>
            </w:r>
            <w:r w:rsidRPr="69E21B87">
              <w:rPr>
                <w:rFonts w:eastAsia="Times New Roman" w:cs="Calibri"/>
                <w:color w:val="000000" w:themeColor="text1"/>
                <w:sz w:val="18"/>
                <w:szCs w:val="18"/>
              </w:rPr>
              <w:t>TO_003</w:t>
            </w:r>
          </w:p>
          <w:p w14:paraId="2DFA9DBE" w14:textId="77777777" w:rsidR="00FD2CBB" w:rsidRPr="00AD01C5" w:rsidRDefault="00FD2CBB" w:rsidP="00B63B49">
            <w:pPr>
              <w:spacing w:after="0" w:line="240" w:lineRule="auto"/>
              <w:jc w:val="center"/>
              <w:rPr>
                <w:rFonts w:eastAsia="Times New Roman" w:cs="Calibri"/>
                <w:color w:val="000000"/>
                <w:sz w:val="18"/>
                <w:szCs w:val="18"/>
              </w:rPr>
            </w:pPr>
            <w:r w:rsidRPr="69E21B87">
              <w:rPr>
                <w:rFonts w:eastAsia="Times New Roman" w:cs="Calibri"/>
                <w:color w:val="000000" w:themeColor="text1"/>
                <w:sz w:val="18"/>
                <w:szCs w:val="18"/>
              </w:rPr>
              <w:t>TO_040</w:t>
            </w:r>
          </w:p>
        </w:tc>
        <w:tc>
          <w:tcPr>
            <w:tcW w:w="801" w:type="pct"/>
            <w:tcBorders>
              <w:top w:val="nil"/>
              <w:left w:val="nil"/>
              <w:bottom w:val="single" w:sz="4" w:space="0" w:color="A6A6A6" w:themeColor="background1" w:themeShade="A6"/>
              <w:right w:val="single" w:sz="4" w:space="0" w:color="A6A6A6" w:themeColor="background1" w:themeShade="A6"/>
            </w:tcBorders>
            <w:vAlign w:val="center"/>
            <w:hideMark/>
          </w:tcPr>
          <w:p w14:paraId="02823D25" w14:textId="77777777" w:rsidR="00FD2CBB" w:rsidRPr="00AD01C5" w:rsidRDefault="00FD2CBB" w:rsidP="00B63B49">
            <w:pPr>
              <w:spacing w:after="0" w:line="240" w:lineRule="auto"/>
              <w:jc w:val="left"/>
              <w:rPr>
                <w:rFonts w:eastAsia="Times New Roman" w:cs="Calibri"/>
                <w:color w:val="000000"/>
                <w:sz w:val="18"/>
                <w:szCs w:val="18"/>
              </w:rPr>
            </w:pPr>
            <w:r w:rsidRPr="00AD01C5">
              <w:rPr>
                <w:rFonts w:eastAsia="Times New Roman" w:cs="Calibri"/>
                <w:color w:val="000000"/>
                <w:sz w:val="18"/>
                <w:szCs w:val="18"/>
              </w:rPr>
              <w:t xml:space="preserve">Servizi Urbani ed extraurbani di </w:t>
            </w:r>
            <w:r>
              <w:rPr>
                <w:rFonts w:eastAsia="Times New Roman" w:cs="Calibri"/>
                <w:color w:val="000000"/>
                <w:sz w:val="18"/>
                <w:szCs w:val="18"/>
              </w:rPr>
              <w:t>Ivrea</w:t>
            </w:r>
            <w:r w:rsidRPr="00AD01C5">
              <w:rPr>
                <w:rFonts w:eastAsia="Times New Roman" w:cs="Calibri"/>
                <w:color w:val="000000"/>
                <w:sz w:val="18"/>
                <w:szCs w:val="18"/>
              </w:rPr>
              <w:t xml:space="preserve"> </w:t>
            </w:r>
            <w:r>
              <w:rPr>
                <w:rFonts w:eastAsia="Times New Roman" w:cs="Calibri"/>
                <w:color w:val="000000"/>
                <w:sz w:val="18"/>
                <w:szCs w:val="18"/>
              </w:rPr>
              <w:t xml:space="preserve">e </w:t>
            </w:r>
            <w:r w:rsidRPr="00AD01C5">
              <w:rPr>
                <w:rFonts w:eastAsia="Times New Roman" w:cs="Calibri"/>
                <w:color w:val="000000"/>
                <w:sz w:val="18"/>
                <w:szCs w:val="18"/>
              </w:rPr>
              <w:t>C</w:t>
            </w:r>
            <w:r>
              <w:rPr>
                <w:rFonts w:eastAsia="Times New Roman" w:cs="Calibri"/>
                <w:color w:val="000000"/>
                <w:sz w:val="18"/>
                <w:szCs w:val="18"/>
              </w:rPr>
              <w:t>hivasso</w:t>
            </w:r>
            <w:r w:rsidRPr="00AD01C5">
              <w:rPr>
                <w:rFonts w:eastAsia="Times New Roman" w:cs="Calibri"/>
                <w:color w:val="000000"/>
                <w:sz w:val="18"/>
                <w:szCs w:val="18"/>
              </w:rPr>
              <w:t xml:space="preserve"> </w:t>
            </w:r>
          </w:p>
        </w:tc>
        <w:tc>
          <w:tcPr>
            <w:tcW w:w="603" w:type="pct"/>
            <w:tcBorders>
              <w:top w:val="nil"/>
              <w:left w:val="nil"/>
              <w:bottom w:val="single" w:sz="4" w:space="0" w:color="A6A6A6" w:themeColor="background1" w:themeShade="A6"/>
              <w:right w:val="single" w:sz="4" w:space="0" w:color="A6A6A6" w:themeColor="background1" w:themeShade="A6"/>
            </w:tcBorders>
            <w:vAlign w:val="center"/>
          </w:tcPr>
          <w:p w14:paraId="597073FB" w14:textId="77777777" w:rsidR="00FD2CBB" w:rsidRPr="00AD01C5" w:rsidRDefault="00FD2CBB" w:rsidP="00B63B49">
            <w:pPr>
              <w:spacing w:after="0" w:line="240" w:lineRule="auto"/>
              <w:jc w:val="right"/>
              <w:rPr>
                <w:rFonts w:eastAsia="Times New Roman" w:cs="Calibri"/>
                <w:color w:val="000000"/>
                <w:sz w:val="18"/>
                <w:szCs w:val="18"/>
              </w:rPr>
            </w:pPr>
            <w:r w:rsidRPr="00D84AEB">
              <w:rPr>
                <w:rFonts w:eastAsia="Times New Roman" w:cs="Calibri"/>
                <w:color w:val="000000"/>
                <w:sz w:val="18"/>
                <w:szCs w:val="18"/>
              </w:rPr>
              <w:t>3.078.027</w:t>
            </w:r>
          </w:p>
        </w:tc>
        <w:tc>
          <w:tcPr>
            <w:tcW w:w="497" w:type="pct"/>
            <w:tcBorders>
              <w:top w:val="nil"/>
              <w:left w:val="nil"/>
              <w:bottom w:val="single" w:sz="4" w:space="0" w:color="A6A6A6" w:themeColor="background1" w:themeShade="A6"/>
              <w:right w:val="single" w:sz="4" w:space="0" w:color="A6A6A6" w:themeColor="background1" w:themeShade="A6"/>
            </w:tcBorders>
            <w:vAlign w:val="center"/>
          </w:tcPr>
          <w:p w14:paraId="4A1E3F39" w14:textId="77777777" w:rsidR="00FD2CBB" w:rsidRPr="00AD01C5" w:rsidRDefault="00FD2CBB" w:rsidP="00B63B49">
            <w:pPr>
              <w:spacing w:after="0" w:line="240" w:lineRule="auto"/>
              <w:jc w:val="right"/>
              <w:rPr>
                <w:rFonts w:eastAsia="Times New Roman" w:cs="Calibri"/>
                <w:color w:val="000000"/>
                <w:sz w:val="18"/>
                <w:szCs w:val="18"/>
              </w:rPr>
            </w:pPr>
            <w:r w:rsidRPr="002B1524">
              <w:rPr>
                <w:rFonts w:eastAsia="Times New Roman" w:cs="Calibri"/>
                <w:color w:val="000000"/>
                <w:sz w:val="18"/>
                <w:szCs w:val="18"/>
              </w:rPr>
              <w:t>1.019.039</w:t>
            </w:r>
          </w:p>
        </w:tc>
        <w:tc>
          <w:tcPr>
            <w:tcW w:w="560" w:type="pct"/>
            <w:tcBorders>
              <w:top w:val="nil"/>
              <w:left w:val="nil"/>
              <w:bottom w:val="single" w:sz="4" w:space="0" w:color="A6A6A6" w:themeColor="background1" w:themeShade="A6"/>
              <w:right w:val="single" w:sz="4" w:space="0" w:color="A6A6A6" w:themeColor="background1" w:themeShade="A6"/>
            </w:tcBorders>
            <w:vAlign w:val="center"/>
          </w:tcPr>
          <w:p w14:paraId="056C52CA" w14:textId="77777777" w:rsidR="00FD2CBB" w:rsidRPr="00AD01C5" w:rsidRDefault="00FD2CBB" w:rsidP="00B63B49">
            <w:pPr>
              <w:spacing w:after="0" w:line="240" w:lineRule="auto"/>
              <w:jc w:val="right"/>
              <w:rPr>
                <w:rFonts w:eastAsia="Times New Roman" w:cs="Calibri"/>
                <w:color w:val="000000"/>
                <w:sz w:val="18"/>
                <w:szCs w:val="18"/>
              </w:rPr>
            </w:pPr>
            <w:r w:rsidRPr="00D84AEB">
              <w:rPr>
                <w:rFonts w:eastAsia="Times New Roman" w:cs="Calibri"/>
                <w:color w:val="000000"/>
                <w:sz w:val="18"/>
                <w:szCs w:val="18"/>
              </w:rPr>
              <w:t>4.097.066</w:t>
            </w:r>
          </w:p>
        </w:tc>
        <w:tc>
          <w:tcPr>
            <w:tcW w:w="397" w:type="pct"/>
            <w:tcBorders>
              <w:top w:val="nil"/>
              <w:left w:val="nil"/>
              <w:bottom w:val="single" w:sz="4" w:space="0" w:color="A6A6A6" w:themeColor="background1" w:themeShade="A6"/>
              <w:right w:val="single" w:sz="4" w:space="0" w:color="A6A6A6" w:themeColor="background1" w:themeShade="A6"/>
            </w:tcBorders>
            <w:vAlign w:val="center"/>
          </w:tcPr>
          <w:p w14:paraId="27B0C422" w14:textId="77777777" w:rsidR="00FD2CBB" w:rsidRPr="00AD01C5" w:rsidRDefault="00FD2CBB" w:rsidP="00B63B49">
            <w:pPr>
              <w:spacing w:after="0" w:line="240" w:lineRule="auto"/>
              <w:jc w:val="center"/>
              <w:rPr>
                <w:rFonts w:eastAsia="Times New Roman" w:cs="Calibri"/>
                <w:color w:val="000000"/>
                <w:sz w:val="18"/>
                <w:szCs w:val="18"/>
              </w:rPr>
            </w:pPr>
            <w:r>
              <w:rPr>
                <w:rFonts w:eastAsia="Times New Roman" w:cs="Calibri"/>
                <w:color w:val="000000"/>
                <w:sz w:val="18"/>
                <w:szCs w:val="18"/>
              </w:rPr>
              <w:t>25%</w:t>
            </w:r>
          </w:p>
        </w:tc>
        <w:tc>
          <w:tcPr>
            <w:tcW w:w="318" w:type="pct"/>
            <w:gridSpan w:val="2"/>
            <w:tcBorders>
              <w:top w:val="nil"/>
              <w:left w:val="nil"/>
              <w:bottom w:val="single" w:sz="4" w:space="0" w:color="A6A6A6" w:themeColor="background1" w:themeShade="A6"/>
              <w:right w:val="single" w:sz="4" w:space="0" w:color="A6A6A6" w:themeColor="background1" w:themeShade="A6"/>
            </w:tcBorders>
            <w:vAlign w:val="center"/>
          </w:tcPr>
          <w:p w14:paraId="43612165" w14:textId="77777777" w:rsidR="00FD2CBB" w:rsidRPr="00AD01C5" w:rsidRDefault="00FD2CBB" w:rsidP="00B63B49">
            <w:pPr>
              <w:spacing w:after="0" w:line="240" w:lineRule="auto"/>
              <w:jc w:val="center"/>
              <w:rPr>
                <w:rFonts w:eastAsia="Times New Roman" w:cs="Calibri"/>
                <w:color w:val="000000"/>
                <w:sz w:val="18"/>
                <w:szCs w:val="18"/>
              </w:rPr>
            </w:pPr>
            <w:r w:rsidRPr="69E21B87">
              <w:rPr>
                <w:rFonts w:eastAsia="Times New Roman" w:cs="Calibri"/>
                <w:color w:val="000000" w:themeColor="text1"/>
                <w:sz w:val="18"/>
                <w:szCs w:val="18"/>
              </w:rPr>
              <w:t>34,52</w:t>
            </w:r>
          </w:p>
        </w:tc>
        <w:tc>
          <w:tcPr>
            <w:tcW w:w="318" w:type="pct"/>
            <w:gridSpan w:val="2"/>
            <w:tcBorders>
              <w:top w:val="nil"/>
              <w:left w:val="nil"/>
              <w:bottom w:val="single" w:sz="4" w:space="0" w:color="A6A6A6" w:themeColor="background1" w:themeShade="A6"/>
              <w:right w:val="single" w:sz="4" w:space="0" w:color="A6A6A6" w:themeColor="background1" w:themeShade="A6"/>
            </w:tcBorders>
            <w:vAlign w:val="center"/>
          </w:tcPr>
          <w:p w14:paraId="004AFFC1" w14:textId="77777777" w:rsidR="00FD2CBB" w:rsidRPr="00AD01C5" w:rsidRDefault="00FD2CBB" w:rsidP="00B63B49">
            <w:pPr>
              <w:spacing w:after="0" w:line="240" w:lineRule="auto"/>
              <w:jc w:val="center"/>
              <w:rPr>
                <w:rFonts w:eastAsia="Times New Roman" w:cs="Calibri"/>
                <w:color w:val="000000"/>
                <w:sz w:val="18"/>
                <w:szCs w:val="18"/>
              </w:rPr>
            </w:pPr>
            <w:r w:rsidRPr="69E21B87">
              <w:rPr>
                <w:rFonts w:eastAsia="Times New Roman" w:cs="Calibri"/>
                <w:color w:val="000000" w:themeColor="text1"/>
                <w:sz w:val="18"/>
                <w:szCs w:val="18"/>
              </w:rPr>
              <w:t>30,39</w:t>
            </w:r>
          </w:p>
        </w:tc>
        <w:tc>
          <w:tcPr>
            <w:tcW w:w="356" w:type="pct"/>
            <w:gridSpan w:val="2"/>
            <w:tcBorders>
              <w:top w:val="nil"/>
              <w:left w:val="nil"/>
              <w:bottom w:val="single" w:sz="4" w:space="0" w:color="A6A6A6" w:themeColor="background1" w:themeShade="A6"/>
              <w:right w:val="single" w:sz="4" w:space="0" w:color="A6A6A6" w:themeColor="background1" w:themeShade="A6"/>
            </w:tcBorders>
            <w:vAlign w:val="center"/>
          </w:tcPr>
          <w:p w14:paraId="58423D58" w14:textId="77777777" w:rsidR="00FD2CBB" w:rsidRPr="00AD01C5" w:rsidRDefault="00FD2CBB" w:rsidP="00B63B49">
            <w:pPr>
              <w:spacing w:after="0" w:line="240" w:lineRule="auto"/>
              <w:jc w:val="center"/>
              <w:rPr>
                <w:rFonts w:eastAsia="Times New Roman" w:cs="Calibri"/>
                <w:color w:val="000000"/>
                <w:sz w:val="18"/>
                <w:szCs w:val="18"/>
              </w:rPr>
            </w:pPr>
            <w:r w:rsidRPr="69E21B87">
              <w:rPr>
                <w:rFonts w:eastAsia="Times New Roman" w:cs="Calibri"/>
                <w:color w:val="000000" w:themeColor="text1"/>
                <w:sz w:val="18"/>
                <w:szCs w:val="18"/>
              </w:rPr>
              <w:t>24</w:t>
            </w:r>
          </w:p>
        </w:tc>
        <w:tc>
          <w:tcPr>
            <w:tcW w:w="474" w:type="pct"/>
            <w:gridSpan w:val="2"/>
            <w:tcBorders>
              <w:top w:val="nil"/>
              <w:left w:val="nil"/>
              <w:bottom w:val="single" w:sz="4" w:space="0" w:color="A6A6A6" w:themeColor="background1" w:themeShade="A6"/>
              <w:right w:val="single" w:sz="4" w:space="0" w:color="A6A6A6" w:themeColor="background1" w:themeShade="A6"/>
            </w:tcBorders>
            <w:vAlign w:val="center"/>
          </w:tcPr>
          <w:p w14:paraId="00383596" w14:textId="77777777" w:rsidR="00FD2CBB" w:rsidRPr="00AD01C5" w:rsidRDefault="00FD2CBB" w:rsidP="00B63B49">
            <w:pPr>
              <w:spacing w:after="0" w:line="240" w:lineRule="auto"/>
              <w:jc w:val="center"/>
              <w:rPr>
                <w:rFonts w:eastAsia="Times New Roman" w:cs="Calibri"/>
                <w:color w:val="000000"/>
                <w:sz w:val="18"/>
                <w:szCs w:val="18"/>
              </w:rPr>
            </w:pPr>
            <w:r w:rsidRPr="69E21B87">
              <w:rPr>
                <w:rFonts w:eastAsia="Times New Roman" w:cs="Calibri"/>
                <w:color w:val="000000" w:themeColor="text1"/>
                <w:sz w:val="18"/>
                <w:szCs w:val="18"/>
              </w:rPr>
              <w:t>71</w:t>
            </w:r>
          </w:p>
        </w:tc>
      </w:tr>
      <w:tr w:rsidR="00FD2CBB" w:rsidRPr="00AD01C5" w14:paraId="7A6B2E25" w14:textId="77777777" w:rsidTr="00A27FBD">
        <w:trPr>
          <w:trHeight w:val="765"/>
          <w:jc w:val="center"/>
        </w:trPr>
        <w:tc>
          <w:tcPr>
            <w:tcW w:w="677"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653D7986" w14:textId="77777777" w:rsidR="00FD2CBB" w:rsidRDefault="00FD2CBB" w:rsidP="00B63B49">
            <w:pPr>
              <w:spacing w:after="0" w:line="240" w:lineRule="auto"/>
              <w:jc w:val="center"/>
              <w:rPr>
                <w:rFonts w:eastAsia="Times New Roman" w:cs="Calibri"/>
                <w:color w:val="000000" w:themeColor="text1"/>
                <w:sz w:val="18"/>
                <w:szCs w:val="18"/>
                <w:lang w:val="en-GB"/>
              </w:rPr>
            </w:pPr>
            <w:r w:rsidRPr="69E21B87">
              <w:rPr>
                <w:rFonts w:eastAsia="Times New Roman" w:cs="Calibri"/>
                <w:color w:val="000000" w:themeColor="text1"/>
                <w:sz w:val="18"/>
                <w:szCs w:val="18"/>
                <w:lang w:val="en-GB"/>
              </w:rPr>
              <w:t xml:space="preserve">UR 2 </w:t>
            </w:r>
            <w:r w:rsidRPr="007F2C0E">
              <w:rPr>
                <w:lang w:val="en-GB"/>
              </w:rPr>
              <w:br/>
            </w:r>
            <w:r w:rsidRPr="69E21B87">
              <w:rPr>
                <w:rFonts w:eastAsia="Times New Roman" w:cs="Calibri"/>
                <w:color w:val="000000" w:themeColor="text1"/>
                <w:sz w:val="18"/>
                <w:szCs w:val="18"/>
                <w:lang w:val="en-GB"/>
              </w:rPr>
              <w:t>TO_018</w:t>
            </w:r>
          </w:p>
          <w:p w14:paraId="026C0289" w14:textId="77777777" w:rsidR="00FD2CBB" w:rsidRDefault="00FD2CBB" w:rsidP="00B63B49">
            <w:pPr>
              <w:spacing w:after="0" w:line="240" w:lineRule="auto"/>
              <w:jc w:val="center"/>
              <w:rPr>
                <w:rFonts w:eastAsia="Times New Roman" w:cs="Calibri"/>
                <w:color w:val="000000" w:themeColor="text1"/>
                <w:sz w:val="18"/>
                <w:szCs w:val="18"/>
                <w:lang w:val="en-GB"/>
              </w:rPr>
            </w:pPr>
            <w:r w:rsidRPr="69E21B87">
              <w:rPr>
                <w:rFonts w:eastAsia="Times New Roman" w:cs="Calibri"/>
                <w:color w:val="000000" w:themeColor="text1"/>
                <w:sz w:val="18"/>
                <w:szCs w:val="18"/>
                <w:lang w:val="en-GB"/>
              </w:rPr>
              <w:t>TO_022</w:t>
            </w:r>
          </w:p>
          <w:p w14:paraId="04A9E570" w14:textId="77777777" w:rsidR="00FD2CBB" w:rsidRDefault="00FD2CBB" w:rsidP="00B63B49">
            <w:pPr>
              <w:spacing w:after="0" w:line="240" w:lineRule="auto"/>
              <w:jc w:val="center"/>
              <w:rPr>
                <w:rFonts w:eastAsia="Times New Roman" w:cs="Calibri"/>
                <w:color w:val="000000" w:themeColor="text1"/>
                <w:sz w:val="18"/>
                <w:szCs w:val="18"/>
                <w:lang w:val="en-GB"/>
              </w:rPr>
            </w:pPr>
            <w:r w:rsidRPr="69E21B87">
              <w:rPr>
                <w:rFonts w:eastAsia="Times New Roman" w:cs="Calibri"/>
                <w:color w:val="000000" w:themeColor="text1"/>
                <w:sz w:val="18"/>
                <w:szCs w:val="18"/>
                <w:lang w:val="en-GB"/>
              </w:rPr>
              <w:t>TO_027</w:t>
            </w:r>
          </w:p>
          <w:p w14:paraId="04D3BEDA" w14:textId="77777777" w:rsidR="00FD2CBB" w:rsidRPr="008519D8" w:rsidRDefault="00FD2CBB" w:rsidP="00B63B49">
            <w:pPr>
              <w:spacing w:after="0" w:line="240" w:lineRule="auto"/>
              <w:jc w:val="center"/>
              <w:rPr>
                <w:rFonts w:eastAsia="Times New Roman" w:cs="Calibri"/>
                <w:color w:val="000000"/>
                <w:sz w:val="18"/>
                <w:szCs w:val="18"/>
                <w:lang w:val="en-GB"/>
              </w:rPr>
            </w:pPr>
            <w:r w:rsidRPr="69E21B87">
              <w:rPr>
                <w:rFonts w:eastAsia="Times New Roman" w:cs="Calibri"/>
                <w:color w:val="000000" w:themeColor="text1"/>
                <w:sz w:val="18"/>
                <w:szCs w:val="18"/>
                <w:lang w:val="en-GB"/>
              </w:rPr>
              <w:t>TO_035</w:t>
            </w:r>
          </w:p>
        </w:tc>
        <w:tc>
          <w:tcPr>
            <w:tcW w:w="801" w:type="pct"/>
            <w:tcBorders>
              <w:top w:val="nil"/>
              <w:left w:val="nil"/>
              <w:bottom w:val="single" w:sz="4" w:space="0" w:color="A6A6A6" w:themeColor="background1" w:themeShade="A6"/>
              <w:right w:val="single" w:sz="4" w:space="0" w:color="A6A6A6" w:themeColor="background1" w:themeShade="A6"/>
            </w:tcBorders>
            <w:vAlign w:val="center"/>
            <w:hideMark/>
          </w:tcPr>
          <w:p w14:paraId="4A4D6E67" w14:textId="77777777" w:rsidR="00FD2CBB" w:rsidRPr="00AD01C5" w:rsidRDefault="00FD2CBB" w:rsidP="00B63B49">
            <w:pPr>
              <w:spacing w:after="0" w:line="240" w:lineRule="auto"/>
              <w:jc w:val="left"/>
              <w:rPr>
                <w:rFonts w:eastAsia="Times New Roman" w:cs="Calibri"/>
                <w:color w:val="000000"/>
                <w:sz w:val="18"/>
                <w:szCs w:val="18"/>
              </w:rPr>
            </w:pPr>
            <w:r w:rsidRPr="00AD01C5">
              <w:rPr>
                <w:rFonts w:eastAsia="Times New Roman" w:cs="Calibri"/>
                <w:color w:val="000000"/>
                <w:sz w:val="18"/>
                <w:szCs w:val="18"/>
              </w:rPr>
              <w:t xml:space="preserve">Servizi Urbani ed extraurbani </w:t>
            </w:r>
            <w:r>
              <w:rPr>
                <w:rFonts w:eastAsia="Times New Roman" w:cs="Calibri"/>
                <w:color w:val="000000"/>
                <w:sz w:val="18"/>
                <w:szCs w:val="18"/>
              </w:rPr>
              <w:t>della Val di Susa, delle Valli di Lanzo e del Canavese</w:t>
            </w:r>
          </w:p>
        </w:tc>
        <w:tc>
          <w:tcPr>
            <w:tcW w:w="603" w:type="pct"/>
            <w:tcBorders>
              <w:top w:val="nil"/>
              <w:left w:val="nil"/>
              <w:bottom w:val="single" w:sz="4" w:space="0" w:color="A6A6A6" w:themeColor="background1" w:themeShade="A6"/>
              <w:right w:val="single" w:sz="4" w:space="0" w:color="A6A6A6" w:themeColor="background1" w:themeShade="A6"/>
            </w:tcBorders>
            <w:vAlign w:val="center"/>
          </w:tcPr>
          <w:p w14:paraId="17913F5D" w14:textId="77777777" w:rsidR="00FD2CBB" w:rsidRPr="00AD01C5" w:rsidRDefault="00FD2CBB" w:rsidP="00B63B49">
            <w:pPr>
              <w:spacing w:after="0" w:line="240" w:lineRule="auto"/>
              <w:jc w:val="right"/>
              <w:rPr>
                <w:rFonts w:eastAsia="Times New Roman" w:cs="Calibri"/>
                <w:color w:val="000000"/>
                <w:sz w:val="18"/>
                <w:szCs w:val="18"/>
              </w:rPr>
            </w:pPr>
            <w:r w:rsidRPr="00D84AEB">
              <w:rPr>
                <w:rFonts w:eastAsia="Times New Roman" w:cs="Calibri"/>
                <w:color w:val="000000"/>
                <w:sz w:val="18"/>
                <w:szCs w:val="18"/>
              </w:rPr>
              <w:t>4.480.900</w:t>
            </w:r>
          </w:p>
        </w:tc>
        <w:tc>
          <w:tcPr>
            <w:tcW w:w="497" w:type="pct"/>
            <w:tcBorders>
              <w:top w:val="nil"/>
              <w:left w:val="nil"/>
              <w:bottom w:val="single" w:sz="4" w:space="0" w:color="A6A6A6" w:themeColor="background1" w:themeShade="A6"/>
              <w:right w:val="single" w:sz="4" w:space="0" w:color="A6A6A6" w:themeColor="background1" w:themeShade="A6"/>
            </w:tcBorders>
            <w:vAlign w:val="center"/>
          </w:tcPr>
          <w:p w14:paraId="3A388C7B" w14:textId="77777777" w:rsidR="00FD2CBB" w:rsidRPr="00AD01C5" w:rsidRDefault="00FD2CBB" w:rsidP="00B63B49">
            <w:pPr>
              <w:spacing w:after="0" w:line="240" w:lineRule="auto"/>
              <w:jc w:val="right"/>
              <w:rPr>
                <w:rFonts w:eastAsia="Times New Roman" w:cs="Calibri"/>
                <w:color w:val="000000"/>
                <w:sz w:val="18"/>
                <w:szCs w:val="18"/>
              </w:rPr>
            </w:pPr>
            <w:r w:rsidRPr="002B1524">
              <w:rPr>
                <w:rFonts w:eastAsia="Times New Roman" w:cs="Calibri"/>
                <w:color w:val="000000"/>
                <w:sz w:val="18"/>
                <w:szCs w:val="18"/>
              </w:rPr>
              <w:t>231.610</w:t>
            </w:r>
          </w:p>
        </w:tc>
        <w:tc>
          <w:tcPr>
            <w:tcW w:w="560" w:type="pct"/>
            <w:tcBorders>
              <w:top w:val="nil"/>
              <w:left w:val="nil"/>
              <w:bottom w:val="single" w:sz="4" w:space="0" w:color="A6A6A6" w:themeColor="background1" w:themeShade="A6"/>
              <w:right w:val="single" w:sz="4" w:space="0" w:color="A6A6A6" w:themeColor="background1" w:themeShade="A6"/>
            </w:tcBorders>
            <w:vAlign w:val="center"/>
          </w:tcPr>
          <w:p w14:paraId="26721F48" w14:textId="77777777" w:rsidR="00FD2CBB" w:rsidRPr="00AD01C5" w:rsidRDefault="00FD2CBB" w:rsidP="00B63B49">
            <w:pPr>
              <w:spacing w:after="0" w:line="240" w:lineRule="auto"/>
              <w:jc w:val="right"/>
              <w:rPr>
                <w:rFonts w:eastAsia="Times New Roman" w:cs="Calibri"/>
                <w:color w:val="000000"/>
                <w:sz w:val="18"/>
                <w:szCs w:val="18"/>
              </w:rPr>
            </w:pPr>
            <w:r w:rsidRPr="00D84AEB">
              <w:rPr>
                <w:rFonts w:eastAsia="Times New Roman" w:cs="Calibri"/>
                <w:color w:val="000000"/>
                <w:sz w:val="18"/>
                <w:szCs w:val="18"/>
              </w:rPr>
              <w:t>4.712.510</w:t>
            </w:r>
          </w:p>
        </w:tc>
        <w:tc>
          <w:tcPr>
            <w:tcW w:w="397" w:type="pct"/>
            <w:tcBorders>
              <w:top w:val="nil"/>
              <w:left w:val="nil"/>
              <w:bottom w:val="single" w:sz="4" w:space="0" w:color="A6A6A6" w:themeColor="background1" w:themeShade="A6"/>
              <w:right w:val="single" w:sz="4" w:space="0" w:color="A6A6A6" w:themeColor="background1" w:themeShade="A6"/>
            </w:tcBorders>
            <w:vAlign w:val="center"/>
          </w:tcPr>
          <w:p w14:paraId="0326C369" w14:textId="77777777" w:rsidR="00FD2CBB" w:rsidRPr="00AD01C5" w:rsidRDefault="00FD2CBB" w:rsidP="00B63B49">
            <w:pPr>
              <w:spacing w:after="0" w:line="240" w:lineRule="auto"/>
              <w:jc w:val="center"/>
              <w:rPr>
                <w:rFonts w:eastAsia="Times New Roman" w:cs="Calibri"/>
                <w:color w:val="000000"/>
                <w:sz w:val="18"/>
                <w:szCs w:val="18"/>
              </w:rPr>
            </w:pPr>
            <w:r>
              <w:rPr>
                <w:rFonts w:eastAsia="Times New Roman" w:cs="Calibri"/>
                <w:color w:val="000000"/>
                <w:sz w:val="18"/>
                <w:szCs w:val="18"/>
              </w:rPr>
              <w:t>5%</w:t>
            </w:r>
          </w:p>
        </w:tc>
        <w:tc>
          <w:tcPr>
            <w:tcW w:w="318" w:type="pct"/>
            <w:gridSpan w:val="2"/>
            <w:tcBorders>
              <w:top w:val="nil"/>
              <w:left w:val="nil"/>
              <w:bottom w:val="single" w:sz="4" w:space="0" w:color="A6A6A6" w:themeColor="background1" w:themeShade="A6"/>
              <w:right w:val="single" w:sz="4" w:space="0" w:color="A6A6A6" w:themeColor="background1" w:themeShade="A6"/>
            </w:tcBorders>
            <w:vAlign w:val="center"/>
          </w:tcPr>
          <w:p w14:paraId="012333BE" w14:textId="77777777" w:rsidR="00FD2CBB" w:rsidRPr="00AD01C5" w:rsidRDefault="00FD2CBB" w:rsidP="00B63B49">
            <w:pPr>
              <w:spacing w:after="0" w:line="240" w:lineRule="auto"/>
              <w:jc w:val="center"/>
              <w:rPr>
                <w:rFonts w:eastAsia="Times New Roman" w:cs="Calibri"/>
                <w:color w:val="000000"/>
                <w:sz w:val="18"/>
                <w:szCs w:val="18"/>
              </w:rPr>
            </w:pPr>
            <w:r w:rsidRPr="69E21B87">
              <w:rPr>
                <w:rFonts w:eastAsia="Times New Roman" w:cs="Calibri"/>
                <w:color w:val="000000" w:themeColor="text1"/>
                <w:sz w:val="18"/>
                <w:szCs w:val="18"/>
              </w:rPr>
              <w:t>32,18</w:t>
            </w:r>
          </w:p>
        </w:tc>
        <w:tc>
          <w:tcPr>
            <w:tcW w:w="318" w:type="pct"/>
            <w:gridSpan w:val="2"/>
            <w:tcBorders>
              <w:top w:val="nil"/>
              <w:left w:val="nil"/>
              <w:bottom w:val="single" w:sz="4" w:space="0" w:color="A6A6A6" w:themeColor="background1" w:themeShade="A6"/>
              <w:right w:val="single" w:sz="4" w:space="0" w:color="A6A6A6" w:themeColor="background1" w:themeShade="A6"/>
            </w:tcBorders>
            <w:vAlign w:val="center"/>
          </w:tcPr>
          <w:p w14:paraId="3E84B407" w14:textId="77777777" w:rsidR="00FD2CBB" w:rsidRPr="00AD01C5" w:rsidRDefault="00FD2CBB" w:rsidP="00B63B49">
            <w:pPr>
              <w:spacing w:after="0" w:line="240" w:lineRule="auto"/>
              <w:jc w:val="center"/>
              <w:rPr>
                <w:rFonts w:eastAsia="Times New Roman" w:cs="Calibri"/>
                <w:color w:val="000000"/>
                <w:sz w:val="18"/>
                <w:szCs w:val="18"/>
              </w:rPr>
            </w:pPr>
            <w:r w:rsidRPr="69E21B87">
              <w:rPr>
                <w:rFonts w:eastAsia="Times New Roman" w:cs="Calibri"/>
                <w:color w:val="000000" w:themeColor="text1"/>
                <w:sz w:val="18"/>
                <w:szCs w:val="18"/>
              </w:rPr>
              <w:t>27,74</w:t>
            </w:r>
          </w:p>
        </w:tc>
        <w:tc>
          <w:tcPr>
            <w:tcW w:w="356" w:type="pct"/>
            <w:gridSpan w:val="2"/>
            <w:tcBorders>
              <w:top w:val="nil"/>
              <w:left w:val="nil"/>
              <w:bottom w:val="single" w:sz="4" w:space="0" w:color="A6A6A6" w:themeColor="background1" w:themeShade="A6"/>
              <w:right w:val="single" w:sz="4" w:space="0" w:color="A6A6A6" w:themeColor="background1" w:themeShade="A6"/>
            </w:tcBorders>
            <w:vAlign w:val="center"/>
          </w:tcPr>
          <w:p w14:paraId="03FB3D45" w14:textId="77777777" w:rsidR="00FD2CBB" w:rsidRPr="00AD01C5" w:rsidRDefault="00FD2CBB" w:rsidP="00B63B49">
            <w:pPr>
              <w:spacing w:after="0" w:line="240" w:lineRule="auto"/>
              <w:jc w:val="center"/>
              <w:rPr>
                <w:rFonts w:eastAsia="Times New Roman" w:cs="Calibri"/>
                <w:color w:val="000000"/>
                <w:sz w:val="18"/>
                <w:szCs w:val="18"/>
              </w:rPr>
            </w:pPr>
            <w:r w:rsidRPr="69E21B87">
              <w:rPr>
                <w:rFonts w:eastAsia="Times New Roman" w:cs="Calibri"/>
                <w:color w:val="000000" w:themeColor="text1"/>
                <w:sz w:val="18"/>
                <w:szCs w:val="18"/>
              </w:rPr>
              <w:t>6</w:t>
            </w:r>
          </w:p>
        </w:tc>
        <w:tc>
          <w:tcPr>
            <w:tcW w:w="474" w:type="pct"/>
            <w:gridSpan w:val="2"/>
            <w:tcBorders>
              <w:top w:val="nil"/>
              <w:left w:val="nil"/>
              <w:bottom w:val="single" w:sz="4" w:space="0" w:color="A6A6A6" w:themeColor="background1" w:themeShade="A6"/>
              <w:right w:val="single" w:sz="4" w:space="0" w:color="A6A6A6" w:themeColor="background1" w:themeShade="A6"/>
            </w:tcBorders>
            <w:vAlign w:val="center"/>
          </w:tcPr>
          <w:p w14:paraId="586A206F" w14:textId="77777777" w:rsidR="00FD2CBB" w:rsidRPr="00AD01C5" w:rsidRDefault="00FD2CBB" w:rsidP="00B63B49">
            <w:pPr>
              <w:spacing w:after="0" w:line="240" w:lineRule="auto"/>
              <w:jc w:val="center"/>
              <w:rPr>
                <w:rFonts w:eastAsia="Times New Roman" w:cs="Calibri"/>
                <w:color w:val="000000"/>
                <w:sz w:val="18"/>
                <w:szCs w:val="18"/>
              </w:rPr>
            </w:pPr>
            <w:r w:rsidRPr="69E21B87">
              <w:rPr>
                <w:rFonts w:eastAsia="Times New Roman" w:cs="Calibri"/>
                <w:color w:val="000000" w:themeColor="text1"/>
                <w:sz w:val="18"/>
                <w:szCs w:val="18"/>
              </w:rPr>
              <w:t>107</w:t>
            </w:r>
          </w:p>
        </w:tc>
      </w:tr>
      <w:tr w:rsidR="00FD2CBB" w:rsidRPr="00AD01C5" w14:paraId="42614156" w14:textId="77777777" w:rsidTr="00A27FBD">
        <w:trPr>
          <w:trHeight w:val="1020"/>
          <w:jc w:val="center"/>
        </w:trPr>
        <w:tc>
          <w:tcPr>
            <w:tcW w:w="677"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7CD629E3" w14:textId="77777777" w:rsidR="00FD2CBB" w:rsidRDefault="00FD2CBB" w:rsidP="00B63B49">
            <w:pPr>
              <w:spacing w:after="0" w:line="240" w:lineRule="auto"/>
              <w:jc w:val="center"/>
              <w:rPr>
                <w:rFonts w:eastAsia="Times New Roman" w:cs="Calibri"/>
                <w:color w:val="000000" w:themeColor="text1"/>
                <w:sz w:val="18"/>
                <w:szCs w:val="18"/>
              </w:rPr>
            </w:pPr>
            <w:r w:rsidRPr="69E21B87">
              <w:rPr>
                <w:rFonts w:eastAsia="Times New Roman" w:cs="Calibri"/>
                <w:color w:val="000000" w:themeColor="text1"/>
                <w:sz w:val="18"/>
                <w:szCs w:val="18"/>
              </w:rPr>
              <w:lastRenderedPageBreak/>
              <w:t xml:space="preserve">UR 3 </w:t>
            </w:r>
            <w:r>
              <w:br/>
            </w:r>
            <w:r w:rsidRPr="69E21B87">
              <w:rPr>
                <w:rFonts w:eastAsia="Times New Roman" w:cs="Calibri"/>
                <w:color w:val="000000" w:themeColor="text1"/>
                <w:sz w:val="18"/>
                <w:szCs w:val="18"/>
              </w:rPr>
              <w:t>TO_009</w:t>
            </w:r>
          </w:p>
          <w:p w14:paraId="3F11F1C3" w14:textId="77777777" w:rsidR="00FD2CBB" w:rsidRDefault="00FD2CBB" w:rsidP="00B63B49">
            <w:pPr>
              <w:spacing w:after="0" w:line="240" w:lineRule="auto"/>
              <w:jc w:val="center"/>
              <w:rPr>
                <w:rFonts w:eastAsia="Times New Roman" w:cs="Calibri"/>
                <w:color w:val="000000" w:themeColor="text1"/>
                <w:sz w:val="18"/>
                <w:szCs w:val="18"/>
              </w:rPr>
            </w:pPr>
            <w:r w:rsidRPr="69E21B87">
              <w:rPr>
                <w:rFonts w:eastAsia="Times New Roman" w:cs="Calibri"/>
                <w:color w:val="000000" w:themeColor="text1"/>
                <w:sz w:val="18"/>
                <w:szCs w:val="18"/>
              </w:rPr>
              <w:t>TO_031</w:t>
            </w:r>
          </w:p>
          <w:p w14:paraId="2E7488E7" w14:textId="77777777" w:rsidR="00FD2CBB" w:rsidRPr="00AD01C5" w:rsidRDefault="00FD2CBB" w:rsidP="00B63B49">
            <w:pPr>
              <w:spacing w:after="0" w:line="240" w:lineRule="auto"/>
              <w:jc w:val="center"/>
              <w:rPr>
                <w:rFonts w:eastAsia="Times New Roman" w:cs="Calibri"/>
                <w:color w:val="000000"/>
                <w:sz w:val="18"/>
                <w:szCs w:val="18"/>
              </w:rPr>
            </w:pPr>
            <w:r w:rsidRPr="69E21B87">
              <w:rPr>
                <w:rFonts w:eastAsia="Times New Roman" w:cs="Calibri"/>
                <w:color w:val="000000" w:themeColor="text1"/>
                <w:sz w:val="18"/>
                <w:szCs w:val="18"/>
              </w:rPr>
              <w:t>TO_032</w:t>
            </w:r>
          </w:p>
        </w:tc>
        <w:tc>
          <w:tcPr>
            <w:tcW w:w="801" w:type="pct"/>
            <w:tcBorders>
              <w:top w:val="nil"/>
              <w:left w:val="nil"/>
              <w:bottom w:val="single" w:sz="4" w:space="0" w:color="A6A6A6" w:themeColor="background1" w:themeShade="A6"/>
              <w:right w:val="single" w:sz="4" w:space="0" w:color="A6A6A6" w:themeColor="background1" w:themeShade="A6"/>
            </w:tcBorders>
            <w:vAlign w:val="center"/>
            <w:hideMark/>
          </w:tcPr>
          <w:p w14:paraId="47B4CF33" w14:textId="77777777" w:rsidR="00FD2CBB" w:rsidRPr="00AD01C5" w:rsidRDefault="00FD2CBB" w:rsidP="00B63B49">
            <w:pPr>
              <w:spacing w:after="0" w:line="240" w:lineRule="auto"/>
              <w:jc w:val="left"/>
              <w:rPr>
                <w:rFonts w:eastAsia="Times New Roman" w:cs="Calibri"/>
                <w:color w:val="000000"/>
                <w:sz w:val="18"/>
                <w:szCs w:val="18"/>
              </w:rPr>
            </w:pPr>
            <w:r w:rsidRPr="00AD01C5">
              <w:rPr>
                <w:rFonts w:eastAsia="Times New Roman" w:cs="Calibri"/>
                <w:color w:val="000000"/>
                <w:sz w:val="18"/>
                <w:szCs w:val="18"/>
              </w:rPr>
              <w:t xml:space="preserve">Servizi </w:t>
            </w:r>
            <w:r>
              <w:rPr>
                <w:rFonts w:eastAsia="Times New Roman" w:cs="Calibri"/>
                <w:color w:val="000000"/>
                <w:sz w:val="18"/>
                <w:szCs w:val="18"/>
              </w:rPr>
              <w:t xml:space="preserve">Urbani ed </w:t>
            </w:r>
            <w:r w:rsidRPr="00AD01C5">
              <w:rPr>
                <w:rFonts w:eastAsia="Times New Roman" w:cs="Calibri"/>
                <w:color w:val="000000"/>
                <w:sz w:val="18"/>
                <w:szCs w:val="18"/>
              </w:rPr>
              <w:t xml:space="preserve">extraurbani di </w:t>
            </w:r>
            <w:r>
              <w:rPr>
                <w:rFonts w:eastAsia="Times New Roman" w:cs="Calibri"/>
                <w:color w:val="000000"/>
                <w:sz w:val="18"/>
                <w:szCs w:val="18"/>
              </w:rPr>
              <w:t>Pinerolo e della Valle Pellice e Chisone</w:t>
            </w:r>
          </w:p>
        </w:tc>
        <w:tc>
          <w:tcPr>
            <w:tcW w:w="603" w:type="pct"/>
            <w:tcBorders>
              <w:top w:val="nil"/>
              <w:left w:val="nil"/>
              <w:bottom w:val="single" w:sz="4" w:space="0" w:color="A6A6A6" w:themeColor="background1" w:themeShade="A6"/>
              <w:right w:val="single" w:sz="4" w:space="0" w:color="A6A6A6" w:themeColor="background1" w:themeShade="A6"/>
            </w:tcBorders>
            <w:vAlign w:val="center"/>
          </w:tcPr>
          <w:p w14:paraId="7E7DA3BA" w14:textId="77777777" w:rsidR="00FD2CBB" w:rsidRPr="00AD01C5" w:rsidRDefault="00FD2CBB" w:rsidP="00B63B49">
            <w:pPr>
              <w:spacing w:after="0" w:line="240" w:lineRule="auto"/>
              <w:jc w:val="right"/>
              <w:rPr>
                <w:rFonts w:eastAsia="Times New Roman" w:cs="Calibri"/>
                <w:color w:val="000000"/>
                <w:sz w:val="18"/>
                <w:szCs w:val="18"/>
              </w:rPr>
            </w:pPr>
            <w:r w:rsidRPr="00313981">
              <w:rPr>
                <w:rFonts w:eastAsia="Times New Roman" w:cs="Calibri"/>
                <w:color w:val="000000"/>
                <w:sz w:val="18"/>
                <w:szCs w:val="18"/>
              </w:rPr>
              <w:t>4.006.776</w:t>
            </w:r>
          </w:p>
        </w:tc>
        <w:tc>
          <w:tcPr>
            <w:tcW w:w="497" w:type="pct"/>
            <w:tcBorders>
              <w:top w:val="nil"/>
              <w:left w:val="nil"/>
              <w:bottom w:val="single" w:sz="4" w:space="0" w:color="A6A6A6" w:themeColor="background1" w:themeShade="A6"/>
              <w:right w:val="single" w:sz="4" w:space="0" w:color="A6A6A6" w:themeColor="background1" w:themeShade="A6"/>
            </w:tcBorders>
            <w:vAlign w:val="center"/>
          </w:tcPr>
          <w:p w14:paraId="34FF0C5C" w14:textId="77777777" w:rsidR="00FD2CBB" w:rsidRPr="00AD01C5" w:rsidRDefault="00FD2CBB" w:rsidP="00B63B49">
            <w:pPr>
              <w:spacing w:after="0" w:line="240" w:lineRule="auto"/>
              <w:jc w:val="right"/>
              <w:rPr>
                <w:rFonts w:eastAsia="Times New Roman" w:cs="Calibri"/>
                <w:color w:val="000000"/>
                <w:sz w:val="18"/>
                <w:szCs w:val="18"/>
              </w:rPr>
            </w:pPr>
            <w:r w:rsidRPr="00691757">
              <w:rPr>
                <w:rFonts w:eastAsia="Times New Roman" w:cs="Calibri"/>
                <w:color w:val="000000"/>
                <w:sz w:val="18"/>
                <w:szCs w:val="18"/>
              </w:rPr>
              <w:t>495.524</w:t>
            </w:r>
          </w:p>
        </w:tc>
        <w:tc>
          <w:tcPr>
            <w:tcW w:w="560" w:type="pct"/>
            <w:tcBorders>
              <w:top w:val="nil"/>
              <w:left w:val="nil"/>
              <w:bottom w:val="single" w:sz="4" w:space="0" w:color="A6A6A6" w:themeColor="background1" w:themeShade="A6"/>
              <w:right w:val="single" w:sz="4" w:space="0" w:color="A6A6A6" w:themeColor="background1" w:themeShade="A6"/>
            </w:tcBorders>
            <w:vAlign w:val="center"/>
          </w:tcPr>
          <w:p w14:paraId="3789ED94" w14:textId="77777777" w:rsidR="00FD2CBB" w:rsidRPr="00AD01C5" w:rsidRDefault="00FD2CBB" w:rsidP="00B63B49">
            <w:pPr>
              <w:spacing w:after="0" w:line="240" w:lineRule="auto"/>
              <w:jc w:val="right"/>
              <w:rPr>
                <w:rFonts w:eastAsia="Times New Roman" w:cs="Calibri"/>
                <w:color w:val="000000"/>
                <w:sz w:val="18"/>
                <w:szCs w:val="18"/>
              </w:rPr>
            </w:pPr>
            <w:r w:rsidRPr="00313981">
              <w:rPr>
                <w:rFonts w:eastAsia="Times New Roman" w:cs="Calibri"/>
                <w:color w:val="000000"/>
                <w:sz w:val="18"/>
                <w:szCs w:val="18"/>
              </w:rPr>
              <w:t>4.502.300</w:t>
            </w:r>
          </w:p>
        </w:tc>
        <w:tc>
          <w:tcPr>
            <w:tcW w:w="397" w:type="pct"/>
            <w:tcBorders>
              <w:top w:val="nil"/>
              <w:left w:val="nil"/>
              <w:bottom w:val="single" w:sz="4" w:space="0" w:color="A6A6A6" w:themeColor="background1" w:themeShade="A6"/>
              <w:right w:val="single" w:sz="4" w:space="0" w:color="A6A6A6" w:themeColor="background1" w:themeShade="A6"/>
            </w:tcBorders>
            <w:vAlign w:val="center"/>
          </w:tcPr>
          <w:p w14:paraId="416C1D88" w14:textId="77777777" w:rsidR="00FD2CBB" w:rsidRPr="00AD01C5" w:rsidRDefault="00FD2CBB" w:rsidP="00B63B49">
            <w:pPr>
              <w:spacing w:after="0" w:line="240" w:lineRule="auto"/>
              <w:jc w:val="center"/>
              <w:rPr>
                <w:rFonts w:eastAsia="Times New Roman" w:cs="Calibri"/>
                <w:color w:val="000000"/>
                <w:sz w:val="18"/>
                <w:szCs w:val="18"/>
              </w:rPr>
            </w:pPr>
            <w:r>
              <w:rPr>
                <w:rFonts w:eastAsia="Times New Roman" w:cs="Calibri"/>
                <w:color w:val="000000"/>
                <w:sz w:val="18"/>
                <w:szCs w:val="18"/>
              </w:rPr>
              <w:t>11%</w:t>
            </w:r>
          </w:p>
        </w:tc>
        <w:tc>
          <w:tcPr>
            <w:tcW w:w="318" w:type="pct"/>
            <w:gridSpan w:val="2"/>
            <w:tcBorders>
              <w:top w:val="nil"/>
              <w:left w:val="nil"/>
              <w:bottom w:val="single" w:sz="4" w:space="0" w:color="A6A6A6" w:themeColor="background1" w:themeShade="A6"/>
              <w:right w:val="single" w:sz="4" w:space="0" w:color="A6A6A6" w:themeColor="background1" w:themeShade="A6"/>
            </w:tcBorders>
            <w:vAlign w:val="center"/>
          </w:tcPr>
          <w:p w14:paraId="6BB5D148" w14:textId="77777777" w:rsidR="00FD2CBB" w:rsidRPr="00AD01C5" w:rsidRDefault="00FD2CBB" w:rsidP="00B63B49">
            <w:pPr>
              <w:spacing w:after="0" w:line="240" w:lineRule="auto"/>
              <w:jc w:val="center"/>
              <w:rPr>
                <w:rFonts w:eastAsia="Times New Roman" w:cs="Calibri"/>
                <w:color w:val="000000"/>
                <w:sz w:val="18"/>
                <w:szCs w:val="18"/>
              </w:rPr>
            </w:pPr>
            <w:r w:rsidRPr="69E21B87">
              <w:rPr>
                <w:rFonts w:eastAsia="Times New Roman" w:cs="Calibri"/>
                <w:color w:val="000000" w:themeColor="text1"/>
                <w:sz w:val="18"/>
                <w:szCs w:val="18"/>
              </w:rPr>
              <w:t>32,84</w:t>
            </w:r>
          </w:p>
        </w:tc>
        <w:tc>
          <w:tcPr>
            <w:tcW w:w="318" w:type="pct"/>
            <w:gridSpan w:val="2"/>
            <w:tcBorders>
              <w:top w:val="nil"/>
              <w:left w:val="nil"/>
              <w:bottom w:val="single" w:sz="4" w:space="0" w:color="A6A6A6" w:themeColor="background1" w:themeShade="A6"/>
              <w:right w:val="single" w:sz="4" w:space="0" w:color="A6A6A6" w:themeColor="background1" w:themeShade="A6"/>
            </w:tcBorders>
            <w:vAlign w:val="center"/>
          </w:tcPr>
          <w:p w14:paraId="392AA00E" w14:textId="77777777" w:rsidR="00FD2CBB" w:rsidRPr="00AD01C5" w:rsidRDefault="00FD2CBB" w:rsidP="00B63B49">
            <w:pPr>
              <w:spacing w:after="0" w:line="240" w:lineRule="auto"/>
              <w:jc w:val="center"/>
              <w:rPr>
                <w:rFonts w:eastAsia="Times New Roman" w:cs="Calibri"/>
                <w:color w:val="000000"/>
                <w:sz w:val="18"/>
                <w:szCs w:val="18"/>
              </w:rPr>
            </w:pPr>
            <w:r w:rsidRPr="69E21B87">
              <w:rPr>
                <w:rFonts w:eastAsia="Times New Roman" w:cs="Calibri"/>
                <w:color w:val="000000" w:themeColor="text1"/>
                <w:sz w:val="18"/>
                <w:szCs w:val="18"/>
              </w:rPr>
              <w:t>28,78</w:t>
            </w:r>
          </w:p>
        </w:tc>
        <w:tc>
          <w:tcPr>
            <w:tcW w:w="356" w:type="pct"/>
            <w:gridSpan w:val="2"/>
            <w:tcBorders>
              <w:top w:val="nil"/>
              <w:left w:val="nil"/>
              <w:bottom w:val="single" w:sz="4" w:space="0" w:color="A6A6A6" w:themeColor="background1" w:themeShade="A6"/>
              <w:right w:val="single" w:sz="4" w:space="0" w:color="A6A6A6" w:themeColor="background1" w:themeShade="A6"/>
            </w:tcBorders>
            <w:vAlign w:val="center"/>
          </w:tcPr>
          <w:p w14:paraId="334B1E51" w14:textId="77777777" w:rsidR="00FD2CBB" w:rsidRPr="00AD01C5" w:rsidRDefault="00FD2CBB" w:rsidP="00B63B49">
            <w:pPr>
              <w:spacing w:after="0" w:line="240" w:lineRule="auto"/>
              <w:jc w:val="center"/>
              <w:rPr>
                <w:rFonts w:eastAsia="Times New Roman" w:cs="Calibri"/>
                <w:color w:val="000000"/>
                <w:sz w:val="18"/>
                <w:szCs w:val="18"/>
              </w:rPr>
            </w:pPr>
            <w:r w:rsidRPr="69E21B87">
              <w:rPr>
                <w:rFonts w:eastAsia="Times New Roman" w:cs="Calibri"/>
                <w:color w:val="000000" w:themeColor="text1"/>
                <w:sz w:val="18"/>
                <w:szCs w:val="18"/>
              </w:rPr>
              <w:t>11</w:t>
            </w:r>
          </w:p>
        </w:tc>
        <w:tc>
          <w:tcPr>
            <w:tcW w:w="474" w:type="pct"/>
            <w:gridSpan w:val="2"/>
            <w:tcBorders>
              <w:top w:val="nil"/>
              <w:left w:val="nil"/>
              <w:bottom w:val="single" w:sz="4" w:space="0" w:color="A6A6A6" w:themeColor="background1" w:themeShade="A6"/>
              <w:right w:val="single" w:sz="4" w:space="0" w:color="A6A6A6" w:themeColor="background1" w:themeShade="A6"/>
            </w:tcBorders>
            <w:vAlign w:val="center"/>
          </w:tcPr>
          <w:p w14:paraId="63D6CC1C" w14:textId="77777777" w:rsidR="00FD2CBB" w:rsidRPr="00AD01C5" w:rsidRDefault="00FD2CBB" w:rsidP="00B63B49">
            <w:pPr>
              <w:spacing w:after="0" w:line="240" w:lineRule="auto"/>
              <w:jc w:val="center"/>
              <w:rPr>
                <w:rFonts w:eastAsia="Times New Roman" w:cs="Calibri"/>
                <w:color w:val="000000"/>
                <w:sz w:val="18"/>
                <w:szCs w:val="18"/>
              </w:rPr>
            </w:pPr>
            <w:r w:rsidRPr="69E21B87">
              <w:rPr>
                <w:rFonts w:eastAsia="Times New Roman" w:cs="Calibri"/>
                <w:color w:val="000000" w:themeColor="text1"/>
                <w:sz w:val="18"/>
                <w:szCs w:val="18"/>
              </w:rPr>
              <w:t>85</w:t>
            </w:r>
          </w:p>
        </w:tc>
      </w:tr>
      <w:tr w:rsidR="00FD2CBB" w:rsidRPr="003E7961" w14:paraId="7D22B84B" w14:textId="77777777" w:rsidTr="00A27FBD">
        <w:trPr>
          <w:trHeight w:val="1020"/>
          <w:jc w:val="center"/>
        </w:trPr>
        <w:tc>
          <w:tcPr>
            <w:tcW w:w="677"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2814610D" w14:textId="77777777" w:rsidR="00FD2CBB" w:rsidRPr="003E7961" w:rsidRDefault="00FD2CBB" w:rsidP="00B63B49">
            <w:pPr>
              <w:spacing w:after="0" w:line="240" w:lineRule="auto"/>
              <w:jc w:val="center"/>
              <w:rPr>
                <w:rFonts w:eastAsia="Times New Roman" w:cs="Calibri"/>
                <w:color w:val="000000"/>
                <w:sz w:val="18"/>
                <w:szCs w:val="18"/>
                <w:lang w:val="en-GB"/>
              </w:rPr>
            </w:pPr>
            <w:r w:rsidRPr="003E7961">
              <w:rPr>
                <w:rFonts w:eastAsia="Times New Roman" w:cs="Calibri"/>
                <w:color w:val="000000"/>
                <w:sz w:val="18"/>
                <w:szCs w:val="18"/>
                <w:lang w:val="en-GB"/>
              </w:rPr>
              <w:t>UR 4</w:t>
            </w:r>
          </w:p>
          <w:p w14:paraId="30DBFD46" w14:textId="77777777" w:rsidR="00FD2CBB" w:rsidRDefault="00FD2CBB" w:rsidP="00B63B49">
            <w:pPr>
              <w:spacing w:after="0" w:line="240" w:lineRule="auto"/>
              <w:jc w:val="center"/>
              <w:rPr>
                <w:rFonts w:eastAsia="Times New Roman" w:cs="Calibri"/>
                <w:color w:val="000000" w:themeColor="text1"/>
                <w:sz w:val="18"/>
                <w:szCs w:val="18"/>
                <w:lang w:val="en-GB"/>
              </w:rPr>
            </w:pPr>
            <w:r w:rsidRPr="69E21B87">
              <w:rPr>
                <w:rFonts w:eastAsia="Times New Roman" w:cs="Calibri"/>
                <w:color w:val="000000" w:themeColor="text1"/>
                <w:sz w:val="18"/>
                <w:szCs w:val="18"/>
                <w:lang w:val="en-GB"/>
              </w:rPr>
              <w:t>TO_007</w:t>
            </w:r>
          </w:p>
          <w:p w14:paraId="02904033" w14:textId="77777777" w:rsidR="00FD2CBB" w:rsidRPr="003E7961" w:rsidRDefault="00FD2CBB" w:rsidP="00B63B49">
            <w:pPr>
              <w:spacing w:after="0" w:line="240" w:lineRule="auto"/>
              <w:jc w:val="center"/>
              <w:rPr>
                <w:rFonts w:eastAsia="Times New Roman" w:cs="Calibri"/>
                <w:color w:val="000000"/>
                <w:sz w:val="18"/>
                <w:szCs w:val="18"/>
                <w:lang w:val="en-GB"/>
              </w:rPr>
            </w:pPr>
            <w:r w:rsidRPr="69E21B87">
              <w:rPr>
                <w:rFonts w:eastAsia="Times New Roman" w:cs="Calibri"/>
                <w:color w:val="000000" w:themeColor="text1"/>
                <w:sz w:val="18"/>
                <w:szCs w:val="18"/>
                <w:lang w:val="en-GB"/>
              </w:rPr>
              <w:t>TO_G11</w:t>
            </w:r>
          </w:p>
          <w:p w14:paraId="72FB88DD" w14:textId="77777777" w:rsidR="00FD2CBB" w:rsidRDefault="00FD2CBB" w:rsidP="00B63B49">
            <w:pPr>
              <w:spacing w:after="0" w:line="240" w:lineRule="auto"/>
              <w:jc w:val="center"/>
              <w:rPr>
                <w:rFonts w:eastAsia="Times New Roman" w:cs="Calibri"/>
                <w:color w:val="000000" w:themeColor="text1"/>
                <w:sz w:val="18"/>
                <w:szCs w:val="18"/>
                <w:lang w:val="en-GB"/>
              </w:rPr>
            </w:pPr>
            <w:r w:rsidRPr="69E21B87">
              <w:rPr>
                <w:rFonts w:eastAsia="Times New Roman" w:cs="Calibri"/>
                <w:color w:val="000000" w:themeColor="text1"/>
                <w:sz w:val="18"/>
                <w:szCs w:val="18"/>
                <w:lang w:val="en-GB"/>
              </w:rPr>
              <w:t>TO_037</w:t>
            </w:r>
          </w:p>
          <w:p w14:paraId="36BE8A2A" w14:textId="77777777" w:rsidR="00FD2CBB" w:rsidRPr="003E7961" w:rsidRDefault="00FD2CBB" w:rsidP="00B63B49">
            <w:pPr>
              <w:spacing w:after="0" w:line="240" w:lineRule="auto"/>
              <w:jc w:val="center"/>
              <w:rPr>
                <w:rFonts w:eastAsia="Times New Roman" w:cs="Calibri"/>
                <w:color w:val="000000"/>
                <w:sz w:val="18"/>
                <w:szCs w:val="18"/>
                <w:lang w:val="en-GB"/>
              </w:rPr>
            </w:pPr>
            <w:r w:rsidRPr="69E21B87">
              <w:rPr>
                <w:rFonts w:eastAsia="Times New Roman" w:cs="Calibri"/>
                <w:color w:val="000000" w:themeColor="text1"/>
                <w:sz w:val="18"/>
                <w:szCs w:val="18"/>
                <w:lang w:val="en-GB"/>
              </w:rPr>
              <w:t>TO_039</w:t>
            </w:r>
          </w:p>
        </w:tc>
        <w:tc>
          <w:tcPr>
            <w:tcW w:w="801" w:type="pct"/>
            <w:tcBorders>
              <w:top w:val="nil"/>
              <w:left w:val="nil"/>
              <w:bottom w:val="single" w:sz="4" w:space="0" w:color="A6A6A6" w:themeColor="background1" w:themeShade="A6"/>
              <w:right w:val="single" w:sz="4" w:space="0" w:color="A6A6A6" w:themeColor="background1" w:themeShade="A6"/>
            </w:tcBorders>
            <w:vAlign w:val="center"/>
          </w:tcPr>
          <w:p w14:paraId="46C72BD3" w14:textId="77777777" w:rsidR="00FD2CBB" w:rsidRPr="002B1524" w:rsidRDefault="00FD2CBB" w:rsidP="00B63B49">
            <w:pPr>
              <w:spacing w:after="0" w:line="240" w:lineRule="auto"/>
              <w:jc w:val="left"/>
              <w:rPr>
                <w:rFonts w:eastAsia="Times New Roman" w:cs="Calibri"/>
                <w:color w:val="000000"/>
                <w:sz w:val="18"/>
                <w:szCs w:val="18"/>
              </w:rPr>
            </w:pPr>
            <w:r w:rsidRPr="00AD01C5">
              <w:rPr>
                <w:rFonts w:eastAsia="Times New Roman" w:cs="Calibri"/>
                <w:color w:val="000000"/>
                <w:sz w:val="18"/>
                <w:szCs w:val="18"/>
              </w:rPr>
              <w:t xml:space="preserve">Servizi </w:t>
            </w:r>
            <w:r>
              <w:rPr>
                <w:rFonts w:eastAsia="Times New Roman" w:cs="Calibri"/>
                <w:color w:val="000000"/>
                <w:sz w:val="18"/>
                <w:szCs w:val="18"/>
              </w:rPr>
              <w:t xml:space="preserve">Urbani </w:t>
            </w:r>
            <w:r w:rsidRPr="00AD01C5">
              <w:rPr>
                <w:rFonts w:eastAsia="Times New Roman" w:cs="Calibri"/>
                <w:color w:val="000000"/>
                <w:sz w:val="18"/>
                <w:szCs w:val="18"/>
              </w:rPr>
              <w:t>ed extraurbani</w:t>
            </w:r>
            <w:r>
              <w:rPr>
                <w:rFonts w:eastAsia="Times New Roman" w:cs="Calibri"/>
                <w:color w:val="000000"/>
                <w:sz w:val="18"/>
                <w:szCs w:val="18"/>
              </w:rPr>
              <w:t xml:space="preserve"> di Carmagnola, Chieri e della Val Sangone</w:t>
            </w:r>
          </w:p>
        </w:tc>
        <w:tc>
          <w:tcPr>
            <w:tcW w:w="603" w:type="pct"/>
            <w:tcBorders>
              <w:top w:val="nil"/>
              <w:left w:val="nil"/>
              <w:bottom w:val="single" w:sz="4" w:space="0" w:color="A6A6A6" w:themeColor="background1" w:themeShade="A6"/>
              <w:right w:val="single" w:sz="4" w:space="0" w:color="A6A6A6" w:themeColor="background1" w:themeShade="A6"/>
            </w:tcBorders>
            <w:vAlign w:val="center"/>
          </w:tcPr>
          <w:p w14:paraId="61E90AD4" w14:textId="77777777" w:rsidR="00FD2CBB" w:rsidRPr="002B1524" w:rsidRDefault="00FD2CBB" w:rsidP="00B63B49">
            <w:pPr>
              <w:spacing w:after="0" w:line="240" w:lineRule="auto"/>
              <w:jc w:val="right"/>
              <w:rPr>
                <w:rFonts w:eastAsia="Times New Roman" w:cs="Calibri"/>
                <w:color w:val="000000"/>
                <w:sz w:val="18"/>
                <w:szCs w:val="18"/>
              </w:rPr>
            </w:pPr>
            <w:r w:rsidRPr="002B1524">
              <w:rPr>
                <w:rFonts w:eastAsia="Times New Roman" w:cs="Calibri"/>
                <w:color w:val="000000"/>
                <w:sz w:val="18"/>
                <w:szCs w:val="18"/>
              </w:rPr>
              <w:t>3.650.046</w:t>
            </w:r>
          </w:p>
        </w:tc>
        <w:tc>
          <w:tcPr>
            <w:tcW w:w="497" w:type="pct"/>
            <w:tcBorders>
              <w:top w:val="nil"/>
              <w:left w:val="nil"/>
              <w:bottom w:val="single" w:sz="4" w:space="0" w:color="A6A6A6" w:themeColor="background1" w:themeShade="A6"/>
              <w:right w:val="single" w:sz="4" w:space="0" w:color="A6A6A6" w:themeColor="background1" w:themeShade="A6"/>
            </w:tcBorders>
            <w:vAlign w:val="center"/>
          </w:tcPr>
          <w:p w14:paraId="4451444D" w14:textId="77777777" w:rsidR="00FD2CBB" w:rsidRPr="002B1524" w:rsidRDefault="00FD2CBB" w:rsidP="00B63B49">
            <w:pPr>
              <w:spacing w:after="0" w:line="240" w:lineRule="auto"/>
              <w:jc w:val="right"/>
              <w:rPr>
                <w:rFonts w:eastAsia="Times New Roman" w:cs="Calibri"/>
                <w:color w:val="000000"/>
                <w:sz w:val="18"/>
                <w:szCs w:val="18"/>
              </w:rPr>
            </w:pPr>
            <w:r w:rsidRPr="002B1524">
              <w:rPr>
                <w:rFonts w:eastAsia="Times New Roman" w:cs="Calibri"/>
                <w:color w:val="000000"/>
                <w:sz w:val="18"/>
                <w:szCs w:val="18"/>
              </w:rPr>
              <w:t>218.443</w:t>
            </w:r>
          </w:p>
        </w:tc>
        <w:tc>
          <w:tcPr>
            <w:tcW w:w="560" w:type="pct"/>
            <w:tcBorders>
              <w:top w:val="nil"/>
              <w:left w:val="nil"/>
              <w:bottom w:val="single" w:sz="4" w:space="0" w:color="A6A6A6" w:themeColor="background1" w:themeShade="A6"/>
              <w:right w:val="single" w:sz="4" w:space="0" w:color="A6A6A6" w:themeColor="background1" w:themeShade="A6"/>
            </w:tcBorders>
            <w:vAlign w:val="center"/>
          </w:tcPr>
          <w:p w14:paraId="7CB61D47" w14:textId="77777777" w:rsidR="00FD2CBB" w:rsidRPr="002B1524" w:rsidRDefault="00FD2CBB" w:rsidP="00B63B49">
            <w:pPr>
              <w:spacing w:after="0" w:line="240" w:lineRule="auto"/>
              <w:jc w:val="right"/>
              <w:rPr>
                <w:rFonts w:eastAsia="Times New Roman" w:cs="Calibri"/>
                <w:color w:val="000000"/>
                <w:sz w:val="18"/>
                <w:szCs w:val="18"/>
              </w:rPr>
            </w:pPr>
            <w:r w:rsidRPr="002B1524">
              <w:rPr>
                <w:rFonts w:eastAsia="Times New Roman" w:cs="Calibri"/>
                <w:color w:val="000000"/>
                <w:sz w:val="18"/>
                <w:szCs w:val="18"/>
              </w:rPr>
              <w:t>3.868.489</w:t>
            </w:r>
          </w:p>
        </w:tc>
        <w:tc>
          <w:tcPr>
            <w:tcW w:w="397" w:type="pct"/>
            <w:tcBorders>
              <w:top w:val="nil"/>
              <w:left w:val="nil"/>
              <w:bottom w:val="single" w:sz="4" w:space="0" w:color="A6A6A6" w:themeColor="background1" w:themeShade="A6"/>
              <w:right w:val="single" w:sz="4" w:space="0" w:color="A6A6A6" w:themeColor="background1" w:themeShade="A6"/>
            </w:tcBorders>
            <w:vAlign w:val="center"/>
          </w:tcPr>
          <w:p w14:paraId="718E2ECA" w14:textId="77777777" w:rsidR="00FD2CBB" w:rsidRPr="003E7961" w:rsidRDefault="00FD2CBB" w:rsidP="00B63B49">
            <w:pPr>
              <w:spacing w:after="0" w:line="240" w:lineRule="auto"/>
              <w:jc w:val="center"/>
              <w:rPr>
                <w:rFonts w:eastAsia="Times New Roman" w:cs="Calibri"/>
                <w:color w:val="000000"/>
                <w:sz w:val="18"/>
                <w:szCs w:val="18"/>
                <w:lang w:val="en-GB"/>
              </w:rPr>
            </w:pPr>
            <w:r>
              <w:rPr>
                <w:rFonts w:eastAsia="Times New Roman" w:cs="Calibri"/>
                <w:color w:val="000000"/>
                <w:sz w:val="18"/>
                <w:szCs w:val="18"/>
                <w:lang w:val="en-GB"/>
              </w:rPr>
              <w:t>6%</w:t>
            </w:r>
          </w:p>
        </w:tc>
        <w:tc>
          <w:tcPr>
            <w:tcW w:w="318" w:type="pct"/>
            <w:gridSpan w:val="2"/>
            <w:tcBorders>
              <w:top w:val="nil"/>
              <w:left w:val="nil"/>
              <w:bottom w:val="single" w:sz="4" w:space="0" w:color="A6A6A6" w:themeColor="background1" w:themeShade="A6"/>
              <w:right w:val="single" w:sz="4" w:space="0" w:color="A6A6A6" w:themeColor="background1" w:themeShade="A6"/>
            </w:tcBorders>
            <w:vAlign w:val="center"/>
          </w:tcPr>
          <w:p w14:paraId="76A60147" w14:textId="77777777" w:rsidR="00FD2CBB" w:rsidRPr="003E7961" w:rsidRDefault="00FD2CBB" w:rsidP="00B63B49">
            <w:pPr>
              <w:spacing w:after="0" w:line="240" w:lineRule="auto"/>
              <w:jc w:val="center"/>
              <w:rPr>
                <w:rFonts w:eastAsia="Times New Roman" w:cs="Calibri"/>
                <w:color w:val="000000"/>
                <w:sz w:val="18"/>
                <w:szCs w:val="18"/>
                <w:lang w:val="en-GB"/>
              </w:rPr>
            </w:pPr>
            <w:r w:rsidRPr="69E21B87">
              <w:rPr>
                <w:rFonts w:eastAsia="Times New Roman" w:cs="Calibri"/>
                <w:color w:val="000000" w:themeColor="text1"/>
                <w:sz w:val="18"/>
                <w:szCs w:val="18"/>
                <w:lang w:val="en-GB"/>
              </w:rPr>
              <w:t>30,33</w:t>
            </w:r>
          </w:p>
        </w:tc>
        <w:tc>
          <w:tcPr>
            <w:tcW w:w="318" w:type="pct"/>
            <w:gridSpan w:val="2"/>
            <w:tcBorders>
              <w:top w:val="nil"/>
              <w:left w:val="nil"/>
              <w:bottom w:val="single" w:sz="4" w:space="0" w:color="A6A6A6" w:themeColor="background1" w:themeShade="A6"/>
              <w:right w:val="single" w:sz="4" w:space="0" w:color="A6A6A6" w:themeColor="background1" w:themeShade="A6"/>
            </w:tcBorders>
            <w:vAlign w:val="center"/>
          </w:tcPr>
          <w:p w14:paraId="598BF169" w14:textId="77777777" w:rsidR="00FD2CBB" w:rsidRPr="003E7961" w:rsidRDefault="00FD2CBB" w:rsidP="00B63B49">
            <w:pPr>
              <w:spacing w:after="0" w:line="240" w:lineRule="auto"/>
              <w:jc w:val="center"/>
              <w:rPr>
                <w:rFonts w:eastAsia="Times New Roman" w:cs="Calibri"/>
                <w:color w:val="000000"/>
                <w:sz w:val="18"/>
                <w:szCs w:val="18"/>
                <w:lang w:val="en-GB"/>
              </w:rPr>
            </w:pPr>
            <w:r w:rsidRPr="69E21B87">
              <w:rPr>
                <w:rFonts w:eastAsia="Times New Roman" w:cs="Calibri"/>
                <w:color w:val="000000" w:themeColor="text1"/>
                <w:sz w:val="18"/>
                <w:szCs w:val="18"/>
                <w:lang w:val="en-GB"/>
              </w:rPr>
              <w:t>26,28</w:t>
            </w:r>
          </w:p>
        </w:tc>
        <w:tc>
          <w:tcPr>
            <w:tcW w:w="356" w:type="pct"/>
            <w:gridSpan w:val="2"/>
            <w:tcBorders>
              <w:top w:val="nil"/>
              <w:left w:val="nil"/>
              <w:bottom w:val="single" w:sz="4" w:space="0" w:color="A6A6A6" w:themeColor="background1" w:themeShade="A6"/>
              <w:right w:val="single" w:sz="4" w:space="0" w:color="A6A6A6" w:themeColor="background1" w:themeShade="A6"/>
            </w:tcBorders>
            <w:vAlign w:val="center"/>
          </w:tcPr>
          <w:p w14:paraId="68B92348" w14:textId="77777777" w:rsidR="00FD2CBB" w:rsidRPr="003E7961" w:rsidRDefault="00FD2CBB" w:rsidP="00B63B49">
            <w:pPr>
              <w:spacing w:after="0" w:line="240" w:lineRule="auto"/>
              <w:jc w:val="center"/>
              <w:rPr>
                <w:rFonts w:eastAsia="Times New Roman" w:cs="Calibri"/>
                <w:color w:val="000000"/>
                <w:sz w:val="18"/>
                <w:szCs w:val="18"/>
                <w:lang w:val="en-GB"/>
              </w:rPr>
            </w:pPr>
            <w:r w:rsidRPr="69E21B87">
              <w:rPr>
                <w:rFonts w:eastAsia="Times New Roman" w:cs="Calibri"/>
                <w:color w:val="000000" w:themeColor="text1"/>
                <w:sz w:val="18"/>
                <w:szCs w:val="18"/>
                <w:lang w:val="en-GB"/>
              </w:rPr>
              <w:t>5</w:t>
            </w:r>
          </w:p>
        </w:tc>
        <w:tc>
          <w:tcPr>
            <w:tcW w:w="474" w:type="pct"/>
            <w:gridSpan w:val="2"/>
            <w:tcBorders>
              <w:top w:val="nil"/>
              <w:left w:val="nil"/>
              <w:bottom w:val="single" w:sz="4" w:space="0" w:color="A6A6A6" w:themeColor="background1" w:themeShade="A6"/>
              <w:right w:val="single" w:sz="4" w:space="0" w:color="A6A6A6" w:themeColor="background1" w:themeShade="A6"/>
            </w:tcBorders>
            <w:vAlign w:val="center"/>
          </w:tcPr>
          <w:p w14:paraId="218B6EB4" w14:textId="77777777" w:rsidR="00FD2CBB" w:rsidRPr="003E7961" w:rsidRDefault="00FD2CBB" w:rsidP="00B63B49">
            <w:pPr>
              <w:spacing w:after="0" w:line="240" w:lineRule="auto"/>
              <w:jc w:val="center"/>
              <w:rPr>
                <w:rFonts w:eastAsia="Times New Roman" w:cs="Calibri"/>
                <w:color w:val="000000"/>
                <w:sz w:val="18"/>
                <w:szCs w:val="18"/>
                <w:lang w:val="en-GB"/>
              </w:rPr>
            </w:pPr>
            <w:r w:rsidRPr="69E21B87">
              <w:rPr>
                <w:rFonts w:eastAsia="Times New Roman" w:cs="Calibri"/>
                <w:color w:val="000000" w:themeColor="text1"/>
                <w:sz w:val="18"/>
                <w:szCs w:val="18"/>
                <w:lang w:val="en-GB"/>
              </w:rPr>
              <w:t>90</w:t>
            </w:r>
          </w:p>
        </w:tc>
      </w:tr>
      <w:tr w:rsidR="00FD2CBB" w:rsidRPr="003E7961" w14:paraId="780D3C21" w14:textId="77777777" w:rsidTr="00A27FBD">
        <w:trPr>
          <w:trHeight w:val="1020"/>
          <w:jc w:val="center"/>
        </w:trPr>
        <w:tc>
          <w:tcPr>
            <w:tcW w:w="677"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38050B55" w14:textId="77777777" w:rsidR="00FD2CBB" w:rsidRDefault="00FD2CBB" w:rsidP="00B63B49">
            <w:pPr>
              <w:spacing w:after="0" w:line="240" w:lineRule="auto"/>
              <w:jc w:val="center"/>
              <w:rPr>
                <w:rFonts w:eastAsia="Times New Roman" w:cs="Calibri"/>
                <w:color w:val="000000"/>
                <w:sz w:val="18"/>
                <w:szCs w:val="18"/>
                <w:lang w:val="en-GB"/>
              </w:rPr>
            </w:pPr>
            <w:r>
              <w:rPr>
                <w:rFonts w:eastAsia="Times New Roman" w:cs="Calibri"/>
                <w:color w:val="000000"/>
                <w:sz w:val="18"/>
                <w:szCs w:val="18"/>
                <w:lang w:val="en-GB"/>
              </w:rPr>
              <w:t>UR 5</w:t>
            </w:r>
          </w:p>
          <w:p w14:paraId="34909FE9" w14:textId="77777777" w:rsidR="00FD2CBB" w:rsidRDefault="00FD2CBB" w:rsidP="00B63B49">
            <w:pPr>
              <w:spacing w:after="0" w:line="240" w:lineRule="auto"/>
              <w:jc w:val="center"/>
              <w:rPr>
                <w:rFonts w:eastAsia="Times New Roman" w:cs="Calibri"/>
                <w:color w:val="000000"/>
                <w:sz w:val="18"/>
                <w:szCs w:val="18"/>
                <w:lang w:val="en-GB"/>
              </w:rPr>
            </w:pPr>
            <w:r>
              <w:rPr>
                <w:rFonts w:eastAsia="Times New Roman" w:cs="Calibri"/>
                <w:color w:val="000000"/>
                <w:sz w:val="18"/>
                <w:szCs w:val="18"/>
                <w:lang w:val="en-GB"/>
              </w:rPr>
              <w:t>TO_I02</w:t>
            </w:r>
          </w:p>
          <w:p w14:paraId="2B5373EE" w14:textId="77777777" w:rsidR="00FD2CBB" w:rsidRPr="003E7961" w:rsidRDefault="00FD2CBB" w:rsidP="00B63B49">
            <w:pPr>
              <w:spacing w:after="0" w:line="240" w:lineRule="auto"/>
              <w:jc w:val="center"/>
              <w:rPr>
                <w:rFonts w:eastAsia="Times New Roman" w:cs="Calibri"/>
                <w:color w:val="000000"/>
                <w:sz w:val="18"/>
                <w:szCs w:val="18"/>
                <w:lang w:val="en-GB"/>
              </w:rPr>
            </w:pPr>
            <w:r>
              <w:rPr>
                <w:rFonts w:eastAsia="Times New Roman" w:cs="Calibri"/>
                <w:color w:val="000000"/>
                <w:sz w:val="18"/>
                <w:szCs w:val="18"/>
                <w:lang w:val="en-GB"/>
              </w:rPr>
              <w:t>TO_I11</w:t>
            </w:r>
          </w:p>
        </w:tc>
        <w:tc>
          <w:tcPr>
            <w:tcW w:w="801" w:type="pct"/>
            <w:tcBorders>
              <w:top w:val="nil"/>
              <w:left w:val="nil"/>
              <w:bottom w:val="single" w:sz="4" w:space="0" w:color="A6A6A6" w:themeColor="background1" w:themeShade="A6"/>
              <w:right w:val="single" w:sz="4" w:space="0" w:color="A6A6A6" w:themeColor="background1" w:themeShade="A6"/>
            </w:tcBorders>
            <w:vAlign w:val="center"/>
          </w:tcPr>
          <w:p w14:paraId="3B933379" w14:textId="77777777" w:rsidR="00FD2CBB" w:rsidRPr="002B1524" w:rsidRDefault="00FD2CBB" w:rsidP="00B63B49">
            <w:pPr>
              <w:spacing w:after="0" w:line="240" w:lineRule="auto"/>
              <w:jc w:val="left"/>
              <w:rPr>
                <w:rFonts w:eastAsia="Times New Roman" w:cs="Calibri"/>
                <w:color w:val="000000"/>
                <w:sz w:val="18"/>
                <w:szCs w:val="18"/>
              </w:rPr>
            </w:pPr>
            <w:r w:rsidRPr="002B1524">
              <w:rPr>
                <w:rFonts w:eastAsia="Times New Roman" w:cs="Calibri"/>
                <w:color w:val="000000"/>
                <w:sz w:val="18"/>
                <w:szCs w:val="18"/>
              </w:rPr>
              <w:t xml:space="preserve">Servizi </w:t>
            </w:r>
            <w:r>
              <w:rPr>
                <w:rFonts w:eastAsia="Times New Roman" w:cs="Calibri"/>
                <w:color w:val="000000"/>
                <w:sz w:val="18"/>
                <w:szCs w:val="18"/>
              </w:rPr>
              <w:t>peri</w:t>
            </w:r>
            <w:r w:rsidRPr="002B1524">
              <w:rPr>
                <w:rFonts w:eastAsia="Times New Roman" w:cs="Calibri"/>
                <w:color w:val="000000"/>
                <w:sz w:val="18"/>
                <w:szCs w:val="18"/>
              </w:rPr>
              <w:t>urbani di Torino</w:t>
            </w:r>
          </w:p>
        </w:tc>
        <w:tc>
          <w:tcPr>
            <w:tcW w:w="603" w:type="pct"/>
            <w:tcBorders>
              <w:top w:val="nil"/>
              <w:left w:val="nil"/>
              <w:bottom w:val="single" w:sz="4" w:space="0" w:color="A6A6A6" w:themeColor="background1" w:themeShade="A6"/>
              <w:right w:val="single" w:sz="4" w:space="0" w:color="A6A6A6" w:themeColor="background1" w:themeShade="A6"/>
            </w:tcBorders>
            <w:vAlign w:val="center"/>
          </w:tcPr>
          <w:p w14:paraId="192A83C6" w14:textId="77777777" w:rsidR="00FD2CBB" w:rsidRPr="002B1524" w:rsidRDefault="00FD2CBB" w:rsidP="00B63B49">
            <w:pPr>
              <w:spacing w:after="0" w:line="240" w:lineRule="auto"/>
              <w:jc w:val="right"/>
              <w:rPr>
                <w:rFonts w:eastAsia="Times New Roman" w:cs="Calibri"/>
                <w:color w:val="000000"/>
                <w:sz w:val="18"/>
                <w:szCs w:val="18"/>
              </w:rPr>
            </w:pPr>
            <w:r w:rsidRPr="002B1524">
              <w:rPr>
                <w:rFonts w:eastAsia="Times New Roman" w:cs="Calibri"/>
                <w:color w:val="000000"/>
                <w:sz w:val="18"/>
                <w:szCs w:val="18"/>
              </w:rPr>
              <w:t>2.285.701</w:t>
            </w:r>
          </w:p>
        </w:tc>
        <w:tc>
          <w:tcPr>
            <w:tcW w:w="497" w:type="pct"/>
            <w:tcBorders>
              <w:top w:val="nil"/>
              <w:left w:val="nil"/>
              <w:bottom w:val="single" w:sz="4" w:space="0" w:color="A6A6A6" w:themeColor="background1" w:themeShade="A6"/>
              <w:right w:val="single" w:sz="4" w:space="0" w:color="A6A6A6" w:themeColor="background1" w:themeShade="A6"/>
            </w:tcBorders>
            <w:vAlign w:val="center"/>
          </w:tcPr>
          <w:p w14:paraId="0F0DFC1A" w14:textId="77777777" w:rsidR="00FD2CBB" w:rsidRPr="002B1524" w:rsidRDefault="00FD2CBB" w:rsidP="00B63B49">
            <w:pPr>
              <w:spacing w:after="0" w:line="240" w:lineRule="auto"/>
              <w:jc w:val="right"/>
              <w:rPr>
                <w:rFonts w:eastAsia="Times New Roman" w:cs="Calibri"/>
                <w:color w:val="000000"/>
                <w:sz w:val="18"/>
                <w:szCs w:val="18"/>
              </w:rPr>
            </w:pPr>
          </w:p>
        </w:tc>
        <w:tc>
          <w:tcPr>
            <w:tcW w:w="560" w:type="pct"/>
            <w:tcBorders>
              <w:top w:val="nil"/>
              <w:left w:val="nil"/>
              <w:bottom w:val="single" w:sz="4" w:space="0" w:color="A6A6A6" w:themeColor="background1" w:themeShade="A6"/>
              <w:right w:val="single" w:sz="4" w:space="0" w:color="A6A6A6" w:themeColor="background1" w:themeShade="A6"/>
            </w:tcBorders>
            <w:vAlign w:val="center"/>
          </w:tcPr>
          <w:p w14:paraId="268D3BA0" w14:textId="77777777" w:rsidR="00FD2CBB" w:rsidRPr="002B1524" w:rsidRDefault="00FD2CBB" w:rsidP="00B63B49">
            <w:pPr>
              <w:spacing w:after="0" w:line="240" w:lineRule="auto"/>
              <w:jc w:val="right"/>
              <w:rPr>
                <w:rFonts w:eastAsia="Times New Roman" w:cs="Calibri"/>
                <w:color w:val="000000"/>
                <w:sz w:val="18"/>
                <w:szCs w:val="18"/>
              </w:rPr>
            </w:pPr>
            <w:r w:rsidRPr="002B1524">
              <w:rPr>
                <w:rFonts w:eastAsia="Times New Roman" w:cs="Calibri"/>
                <w:color w:val="000000"/>
                <w:sz w:val="18"/>
                <w:szCs w:val="18"/>
              </w:rPr>
              <w:t>2.285.701</w:t>
            </w:r>
          </w:p>
        </w:tc>
        <w:tc>
          <w:tcPr>
            <w:tcW w:w="397" w:type="pct"/>
            <w:tcBorders>
              <w:top w:val="nil"/>
              <w:left w:val="nil"/>
              <w:bottom w:val="single" w:sz="4" w:space="0" w:color="A6A6A6" w:themeColor="background1" w:themeShade="A6"/>
              <w:right w:val="single" w:sz="4" w:space="0" w:color="A6A6A6" w:themeColor="background1" w:themeShade="A6"/>
            </w:tcBorders>
            <w:vAlign w:val="center"/>
          </w:tcPr>
          <w:p w14:paraId="13353C39" w14:textId="77777777" w:rsidR="00FD2CBB" w:rsidRPr="003E7961" w:rsidRDefault="00FD2CBB" w:rsidP="00B63B49">
            <w:pPr>
              <w:spacing w:after="0" w:line="240" w:lineRule="auto"/>
              <w:jc w:val="center"/>
              <w:rPr>
                <w:rFonts w:eastAsia="Times New Roman" w:cs="Calibri"/>
                <w:color w:val="000000"/>
                <w:sz w:val="18"/>
                <w:szCs w:val="18"/>
                <w:lang w:val="en-GB"/>
              </w:rPr>
            </w:pPr>
            <w:r>
              <w:rPr>
                <w:rFonts w:eastAsia="Times New Roman" w:cs="Calibri"/>
                <w:color w:val="000000"/>
                <w:sz w:val="18"/>
                <w:szCs w:val="18"/>
                <w:lang w:val="en-GB"/>
              </w:rPr>
              <w:t>0%</w:t>
            </w:r>
          </w:p>
        </w:tc>
        <w:tc>
          <w:tcPr>
            <w:tcW w:w="318" w:type="pct"/>
            <w:gridSpan w:val="2"/>
            <w:tcBorders>
              <w:top w:val="nil"/>
              <w:left w:val="nil"/>
              <w:bottom w:val="single" w:sz="4" w:space="0" w:color="A6A6A6" w:themeColor="background1" w:themeShade="A6"/>
              <w:right w:val="single" w:sz="4" w:space="0" w:color="A6A6A6" w:themeColor="background1" w:themeShade="A6"/>
            </w:tcBorders>
            <w:vAlign w:val="center"/>
          </w:tcPr>
          <w:p w14:paraId="7C541B0A" w14:textId="77777777" w:rsidR="00FD2CBB" w:rsidRPr="003E7961" w:rsidRDefault="00FD2CBB" w:rsidP="00B63B49">
            <w:pPr>
              <w:spacing w:after="0" w:line="240" w:lineRule="auto"/>
              <w:jc w:val="center"/>
              <w:rPr>
                <w:rFonts w:eastAsia="Times New Roman" w:cs="Calibri"/>
                <w:color w:val="000000"/>
                <w:sz w:val="18"/>
                <w:szCs w:val="18"/>
                <w:lang w:val="en-GB"/>
              </w:rPr>
            </w:pPr>
            <w:r w:rsidRPr="69E21B87">
              <w:rPr>
                <w:rFonts w:eastAsia="Times New Roman" w:cs="Calibri"/>
                <w:color w:val="000000" w:themeColor="text1"/>
                <w:sz w:val="18"/>
                <w:szCs w:val="18"/>
                <w:lang w:val="en-GB"/>
              </w:rPr>
              <w:t>22,62</w:t>
            </w:r>
          </w:p>
        </w:tc>
        <w:tc>
          <w:tcPr>
            <w:tcW w:w="318" w:type="pct"/>
            <w:gridSpan w:val="2"/>
            <w:tcBorders>
              <w:top w:val="nil"/>
              <w:left w:val="nil"/>
              <w:bottom w:val="single" w:sz="4" w:space="0" w:color="A6A6A6" w:themeColor="background1" w:themeShade="A6"/>
              <w:right w:val="single" w:sz="4" w:space="0" w:color="A6A6A6" w:themeColor="background1" w:themeShade="A6"/>
            </w:tcBorders>
            <w:vAlign w:val="center"/>
          </w:tcPr>
          <w:p w14:paraId="419E41A6" w14:textId="77777777" w:rsidR="00FD2CBB" w:rsidRPr="003E7961" w:rsidRDefault="00FD2CBB" w:rsidP="00B63B49">
            <w:pPr>
              <w:spacing w:after="0" w:line="240" w:lineRule="auto"/>
              <w:jc w:val="center"/>
              <w:rPr>
                <w:rFonts w:eastAsia="Times New Roman" w:cs="Calibri"/>
                <w:color w:val="000000"/>
                <w:sz w:val="18"/>
                <w:szCs w:val="18"/>
                <w:lang w:val="en-GB"/>
              </w:rPr>
            </w:pPr>
            <w:r w:rsidRPr="69E21B87">
              <w:rPr>
                <w:rFonts w:eastAsia="Times New Roman" w:cs="Calibri"/>
                <w:color w:val="000000" w:themeColor="text1"/>
                <w:sz w:val="18"/>
                <w:szCs w:val="18"/>
                <w:lang w:val="en-GB"/>
              </w:rPr>
              <w:t>19,67</w:t>
            </w:r>
          </w:p>
        </w:tc>
        <w:tc>
          <w:tcPr>
            <w:tcW w:w="356" w:type="pct"/>
            <w:gridSpan w:val="2"/>
            <w:tcBorders>
              <w:top w:val="nil"/>
              <w:left w:val="nil"/>
              <w:bottom w:val="single" w:sz="4" w:space="0" w:color="A6A6A6" w:themeColor="background1" w:themeShade="A6"/>
              <w:right w:val="single" w:sz="4" w:space="0" w:color="A6A6A6" w:themeColor="background1" w:themeShade="A6"/>
            </w:tcBorders>
            <w:vAlign w:val="center"/>
          </w:tcPr>
          <w:p w14:paraId="6F49503F" w14:textId="77777777" w:rsidR="00FD2CBB" w:rsidRPr="003E7961" w:rsidRDefault="00FD2CBB" w:rsidP="00B63B49">
            <w:pPr>
              <w:spacing w:after="0" w:line="240" w:lineRule="auto"/>
              <w:jc w:val="center"/>
              <w:rPr>
                <w:rFonts w:eastAsia="Times New Roman" w:cs="Calibri"/>
                <w:color w:val="000000"/>
                <w:sz w:val="18"/>
                <w:szCs w:val="18"/>
                <w:lang w:val="en-GB"/>
              </w:rPr>
            </w:pPr>
            <w:r w:rsidRPr="69E21B87">
              <w:rPr>
                <w:rFonts w:eastAsia="Times New Roman" w:cs="Calibri"/>
                <w:color w:val="000000" w:themeColor="text1"/>
                <w:sz w:val="18"/>
                <w:szCs w:val="18"/>
                <w:lang w:val="en-GB"/>
              </w:rPr>
              <w:t>0</w:t>
            </w:r>
          </w:p>
        </w:tc>
        <w:tc>
          <w:tcPr>
            <w:tcW w:w="474" w:type="pct"/>
            <w:gridSpan w:val="2"/>
            <w:tcBorders>
              <w:top w:val="nil"/>
              <w:left w:val="nil"/>
              <w:bottom w:val="single" w:sz="4" w:space="0" w:color="A6A6A6" w:themeColor="background1" w:themeShade="A6"/>
              <w:right w:val="single" w:sz="4" w:space="0" w:color="A6A6A6" w:themeColor="background1" w:themeShade="A6"/>
            </w:tcBorders>
            <w:vAlign w:val="center"/>
          </w:tcPr>
          <w:p w14:paraId="6A988402" w14:textId="77777777" w:rsidR="00FD2CBB" w:rsidRPr="003E7961" w:rsidRDefault="00FD2CBB" w:rsidP="00B63B49">
            <w:pPr>
              <w:spacing w:after="0" w:line="240" w:lineRule="auto"/>
              <w:jc w:val="center"/>
              <w:rPr>
                <w:rFonts w:eastAsia="Times New Roman" w:cs="Calibri"/>
                <w:color w:val="000000"/>
                <w:sz w:val="18"/>
                <w:szCs w:val="18"/>
                <w:lang w:val="en-GB"/>
              </w:rPr>
            </w:pPr>
            <w:r w:rsidRPr="69E21B87">
              <w:rPr>
                <w:rFonts w:eastAsia="Times New Roman" w:cs="Calibri"/>
                <w:color w:val="000000" w:themeColor="text1"/>
                <w:sz w:val="18"/>
                <w:szCs w:val="18"/>
                <w:lang w:val="en-GB"/>
              </w:rPr>
              <w:t>48</w:t>
            </w:r>
          </w:p>
        </w:tc>
      </w:tr>
      <w:tr w:rsidR="00FD2CBB" w:rsidRPr="00AD01C5" w14:paraId="41E861A8" w14:textId="77777777" w:rsidTr="00A27FBD">
        <w:trPr>
          <w:trHeight w:val="300"/>
          <w:jc w:val="center"/>
        </w:trPr>
        <w:tc>
          <w:tcPr>
            <w:tcW w:w="1477" w:type="pct"/>
            <w:gridSpan w:val="2"/>
            <w:tcBorders>
              <w:top w:val="doub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2EC8C469" w14:textId="77777777" w:rsidR="00FD2CBB" w:rsidRPr="00AD01C5" w:rsidRDefault="00FD2CBB" w:rsidP="00B63B49">
            <w:pPr>
              <w:spacing w:after="0" w:line="240" w:lineRule="auto"/>
              <w:jc w:val="center"/>
              <w:rPr>
                <w:rFonts w:eastAsia="Times New Roman" w:cs="Calibri"/>
                <w:b/>
                <w:i/>
                <w:color w:val="000000"/>
                <w:sz w:val="18"/>
                <w:szCs w:val="18"/>
              </w:rPr>
            </w:pPr>
            <w:r w:rsidRPr="00AD01C5">
              <w:rPr>
                <w:rFonts w:eastAsia="Times New Roman" w:cs="Calibri"/>
                <w:b/>
                <w:i/>
                <w:color w:val="000000"/>
                <w:sz w:val="18"/>
                <w:szCs w:val="18"/>
              </w:rPr>
              <w:t>Totale intero bacino</w:t>
            </w:r>
          </w:p>
        </w:tc>
        <w:tc>
          <w:tcPr>
            <w:tcW w:w="603" w:type="pct"/>
            <w:tcBorders>
              <w:top w:val="double" w:sz="4" w:space="0" w:color="A6A6A6" w:themeColor="background1" w:themeShade="A6"/>
              <w:left w:val="nil"/>
              <w:bottom w:val="single" w:sz="4" w:space="0" w:color="A6A6A6" w:themeColor="background1" w:themeShade="A6"/>
              <w:right w:val="single" w:sz="4" w:space="0" w:color="A6A6A6" w:themeColor="background1" w:themeShade="A6"/>
            </w:tcBorders>
            <w:vAlign w:val="center"/>
          </w:tcPr>
          <w:p w14:paraId="6723C4E3" w14:textId="77777777" w:rsidR="00FD2CBB" w:rsidRPr="002B1524" w:rsidRDefault="00FD2CBB" w:rsidP="00B63B49">
            <w:pPr>
              <w:spacing w:after="0" w:line="240" w:lineRule="auto"/>
              <w:jc w:val="right"/>
              <w:rPr>
                <w:rFonts w:eastAsia="Times New Roman" w:cs="Calibri"/>
                <w:b/>
                <w:i/>
                <w:color w:val="000000"/>
                <w:sz w:val="18"/>
                <w:szCs w:val="18"/>
              </w:rPr>
            </w:pPr>
            <w:r w:rsidRPr="002B1524">
              <w:rPr>
                <w:rFonts w:eastAsia="Times New Roman" w:cs="Calibri"/>
                <w:b/>
                <w:i/>
                <w:color w:val="000000"/>
                <w:sz w:val="18"/>
                <w:szCs w:val="18"/>
              </w:rPr>
              <w:t>17.501.450</w:t>
            </w:r>
          </w:p>
        </w:tc>
        <w:tc>
          <w:tcPr>
            <w:tcW w:w="497" w:type="pct"/>
            <w:tcBorders>
              <w:top w:val="double" w:sz="4" w:space="0" w:color="A6A6A6" w:themeColor="background1" w:themeShade="A6"/>
              <w:left w:val="nil"/>
              <w:bottom w:val="single" w:sz="4" w:space="0" w:color="A6A6A6" w:themeColor="background1" w:themeShade="A6"/>
              <w:right w:val="single" w:sz="4" w:space="0" w:color="A6A6A6" w:themeColor="background1" w:themeShade="A6"/>
            </w:tcBorders>
            <w:vAlign w:val="center"/>
          </w:tcPr>
          <w:p w14:paraId="62452303" w14:textId="77777777" w:rsidR="00FD2CBB" w:rsidRPr="002B1524" w:rsidRDefault="00FD2CBB" w:rsidP="00B63B49">
            <w:pPr>
              <w:spacing w:after="0" w:line="240" w:lineRule="auto"/>
              <w:jc w:val="right"/>
              <w:rPr>
                <w:rFonts w:eastAsia="Times New Roman" w:cs="Calibri"/>
                <w:b/>
                <w:i/>
                <w:color w:val="000000"/>
                <w:sz w:val="18"/>
                <w:szCs w:val="18"/>
              </w:rPr>
            </w:pPr>
            <w:r w:rsidRPr="00122B98">
              <w:rPr>
                <w:rFonts w:eastAsia="Times New Roman" w:cs="Calibri"/>
                <w:b/>
                <w:i/>
                <w:color w:val="000000"/>
                <w:sz w:val="18"/>
                <w:szCs w:val="18"/>
              </w:rPr>
              <w:t>1.964.616</w:t>
            </w:r>
          </w:p>
        </w:tc>
        <w:tc>
          <w:tcPr>
            <w:tcW w:w="560" w:type="pct"/>
            <w:tcBorders>
              <w:top w:val="double" w:sz="4" w:space="0" w:color="A6A6A6" w:themeColor="background1" w:themeShade="A6"/>
              <w:left w:val="nil"/>
              <w:bottom w:val="single" w:sz="4" w:space="0" w:color="A6A6A6" w:themeColor="background1" w:themeShade="A6"/>
              <w:right w:val="single" w:sz="4" w:space="0" w:color="A6A6A6" w:themeColor="background1" w:themeShade="A6"/>
            </w:tcBorders>
            <w:vAlign w:val="center"/>
          </w:tcPr>
          <w:p w14:paraId="115D0F2C" w14:textId="77777777" w:rsidR="00FD2CBB" w:rsidRPr="002B1524" w:rsidRDefault="00FD2CBB" w:rsidP="00B63B49">
            <w:pPr>
              <w:spacing w:after="0" w:line="240" w:lineRule="auto"/>
              <w:jc w:val="right"/>
              <w:rPr>
                <w:rFonts w:eastAsia="Times New Roman" w:cs="Calibri"/>
                <w:b/>
                <w:i/>
                <w:color w:val="000000"/>
                <w:sz w:val="18"/>
                <w:szCs w:val="18"/>
              </w:rPr>
            </w:pPr>
            <w:r w:rsidRPr="00122B98">
              <w:rPr>
                <w:rFonts w:eastAsia="Times New Roman" w:cs="Calibri"/>
                <w:b/>
                <w:i/>
                <w:color w:val="000000"/>
                <w:sz w:val="18"/>
                <w:szCs w:val="18"/>
              </w:rPr>
              <w:t>19.466.066</w:t>
            </w:r>
          </w:p>
        </w:tc>
        <w:tc>
          <w:tcPr>
            <w:tcW w:w="419" w:type="pct"/>
            <w:gridSpan w:val="2"/>
            <w:tcBorders>
              <w:top w:val="nil"/>
              <w:left w:val="nil"/>
              <w:bottom w:val="nil"/>
              <w:right w:val="nil"/>
            </w:tcBorders>
            <w:hideMark/>
          </w:tcPr>
          <w:p w14:paraId="3A1BBFBC" w14:textId="77777777" w:rsidR="00FD2CBB" w:rsidRPr="00AD01C5" w:rsidRDefault="00FD2CBB" w:rsidP="00B63B49">
            <w:pPr>
              <w:spacing w:after="0" w:line="240" w:lineRule="auto"/>
              <w:jc w:val="center"/>
              <w:rPr>
                <w:rFonts w:eastAsia="Times New Roman" w:cs="Calibri"/>
                <w:b/>
                <w:i/>
                <w:color w:val="000000"/>
                <w:sz w:val="18"/>
                <w:szCs w:val="18"/>
              </w:rPr>
            </w:pPr>
            <w:r w:rsidRPr="00AD01C5">
              <w:rPr>
                <w:rFonts w:eastAsia="Calibri" w:cs="Calibri"/>
                <w:b/>
                <w:i/>
                <w:sz w:val="18"/>
                <w:szCs w:val="18"/>
              </w:rPr>
              <w:t xml:space="preserve"> </w:t>
            </w:r>
          </w:p>
        </w:tc>
        <w:tc>
          <w:tcPr>
            <w:tcW w:w="318" w:type="pct"/>
            <w:gridSpan w:val="2"/>
            <w:tcBorders>
              <w:top w:val="nil"/>
              <w:left w:val="nil"/>
              <w:bottom w:val="nil"/>
              <w:right w:val="nil"/>
            </w:tcBorders>
            <w:vAlign w:val="center"/>
            <w:hideMark/>
          </w:tcPr>
          <w:p w14:paraId="55976457" w14:textId="77777777" w:rsidR="00FD2CBB" w:rsidRPr="00AD01C5" w:rsidRDefault="00FD2CBB" w:rsidP="00B63B49">
            <w:pPr>
              <w:spacing w:after="0" w:line="240" w:lineRule="auto"/>
              <w:jc w:val="left"/>
              <w:rPr>
                <w:rFonts w:eastAsia="Times New Roman" w:cs="Calibri"/>
                <w:b/>
                <w:i/>
                <w:color w:val="000000"/>
                <w:sz w:val="18"/>
                <w:szCs w:val="18"/>
              </w:rPr>
            </w:pPr>
            <w:r w:rsidRPr="00AD01C5">
              <w:rPr>
                <w:rFonts w:eastAsia="Times New Roman" w:cs="Calibri"/>
                <w:b/>
                <w:i/>
                <w:color w:val="000000"/>
                <w:sz w:val="18"/>
                <w:szCs w:val="18"/>
              </w:rPr>
              <w:t> </w:t>
            </w:r>
          </w:p>
        </w:tc>
        <w:tc>
          <w:tcPr>
            <w:tcW w:w="318" w:type="pct"/>
            <w:gridSpan w:val="2"/>
            <w:tcBorders>
              <w:top w:val="nil"/>
              <w:left w:val="nil"/>
              <w:bottom w:val="nil"/>
              <w:right w:val="nil"/>
            </w:tcBorders>
            <w:vAlign w:val="center"/>
            <w:hideMark/>
          </w:tcPr>
          <w:p w14:paraId="2BF13DAA" w14:textId="77777777" w:rsidR="00FD2CBB" w:rsidRPr="00AD01C5" w:rsidRDefault="00FD2CBB" w:rsidP="00B63B49">
            <w:pPr>
              <w:spacing w:after="0" w:line="240" w:lineRule="auto"/>
              <w:jc w:val="left"/>
              <w:rPr>
                <w:rFonts w:eastAsia="Times New Roman" w:cs="Calibri"/>
                <w:b/>
                <w:i/>
                <w:color w:val="000000"/>
                <w:sz w:val="18"/>
                <w:szCs w:val="18"/>
              </w:rPr>
            </w:pPr>
            <w:r w:rsidRPr="00AD01C5">
              <w:rPr>
                <w:rFonts w:eastAsia="Times New Roman" w:cs="Calibri"/>
                <w:b/>
                <w:i/>
                <w:color w:val="000000"/>
                <w:sz w:val="18"/>
                <w:szCs w:val="18"/>
              </w:rPr>
              <w:t> </w:t>
            </w:r>
          </w:p>
        </w:tc>
        <w:tc>
          <w:tcPr>
            <w:tcW w:w="353" w:type="pct"/>
            <w:gridSpan w:val="2"/>
            <w:tcBorders>
              <w:top w:val="nil"/>
              <w:left w:val="nil"/>
              <w:bottom w:val="nil"/>
              <w:right w:val="nil"/>
            </w:tcBorders>
            <w:vAlign w:val="center"/>
            <w:hideMark/>
          </w:tcPr>
          <w:p w14:paraId="60D7775A" w14:textId="77777777" w:rsidR="00FD2CBB" w:rsidRPr="00AD01C5" w:rsidRDefault="00FD2CBB" w:rsidP="00B63B49">
            <w:pPr>
              <w:spacing w:after="0" w:line="240" w:lineRule="auto"/>
              <w:jc w:val="left"/>
              <w:rPr>
                <w:rFonts w:eastAsia="Times New Roman" w:cs="Calibri"/>
                <w:b/>
                <w:i/>
                <w:color w:val="000000"/>
                <w:sz w:val="18"/>
                <w:szCs w:val="18"/>
              </w:rPr>
            </w:pPr>
            <w:r w:rsidRPr="00AD01C5">
              <w:rPr>
                <w:rFonts w:eastAsia="Times New Roman" w:cs="Calibri"/>
                <w:b/>
                <w:i/>
                <w:color w:val="000000"/>
                <w:sz w:val="18"/>
                <w:szCs w:val="18"/>
              </w:rPr>
              <w:t> </w:t>
            </w:r>
          </w:p>
        </w:tc>
        <w:tc>
          <w:tcPr>
            <w:tcW w:w="455" w:type="pct"/>
            <w:tcBorders>
              <w:top w:val="nil"/>
              <w:left w:val="nil"/>
              <w:bottom w:val="nil"/>
              <w:right w:val="nil"/>
            </w:tcBorders>
            <w:vAlign w:val="center"/>
            <w:hideMark/>
          </w:tcPr>
          <w:p w14:paraId="450A944F" w14:textId="77777777" w:rsidR="00FD2CBB" w:rsidRPr="00AD01C5" w:rsidRDefault="00FD2CBB" w:rsidP="00B63B49">
            <w:pPr>
              <w:spacing w:after="0" w:line="240" w:lineRule="auto"/>
              <w:jc w:val="left"/>
              <w:rPr>
                <w:rFonts w:eastAsia="Times New Roman" w:cs="Calibri"/>
                <w:b/>
                <w:i/>
                <w:color w:val="000000"/>
                <w:sz w:val="18"/>
                <w:szCs w:val="18"/>
              </w:rPr>
            </w:pPr>
            <w:r w:rsidRPr="00AD01C5">
              <w:rPr>
                <w:rFonts w:eastAsia="Times New Roman" w:cs="Calibri"/>
                <w:b/>
                <w:i/>
                <w:color w:val="000000"/>
                <w:sz w:val="18"/>
                <w:szCs w:val="18"/>
              </w:rPr>
              <w:t> </w:t>
            </w:r>
          </w:p>
        </w:tc>
      </w:tr>
    </w:tbl>
    <w:p w14:paraId="0AF74466" w14:textId="1C599C00" w:rsidR="00FD2CBB" w:rsidRPr="00AD01C5" w:rsidRDefault="00FD2CBB" w:rsidP="001E58A7">
      <w:pPr>
        <w:spacing w:after="240" w:line="240" w:lineRule="auto"/>
        <w:jc w:val="center"/>
        <w:rPr>
          <w:rFonts w:eastAsia="Calibri" w:cs="Calibri"/>
          <w:color w:val="17406D"/>
          <w:sz w:val="18"/>
          <w:szCs w:val="18"/>
        </w:rPr>
      </w:pPr>
      <w:bookmarkStart w:id="412" w:name="_Ref212965802"/>
      <w:bookmarkStart w:id="413" w:name="_Ref212925451"/>
      <w:r w:rsidRPr="00BF35BC">
        <w:rPr>
          <w:rFonts w:eastAsia="Calibri"/>
          <w:i/>
          <w:color w:val="003366"/>
          <w:sz w:val="18"/>
          <w:szCs w:val="18"/>
        </w:rPr>
        <w:t xml:space="preserve">Tabella </w:t>
      </w:r>
      <w:r w:rsidRPr="00BF35BC">
        <w:rPr>
          <w:rFonts w:cstheme="minorHAnsi"/>
          <w:i/>
          <w:color w:val="003366"/>
          <w:sz w:val="18"/>
          <w:szCs w:val="18"/>
        </w:rPr>
        <w:fldChar w:fldCharType="begin"/>
      </w:r>
      <w:r w:rsidRPr="00AD01C5">
        <w:rPr>
          <w:rFonts w:eastAsia="Calibri" w:cs="Calibri"/>
          <w:i/>
          <w:color w:val="17406D"/>
          <w:sz w:val="18"/>
          <w:szCs w:val="18"/>
        </w:rPr>
        <w:instrText xml:space="preserve"> SEQ Tabella \* ARABIC </w:instrText>
      </w:r>
      <w:r w:rsidRPr="00BF35BC">
        <w:rPr>
          <w:rFonts w:cstheme="minorHAnsi"/>
          <w:i/>
          <w:color w:val="003366"/>
          <w:sz w:val="18"/>
          <w:szCs w:val="18"/>
        </w:rPr>
        <w:fldChar w:fldCharType="separate"/>
      </w:r>
      <w:r w:rsidR="00073B6D">
        <w:rPr>
          <w:rFonts w:eastAsia="Calibri" w:cs="Calibri"/>
          <w:i/>
          <w:noProof/>
          <w:color w:val="17406D"/>
          <w:sz w:val="18"/>
          <w:szCs w:val="18"/>
        </w:rPr>
        <w:t>55</w:t>
      </w:r>
      <w:r w:rsidRPr="00BF35BC">
        <w:rPr>
          <w:rFonts w:cstheme="minorHAnsi"/>
          <w:i/>
          <w:color w:val="003366"/>
          <w:sz w:val="18"/>
          <w:szCs w:val="18"/>
        </w:rPr>
        <w:fldChar w:fldCharType="end"/>
      </w:r>
      <w:bookmarkEnd w:id="412"/>
      <w:r w:rsidRPr="00BF35BC">
        <w:rPr>
          <w:rFonts w:cstheme="minorHAnsi"/>
          <w:i/>
          <w:color w:val="003366"/>
          <w:sz w:val="18"/>
          <w:szCs w:val="18"/>
        </w:rPr>
        <w:t xml:space="preserve"> </w:t>
      </w:r>
      <w:r w:rsidRPr="00BF35BC">
        <w:rPr>
          <w:rFonts w:eastAsia="Calibri"/>
          <w:color w:val="003366"/>
          <w:sz w:val="18"/>
          <w:szCs w:val="18"/>
        </w:rPr>
        <w:t xml:space="preserve">– </w:t>
      </w:r>
      <w:r w:rsidRPr="00AD01C5">
        <w:rPr>
          <w:rFonts w:eastAsia="Calibri" w:cs="Calibri"/>
          <w:i/>
          <w:color w:val="17406D"/>
          <w:sz w:val="18"/>
          <w:szCs w:val="18"/>
        </w:rPr>
        <w:t>Unità di rete: descrizione dei parametri principali</w:t>
      </w:r>
      <w:bookmarkEnd w:id="413"/>
    </w:p>
    <w:p w14:paraId="4B07B2C7" w14:textId="77777777" w:rsidR="00FD2CBB" w:rsidRPr="00AD01C5" w:rsidRDefault="00FD2CBB" w:rsidP="00E3289F">
      <w:pPr>
        <w:spacing w:before="120" w:after="0" w:line="240" w:lineRule="auto"/>
        <w:rPr>
          <w:rFonts w:eastAsia="Calibri"/>
        </w:rPr>
      </w:pPr>
      <w:r w:rsidRPr="00AD01C5">
        <w:rPr>
          <w:rFonts w:eastAsia="Calibri"/>
        </w:rPr>
        <w:t>Nella figura seguente si possono vedere dal punto di vista territoriale come sono distribuiti gli accorpamenti delle differenti localizzazioni in unità di rete e dei servizi ad esse assegnati.</w:t>
      </w:r>
    </w:p>
    <w:p w14:paraId="01625F34" w14:textId="567A8BAA" w:rsidR="00FD2CBB" w:rsidRPr="00AD01C5" w:rsidRDefault="0090539D" w:rsidP="00E3289F">
      <w:pPr>
        <w:spacing w:before="120" w:after="0" w:line="240" w:lineRule="auto"/>
        <w:jc w:val="center"/>
      </w:pPr>
      <w:r w:rsidRPr="00AD01C5">
        <w:rPr>
          <w:rFonts w:eastAsia="Calibri"/>
          <w:noProof/>
        </w:rPr>
        <mc:AlternateContent>
          <mc:Choice Requires="wps">
            <w:drawing>
              <wp:anchor distT="0" distB="0" distL="114300" distR="114300" simplePos="0" relativeHeight="251658246" behindDoc="0" locked="0" layoutInCell="1" allowOverlap="1" wp14:anchorId="668BBEDE" wp14:editId="05D3BE80">
                <wp:simplePos x="0" y="0"/>
                <wp:positionH relativeFrom="margin">
                  <wp:posOffset>2973070</wp:posOffset>
                </wp:positionH>
                <wp:positionV relativeFrom="paragraph">
                  <wp:posOffset>777875</wp:posOffset>
                </wp:positionV>
                <wp:extent cx="2324735" cy="967105"/>
                <wp:effectExtent l="50165" t="6985" r="49530" b="0"/>
                <wp:wrapNone/>
                <wp:docPr id="964786052" name="Ovale 3"/>
                <wp:cNvGraphicFramePr/>
                <a:graphic xmlns:a="http://schemas.openxmlformats.org/drawingml/2006/main">
                  <a:graphicData uri="http://schemas.microsoft.com/office/word/2010/wordprocessingShape">
                    <wps:wsp>
                      <wps:cNvSpPr/>
                      <wps:spPr>
                        <a:xfrm rot="16854120">
                          <a:off x="0" y="0"/>
                          <a:ext cx="2324735" cy="967105"/>
                        </a:xfrm>
                        <a:prstGeom prst="ellipse">
                          <a:avLst/>
                        </a:prstGeom>
                        <a:noFill/>
                        <a:ln w="12700" cap="rnd" cmpd="sng" algn="ctr">
                          <a:solidFill>
                            <a:srgbClr val="FFC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arto="http://schemas.microsoft.com/office/word/2006/arto">
            <w:pict>
              <v:oval w14:anchorId="6840D3DC" id="Ovale 3" o:spid="_x0000_s1026" style="position:absolute;margin-left:234.1pt;margin-top:61.25pt;width:183.05pt;height:76.15pt;rotation:-5183767fd;z-index:251658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" filled="f" strokecolor="#ffc000" strokeweight="1pt">
                <v:stroke endcap="round"/>
                <w10:wrap anchorx="margin"/>
              </v:oval>
            </w:pict>
          </mc:Fallback>
        </mc:AlternateContent>
      </w:r>
      <w:r w:rsidR="00FD2CBB" w:rsidRPr="00AD01C5">
        <w:rPr>
          <w:rFonts w:eastAsia="Calibri"/>
          <w:noProof/>
        </w:rPr>
        <mc:AlternateContent>
          <mc:Choice Requires="wps">
            <w:drawing>
              <wp:anchor distT="0" distB="0" distL="114300" distR="114300" simplePos="0" relativeHeight="251658251" behindDoc="0" locked="0" layoutInCell="1" allowOverlap="1" wp14:anchorId="427BF3C2" wp14:editId="28432EAC">
                <wp:simplePos x="0" y="0"/>
                <wp:positionH relativeFrom="margin">
                  <wp:posOffset>2893882</wp:posOffset>
                </wp:positionH>
                <wp:positionV relativeFrom="paragraph">
                  <wp:posOffset>1792861</wp:posOffset>
                </wp:positionV>
                <wp:extent cx="1843595" cy="890023"/>
                <wp:effectExtent l="0" t="76200" r="0" b="81915"/>
                <wp:wrapNone/>
                <wp:docPr id="526902044" name="Ovale 3"/>
                <wp:cNvGraphicFramePr/>
                <a:graphic xmlns:a="http://schemas.openxmlformats.org/drawingml/2006/main">
                  <a:graphicData uri="http://schemas.microsoft.com/office/word/2010/wordprocessingShape">
                    <wps:wsp>
                      <wps:cNvSpPr/>
                      <wps:spPr>
                        <a:xfrm rot="20522223">
                          <a:off x="0" y="0"/>
                          <a:ext cx="1843595" cy="890023"/>
                        </a:xfrm>
                        <a:prstGeom prst="ellipse">
                          <a:avLst/>
                        </a:prstGeom>
                        <a:noFill/>
                        <a:ln w="12700" cap="rnd" cmpd="sng" algn="ctr">
                          <a:solidFill>
                            <a:schemeClr val="accent3">
                              <a:lumMod val="40000"/>
                              <a:lumOff val="60000"/>
                            </a:scheme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arto="http://schemas.microsoft.com/office/word/2006/arto">
            <w:pict>
              <v:oval w14:anchorId="202D902B" id="Ovale 3" o:spid="_x0000_s1026" style="position:absolute;margin-left:227.85pt;margin-top:141.15pt;width:145.15pt;height:70.1pt;rotation:-1177220fd;z-index:25165825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" filled="f" strokecolor="#93f4f9 [1302]" strokeweight="1pt">
                <v:stroke endcap="round"/>
                <w10:wrap anchorx="margin"/>
              </v:oval>
            </w:pict>
          </mc:Fallback>
        </mc:AlternateContent>
      </w:r>
      <w:r w:rsidR="00FD2CBB" w:rsidRPr="00AD01C5">
        <w:rPr>
          <w:rFonts w:eastAsia="Calibri"/>
          <w:noProof/>
        </w:rPr>
        <mc:AlternateContent>
          <mc:Choice Requires="wps">
            <w:drawing>
              <wp:anchor distT="0" distB="0" distL="114300" distR="114300" simplePos="0" relativeHeight="251658250" behindDoc="0" locked="0" layoutInCell="1" allowOverlap="1" wp14:anchorId="3462441E" wp14:editId="38DBFF40">
                <wp:simplePos x="0" y="0"/>
                <wp:positionH relativeFrom="margin">
                  <wp:posOffset>1224697</wp:posOffset>
                </wp:positionH>
                <wp:positionV relativeFrom="paragraph">
                  <wp:posOffset>2438534</wp:posOffset>
                </wp:positionV>
                <wp:extent cx="2372794" cy="1216023"/>
                <wp:effectExtent l="0" t="95250" r="0" b="99060"/>
                <wp:wrapNone/>
                <wp:docPr id="1171481565" name="Ovale 3"/>
                <wp:cNvGraphicFramePr/>
                <a:graphic xmlns:a="http://schemas.openxmlformats.org/drawingml/2006/main">
                  <a:graphicData uri="http://schemas.microsoft.com/office/word/2010/wordprocessingShape">
                    <wps:wsp>
                      <wps:cNvSpPr/>
                      <wps:spPr>
                        <a:xfrm rot="20522223">
                          <a:off x="0" y="0"/>
                          <a:ext cx="2372794" cy="1216023"/>
                        </a:xfrm>
                        <a:prstGeom prst="ellipse">
                          <a:avLst/>
                        </a:prstGeom>
                        <a:noFill/>
                        <a:ln w="12700" cap="rnd" cmpd="sng" algn="ctr">
                          <a:solidFill>
                            <a:srgbClr val="DB2DAD"/>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arto="http://schemas.microsoft.com/office/word/2006/arto">
            <w:pict>
              <v:oval w14:anchorId="704823CC" id="Ovale 3" o:spid="_x0000_s1026" style="position:absolute;margin-left:96.45pt;margin-top:192pt;width:186.85pt;height:95.75pt;rotation:-1177220fd;z-index:2516582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" filled="f" strokecolor="#db2dad" strokeweight="1pt">
                <v:stroke endcap="round"/>
                <w10:wrap anchorx="margin"/>
              </v:oval>
            </w:pict>
          </mc:Fallback>
        </mc:AlternateContent>
      </w:r>
      <w:r w:rsidR="00FD2CBB" w:rsidRPr="00AD01C5">
        <w:rPr>
          <w:rFonts w:eastAsia="Calibri"/>
          <w:noProof/>
        </w:rPr>
        <mc:AlternateContent>
          <mc:Choice Requires="wps">
            <w:drawing>
              <wp:anchor distT="0" distB="0" distL="114300" distR="114300" simplePos="0" relativeHeight="251658244" behindDoc="0" locked="0" layoutInCell="1" allowOverlap="1" wp14:anchorId="6ADC179C" wp14:editId="1882A1F4">
                <wp:simplePos x="0" y="0"/>
                <wp:positionH relativeFrom="margin">
                  <wp:posOffset>589465</wp:posOffset>
                </wp:positionH>
                <wp:positionV relativeFrom="paragraph">
                  <wp:posOffset>736132</wp:posOffset>
                </wp:positionV>
                <wp:extent cx="3269919" cy="1743297"/>
                <wp:effectExtent l="0" t="114300" r="0" b="123825"/>
                <wp:wrapNone/>
                <wp:docPr id="1873360395" name="Ovale 3"/>
                <wp:cNvGraphicFramePr/>
                <a:graphic xmlns:a="http://schemas.openxmlformats.org/drawingml/2006/main">
                  <a:graphicData uri="http://schemas.microsoft.com/office/word/2010/wordprocessingShape">
                    <wps:wsp>
                      <wps:cNvSpPr/>
                      <wps:spPr>
                        <a:xfrm rot="20522223">
                          <a:off x="0" y="0"/>
                          <a:ext cx="3269919" cy="1743297"/>
                        </a:xfrm>
                        <a:prstGeom prst="ellipse">
                          <a:avLst/>
                        </a:prstGeom>
                        <a:noFill/>
                        <a:ln w="12700" cap="rnd" cmpd="sng" algn="ctr">
                          <a:solidFill>
                            <a:schemeClr val="accent5">
                              <a:lumMod val="60000"/>
                              <a:lumOff val="40000"/>
                            </a:scheme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arto="http://schemas.microsoft.com/office/word/2006/arto">
            <w:pict>
              <v:oval w14:anchorId="169CB241" id="Ovale 3" o:spid="_x0000_s1026" style="position:absolute;margin-left:46.4pt;margin-top:57.95pt;width:257.45pt;height:137.25pt;rotation:-1177220fd;z-index:25165824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" filled="f" strokecolor="#b0dfa0 [1944]" strokeweight="1pt">
                <v:stroke endcap="round"/>
                <w10:wrap anchorx="margin"/>
              </v:oval>
            </w:pict>
          </mc:Fallback>
        </mc:AlternateContent>
      </w:r>
      <w:r w:rsidR="00FD2CBB" w:rsidRPr="00AD01C5">
        <w:rPr>
          <w:rFonts w:eastAsia="Calibri"/>
          <w:noProof/>
        </w:rPr>
        <mc:AlternateContent>
          <mc:Choice Requires="wps">
            <w:drawing>
              <wp:anchor distT="0" distB="0" distL="114300" distR="114300" simplePos="0" relativeHeight="251658245" behindDoc="0" locked="0" layoutInCell="1" allowOverlap="1" wp14:anchorId="4643EAB5" wp14:editId="36900B1B">
                <wp:simplePos x="0" y="0"/>
                <wp:positionH relativeFrom="margin">
                  <wp:posOffset>3199129</wp:posOffset>
                </wp:positionH>
                <wp:positionV relativeFrom="paragraph">
                  <wp:posOffset>2185670</wp:posOffset>
                </wp:positionV>
                <wp:extent cx="1314163" cy="1686675"/>
                <wp:effectExtent l="19050" t="19050" r="19685" b="8890"/>
                <wp:wrapNone/>
                <wp:docPr id="445351593" name="Ovale 3"/>
                <wp:cNvGraphicFramePr/>
                <a:graphic xmlns:a="http://schemas.openxmlformats.org/drawingml/2006/main">
                  <a:graphicData uri="http://schemas.microsoft.com/office/word/2010/wordprocessingShape">
                    <wps:wsp>
                      <wps:cNvSpPr/>
                      <wps:spPr>
                        <a:xfrm rot="21144964">
                          <a:off x="0" y="0"/>
                          <a:ext cx="1314163" cy="1686675"/>
                        </a:xfrm>
                        <a:prstGeom prst="ellipse">
                          <a:avLst/>
                        </a:prstGeom>
                        <a:noFill/>
                        <a:ln w="12700" cap="rnd" cmpd="sng" algn="ctr">
                          <a:solidFill>
                            <a:srgbClr val="7030A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arto="http://schemas.microsoft.com/office/word/2006/arto">
            <w:pict>
              <v:oval w14:anchorId="04EAE53E" id="Ovale 3" o:spid="_x0000_s1026" style="position:absolute;margin-left:251.9pt;margin-top:172.1pt;width:103.5pt;height:132.8pt;rotation:-497021fd;z-index:25165824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" filled="f" strokecolor="#7030a0" strokeweight="1pt">
                <v:stroke endcap="round"/>
                <w10:wrap anchorx="margin"/>
              </v:oval>
            </w:pict>
          </mc:Fallback>
        </mc:AlternateContent>
      </w:r>
      <w:r w:rsidR="00FD2CBB">
        <w:rPr>
          <w:noProof/>
        </w:rPr>
        <w:drawing>
          <wp:inline distT="0" distB="0" distL="0" distR="0" wp14:anchorId="4F06CD1F" wp14:editId="67558048">
            <wp:extent cx="5762625" cy="4075081"/>
            <wp:effectExtent l="19050" t="19050" r="9525" b="20955"/>
            <wp:docPr id="911899321" name="drawing" descr="Immagine che contiene testo, mappa, diagramma, atlant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899321" name="drawing" descr="Immagine che contiene testo, mappa, diagramma, atlante&#10;&#10;Descrizione generata automaticamente"/>
                    <pic:cNvPicPr/>
                  </pic:nvPicPr>
                  <pic:blipFill>
                    <a:blip r:embed="rId94" cstate="print">
                      <a:extLst>
                        <a:ext uri="{28A0092B-C50C-407E-A947-70E740481C1C}">
                          <a14:useLocalDpi xmlns:a14="http://schemas.microsoft.com/office/drawing/2010/main" val="0"/>
                        </a:ext>
                      </a:extLst>
                    </a:blip>
                    <a:stretch>
                      <a:fillRect/>
                    </a:stretch>
                  </pic:blipFill>
                  <pic:spPr>
                    <a:xfrm>
                      <a:off x="0" y="0"/>
                      <a:ext cx="5762625" cy="4075081"/>
                    </a:xfrm>
                    <a:prstGeom prst="rect">
                      <a:avLst/>
                    </a:prstGeom>
                    <a:ln w="19050">
                      <a:solidFill>
                        <a:srgbClr val="EE3438"/>
                      </a:solidFill>
                    </a:ln>
                  </pic:spPr>
                </pic:pic>
              </a:graphicData>
            </a:graphic>
          </wp:inline>
        </w:drawing>
      </w:r>
    </w:p>
    <w:p w14:paraId="35EAF860" w14:textId="18D4D5B7" w:rsidR="00FD2CBB" w:rsidRPr="00AD01C5" w:rsidRDefault="00FD2CBB" w:rsidP="001E58A7">
      <w:pPr>
        <w:spacing w:after="240" w:line="240" w:lineRule="auto"/>
        <w:jc w:val="center"/>
        <w:rPr>
          <w:rFonts w:eastAsia="Calibri" w:cs="Times New Roman"/>
          <w:i/>
          <w:color w:val="17406D"/>
          <w:sz w:val="18"/>
        </w:rPr>
      </w:pPr>
      <w:bookmarkStart w:id="414" w:name="_Hlk190683514"/>
      <w:r w:rsidRPr="00AD01C5">
        <w:rPr>
          <w:rFonts w:eastAsia="Calibri"/>
          <w:i/>
          <w:color w:val="003366"/>
          <w:sz w:val="18"/>
          <w:szCs w:val="18"/>
        </w:rPr>
        <w:t xml:space="preserve">Figura </w:t>
      </w:r>
      <w:r w:rsidRPr="00B50CF2">
        <w:rPr>
          <w:rFonts w:asciiTheme="minorHAnsi" w:hAnsiTheme="minorHAnsi" w:cstheme="minorHAnsi"/>
          <w:i/>
          <w:color w:val="003366"/>
          <w:sz w:val="18"/>
          <w:szCs w:val="18"/>
          <w14:textOutline w14:w="0" w14:cap="rnd" w14:cmpd="sng" w14:algn="ctr">
            <w14:solidFill>
              <w14:srgbClr w14:val="FF6C6C"/>
            </w14:solidFill>
            <w14:prstDash w14:val="solid"/>
            <w14:bevel/>
          </w14:textOutline>
        </w:rPr>
        <w:fldChar w:fldCharType="begin"/>
      </w:r>
      <w:r w:rsidRPr="71EE7570">
        <w:rPr>
          <w:rFonts w:eastAsia="Calibri"/>
          <w:i/>
          <w:color w:val="17406D" w:themeColor="text2"/>
          <w:sz w:val="18"/>
          <w:szCs w:val="18"/>
        </w:rPr>
        <w:instrText xml:space="preserve"> SEQ Figura \* ARABIC </w:instrText>
      </w:r>
      <w:r w:rsidRPr="00B50CF2">
        <w:rPr>
          <w:rFonts w:asciiTheme="minorHAnsi" w:hAnsiTheme="minorHAnsi" w:cstheme="minorHAnsi"/>
          <w:i/>
          <w:color w:val="003366"/>
          <w:sz w:val="18"/>
          <w:szCs w:val="18"/>
          <w14:textOutline w14:w="0" w14:cap="rnd" w14:cmpd="sng" w14:algn="ctr">
            <w14:solidFill>
              <w14:srgbClr w14:val="FF6C6C"/>
            </w14:solidFill>
            <w14:prstDash w14:val="solid"/>
            <w14:bevel/>
          </w14:textOutline>
        </w:rPr>
        <w:fldChar w:fldCharType="separate"/>
      </w:r>
      <w:r w:rsidR="00073B6D">
        <w:rPr>
          <w:rFonts w:eastAsia="Calibri"/>
          <w:i/>
          <w:noProof/>
          <w:color w:val="17406D" w:themeColor="text2"/>
          <w:sz w:val="18"/>
          <w:szCs w:val="18"/>
        </w:rPr>
        <w:t>39</w:t>
      </w:r>
      <w:r w:rsidRPr="00B50CF2">
        <w:rPr>
          <w:rFonts w:asciiTheme="minorHAnsi" w:hAnsiTheme="minorHAnsi" w:cstheme="minorHAnsi"/>
          <w:i/>
          <w:color w:val="003366"/>
          <w:sz w:val="18"/>
          <w:szCs w:val="18"/>
          <w14:textOutline w14:w="0" w14:cap="rnd" w14:cmpd="sng" w14:algn="ctr">
            <w14:solidFill>
              <w14:srgbClr w14:val="FF6C6C"/>
            </w14:solidFill>
            <w14:prstDash w14:val="solid"/>
            <w14:bevel/>
          </w14:textOutline>
        </w:rPr>
        <w:fldChar w:fldCharType="end"/>
      </w:r>
      <w:r w:rsidRPr="00AD01C5">
        <w:rPr>
          <w:rFonts w:eastAsia="Calibri"/>
          <w:color w:val="003366"/>
          <w:sz w:val="18"/>
          <w:szCs w:val="18"/>
        </w:rPr>
        <w:t xml:space="preserve"> – </w:t>
      </w:r>
      <w:r w:rsidRPr="71EE7570">
        <w:rPr>
          <w:rFonts w:eastAsia="Calibri"/>
          <w:i/>
          <w:color w:val="17406D" w:themeColor="text2"/>
          <w:sz w:val="18"/>
          <w:szCs w:val="18"/>
        </w:rPr>
        <w:t xml:space="preserve">Configurazione territoriale unità di rete  </w:t>
      </w:r>
    </w:p>
    <w:p w14:paraId="12475458" w14:textId="6D6A019B" w:rsidR="00FD2CBB" w:rsidRDefault="00FD2CBB" w:rsidP="00E3289F">
      <w:pPr>
        <w:spacing w:before="120" w:after="0" w:line="240" w:lineRule="auto"/>
        <w:rPr>
          <w:rFonts w:eastAsia="Calibri"/>
        </w:rPr>
      </w:pPr>
      <w:r w:rsidRPr="71EE7570">
        <w:rPr>
          <w:rFonts w:eastAsia="Calibri"/>
        </w:rPr>
        <w:t xml:space="preserve">Come si evince dalla lettura della </w:t>
      </w:r>
      <w:r w:rsidR="00B94AB9" w:rsidRPr="00F94C83">
        <w:rPr>
          <w:rFonts w:eastAsia="Calibri"/>
          <w:color w:val="000000"/>
        </w:rPr>
        <w:fldChar w:fldCharType="begin"/>
      </w:r>
      <w:r w:rsidR="00B94AB9" w:rsidRPr="00F94C83">
        <w:rPr>
          <w:rFonts w:eastAsia="Calibri"/>
          <w:color w:val="000000"/>
        </w:rPr>
        <w:instrText xml:space="preserve"> REF _Ref212925451 \h  \* MERGEFORMAT </w:instrText>
      </w:r>
      <w:r w:rsidR="00B94AB9" w:rsidRPr="00F94C83">
        <w:rPr>
          <w:rFonts w:eastAsia="Calibri"/>
          <w:color w:val="000000"/>
        </w:rPr>
      </w:r>
      <w:r w:rsidR="00B94AB9" w:rsidRPr="00F94C83">
        <w:rPr>
          <w:rFonts w:eastAsia="Calibri"/>
          <w:color w:val="000000"/>
        </w:rPr>
        <w:fldChar w:fldCharType="separate"/>
      </w:r>
      <w:r w:rsidR="00073B6D" w:rsidRPr="00073B6D">
        <w:rPr>
          <w:rFonts w:eastAsia="Calibri"/>
          <w:color w:val="000000"/>
        </w:rPr>
        <w:t xml:space="preserve">Tabella </w:t>
      </w:r>
      <w:r w:rsidR="00073B6D" w:rsidRPr="00073B6D">
        <w:rPr>
          <w:rFonts w:cstheme="minorHAnsi"/>
          <w:noProof/>
          <w:color w:val="000000"/>
        </w:rPr>
        <w:t xml:space="preserve">55 </w:t>
      </w:r>
      <w:r w:rsidR="00073B6D" w:rsidRPr="00073B6D">
        <w:rPr>
          <w:rFonts w:eastAsia="Calibri"/>
          <w:color w:val="000000"/>
        </w:rPr>
        <w:t xml:space="preserve">– </w:t>
      </w:r>
      <w:r w:rsidR="00073B6D" w:rsidRPr="00073B6D">
        <w:rPr>
          <w:rFonts w:eastAsia="Calibri" w:cs="Calibri"/>
          <w:color w:val="000000"/>
        </w:rPr>
        <w:t>Unità di rete: descrizione dei parametri principali</w:t>
      </w:r>
      <w:r w:rsidR="00B94AB9" w:rsidRPr="00F94C83">
        <w:rPr>
          <w:rFonts w:eastAsia="Calibri"/>
          <w:color w:val="000000"/>
        </w:rPr>
        <w:fldChar w:fldCharType="end"/>
      </w:r>
      <w:r w:rsidRPr="71EE7570">
        <w:rPr>
          <w:rFonts w:eastAsia="Calibri"/>
        </w:rPr>
        <w:t xml:space="preserve"> le scelte adottate hanno portato all’individuazione di un’unità di rete periurbana di dimensioni al disotto della dimensione ottimale di 4 milioni di chilometri/anno. Occorre però sottolineare che, nell’ottica di un affidamento </w:t>
      </w:r>
      <w:r w:rsidRPr="71EE7570">
        <w:rPr>
          <w:rFonts w:eastAsia="Calibri"/>
          <w:i/>
        </w:rPr>
        <w:t>in-house</w:t>
      </w:r>
      <w:r w:rsidRPr="71EE7570">
        <w:rPr>
          <w:rFonts w:eastAsia="Calibri"/>
        </w:rPr>
        <w:t xml:space="preserve"> alla società GTT spa che opera sul territorio urbano e suburbano della città di Torino, è plausibile pensare ad una gestione aziendale unitaria delle linee periurbane e delle linee suburbane con caratteristiche funzionali (operaie, scolastiche, di collegamento periurbano) gestionali </w:t>
      </w:r>
      <w:r w:rsidR="0099601A" w:rsidRPr="71EE7570">
        <w:rPr>
          <w:rFonts w:eastAsia="Calibri"/>
        </w:rPr>
        <w:t xml:space="preserve">simili </w:t>
      </w:r>
      <w:r w:rsidRPr="71EE7570">
        <w:rPr>
          <w:rFonts w:eastAsia="Calibri"/>
        </w:rPr>
        <w:t xml:space="preserve">(Bus 12 metri), e pertanto ad un’unica unità di rete. </w:t>
      </w:r>
    </w:p>
    <w:p w14:paraId="3B9F540F" w14:textId="06B5BB6C" w:rsidR="00E3289F" w:rsidRDefault="00FD2CBB" w:rsidP="00EC5524">
      <w:pPr>
        <w:spacing w:before="120" w:line="240" w:lineRule="auto"/>
        <w:rPr>
          <w:rFonts w:eastAsia="Calibri"/>
        </w:rPr>
      </w:pPr>
      <w:r w:rsidRPr="02843E5F">
        <w:rPr>
          <w:rFonts w:eastAsia="Calibri"/>
        </w:rPr>
        <w:lastRenderedPageBreak/>
        <w:t>Di seguito si riporta l’elenco delle linee suburbane individuate a completamento dell’unità di rete 5.</w:t>
      </w:r>
    </w:p>
    <w:p w14:paraId="7B41E650" w14:textId="77777777" w:rsidR="00FD2CBB" w:rsidRDefault="00FD2CBB" w:rsidP="00FD2CBB">
      <w:pPr>
        <w:spacing w:before="120" w:after="0" w:line="240" w:lineRule="auto"/>
      </w:pPr>
      <w:r w:rsidRPr="00675D29">
        <w:rPr>
          <w:noProof/>
        </w:rPr>
        <w:drawing>
          <wp:inline distT="0" distB="0" distL="0" distR="0" wp14:anchorId="0C88BF8C" wp14:editId="7529032C">
            <wp:extent cx="5759450" cy="2971165"/>
            <wp:effectExtent l="0" t="0" r="0" b="635"/>
            <wp:docPr id="106343080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5759450" cy="2971165"/>
                    </a:xfrm>
                    <a:prstGeom prst="rect">
                      <a:avLst/>
                    </a:prstGeom>
                    <a:noFill/>
                    <a:ln>
                      <a:noFill/>
                    </a:ln>
                  </pic:spPr>
                </pic:pic>
              </a:graphicData>
            </a:graphic>
          </wp:inline>
        </w:drawing>
      </w:r>
    </w:p>
    <w:p w14:paraId="2A2D936F" w14:textId="5E455F9F" w:rsidR="00FD2CBB" w:rsidRPr="00675D29" w:rsidRDefault="00FD2CBB" w:rsidP="00C14FD6">
      <w:pPr>
        <w:spacing w:after="240" w:line="240" w:lineRule="auto"/>
        <w:jc w:val="center"/>
        <w:rPr>
          <w:rFonts w:eastAsia="Calibri"/>
          <w:i/>
          <w:color w:val="17406D" w:themeColor="text2"/>
          <w:sz w:val="18"/>
          <w:szCs w:val="18"/>
        </w:rPr>
      </w:pPr>
      <w:bookmarkStart w:id="415" w:name="_Ref212976149"/>
      <w:r w:rsidRPr="00BF35BC">
        <w:rPr>
          <w:rFonts w:eastAsia="Calibri"/>
          <w:i/>
          <w:color w:val="003366"/>
          <w:sz w:val="18"/>
          <w:szCs w:val="18"/>
        </w:rPr>
        <w:t xml:space="preserve">Tabella </w:t>
      </w:r>
      <w:r w:rsidRPr="00BF35BC">
        <w:rPr>
          <w:rFonts w:cstheme="minorHAnsi"/>
          <w:i/>
          <w:color w:val="003366"/>
          <w:sz w:val="18"/>
          <w:szCs w:val="18"/>
        </w:rPr>
        <w:fldChar w:fldCharType="begin"/>
      </w:r>
      <w:r w:rsidRPr="71EE7570">
        <w:rPr>
          <w:rFonts w:eastAsia="Calibri"/>
          <w:i/>
          <w:color w:val="17406D" w:themeColor="text2"/>
          <w:sz w:val="18"/>
          <w:szCs w:val="18"/>
        </w:rPr>
        <w:instrText xml:space="preserve"> SEQ Tabella \* ARABIC </w:instrText>
      </w:r>
      <w:r w:rsidRPr="00BF35BC">
        <w:rPr>
          <w:rFonts w:cstheme="minorHAnsi"/>
          <w:i/>
          <w:color w:val="003366"/>
          <w:sz w:val="18"/>
          <w:szCs w:val="18"/>
        </w:rPr>
        <w:fldChar w:fldCharType="separate"/>
      </w:r>
      <w:r w:rsidR="00073B6D">
        <w:rPr>
          <w:rFonts w:eastAsia="Calibri"/>
          <w:i/>
          <w:noProof/>
          <w:color w:val="17406D" w:themeColor="text2"/>
          <w:sz w:val="18"/>
          <w:szCs w:val="18"/>
        </w:rPr>
        <w:t>56</w:t>
      </w:r>
      <w:r w:rsidRPr="00BF35BC">
        <w:rPr>
          <w:rFonts w:cstheme="minorHAnsi"/>
          <w:i/>
          <w:color w:val="003366"/>
          <w:sz w:val="18"/>
          <w:szCs w:val="18"/>
        </w:rPr>
        <w:fldChar w:fldCharType="end"/>
      </w:r>
      <w:bookmarkEnd w:id="415"/>
      <w:r w:rsidRPr="00BF35BC">
        <w:rPr>
          <w:rFonts w:cstheme="minorHAnsi"/>
          <w:i/>
          <w:color w:val="003366"/>
          <w:sz w:val="18"/>
          <w:szCs w:val="18"/>
        </w:rPr>
        <w:t xml:space="preserve"> </w:t>
      </w:r>
      <w:r w:rsidRPr="00BF35BC">
        <w:rPr>
          <w:rFonts w:eastAsia="Calibri"/>
          <w:color w:val="003366"/>
          <w:sz w:val="18"/>
          <w:szCs w:val="18"/>
        </w:rPr>
        <w:t xml:space="preserve">– </w:t>
      </w:r>
      <w:r w:rsidRPr="71EE7570">
        <w:rPr>
          <w:rFonts w:eastAsia="Calibri"/>
          <w:color w:val="17406D" w:themeColor="text2"/>
          <w:sz w:val="18"/>
          <w:szCs w:val="18"/>
        </w:rPr>
        <w:t>Linee suburbane di Torino assegnate all’unità di rete 5</w:t>
      </w:r>
    </w:p>
    <w:p w14:paraId="6312F8D1" w14:textId="594B97F8" w:rsidR="00F06926" w:rsidRPr="00F06926" w:rsidRDefault="00F06926" w:rsidP="00F06926">
      <w:pPr>
        <w:spacing w:before="120" w:after="0" w:line="240" w:lineRule="auto"/>
        <w:rPr>
          <w:rFonts w:eastAsia="Calibri"/>
        </w:rPr>
      </w:pPr>
      <w:bookmarkStart w:id="416" w:name="_Ref192579067"/>
      <w:bookmarkStart w:id="417" w:name="_Ref192580318"/>
      <w:bookmarkStart w:id="418" w:name="_Ref192580336"/>
      <w:bookmarkStart w:id="419" w:name="_Toc193195796"/>
      <w:bookmarkStart w:id="420" w:name="_Toc35482313"/>
      <w:bookmarkStart w:id="421" w:name="_Toc197695724"/>
      <w:bookmarkStart w:id="422" w:name="_Toc204616533"/>
      <w:bookmarkEnd w:id="414"/>
      <w:r w:rsidRPr="00F06926">
        <w:rPr>
          <w:rFonts w:eastAsia="Calibri"/>
        </w:rPr>
        <w:t xml:space="preserve">Le linee </w:t>
      </w:r>
      <w:r w:rsidR="00890300">
        <w:rPr>
          <w:rFonts w:eastAsia="Calibri"/>
        </w:rPr>
        <w:t>individuate</w:t>
      </w:r>
      <w:r w:rsidRPr="00F06926">
        <w:rPr>
          <w:rFonts w:eastAsia="Calibri"/>
        </w:rPr>
        <w:t>, come si evince dalla figura sottostante, ricadono in un’area ad alta densità abitativa.</w:t>
      </w:r>
    </w:p>
    <w:p w14:paraId="69E042B7" w14:textId="77777777" w:rsidR="00F06926" w:rsidRPr="00F06926" w:rsidRDefault="00F06926" w:rsidP="001F6F7C">
      <w:pPr>
        <w:keepNext/>
        <w:spacing w:before="120" w:after="0" w:line="240" w:lineRule="auto"/>
        <w:jc w:val="center"/>
        <w:rPr>
          <w:rFonts w:asciiTheme="minorHAnsi" w:hAnsiTheme="minorHAnsi" w:cstheme="minorBidi"/>
        </w:rPr>
      </w:pPr>
      <w:r w:rsidRPr="00F06926">
        <w:rPr>
          <w:rFonts w:eastAsia="Calibri"/>
          <w:noProof/>
        </w:rPr>
        <w:drawing>
          <wp:inline distT="0" distB="0" distL="0" distR="0" wp14:anchorId="6453AB4B" wp14:editId="7019D161">
            <wp:extent cx="5760000" cy="4073225"/>
            <wp:effectExtent l="19050" t="19050" r="12700" b="22860"/>
            <wp:docPr id="1149796628" name="Immagine 1" descr="Immagine che contiene mappa, testo, diagramma, atlant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796628" name="Immagine 1" descr="Immagine che contiene mappa, testo, diagramma, atlante&#10;&#10;Descrizione generata automaticamente"/>
                    <pic:cNvPicPr/>
                  </pic:nvPicPr>
                  <pic:blipFill>
                    <a:blip r:embed="rId96" cstate="print">
                      <a:extLst>
                        <a:ext uri="{28A0092B-C50C-407E-A947-70E740481C1C}">
                          <a14:useLocalDpi xmlns:a14="http://schemas.microsoft.com/office/drawing/2010/main" val="0"/>
                        </a:ext>
                      </a:extLst>
                    </a:blip>
                    <a:stretch>
                      <a:fillRect/>
                    </a:stretch>
                  </pic:blipFill>
                  <pic:spPr>
                    <a:xfrm>
                      <a:off x="0" y="0"/>
                      <a:ext cx="5760000" cy="4073225"/>
                    </a:xfrm>
                    <a:prstGeom prst="rect">
                      <a:avLst/>
                    </a:prstGeom>
                    <a:ln w="19050">
                      <a:solidFill>
                        <a:srgbClr val="EE3438"/>
                      </a:solidFill>
                    </a:ln>
                  </pic:spPr>
                </pic:pic>
              </a:graphicData>
            </a:graphic>
          </wp:inline>
        </w:drawing>
      </w:r>
    </w:p>
    <w:p w14:paraId="48E7269A" w14:textId="40DAA98A" w:rsidR="00370AC0" w:rsidRDefault="00F06926" w:rsidP="001F6F7C">
      <w:pPr>
        <w:spacing w:after="240" w:line="240" w:lineRule="auto"/>
        <w:jc w:val="center"/>
        <w:rPr>
          <w:rFonts w:eastAsia="Calibri"/>
        </w:rPr>
      </w:pPr>
      <w:r w:rsidRPr="00AD01C5">
        <w:rPr>
          <w:rFonts w:eastAsia="Calibri"/>
          <w:i/>
          <w:color w:val="003366"/>
          <w:sz w:val="18"/>
          <w:szCs w:val="18"/>
        </w:rPr>
        <w:t xml:space="preserve">Figura </w:t>
      </w:r>
      <w:r w:rsidRPr="00B50CF2">
        <w:rPr>
          <w:rFonts w:asciiTheme="minorHAnsi" w:hAnsiTheme="minorHAnsi" w:cstheme="minorHAnsi"/>
          <w:i/>
          <w:color w:val="003366"/>
          <w:sz w:val="18"/>
          <w:szCs w:val="18"/>
          <w14:textOutline w14:w="0" w14:cap="rnd" w14:cmpd="sng" w14:algn="ctr">
            <w14:solidFill>
              <w14:srgbClr w14:val="FF6C6C"/>
            </w14:solidFill>
            <w14:prstDash w14:val="solid"/>
            <w14:bevel/>
          </w14:textOutline>
        </w:rPr>
        <w:fldChar w:fldCharType="begin"/>
      </w:r>
      <w:r w:rsidRPr="00F06926">
        <w:rPr>
          <w:rFonts w:eastAsia="Calibri"/>
          <w:i/>
          <w:color w:val="17406D" w:themeColor="text2"/>
          <w:sz w:val="18"/>
          <w:szCs w:val="18"/>
        </w:rPr>
        <w:instrText xml:space="preserve"> SEQ Figura \* ARABIC </w:instrText>
      </w:r>
      <w:r w:rsidRPr="00B50CF2">
        <w:rPr>
          <w:rFonts w:asciiTheme="minorHAnsi" w:hAnsiTheme="minorHAnsi" w:cstheme="minorHAnsi"/>
          <w:i/>
          <w:color w:val="003366"/>
          <w:sz w:val="18"/>
          <w:szCs w:val="18"/>
          <w14:textOutline w14:w="0" w14:cap="rnd" w14:cmpd="sng" w14:algn="ctr">
            <w14:solidFill>
              <w14:srgbClr w14:val="FF6C6C"/>
            </w14:solidFill>
            <w14:prstDash w14:val="solid"/>
            <w14:bevel/>
          </w14:textOutline>
        </w:rPr>
        <w:fldChar w:fldCharType="separate"/>
      </w:r>
      <w:r w:rsidR="00073B6D">
        <w:rPr>
          <w:rFonts w:eastAsia="Calibri"/>
          <w:i/>
          <w:noProof/>
          <w:color w:val="17406D" w:themeColor="text2"/>
          <w:sz w:val="18"/>
          <w:szCs w:val="18"/>
        </w:rPr>
        <w:t>40</w:t>
      </w:r>
      <w:r w:rsidRPr="00B50CF2">
        <w:rPr>
          <w:rFonts w:asciiTheme="minorHAnsi" w:hAnsiTheme="minorHAnsi" w:cstheme="minorHAnsi"/>
          <w:i/>
          <w:color w:val="003366"/>
          <w:sz w:val="18"/>
          <w:szCs w:val="18"/>
          <w14:textOutline w14:w="0" w14:cap="rnd" w14:cmpd="sng" w14:algn="ctr">
            <w14:solidFill>
              <w14:srgbClr w14:val="FF6C6C"/>
            </w14:solidFill>
            <w14:prstDash w14:val="solid"/>
            <w14:bevel/>
          </w14:textOutline>
        </w:rPr>
        <w:fldChar w:fldCharType="end"/>
      </w:r>
      <w:r w:rsidRPr="00AD01C5">
        <w:rPr>
          <w:rFonts w:eastAsia="Calibri"/>
          <w:color w:val="003366"/>
          <w:sz w:val="18"/>
          <w:szCs w:val="18"/>
        </w:rPr>
        <w:t xml:space="preserve"> </w:t>
      </w:r>
      <w:r w:rsidR="00041441" w:rsidRPr="00AD01C5">
        <w:rPr>
          <w:rFonts w:eastAsia="Calibri"/>
          <w:iCs/>
          <w:color w:val="003366"/>
          <w:sz w:val="18"/>
          <w:szCs w:val="18"/>
        </w:rPr>
        <w:t>–</w:t>
      </w:r>
      <w:r w:rsidRPr="00AD01C5">
        <w:rPr>
          <w:rFonts w:eastAsia="Calibri"/>
          <w:color w:val="003366"/>
          <w:sz w:val="18"/>
          <w:szCs w:val="18"/>
        </w:rPr>
        <w:t xml:space="preserve"> </w:t>
      </w:r>
      <w:r w:rsidRPr="00F06926">
        <w:rPr>
          <w:rFonts w:eastAsia="Calibri"/>
          <w:i/>
          <w:iCs/>
          <w:color w:val="17406D" w:themeColor="text2"/>
          <w:sz w:val="18"/>
          <w:szCs w:val="18"/>
        </w:rPr>
        <w:t>Linee afferenti all'area ad alta densità abitativa</w:t>
      </w:r>
    </w:p>
    <w:p w14:paraId="431F2F59" w14:textId="146287FD" w:rsidR="00FD2CBB" w:rsidRDefault="00FD2CBB" w:rsidP="002346E0">
      <w:pPr>
        <w:spacing w:before="120" w:line="240" w:lineRule="auto"/>
        <w:rPr>
          <w:rFonts w:eastAsia="Calibri"/>
        </w:rPr>
      </w:pPr>
      <w:r w:rsidRPr="00AD01C5">
        <w:rPr>
          <w:rFonts w:eastAsia="Calibri"/>
        </w:rPr>
        <w:t>Con i parametri calcolati per</w:t>
      </w:r>
      <w:r>
        <w:rPr>
          <w:rFonts w:eastAsia="Calibri"/>
        </w:rPr>
        <w:t xml:space="preserve"> i servizi di</w:t>
      </w:r>
      <w:r w:rsidRPr="00AD01C5">
        <w:rPr>
          <w:rFonts w:eastAsia="Calibri"/>
        </w:rPr>
        <w:t xml:space="preserve"> ciascuna unità di rete </w:t>
      </w:r>
      <w:r w:rsidR="0070155F" w:rsidRPr="008D51EF">
        <w:rPr>
          <w:rFonts w:eastAsia="Calibri"/>
        </w:rPr>
        <w:t>(</w:t>
      </w:r>
      <w:r w:rsidR="005566CB">
        <w:rPr>
          <w:rFonts w:eastAsia="Calibri"/>
        </w:rPr>
        <w:t xml:space="preserve">la </w:t>
      </w:r>
      <w:r w:rsidR="0070155F" w:rsidRPr="008D51EF">
        <w:rPr>
          <w:rFonts w:eastAsia="Calibri"/>
        </w:rPr>
        <w:t xml:space="preserve">velocità </w:t>
      </w:r>
      <w:r w:rsidR="00BA582C">
        <w:rPr>
          <w:rFonts w:eastAsia="Calibri"/>
        </w:rPr>
        <w:t>programmata</w:t>
      </w:r>
      <w:r w:rsidR="005566CB">
        <w:rPr>
          <w:rFonts w:eastAsia="Calibri"/>
        </w:rPr>
        <w:t xml:space="preserve"> e standard </w:t>
      </w:r>
      <w:r w:rsidR="009265DF">
        <w:rPr>
          <w:rFonts w:eastAsia="Calibri"/>
        </w:rPr>
        <w:t>dell’unità di rete</w:t>
      </w:r>
      <w:r w:rsidR="0070155F" w:rsidRPr="008D51EF">
        <w:rPr>
          <w:rFonts w:eastAsia="Calibri"/>
        </w:rPr>
        <w:t xml:space="preserve"> </w:t>
      </w:r>
      <w:r w:rsidR="0005210A" w:rsidRPr="008D51EF">
        <w:rPr>
          <w:rFonts w:eastAsia="Calibri"/>
        </w:rPr>
        <w:t>UR5</w:t>
      </w:r>
      <w:r w:rsidR="009265DF">
        <w:rPr>
          <w:rFonts w:eastAsia="Calibri"/>
        </w:rPr>
        <w:t xml:space="preserve"> è stata calcolata </w:t>
      </w:r>
      <w:r w:rsidR="00BA582C">
        <w:rPr>
          <w:rFonts w:eastAsia="Calibri"/>
        </w:rPr>
        <w:t>facendo la media ponderata d</w:t>
      </w:r>
      <w:r w:rsidR="00D017CC">
        <w:rPr>
          <w:rFonts w:eastAsia="Calibri"/>
        </w:rPr>
        <w:t xml:space="preserve">elle velocità delle linee periurbane </w:t>
      </w:r>
      <w:r w:rsidR="00D017CC">
        <w:rPr>
          <w:rFonts w:eastAsia="Calibri"/>
        </w:rPr>
        <w:lastRenderedPageBreak/>
        <w:t xml:space="preserve">riportate in </w:t>
      </w:r>
      <w:r w:rsidR="00134336">
        <w:rPr>
          <w:rFonts w:eastAsia="Calibri"/>
        </w:rPr>
        <w:fldChar w:fldCharType="begin"/>
      </w:r>
      <w:r w:rsidR="00134336">
        <w:rPr>
          <w:rFonts w:eastAsia="Calibri"/>
        </w:rPr>
        <w:instrText xml:space="preserve"> REF _Ref212965802 \h </w:instrText>
      </w:r>
      <w:r w:rsidR="00A15064">
        <w:rPr>
          <w:rFonts w:eastAsia="Calibri"/>
        </w:rPr>
        <w:instrText xml:space="preserve"> \* MERGEFORMAT </w:instrText>
      </w:r>
      <w:r w:rsidR="00134336">
        <w:rPr>
          <w:rFonts w:eastAsia="Calibri"/>
        </w:rPr>
      </w:r>
      <w:r w:rsidR="00134336">
        <w:rPr>
          <w:rFonts w:eastAsia="Calibri"/>
        </w:rPr>
        <w:fldChar w:fldCharType="separate"/>
      </w:r>
      <w:r w:rsidR="00073B6D" w:rsidRPr="00073B6D">
        <w:rPr>
          <w:rFonts w:eastAsia="Calibri"/>
        </w:rPr>
        <w:t>Tabella 55</w:t>
      </w:r>
      <w:r w:rsidR="00134336">
        <w:rPr>
          <w:rFonts w:eastAsia="Calibri"/>
        </w:rPr>
        <w:fldChar w:fldCharType="end"/>
      </w:r>
      <w:r w:rsidR="00134336">
        <w:rPr>
          <w:rFonts w:eastAsia="Calibri"/>
        </w:rPr>
        <w:t xml:space="preserve"> </w:t>
      </w:r>
      <w:r w:rsidR="00B502C8">
        <w:rPr>
          <w:rFonts w:eastAsia="Calibri"/>
        </w:rPr>
        <w:t>e delle velocità de</w:t>
      </w:r>
      <w:r w:rsidR="00F069D8">
        <w:rPr>
          <w:rFonts w:eastAsia="Calibri"/>
        </w:rPr>
        <w:t xml:space="preserve">lle linee suburbane aggiunte all’unità di rete che </w:t>
      </w:r>
      <w:r w:rsidR="00F724C4">
        <w:rPr>
          <w:rFonts w:eastAsia="Calibri"/>
        </w:rPr>
        <w:t xml:space="preserve">sono uguali a </w:t>
      </w:r>
      <w:r w:rsidR="00196EAF">
        <w:rPr>
          <w:rFonts w:eastAsia="Calibri"/>
        </w:rPr>
        <w:t>20,75</w:t>
      </w:r>
      <w:r w:rsidR="00277C52">
        <w:rPr>
          <w:rFonts w:eastAsia="Calibri"/>
        </w:rPr>
        <w:t xml:space="preserve"> km/h</w:t>
      </w:r>
      <w:r w:rsidR="00196EAF">
        <w:rPr>
          <w:rFonts w:eastAsia="Calibri"/>
        </w:rPr>
        <w:t xml:space="preserve"> per la programmata e </w:t>
      </w:r>
      <w:r w:rsidR="006E20AD">
        <w:rPr>
          <w:rFonts w:eastAsia="Calibri"/>
        </w:rPr>
        <w:t>16,32</w:t>
      </w:r>
      <w:r w:rsidR="009977DC">
        <w:rPr>
          <w:rFonts w:eastAsia="Calibri"/>
        </w:rPr>
        <w:t xml:space="preserve"> km/h per</w:t>
      </w:r>
      <w:r w:rsidR="006E20AD">
        <w:rPr>
          <w:rFonts w:eastAsia="Calibri"/>
        </w:rPr>
        <w:t xml:space="preserve"> la standard</w:t>
      </w:r>
      <w:r w:rsidR="0005210A" w:rsidRPr="008D51EF">
        <w:rPr>
          <w:rFonts w:eastAsia="Calibri"/>
        </w:rPr>
        <w:t>)</w:t>
      </w:r>
      <w:r w:rsidRPr="00AD01C5">
        <w:rPr>
          <w:rFonts w:eastAsia="Calibri"/>
        </w:rPr>
        <w:t>, dimensionata su una produzione più prossima possibile al valore ottimale di 4 milioni di veicoli-km annui, è stato dunque possibile ricavare il costo standard per ciascuna di esse.</w:t>
      </w:r>
    </w:p>
    <w:tbl>
      <w:tblPr>
        <w:tblW w:w="5000" w:type="pct"/>
        <w:tblCellMar>
          <w:left w:w="70" w:type="dxa"/>
          <w:right w:w="70" w:type="dxa"/>
        </w:tblCellMar>
        <w:tblLook w:val="04A0" w:firstRow="1" w:lastRow="0" w:firstColumn="1" w:lastColumn="0" w:noHBand="0" w:noVBand="1"/>
      </w:tblPr>
      <w:tblGrid>
        <w:gridCol w:w="2056"/>
        <w:gridCol w:w="1548"/>
        <w:gridCol w:w="1316"/>
        <w:gridCol w:w="1787"/>
        <w:gridCol w:w="1399"/>
        <w:gridCol w:w="954"/>
      </w:tblGrid>
      <w:tr w:rsidR="00FD2CBB" w:rsidRPr="002E267F" w14:paraId="288DC4B3" w14:textId="77777777" w:rsidTr="00E1577A">
        <w:trPr>
          <w:trHeight w:val="900"/>
        </w:trPr>
        <w:tc>
          <w:tcPr>
            <w:tcW w:w="113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EE3438"/>
            <w:vAlign w:val="center"/>
            <w:hideMark/>
          </w:tcPr>
          <w:p w14:paraId="1E683A08" w14:textId="77777777" w:rsidR="00FD2CBB" w:rsidRPr="002E267F" w:rsidRDefault="00FD2CBB" w:rsidP="00E1577A">
            <w:pPr>
              <w:spacing w:after="0" w:line="240" w:lineRule="auto"/>
              <w:jc w:val="left"/>
              <w:rPr>
                <w:rFonts w:eastAsia="Times New Roman" w:cs="Calibri"/>
                <w:b/>
                <w:color w:val="FFFFFF" w:themeColor="background1"/>
              </w:rPr>
            </w:pPr>
            <w:r>
              <w:rPr>
                <w:rFonts w:eastAsia="Times New Roman" w:cs="Calibri"/>
                <w:b/>
                <w:color w:val="FFFFFF" w:themeColor="background1"/>
              </w:rPr>
              <w:t>Unità di Rete</w:t>
            </w:r>
          </w:p>
        </w:tc>
        <w:tc>
          <w:tcPr>
            <w:tcW w:w="854" w:type="pct"/>
            <w:tcBorders>
              <w:top w:val="single" w:sz="4" w:space="0" w:color="D9D9D9" w:themeColor="background1" w:themeShade="D9"/>
              <w:left w:val="nil"/>
              <w:bottom w:val="single" w:sz="4" w:space="0" w:color="D9D9D9" w:themeColor="background1" w:themeShade="D9"/>
              <w:right w:val="single" w:sz="4" w:space="0" w:color="D9D9D9" w:themeColor="background1" w:themeShade="D9"/>
            </w:tcBorders>
            <w:shd w:val="clear" w:color="auto" w:fill="EE3438"/>
            <w:vAlign w:val="center"/>
            <w:hideMark/>
          </w:tcPr>
          <w:p w14:paraId="1F871070" w14:textId="77777777" w:rsidR="00FD2CBB" w:rsidRPr="002E267F" w:rsidRDefault="00FD2CBB" w:rsidP="00E1577A">
            <w:pPr>
              <w:spacing w:after="0" w:line="240" w:lineRule="auto"/>
              <w:jc w:val="left"/>
              <w:rPr>
                <w:rFonts w:eastAsia="Times New Roman" w:cs="Calibri"/>
                <w:b/>
                <w:color w:val="FFFFFF" w:themeColor="background1"/>
              </w:rPr>
            </w:pPr>
            <w:r w:rsidRPr="71EE7570">
              <w:rPr>
                <w:rFonts w:eastAsia="Times New Roman" w:cs="Calibri"/>
                <w:b/>
                <w:color w:val="FFFFFF" w:themeColor="background1"/>
              </w:rPr>
              <w:t>Produzione</w:t>
            </w:r>
          </w:p>
        </w:tc>
        <w:tc>
          <w:tcPr>
            <w:tcW w:w="726" w:type="pct"/>
            <w:tcBorders>
              <w:top w:val="single" w:sz="4" w:space="0" w:color="D9D9D9" w:themeColor="background1" w:themeShade="D9"/>
              <w:left w:val="nil"/>
              <w:bottom w:val="single" w:sz="4" w:space="0" w:color="D9D9D9" w:themeColor="background1" w:themeShade="D9"/>
              <w:right w:val="single" w:sz="4" w:space="0" w:color="D9D9D9" w:themeColor="background1" w:themeShade="D9"/>
            </w:tcBorders>
            <w:shd w:val="clear" w:color="auto" w:fill="EE3438"/>
            <w:vAlign w:val="center"/>
            <w:hideMark/>
          </w:tcPr>
          <w:p w14:paraId="1B8E4FC3" w14:textId="77777777" w:rsidR="00FD2CBB" w:rsidRPr="002E267F" w:rsidRDefault="00FD2CBB" w:rsidP="00E1577A">
            <w:pPr>
              <w:spacing w:after="0" w:line="240" w:lineRule="auto"/>
              <w:jc w:val="left"/>
              <w:rPr>
                <w:rFonts w:eastAsia="Times New Roman" w:cs="Calibri"/>
                <w:b/>
                <w:color w:val="FFFFFF" w:themeColor="background1"/>
              </w:rPr>
            </w:pPr>
            <w:r w:rsidRPr="71EE7570">
              <w:rPr>
                <w:rFonts w:eastAsia="Times New Roman" w:cs="Calibri"/>
                <w:b/>
                <w:color w:val="FFFFFF" w:themeColor="background1"/>
              </w:rPr>
              <w:t>Costo standard unitario</w:t>
            </w:r>
          </w:p>
        </w:tc>
        <w:tc>
          <w:tcPr>
            <w:tcW w:w="986" w:type="pct"/>
            <w:tcBorders>
              <w:top w:val="single" w:sz="4" w:space="0" w:color="D9D9D9" w:themeColor="background1" w:themeShade="D9"/>
              <w:left w:val="nil"/>
              <w:bottom w:val="single" w:sz="4" w:space="0" w:color="D9D9D9" w:themeColor="background1" w:themeShade="D9"/>
              <w:right w:val="single" w:sz="4" w:space="0" w:color="D9D9D9" w:themeColor="background1" w:themeShade="D9"/>
            </w:tcBorders>
            <w:shd w:val="clear" w:color="auto" w:fill="EE3438"/>
            <w:vAlign w:val="center"/>
            <w:hideMark/>
          </w:tcPr>
          <w:p w14:paraId="3D96B2B9" w14:textId="77777777" w:rsidR="00FD2CBB" w:rsidRPr="002E267F" w:rsidRDefault="00FD2CBB" w:rsidP="00E1577A">
            <w:pPr>
              <w:spacing w:after="0" w:line="240" w:lineRule="auto"/>
              <w:jc w:val="left"/>
              <w:rPr>
                <w:rFonts w:eastAsia="Times New Roman" w:cs="Calibri"/>
                <w:b/>
                <w:color w:val="FFFFFF" w:themeColor="background1"/>
              </w:rPr>
            </w:pPr>
            <w:r w:rsidRPr="71EE7570">
              <w:rPr>
                <w:rFonts w:eastAsia="Times New Roman" w:cs="Calibri"/>
                <w:b/>
                <w:color w:val="FFFFFF" w:themeColor="background1"/>
              </w:rPr>
              <w:t>Costo standard totale</w:t>
            </w:r>
          </w:p>
        </w:tc>
        <w:tc>
          <w:tcPr>
            <w:tcW w:w="772" w:type="pct"/>
            <w:tcBorders>
              <w:top w:val="single" w:sz="4" w:space="0" w:color="D9D9D9" w:themeColor="background1" w:themeShade="D9"/>
              <w:left w:val="nil"/>
              <w:bottom w:val="single" w:sz="4" w:space="0" w:color="D9D9D9" w:themeColor="background1" w:themeShade="D9"/>
              <w:right w:val="single" w:sz="4" w:space="0" w:color="D9D9D9" w:themeColor="background1" w:themeShade="D9"/>
            </w:tcBorders>
            <w:shd w:val="clear" w:color="auto" w:fill="EE3438"/>
            <w:vAlign w:val="center"/>
            <w:hideMark/>
          </w:tcPr>
          <w:p w14:paraId="5953369A" w14:textId="77777777" w:rsidR="00FD2CBB" w:rsidRPr="002E267F" w:rsidRDefault="00FD2CBB" w:rsidP="00E1577A">
            <w:pPr>
              <w:spacing w:after="0" w:line="240" w:lineRule="auto"/>
              <w:jc w:val="left"/>
              <w:rPr>
                <w:rFonts w:eastAsia="Times New Roman" w:cs="Calibri"/>
                <w:b/>
                <w:color w:val="FFFFFF" w:themeColor="background1"/>
              </w:rPr>
            </w:pPr>
            <w:r w:rsidRPr="71EE7570">
              <w:rPr>
                <w:rFonts w:eastAsia="Times New Roman" w:cs="Calibri"/>
                <w:b/>
                <w:color w:val="FFFFFF" w:themeColor="background1"/>
              </w:rPr>
              <w:t>Velocità programmata</w:t>
            </w:r>
          </w:p>
        </w:tc>
        <w:tc>
          <w:tcPr>
            <w:tcW w:w="526" w:type="pct"/>
            <w:tcBorders>
              <w:top w:val="single" w:sz="4" w:space="0" w:color="D9D9D9" w:themeColor="background1" w:themeShade="D9"/>
              <w:left w:val="nil"/>
              <w:bottom w:val="single" w:sz="4" w:space="0" w:color="D9D9D9" w:themeColor="background1" w:themeShade="D9"/>
              <w:right w:val="single" w:sz="4" w:space="0" w:color="D9D9D9" w:themeColor="background1" w:themeShade="D9"/>
            </w:tcBorders>
            <w:shd w:val="clear" w:color="auto" w:fill="EE3438"/>
            <w:vAlign w:val="center"/>
            <w:hideMark/>
          </w:tcPr>
          <w:p w14:paraId="68629227" w14:textId="77777777" w:rsidR="00FD2CBB" w:rsidRPr="002E267F" w:rsidRDefault="00FD2CBB" w:rsidP="00E1577A">
            <w:pPr>
              <w:spacing w:after="0" w:line="240" w:lineRule="auto"/>
              <w:jc w:val="left"/>
              <w:rPr>
                <w:rFonts w:eastAsia="Times New Roman" w:cs="Calibri"/>
                <w:b/>
                <w:color w:val="FFFFFF" w:themeColor="background1"/>
              </w:rPr>
            </w:pPr>
            <w:r w:rsidRPr="71EE7570">
              <w:rPr>
                <w:rFonts w:eastAsia="Times New Roman" w:cs="Calibri"/>
                <w:b/>
                <w:color w:val="FFFFFF" w:themeColor="background1"/>
              </w:rPr>
              <w:t>Velocità standard</w:t>
            </w:r>
          </w:p>
        </w:tc>
      </w:tr>
      <w:tr w:rsidR="00FD2CBB" w:rsidRPr="002E267F" w14:paraId="40B55264" w14:textId="77777777" w:rsidTr="00C53617">
        <w:trPr>
          <w:trHeight w:val="300"/>
        </w:trPr>
        <w:tc>
          <w:tcPr>
            <w:tcW w:w="1135" w:type="pct"/>
            <w:tcBorders>
              <w:top w:val="nil"/>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EE3438"/>
            <w:vAlign w:val="center"/>
            <w:hideMark/>
          </w:tcPr>
          <w:p w14:paraId="61BFDB65" w14:textId="77777777" w:rsidR="00FD2CBB" w:rsidRPr="002E267F" w:rsidRDefault="00FD2CBB" w:rsidP="00E1577A">
            <w:pPr>
              <w:spacing w:after="0" w:line="240" w:lineRule="auto"/>
              <w:jc w:val="left"/>
              <w:rPr>
                <w:rFonts w:eastAsia="Times New Roman" w:cs="Calibri"/>
                <w:b/>
                <w:color w:val="FFFFFF" w:themeColor="background1"/>
              </w:rPr>
            </w:pPr>
            <w:r w:rsidRPr="71EE7570">
              <w:rPr>
                <w:rFonts w:eastAsia="Times New Roman" w:cs="Calibri"/>
                <w:b/>
                <w:color w:val="FFFFFF" w:themeColor="background1"/>
              </w:rPr>
              <w:t> </w:t>
            </w:r>
          </w:p>
        </w:tc>
        <w:tc>
          <w:tcPr>
            <w:tcW w:w="854" w:type="pct"/>
            <w:tcBorders>
              <w:top w:val="nil"/>
              <w:left w:val="nil"/>
              <w:bottom w:val="single" w:sz="4" w:space="0" w:color="D9D9D9" w:themeColor="background1" w:themeShade="D9"/>
              <w:right w:val="single" w:sz="4" w:space="0" w:color="D9D9D9" w:themeColor="background1" w:themeShade="D9"/>
            </w:tcBorders>
            <w:shd w:val="clear" w:color="auto" w:fill="EE3438"/>
            <w:noWrap/>
            <w:vAlign w:val="center"/>
            <w:hideMark/>
          </w:tcPr>
          <w:p w14:paraId="18509FC4" w14:textId="77777777" w:rsidR="00FD2CBB" w:rsidRPr="002E267F" w:rsidRDefault="00FD2CBB" w:rsidP="00C53617">
            <w:pPr>
              <w:spacing w:after="0" w:line="240" w:lineRule="auto"/>
              <w:jc w:val="center"/>
              <w:rPr>
                <w:rFonts w:eastAsia="Times New Roman" w:cs="Calibri"/>
                <w:b/>
                <w:color w:val="FFFFFF" w:themeColor="background1"/>
              </w:rPr>
            </w:pPr>
            <w:r w:rsidRPr="71EE7570">
              <w:rPr>
                <w:rFonts w:eastAsia="Times New Roman" w:cs="Calibri"/>
                <w:b/>
                <w:color w:val="FFFFFF" w:themeColor="background1"/>
              </w:rPr>
              <w:t>(veic-km/anno)</w:t>
            </w:r>
          </w:p>
        </w:tc>
        <w:tc>
          <w:tcPr>
            <w:tcW w:w="726" w:type="pct"/>
            <w:tcBorders>
              <w:top w:val="nil"/>
              <w:left w:val="nil"/>
              <w:bottom w:val="single" w:sz="4" w:space="0" w:color="D9D9D9" w:themeColor="background1" w:themeShade="D9"/>
              <w:right w:val="single" w:sz="4" w:space="0" w:color="D9D9D9" w:themeColor="background1" w:themeShade="D9"/>
            </w:tcBorders>
            <w:shd w:val="clear" w:color="auto" w:fill="EE3438"/>
            <w:vAlign w:val="center"/>
            <w:hideMark/>
          </w:tcPr>
          <w:p w14:paraId="680DCF28" w14:textId="77777777" w:rsidR="00FD2CBB" w:rsidRPr="002E267F" w:rsidRDefault="00FD2CBB" w:rsidP="00C53617">
            <w:pPr>
              <w:spacing w:after="0" w:line="240" w:lineRule="auto"/>
              <w:jc w:val="center"/>
              <w:rPr>
                <w:rFonts w:eastAsia="Times New Roman" w:cs="Calibri"/>
                <w:b/>
                <w:color w:val="FFFFFF" w:themeColor="background1"/>
              </w:rPr>
            </w:pPr>
            <w:r w:rsidRPr="71EE7570">
              <w:rPr>
                <w:rFonts w:eastAsia="Times New Roman" w:cs="Calibri"/>
                <w:b/>
                <w:color w:val="FFFFFF" w:themeColor="background1"/>
              </w:rPr>
              <w:t>(€/km)</w:t>
            </w:r>
          </w:p>
        </w:tc>
        <w:tc>
          <w:tcPr>
            <w:tcW w:w="986" w:type="pct"/>
            <w:tcBorders>
              <w:top w:val="nil"/>
              <w:left w:val="nil"/>
              <w:bottom w:val="single" w:sz="4" w:space="0" w:color="D9D9D9" w:themeColor="background1" w:themeShade="D9"/>
              <w:right w:val="single" w:sz="4" w:space="0" w:color="D9D9D9" w:themeColor="background1" w:themeShade="D9"/>
            </w:tcBorders>
            <w:shd w:val="clear" w:color="auto" w:fill="EE3438"/>
            <w:vAlign w:val="center"/>
            <w:hideMark/>
          </w:tcPr>
          <w:p w14:paraId="74D13122" w14:textId="77777777" w:rsidR="00FD2CBB" w:rsidRPr="002E267F" w:rsidRDefault="00FD2CBB" w:rsidP="00C53617">
            <w:pPr>
              <w:spacing w:after="0" w:line="240" w:lineRule="auto"/>
              <w:jc w:val="center"/>
              <w:rPr>
                <w:rFonts w:eastAsia="Times New Roman" w:cs="Calibri"/>
                <w:b/>
                <w:color w:val="FFFFFF" w:themeColor="background1"/>
              </w:rPr>
            </w:pPr>
            <w:r w:rsidRPr="71EE7570">
              <w:rPr>
                <w:rFonts w:eastAsia="Times New Roman" w:cs="Calibri"/>
                <w:b/>
                <w:color w:val="FFFFFF" w:themeColor="background1"/>
              </w:rPr>
              <w:t>(€)</w:t>
            </w:r>
          </w:p>
        </w:tc>
        <w:tc>
          <w:tcPr>
            <w:tcW w:w="772" w:type="pct"/>
            <w:tcBorders>
              <w:top w:val="nil"/>
              <w:left w:val="nil"/>
              <w:bottom w:val="single" w:sz="4" w:space="0" w:color="D9D9D9" w:themeColor="background1" w:themeShade="D9"/>
              <w:right w:val="single" w:sz="4" w:space="0" w:color="D9D9D9" w:themeColor="background1" w:themeShade="D9"/>
            </w:tcBorders>
            <w:shd w:val="clear" w:color="auto" w:fill="EE3438"/>
            <w:vAlign w:val="center"/>
            <w:hideMark/>
          </w:tcPr>
          <w:p w14:paraId="1856CC02" w14:textId="77777777" w:rsidR="00FD2CBB" w:rsidRPr="002E267F" w:rsidRDefault="00FD2CBB" w:rsidP="00C53617">
            <w:pPr>
              <w:spacing w:after="0" w:line="240" w:lineRule="auto"/>
              <w:jc w:val="center"/>
              <w:rPr>
                <w:rFonts w:eastAsia="Times New Roman" w:cs="Calibri"/>
                <w:b/>
                <w:color w:val="FFFFFF" w:themeColor="background1"/>
              </w:rPr>
            </w:pPr>
            <w:r w:rsidRPr="71EE7570">
              <w:rPr>
                <w:rFonts w:eastAsia="Times New Roman" w:cs="Calibri"/>
                <w:b/>
                <w:color w:val="FFFFFF" w:themeColor="background1"/>
              </w:rPr>
              <w:t>(km/h)</w:t>
            </w:r>
          </w:p>
        </w:tc>
        <w:tc>
          <w:tcPr>
            <w:tcW w:w="526" w:type="pct"/>
            <w:tcBorders>
              <w:top w:val="nil"/>
              <w:left w:val="nil"/>
              <w:bottom w:val="single" w:sz="4" w:space="0" w:color="D9D9D9" w:themeColor="background1" w:themeShade="D9"/>
              <w:right w:val="single" w:sz="4" w:space="0" w:color="D9D9D9" w:themeColor="background1" w:themeShade="D9"/>
            </w:tcBorders>
            <w:shd w:val="clear" w:color="auto" w:fill="EE3438"/>
            <w:vAlign w:val="center"/>
            <w:hideMark/>
          </w:tcPr>
          <w:p w14:paraId="54DD1682" w14:textId="77777777" w:rsidR="00FD2CBB" w:rsidRPr="002E267F" w:rsidRDefault="00FD2CBB" w:rsidP="00C53617">
            <w:pPr>
              <w:spacing w:after="0" w:line="240" w:lineRule="auto"/>
              <w:jc w:val="center"/>
              <w:rPr>
                <w:rFonts w:eastAsia="Times New Roman" w:cs="Calibri"/>
                <w:b/>
                <w:color w:val="FFFFFF" w:themeColor="background1"/>
              </w:rPr>
            </w:pPr>
            <w:r w:rsidRPr="71EE7570">
              <w:rPr>
                <w:rFonts w:eastAsia="Times New Roman" w:cs="Calibri"/>
                <w:b/>
                <w:color w:val="FFFFFF" w:themeColor="background1"/>
              </w:rPr>
              <w:t>(km/h)</w:t>
            </w:r>
          </w:p>
        </w:tc>
      </w:tr>
      <w:tr w:rsidR="00FD2CBB" w:rsidRPr="002E267F" w14:paraId="3EB178B2" w14:textId="77777777" w:rsidTr="00E1577A">
        <w:trPr>
          <w:trHeight w:val="300"/>
        </w:trPr>
        <w:tc>
          <w:tcPr>
            <w:tcW w:w="1135" w:type="pct"/>
            <w:tcBorders>
              <w:top w:val="nil"/>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hideMark/>
          </w:tcPr>
          <w:p w14:paraId="0726A604" w14:textId="77777777" w:rsidR="00FD2CBB" w:rsidRPr="002E267F" w:rsidRDefault="00FD2CBB" w:rsidP="00E1577A">
            <w:pPr>
              <w:spacing w:after="0" w:line="240" w:lineRule="auto"/>
              <w:jc w:val="left"/>
              <w:rPr>
                <w:rFonts w:eastAsia="Times New Roman" w:cs="Calibri"/>
                <w:color w:val="000000"/>
              </w:rPr>
            </w:pPr>
            <w:r w:rsidRPr="002E267F">
              <w:rPr>
                <w:rFonts w:eastAsia="Times New Roman" w:cs="Calibri"/>
                <w:color w:val="000000"/>
              </w:rPr>
              <w:t>UR1</w:t>
            </w:r>
          </w:p>
        </w:tc>
        <w:tc>
          <w:tcPr>
            <w:tcW w:w="854" w:type="pct"/>
            <w:tcBorders>
              <w:top w:val="nil"/>
              <w:left w:val="nil"/>
              <w:bottom w:val="single" w:sz="4" w:space="0" w:color="D9D9D9" w:themeColor="background1" w:themeShade="D9"/>
              <w:right w:val="single" w:sz="4" w:space="0" w:color="D9D9D9" w:themeColor="background1" w:themeShade="D9"/>
            </w:tcBorders>
            <w:noWrap/>
            <w:vAlign w:val="center"/>
          </w:tcPr>
          <w:p w14:paraId="70BB9934" w14:textId="77777777" w:rsidR="00FD2CBB" w:rsidRPr="00F70E57" w:rsidRDefault="00FD2CBB" w:rsidP="00636CAE">
            <w:pPr>
              <w:spacing w:after="0" w:line="240" w:lineRule="auto"/>
              <w:jc w:val="center"/>
              <w:rPr>
                <w:rFonts w:eastAsia="Times New Roman" w:cs="Calibri"/>
                <w:color w:val="000000"/>
              </w:rPr>
            </w:pPr>
            <w:r w:rsidRPr="00B212D2">
              <w:t>4.097.066</w:t>
            </w:r>
          </w:p>
        </w:tc>
        <w:tc>
          <w:tcPr>
            <w:tcW w:w="726" w:type="pct"/>
            <w:tcBorders>
              <w:top w:val="nil"/>
              <w:left w:val="nil"/>
              <w:bottom w:val="single" w:sz="4" w:space="0" w:color="D9D9D9" w:themeColor="background1" w:themeShade="D9"/>
              <w:right w:val="single" w:sz="4" w:space="0" w:color="D9D9D9" w:themeColor="background1" w:themeShade="D9"/>
            </w:tcBorders>
            <w:noWrap/>
            <w:vAlign w:val="center"/>
          </w:tcPr>
          <w:p w14:paraId="67F1511B" w14:textId="0AEDC523" w:rsidR="00FD2CBB" w:rsidRPr="002E267F" w:rsidRDefault="00FD2CBB" w:rsidP="00636CAE">
            <w:pPr>
              <w:spacing w:after="0" w:line="240" w:lineRule="auto"/>
              <w:jc w:val="center"/>
              <w:rPr>
                <w:rFonts w:eastAsia="Times New Roman" w:cs="Calibri"/>
                <w:color w:val="000000"/>
              </w:rPr>
            </w:pPr>
            <w:r w:rsidRPr="00EA189D">
              <w:t>2,94 €</w:t>
            </w:r>
          </w:p>
        </w:tc>
        <w:tc>
          <w:tcPr>
            <w:tcW w:w="986" w:type="pct"/>
            <w:tcBorders>
              <w:top w:val="nil"/>
              <w:left w:val="nil"/>
              <w:bottom w:val="single" w:sz="4" w:space="0" w:color="D9D9D9" w:themeColor="background1" w:themeShade="D9"/>
              <w:right w:val="single" w:sz="4" w:space="0" w:color="D9D9D9" w:themeColor="background1" w:themeShade="D9"/>
            </w:tcBorders>
            <w:noWrap/>
            <w:vAlign w:val="center"/>
          </w:tcPr>
          <w:p w14:paraId="2FC16455" w14:textId="355238B7" w:rsidR="00FD2CBB" w:rsidRPr="002E267F" w:rsidRDefault="00FD2CBB" w:rsidP="00636CAE">
            <w:pPr>
              <w:spacing w:after="0" w:line="240" w:lineRule="auto"/>
              <w:jc w:val="center"/>
              <w:rPr>
                <w:rFonts w:eastAsia="Times New Roman" w:cs="Calibri"/>
                <w:color w:val="000000"/>
              </w:rPr>
            </w:pPr>
            <w:r w:rsidRPr="00EA189D">
              <w:t>12.059.031,79 €</w:t>
            </w:r>
          </w:p>
        </w:tc>
        <w:tc>
          <w:tcPr>
            <w:tcW w:w="772" w:type="pct"/>
            <w:tcBorders>
              <w:top w:val="nil"/>
              <w:left w:val="nil"/>
              <w:bottom w:val="single" w:sz="4" w:space="0" w:color="D9D9D9" w:themeColor="background1" w:themeShade="D9"/>
              <w:right w:val="single" w:sz="4" w:space="0" w:color="D9D9D9" w:themeColor="background1" w:themeShade="D9"/>
            </w:tcBorders>
            <w:noWrap/>
            <w:vAlign w:val="center"/>
          </w:tcPr>
          <w:p w14:paraId="2932DD75" w14:textId="77777777" w:rsidR="00FD2CBB" w:rsidRPr="002E267F" w:rsidRDefault="00FD2CBB" w:rsidP="00636CAE">
            <w:pPr>
              <w:spacing w:after="0" w:line="240" w:lineRule="auto"/>
              <w:jc w:val="center"/>
              <w:rPr>
                <w:rFonts w:eastAsia="Times New Roman" w:cs="Calibri"/>
                <w:color w:val="000000"/>
              </w:rPr>
            </w:pPr>
            <w:r w:rsidRPr="008B2099">
              <w:t>34,52</w:t>
            </w:r>
          </w:p>
        </w:tc>
        <w:tc>
          <w:tcPr>
            <w:tcW w:w="526" w:type="pct"/>
            <w:tcBorders>
              <w:top w:val="nil"/>
              <w:left w:val="nil"/>
              <w:bottom w:val="single" w:sz="4" w:space="0" w:color="D9D9D9" w:themeColor="background1" w:themeShade="D9"/>
              <w:right w:val="single" w:sz="4" w:space="0" w:color="D9D9D9" w:themeColor="background1" w:themeShade="D9"/>
            </w:tcBorders>
            <w:noWrap/>
            <w:vAlign w:val="center"/>
          </w:tcPr>
          <w:p w14:paraId="1F669D69" w14:textId="77777777" w:rsidR="00FD2CBB" w:rsidRPr="002E267F" w:rsidRDefault="00FD2CBB" w:rsidP="00636CAE">
            <w:pPr>
              <w:spacing w:after="0" w:line="240" w:lineRule="auto"/>
              <w:jc w:val="center"/>
              <w:rPr>
                <w:rFonts w:eastAsia="Times New Roman" w:cs="Calibri"/>
                <w:color w:val="000000"/>
              </w:rPr>
            </w:pPr>
            <w:r w:rsidRPr="008B2099">
              <w:t>30,39</w:t>
            </w:r>
          </w:p>
        </w:tc>
      </w:tr>
      <w:tr w:rsidR="00FD2CBB" w:rsidRPr="002E267F" w14:paraId="5447D05F" w14:textId="77777777" w:rsidTr="00E1577A">
        <w:trPr>
          <w:trHeight w:val="300"/>
        </w:trPr>
        <w:tc>
          <w:tcPr>
            <w:tcW w:w="1135" w:type="pct"/>
            <w:tcBorders>
              <w:top w:val="nil"/>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hideMark/>
          </w:tcPr>
          <w:p w14:paraId="39701D4E" w14:textId="77777777" w:rsidR="00FD2CBB" w:rsidRPr="002E267F" w:rsidRDefault="00FD2CBB" w:rsidP="00E1577A">
            <w:pPr>
              <w:spacing w:after="0" w:line="240" w:lineRule="auto"/>
              <w:jc w:val="left"/>
              <w:rPr>
                <w:rFonts w:eastAsia="Times New Roman" w:cs="Calibri"/>
                <w:color w:val="000000"/>
              </w:rPr>
            </w:pPr>
            <w:r w:rsidRPr="002E267F">
              <w:rPr>
                <w:rFonts w:eastAsia="Times New Roman" w:cs="Calibri"/>
                <w:color w:val="000000"/>
              </w:rPr>
              <w:t>UR2</w:t>
            </w:r>
          </w:p>
        </w:tc>
        <w:tc>
          <w:tcPr>
            <w:tcW w:w="854" w:type="pct"/>
            <w:tcBorders>
              <w:top w:val="nil"/>
              <w:left w:val="nil"/>
              <w:bottom w:val="single" w:sz="4" w:space="0" w:color="D9D9D9" w:themeColor="background1" w:themeShade="D9"/>
              <w:right w:val="single" w:sz="4" w:space="0" w:color="D9D9D9" w:themeColor="background1" w:themeShade="D9"/>
            </w:tcBorders>
            <w:noWrap/>
            <w:vAlign w:val="center"/>
          </w:tcPr>
          <w:p w14:paraId="1D210E9B" w14:textId="77777777" w:rsidR="00FD2CBB" w:rsidRPr="00F70E57" w:rsidRDefault="00FD2CBB" w:rsidP="00636CAE">
            <w:pPr>
              <w:spacing w:after="0" w:line="240" w:lineRule="auto"/>
              <w:jc w:val="center"/>
              <w:rPr>
                <w:rFonts w:eastAsia="Times New Roman" w:cs="Calibri"/>
                <w:color w:val="000000"/>
              </w:rPr>
            </w:pPr>
            <w:r w:rsidRPr="00B212D2">
              <w:t>4.712.510</w:t>
            </w:r>
          </w:p>
        </w:tc>
        <w:tc>
          <w:tcPr>
            <w:tcW w:w="726" w:type="pct"/>
            <w:tcBorders>
              <w:top w:val="nil"/>
              <w:left w:val="nil"/>
              <w:bottom w:val="single" w:sz="4" w:space="0" w:color="D9D9D9" w:themeColor="background1" w:themeShade="D9"/>
              <w:right w:val="single" w:sz="4" w:space="0" w:color="D9D9D9" w:themeColor="background1" w:themeShade="D9"/>
            </w:tcBorders>
            <w:noWrap/>
            <w:vAlign w:val="center"/>
          </w:tcPr>
          <w:p w14:paraId="183A1EE9" w14:textId="4963DFB9" w:rsidR="00FD2CBB" w:rsidRPr="002E267F" w:rsidRDefault="00FD2CBB" w:rsidP="00636CAE">
            <w:pPr>
              <w:spacing w:after="0" w:line="240" w:lineRule="auto"/>
              <w:jc w:val="center"/>
              <w:rPr>
                <w:rFonts w:eastAsia="Times New Roman" w:cs="Calibri"/>
                <w:color w:val="000000"/>
              </w:rPr>
            </w:pPr>
            <w:r w:rsidRPr="00EA189D">
              <w:t>3,24 €</w:t>
            </w:r>
          </w:p>
        </w:tc>
        <w:tc>
          <w:tcPr>
            <w:tcW w:w="986" w:type="pct"/>
            <w:tcBorders>
              <w:top w:val="nil"/>
              <w:left w:val="nil"/>
              <w:bottom w:val="single" w:sz="4" w:space="0" w:color="D9D9D9" w:themeColor="background1" w:themeShade="D9"/>
              <w:right w:val="single" w:sz="4" w:space="0" w:color="D9D9D9" w:themeColor="background1" w:themeShade="D9"/>
            </w:tcBorders>
            <w:noWrap/>
            <w:vAlign w:val="center"/>
          </w:tcPr>
          <w:p w14:paraId="08C098E1" w14:textId="3B6313C1" w:rsidR="00FD2CBB" w:rsidRPr="002E267F" w:rsidRDefault="00FD2CBB" w:rsidP="00636CAE">
            <w:pPr>
              <w:spacing w:after="0" w:line="240" w:lineRule="auto"/>
              <w:jc w:val="center"/>
              <w:rPr>
                <w:rFonts w:eastAsia="Times New Roman" w:cs="Calibri"/>
                <w:color w:val="000000"/>
              </w:rPr>
            </w:pPr>
            <w:r w:rsidRPr="00EA189D">
              <w:t>15.245.912,51 €</w:t>
            </w:r>
          </w:p>
        </w:tc>
        <w:tc>
          <w:tcPr>
            <w:tcW w:w="772" w:type="pct"/>
            <w:tcBorders>
              <w:top w:val="nil"/>
              <w:left w:val="nil"/>
              <w:bottom w:val="single" w:sz="4" w:space="0" w:color="D9D9D9" w:themeColor="background1" w:themeShade="D9"/>
              <w:right w:val="single" w:sz="4" w:space="0" w:color="D9D9D9" w:themeColor="background1" w:themeShade="D9"/>
            </w:tcBorders>
            <w:noWrap/>
            <w:vAlign w:val="center"/>
          </w:tcPr>
          <w:p w14:paraId="5FB5A71C" w14:textId="77777777" w:rsidR="00FD2CBB" w:rsidRPr="002E267F" w:rsidRDefault="00FD2CBB" w:rsidP="00636CAE">
            <w:pPr>
              <w:spacing w:after="0" w:line="240" w:lineRule="auto"/>
              <w:jc w:val="center"/>
              <w:rPr>
                <w:rFonts w:eastAsia="Times New Roman" w:cs="Calibri"/>
                <w:color w:val="000000"/>
              </w:rPr>
            </w:pPr>
            <w:r w:rsidRPr="008B2099">
              <w:t>32,09</w:t>
            </w:r>
          </w:p>
        </w:tc>
        <w:tc>
          <w:tcPr>
            <w:tcW w:w="526" w:type="pct"/>
            <w:tcBorders>
              <w:top w:val="nil"/>
              <w:left w:val="nil"/>
              <w:bottom w:val="single" w:sz="4" w:space="0" w:color="D9D9D9" w:themeColor="background1" w:themeShade="D9"/>
              <w:right w:val="single" w:sz="4" w:space="0" w:color="D9D9D9" w:themeColor="background1" w:themeShade="D9"/>
            </w:tcBorders>
            <w:noWrap/>
            <w:vAlign w:val="center"/>
          </w:tcPr>
          <w:p w14:paraId="56D8BFED" w14:textId="77777777" w:rsidR="00FD2CBB" w:rsidRPr="002E267F" w:rsidRDefault="00FD2CBB" w:rsidP="00636CAE">
            <w:pPr>
              <w:spacing w:after="0" w:line="240" w:lineRule="auto"/>
              <w:jc w:val="center"/>
              <w:rPr>
                <w:rFonts w:eastAsia="Times New Roman" w:cs="Calibri"/>
                <w:color w:val="000000"/>
              </w:rPr>
            </w:pPr>
            <w:r w:rsidRPr="008B2099">
              <w:t>27,67</w:t>
            </w:r>
          </w:p>
        </w:tc>
      </w:tr>
      <w:tr w:rsidR="00FD2CBB" w:rsidRPr="002E267F" w14:paraId="2540A125" w14:textId="77777777" w:rsidTr="00E1577A">
        <w:trPr>
          <w:trHeight w:val="300"/>
        </w:trPr>
        <w:tc>
          <w:tcPr>
            <w:tcW w:w="1135" w:type="pct"/>
            <w:tcBorders>
              <w:top w:val="nil"/>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hideMark/>
          </w:tcPr>
          <w:p w14:paraId="6211AE37" w14:textId="77777777" w:rsidR="00FD2CBB" w:rsidRPr="002E267F" w:rsidRDefault="00FD2CBB" w:rsidP="00E1577A">
            <w:pPr>
              <w:spacing w:after="0" w:line="240" w:lineRule="auto"/>
              <w:jc w:val="left"/>
              <w:rPr>
                <w:rFonts w:eastAsia="Times New Roman" w:cs="Calibri"/>
                <w:color w:val="000000"/>
              </w:rPr>
            </w:pPr>
            <w:r w:rsidRPr="002E267F">
              <w:rPr>
                <w:rFonts w:eastAsia="Times New Roman" w:cs="Calibri"/>
                <w:color w:val="000000"/>
              </w:rPr>
              <w:t>UR3</w:t>
            </w:r>
          </w:p>
        </w:tc>
        <w:tc>
          <w:tcPr>
            <w:tcW w:w="854" w:type="pct"/>
            <w:tcBorders>
              <w:top w:val="nil"/>
              <w:left w:val="nil"/>
              <w:bottom w:val="single" w:sz="4" w:space="0" w:color="D9D9D9" w:themeColor="background1" w:themeShade="D9"/>
              <w:right w:val="single" w:sz="4" w:space="0" w:color="D9D9D9" w:themeColor="background1" w:themeShade="D9"/>
            </w:tcBorders>
            <w:noWrap/>
            <w:vAlign w:val="center"/>
          </w:tcPr>
          <w:p w14:paraId="5B556EC9" w14:textId="77777777" w:rsidR="00FD2CBB" w:rsidRPr="00F70E57" w:rsidRDefault="00FD2CBB" w:rsidP="00636CAE">
            <w:pPr>
              <w:spacing w:after="0" w:line="240" w:lineRule="auto"/>
              <w:jc w:val="center"/>
              <w:rPr>
                <w:rFonts w:eastAsia="Times New Roman" w:cs="Calibri"/>
                <w:color w:val="000000"/>
              </w:rPr>
            </w:pPr>
            <w:r w:rsidRPr="00B212D2">
              <w:t>4.502.300</w:t>
            </w:r>
          </w:p>
        </w:tc>
        <w:tc>
          <w:tcPr>
            <w:tcW w:w="726" w:type="pct"/>
            <w:tcBorders>
              <w:top w:val="nil"/>
              <w:left w:val="nil"/>
              <w:bottom w:val="single" w:sz="4" w:space="0" w:color="D9D9D9" w:themeColor="background1" w:themeShade="D9"/>
              <w:right w:val="single" w:sz="4" w:space="0" w:color="D9D9D9" w:themeColor="background1" w:themeShade="D9"/>
            </w:tcBorders>
            <w:noWrap/>
            <w:vAlign w:val="center"/>
          </w:tcPr>
          <w:p w14:paraId="77880A0E" w14:textId="201396D0" w:rsidR="00FD2CBB" w:rsidRPr="002E267F" w:rsidRDefault="00FD2CBB" w:rsidP="00636CAE">
            <w:pPr>
              <w:spacing w:after="0" w:line="240" w:lineRule="auto"/>
              <w:jc w:val="center"/>
              <w:rPr>
                <w:rFonts w:eastAsia="Times New Roman" w:cs="Calibri"/>
                <w:color w:val="000000"/>
              </w:rPr>
            </w:pPr>
            <w:r w:rsidRPr="00EA189D">
              <w:t>3,06 €</w:t>
            </w:r>
          </w:p>
        </w:tc>
        <w:tc>
          <w:tcPr>
            <w:tcW w:w="986" w:type="pct"/>
            <w:tcBorders>
              <w:top w:val="nil"/>
              <w:left w:val="nil"/>
              <w:bottom w:val="single" w:sz="4" w:space="0" w:color="D9D9D9" w:themeColor="background1" w:themeShade="D9"/>
              <w:right w:val="single" w:sz="4" w:space="0" w:color="D9D9D9" w:themeColor="background1" w:themeShade="D9"/>
            </w:tcBorders>
            <w:noWrap/>
            <w:vAlign w:val="center"/>
          </w:tcPr>
          <w:p w14:paraId="38F6B0A6" w14:textId="10926821" w:rsidR="00FD2CBB" w:rsidRPr="002E267F" w:rsidRDefault="00FD2CBB" w:rsidP="00636CAE">
            <w:pPr>
              <w:spacing w:after="0" w:line="240" w:lineRule="auto"/>
              <w:jc w:val="center"/>
              <w:rPr>
                <w:rFonts w:eastAsia="Times New Roman" w:cs="Calibri"/>
                <w:color w:val="000000"/>
              </w:rPr>
            </w:pPr>
            <w:r w:rsidRPr="00EA189D">
              <w:t>13.784.545,22 €</w:t>
            </w:r>
          </w:p>
        </w:tc>
        <w:tc>
          <w:tcPr>
            <w:tcW w:w="772" w:type="pct"/>
            <w:tcBorders>
              <w:top w:val="nil"/>
              <w:left w:val="nil"/>
              <w:bottom w:val="single" w:sz="4" w:space="0" w:color="D9D9D9" w:themeColor="background1" w:themeShade="D9"/>
              <w:right w:val="single" w:sz="4" w:space="0" w:color="D9D9D9" w:themeColor="background1" w:themeShade="D9"/>
            </w:tcBorders>
            <w:noWrap/>
            <w:vAlign w:val="center"/>
          </w:tcPr>
          <w:p w14:paraId="6AE3A9FE" w14:textId="77777777" w:rsidR="00FD2CBB" w:rsidRPr="002E267F" w:rsidRDefault="00FD2CBB" w:rsidP="00636CAE">
            <w:pPr>
              <w:spacing w:after="0" w:line="240" w:lineRule="auto"/>
              <w:jc w:val="center"/>
              <w:rPr>
                <w:rFonts w:eastAsia="Times New Roman" w:cs="Calibri"/>
                <w:color w:val="000000"/>
              </w:rPr>
            </w:pPr>
            <w:r w:rsidRPr="008B2099">
              <w:t>32,84</w:t>
            </w:r>
          </w:p>
        </w:tc>
        <w:tc>
          <w:tcPr>
            <w:tcW w:w="526" w:type="pct"/>
            <w:tcBorders>
              <w:top w:val="nil"/>
              <w:left w:val="nil"/>
              <w:bottom w:val="single" w:sz="4" w:space="0" w:color="D9D9D9" w:themeColor="background1" w:themeShade="D9"/>
              <w:right w:val="single" w:sz="4" w:space="0" w:color="D9D9D9" w:themeColor="background1" w:themeShade="D9"/>
            </w:tcBorders>
            <w:noWrap/>
            <w:vAlign w:val="center"/>
          </w:tcPr>
          <w:p w14:paraId="3AFD5F5F" w14:textId="77777777" w:rsidR="00FD2CBB" w:rsidRPr="002E267F" w:rsidRDefault="00FD2CBB" w:rsidP="00636CAE">
            <w:pPr>
              <w:spacing w:after="0" w:line="240" w:lineRule="auto"/>
              <w:jc w:val="center"/>
              <w:rPr>
                <w:rFonts w:eastAsia="Times New Roman" w:cs="Calibri"/>
                <w:color w:val="000000"/>
              </w:rPr>
            </w:pPr>
            <w:r w:rsidRPr="008B2099">
              <w:t>28,78</w:t>
            </w:r>
          </w:p>
        </w:tc>
      </w:tr>
      <w:tr w:rsidR="00FD2CBB" w:rsidRPr="002E267F" w14:paraId="5B343D25" w14:textId="77777777" w:rsidTr="00E1577A">
        <w:trPr>
          <w:trHeight w:val="300"/>
        </w:trPr>
        <w:tc>
          <w:tcPr>
            <w:tcW w:w="1135" w:type="pct"/>
            <w:tcBorders>
              <w:top w:val="nil"/>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tcPr>
          <w:p w14:paraId="3B72D5EB" w14:textId="77777777" w:rsidR="00FD2CBB" w:rsidRPr="002E267F" w:rsidRDefault="00FD2CBB" w:rsidP="00E1577A">
            <w:pPr>
              <w:spacing w:after="0" w:line="240" w:lineRule="auto"/>
              <w:jc w:val="left"/>
              <w:rPr>
                <w:rFonts w:eastAsia="Times New Roman" w:cs="Calibri"/>
                <w:color w:val="000000"/>
              </w:rPr>
            </w:pPr>
            <w:r>
              <w:rPr>
                <w:rFonts w:eastAsia="Times New Roman" w:cs="Calibri"/>
                <w:color w:val="000000"/>
              </w:rPr>
              <w:t>UR4</w:t>
            </w:r>
          </w:p>
        </w:tc>
        <w:tc>
          <w:tcPr>
            <w:tcW w:w="854" w:type="pct"/>
            <w:tcBorders>
              <w:top w:val="nil"/>
              <w:left w:val="nil"/>
              <w:bottom w:val="single" w:sz="4" w:space="0" w:color="D9D9D9" w:themeColor="background1" w:themeShade="D9"/>
              <w:right w:val="single" w:sz="4" w:space="0" w:color="D9D9D9" w:themeColor="background1" w:themeShade="D9"/>
            </w:tcBorders>
            <w:noWrap/>
            <w:vAlign w:val="center"/>
          </w:tcPr>
          <w:p w14:paraId="3F856B2B" w14:textId="77777777" w:rsidR="00FD2CBB" w:rsidRPr="00F70E57" w:rsidRDefault="00FD2CBB" w:rsidP="00636CAE">
            <w:pPr>
              <w:spacing w:after="0"/>
              <w:jc w:val="center"/>
              <w:rPr>
                <w:rFonts w:cs="Calibri"/>
                <w:color w:val="000000"/>
              </w:rPr>
            </w:pPr>
            <w:r w:rsidRPr="00B212D2">
              <w:t>3.868.489</w:t>
            </w:r>
          </w:p>
        </w:tc>
        <w:tc>
          <w:tcPr>
            <w:tcW w:w="726" w:type="pct"/>
            <w:tcBorders>
              <w:top w:val="nil"/>
              <w:left w:val="nil"/>
              <w:bottom w:val="single" w:sz="4" w:space="0" w:color="D9D9D9" w:themeColor="background1" w:themeShade="D9"/>
              <w:right w:val="single" w:sz="4" w:space="0" w:color="D9D9D9" w:themeColor="background1" w:themeShade="D9"/>
            </w:tcBorders>
            <w:noWrap/>
            <w:vAlign w:val="center"/>
          </w:tcPr>
          <w:p w14:paraId="7C6D1F71" w14:textId="42876B78" w:rsidR="00FD2CBB" w:rsidRPr="002E267F" w:rsidRDefault="00FD2CBB" w:rsidP="00636CAE">
            <w:pPr>
              <w:spacing w:after="0" w:line="240" w:lineRule="auto"/>
              <w:jc w:val="center"/>
              <w:rPr>
                <w:rFonts w:eastAsia="Times New Roman" w:cs="Calibri"/>
                <w:color w:val="000000"/>
              </w:rPr>
            </w:pPr>
            <w:r w:rsidRPr="00EA189D">
              <w:t>3,40 €</w:t>
            </w:r>
          </w:p>
        </w:tc>
        <w:tc>
          <w:tcPr>
            <w:tcW w:w="986" w:type="pct"/>
            <w:tcBorders>
              <w:top w:val="nil"/>
              <w:left w:val="nil"/>
              <w:bottom w:val="single" w:sz="4" w:space="0" w:color="D9D9D9" w:themeColor="background1" w:themeShade="D9"/>
              <w:right w:val="single" w:sz="4" w:space="0" w:color="D9D9D9" w:themeColor="background1" w:themeShade="D9"/>
            </w:tcBorders>
            <w:noWrap/>
            <w:vAlign w:val="center"/>
          </w:tcPr>
          <w:p w14:paraId="015C358E" w14:textId="1457D6F7" w:rsidR="00FD2CBB" w:rsidRPr="002E267F" w:rsidRDefault="00FD2CBB" w:rsidP="00636CAE">
            <w:pPr>
              <w:spacing w:after="0" w:line="240" w:lineRule="auto"/>
              <w:jc w:val="center"/>
              <w:rPr>
                <w:rFonts w:eastAsia="Times New Roman" w:cs="Calibri"/>
                <w:color w:val="000000"/>
              </w:rPr>
            </w:pPr>
            <w:r w:rsidRPr="00EA189D">
              <w:t>13.160.636,30 €</w:t>
            </w:r>
          </w:p>
        </w:tc>
        <w:tc>
          <w:tcPr>
            <w:tcW w:w="772" w:type="pct"/>
            <w:tcBorders>
              <w:top w:val="nil"/>
              <w:left w:val="nil"/>
              <w:bottom w:val="single" w:sz="4" w:space="0" w:color="D9D9D9" w:themeColor="background1" w:themeShade="D9"/>
              <w:right w:val="single" w:sz="4" w:space="0" w:color="D9D9D9" w:themeColor="background1" w:themeShade="D9"/>
            </w:tcBorders>
            <w:noWrap/>
            <w:vAlign w:val="center"/>
          </w:tcPr>
          <w:p w14:paraId="497F33AB" w14:textId="77777777" w:rsidR="00FD2CBB" w:rsidRPr="002E267F" w:rsidRDefault="00FD2CBB" w:rsidP="00636CAE">
            <w:pPr>
              <w:spacing w:after="0" w:line="240" w:lineRule="auto"/>
              <w:jc w:val="center"/>
              <w:rPr>
                <w:rFonts w:eastAsia="Times New Roman" w:cs="Calibri"/>
                <w:color w:val="000000"/>
              </w:rPr>
            </w:pPr>
            <w:r w:rsidRPr="008B2099">
              <w:t>30,33</w:t>
            </w:r>
          </w:p>
        </w:tc>
        <w:tc>
          <w:tcPr>
            <w:tcW w:w="526" w:type="pct"/>
            <w:tcBorders>
              <w:top w:val="nil"/>
              <w:left w:val="nil"/>
              <w:bottom w:val="single" w:sz="4" w:space="0" w:color="D9D9D9" w:themeColor="background1" w:themeShade="D9"/>
              <w:right w:val="single" w:sz="4" w:space="0" w:color="D9D9D9" w:themeColor="background1" w:themeShade="D9"/>
            </w:tcBorders>
            <w:noWrap/>
            <w:vAlign w:val="center"/>
          </w:tcPr>
          <w:p w14:paraId="2FEE11F9" w14:textId="77777777" w:rsidR="00FD2CBB" w:rsidRPr="002E267F" w:rsidRDefault="00FD2CBB" w:rsidP="00636CAE">
            <w:pPr>
              <w:spacing w:after="0" w:line="240" w:lineRule="auto"/>
              <w:jc w:val="center"/>
              <w:rPr>
                <w:rFonts w:eastAsia="Times New Roman" w:cs="Calibri"/>
                <w:color w:val="000000"/>
              </w:rPr>
            </w:pPr>
            <w:r w:rsidRPr="008B2099">
              <w:t>26,28</w:t>
            </w:r>
          </w:p>
        </w:tc>
      </w:tr>
      <w:tr w:rsidR="00FD2CBB" w:rsidRPr="002E267F" w14:paraId="79CD0C79" w14:textId="77777777" w:rsidTr="00E1577A">
        <w:trPr>
          <w:trHeight w:val="300"/>
        </w:trPr>
        <w:tc>
          <w:tcPr>
            <w:tcW w:w="1135" w:type="pct"/>
            <w:tcBorders>
              <w:top w:val="nil"/>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tcPr>
          <w:p w14:paraId="7E1A9D6A" w14:textId="77777777" w:rsidR="00FD2CBB" w:rsidRPr="002E267F" w:rsidRDefault="00FD2CBB" w:rsidP="00E1577A">
            <w:pPr>
              <w:spacing w:after="0" w:line="240" w:lineRule="auto"/>
              <w:jc w:val="left"/>
              <w:rPr>
                <w:rFonts w:eastAsia="Times New Roman" w:cs="Calibri"/>
                <w:color w:val="000000"/>
              </w:rPr>
            </w:pPr>
            <w:r w:rsidRPr="71EE7570">
              <w:rPr>
                <w:rFonts w:eastAsia="Times New Roman" w:cs="Calibri"/>
                <w:color w:val="000000" w:themeColor="text1"/>
              </w:rPr>
              <w:t xml:space="preserve">UR 5 </w:t>
            </w:r>
            <w:r w:rsidRPr="71EE7570">
              <w:rPr>
                <w:rFonts w:eastAsia="Times New Roman" w:cs="Calibri"/>
                <w:i/>
                <w:color w:val="000000" w:themeColor="text1"/>
              </w:rPr>
              <w:t>in-house</w:t>
            </w:r>
          </w:p>
        </w:tc>
        <w:tc>
          <w:tcPr>
            <w:tcW w:w="854" w:type="pct"/>
            <w:tcBorders>
              <w:top w:val="nil"/>
              <w:left w:val="nil"/>
              <w:bottom w:val="single" w:sz="4" w:space="0" w:color="D9D9D9" w:themeColor="background1" w:themeShade="D9"/>
              <w:right w:val="single" w:sz="4" w:space="0" w:color="D9D9D9" w:themeColor="background1" w:themeShade="D9"/>
            </w:tcBorders>
            <w:noWrap/>
            <w:vAlign w:val="center"/>
          </w:tcPr>
          <w:p w14:paraId="5E15D7B4" w14:textId="77777777" w:rsidR="00FD2CBB" w:rsidRPr="00F70E57" w:rsidRDefault="00FD2CBB" w:rsidP="00636CAE">
            <w:pPr>
              <w:spacing w:after="0"/>
              <w:jc w:val="center"/>
              <w:rPr>
                <w:rFonts w:cs="Calibri"/>
                <w:color w:val="000000"/>
              </w:rPr>
            </w:pPr>
            <w:r w:rsidRPr="00247BCF">
              <w:t>4.</w:t>
            </w:r>
            <w:r>
              <w:t>187.640</w:t>
            </w:r>
          </w:p>
        </w:tc>
        <w:tc>
          <w:tcPr>
            <w:tcW w:w="726" w:type="pct"/>
            <w:tcBorders>
              <w:top w:val="nil"/>
              <w:left w:val="nil"/>
              <w:bottom w:val="single" w:sz="4" w:space="0" w:color="D9D9D9" w:themeColor="background1" w:themeShade="D9"/>
              <w:right w:val="single" w:sz="4" w:space="0" w:color="D9D9D9" w:themeColor="background1" w:themeShade="D9"/>
            </w:tcBorders>
            <w:noWrap/>
            <w:vAlign w:val="center"/>
          </w:tcPr>
          <w:p w14:paraId="0700F953" w14:textId="5A00FB64" w:rsidR="00FD2CBB" w:rsidRPr="002E267F" w:rsidRDefault="00FD2CBB" w:rsidP="00636CAE">
            <w:pPr>
              <w:spacing w:after="0" w:line="240" w:lineRule="auto"/>
              <w:jc w:val="center"/>
              <w:rPr>
                <w:rFonts w:eastAsia="Times New Roman" w:cs="Calibri"/>
                <w:color w:val="000000"/>
              </w:rPr>
            </w:pPr>
            <w:r w:rsidRPr="00EA189D">
              <w:t>4,03 €</w:t>
            </w:r>
          </w:p>
        </w:tc>
        <w:tc>
          <w:tcPr>
            <w:tcW w:w="986" w:type="pct"/>
            <w:tcBorders>
              <w:top w:val="nil"/>
              <w:left w:val="nil"/>
              <w:bottom w:val="single" w:sz="4" w:space="0" w:color="D9D9D9" w:themeColor="background1" w:themeShade="D9"/>
              <w:right w:val="single" w:sz="4" w:space="0" w:color="D9D9D9" w:themeColor="background1" w:themeShade="D9"/>
            </w:tcBorders>
            <w:noWrap/>
            <w:vAlign w:val="center"/>
          </w:tcPr>
          <w:p w14:paraId="4B698BF7" w14:textId="3E729B05" w:rsidR="00FD2CBB" w:rsidRPr="002E267F" w:rsidRDefault="00FD2CBB" w:rsidP="00636CAE">
            <w:pPr>
              <w:spacing w:after="0" w:line="240" w:lineRule="auto"/>
              <w:jc w:val="center"/>
              <w:rPr>
                <w:rFonts w:eastAsia="Times New Roman" w:cs="Calibri"/>
                <w:color w:val="000000"/>
              </w:rPr>
            </w:pPr>
            <w:r w:rsidRPr="00EA189D">
              <w:t>16.881.563,88 €</w:t>
            </w:r>
          </w:p>
        </w:tc>
        <w:tc>
          <w:tcPr>
            <w:tcW w:w="772" w:type="pct"/>
            <w:tcBorders>
              <w:top w:val="nil"/>
              <w:left w:val="nil"/>
              <w:bottom w:val="single" w:sz="4" w:space="0" w:color="D9D9D9" w:themeColor="background1" w:themeShade="D9"/>
              <w:right w:val="single" w:sz="4" w:space="0" w:color="D9D9D9" w:themeColor="background1" w:themeShade="D9"/>
            </w:tcBorders>
            <w:noWrap/>
            <w:vAlign w:val="center"/>
          </w:tcPr>
          <w:p w14:paraId="2B2B6005" w14:textId="77777777" w:rsidR="00FD2CBB" w:rsidRPr="002E267F" w:rsidRDefault="00FD2CBB" w:rsidP="00636CAE">
            <w:pPr>
              <w:spacing w:after="0" w:line="240" w:lineRule="auto"/>
              <w:jc w:val="center"/>
              <w:rPr>
                <w:rFonts w:eastAsia="Times New Roman" w:cs="Calibri"/>
                <w:color w:val="000000"/>
              </w:rPr>
            </w:pPr>
            <w:r w:rsidRPr="008B2099">
              <w:t>21,73</w:t>
            </w:r>
          </w:p>
        </w:tc>
        <w:tc>
          <w:tcPr>
            <w:tcW w:w="526" w:type="pct"/>
            <w:tcBorders>
              <w:top w:val="nil"/>
              <w:left w:val="nil"/>
              <w:bottom w:val="single" w:sz="4" w:space="0" w:color="D9D9D9" w:themeColor="background1" w:themeShade="D9"/>
              <w:right w:val="single" w:sz="4" w:space="0" w:color="D9D9D9" w:themeColor="background1" w:themeShade="D9"/>
            </w:tcBorders>
            <w:noWrap/>
            <w:vAlign w:val="center"/>
          </w:tcPr>
          <w:p w14:paraId="3A0F58C3" w14:textId="77777777" w:rsidR="00FD2CBB" w:rsidRPr="002E267F" w:rsidRDefault="00FD2CBB" w:rsidP="00636CAE">
            <w:pPr>
              <w:spacing w:after="0" w:line="240" w:lineRule="auto"/>
              <w:jc w:val="center"/>
              <w:rPr>
                <w:rFonts w:eastAsia="Times New Roman" w:cs="Calibri"/>
                <w:color w:val="000000"/>
              </w:rPr>
            </w:pPr>
            <w:r w:rsidRPr="008B2099">
              <w:t>19,19</w:t>
            </w:r>
          </w:p>
        </w:tc>
      </w:tr>
      <w:tr w:rsidR="00FD2CBB" w:rsidRPr="002E267F" w14:paraId="6D527BB8" w14:textId="77777777" w:rsidTr="00E1577A">
        <w:trPr>
          <w:trHeight w:val="300"/>
        </w:trPr>
        <w:tc>
          <w:tcPr>
            <w:tcW w:w="1135" w:type="pct"/>
            <w:tcBorders>
              <w:top w:val="nil"/>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hideMark/>
          </w:tcPr>
          <w:p w14:paraId="4A6483C7" w14:textId="77777777" w:rsidR="00FD2CBB" w:rsidRPr="002E267F" w:rsidRDefault="00FD2CBB" w:rsidP="00E1577A">
            <w:pPr>
              <w:spacing w:after="0" w:line="240" w:lineRule="auto"/>
              <w:jc w:val="left"/>
              <w:rPr>
                <w:rFonts w:eastAsia="Times New Roman" w:cs="Calibri"/>
                <w:b/>
                <w:color w:val="000000"/>
              </w:rPr>
            </w:pPr>
            <w:r w:rsidRPr="002E267F">
              <w:rPr>
                <w:rFonts w:eastAsia="Times New Roman" w:cs="Calibri"/>
                <w:b/>
                <w:color w:val="000000"/>
              </w:rPr>
              <w:t>Valore totale</w:t>
            </w:r>
          </w:p>
        </w:tc>
        <w:tc>
          <w:tcPr>
            <w:tcW w:w="854" w:type="pct"/>
            <w:tcBorders>
              <w:top w:val="nil"/>
              <w:left w:val="nil"/>
              <w:bottom w:val="single" w:sz="4" w:space="0" w:color="D9D9D9" w:themeColor="background1" w:themeShade="D9"/>
              <w:right w:val="single" w:sz="4" w:space="0" w:color="D9D9D9" w:themeColor="background1" w:themeShade="D9"/>
            </w:tcBorders>
            <w:noWrap/>
            <w:vAlign w:val="center"/>
          </w:tcPr>
          <w:p w14:paraId="0D205305" w14:textId="77777777" w:rsidR="00FD2CBB" w:rsidRPr="00D84AEB" w:rsidRDefault="00FD2CBB" w:rsidP="00636CAE">
            <w:pPr>
              <w:spacing w:after="0" w:line="240" w:lineRule="auto"/>
              <w:jc w:val="center"/>
              <w:rPr>
                <w:rFonts w:eastAsia="Times New Roman" w:cs="Calibri"/>
                <w:b/>
                <w:color w:val="000000"/>
              </w:rPr>
            </w:pPr>
            <w:r w:rsidRPr="00D06659">
              <w:rPr>
                <w:b/>
                <w:bCs/>
              </w:rPr>
              <w:t>21.368.005</w:t>
            </w:r>
          </w:p>
        </w:tc>
        <w:tc>
          <w:tcPr>
            <w:tcW w:w="726" w:type="pct"/>
            <w:tcBorders>
              <w:top w:val="nil"/>
              <w:left w:val="nil"/>
              <w:bottom w:val="single" w:sz="4" w:space="0" w:color="D9D9D9" w:themeColor="background1" w:themeShade="D9"/>
              <w:right w:val="single" w:sz="4" w:space="0" w:color="D9D9D9" w:themeColor="background1" w:themeShade="D9"/>
            </w:tcBorders>
            <w:noWrap/>
            <w:vAlign w:val="center"/>
          </w:tcPr>
          <w:p w14:paraId="2C1DA59C" w14:textId="77777777" w:rsidR="00FD2CBB" w:rsidRPr="002E267F" w:rsidRDefault="00FD2CBB" w:rsidP="00636CAE">
            <w:pPr>
              <w:spacing w:after="0" w:line="240" w:lineRule="auto"/>
              <w:jc w:val="center"/>
              <w:rPr>
                <w:rFonts w:eastAsia="Times New Roman" w:cs="Calibri"/>
                <w:b/>
                <w:color w:val="000000"/>
              </w:rPr>
            </w:pPr>
          </w:p>
        </w:tc>
        <w:tc>
          <w:tcPr>
            <w:tcW w:w="986" w:type="pct"/>
            <w:tcBorders>
              <w:top w:val="nil"/>
              <w:left w:val="nil"/>
              <w:bottom w:val="single" w:sz="4" w:space="0" w:color="D9D9D9" w:themeColor="background1" w:themeShade="D9"/>
              <w:right w:val="single" w:sz="4" w:space="0" w:color="D9D9D9" w:themeColor="background1" w:themeShade="D9"/>
            </w:tcBorders>
            <w:noWrap/>
            <w:vAlign w:val="center"/>
          </w:tcPr>
          <w:p w14:paraId="08670D65" w14:textId="77777777" w:rsidR="00FD2CBB" w:rsidRPr="003357E7" w:rsidRDefault="00FD2CBB" w:rsidP="00636CAE">
            <w:pPr>
              <w:spacing w:after="0"/>
              <w:jc w:val="center"/>
              <w:rPr>
                <w:rFonts w:cs="Calibri"/>
                <w:b/>
                <w:color w:val="000000"/>
              </w:rPr>
            </w:pPr>
            <w:r w:rsidRPr="003357E7">
              <w:rPr>
                <w:rFonts w:cs="Calibri"/>
                <w:b/>
                <w:color w:val="000000"/>
              </w:rPr>
              <w:t>71.131.689,70 €</w:t>
            </w:r>
          </w:p>
        </w:tc>
        <w:tc>
          <w:tcPr>
            <w:tcW w:w="772" w:type="pct"/>
            <w:tcBorders>
              <w:top w:val="nil"/>
              <w:left w:val="single" w:sz="4" w:space="0" w:color="D9D9D9" w:themeColor="background1" w:themeShade="D9"/>
              <w:bottom w:val="nil"/>
              <w:right w:val="nil"/>
            </w:tcBorders>
            <w:noWrap/>
            <w:vAlign w:val="center"/>
            <w:hideMark/>
          </w:tcPr>
          <w:p w14:paraId="7479863F" w14:textId="4DB1D878" w:rsidR="00FD2CBB" w:rsidRPr="002E267F" w:rsidRDefault="00FD2CBB" w:rsidP="00636CAE">
            <w:pPr>
              <w:spacing w:after="0" w:line="240" w:lineRule="auto"/>
              <w:jc w:val="center"/>
              <w:rPr>
                <w:rFonts w:eastAsia="Times New Roman" w:cs="Calibri"/>
                <w:b/>
                <w:color w:val="000000"/>
              </w:rPr>
            </w:pPr>
          </w:p>
        </w:tc>
        <w:tc>
          <w:tcPr>
            <w:tcW w:w="526" w:type="pct"/>
            <w:tcBorders>
              <w:top w:val="nil"/>
              <w:left w:val="nil"/>
              <w:bottom w:val="nil"/>
              <w:right w:val="nil"/>
            </w:tcBorders>
            <w:noWrap/>
            <w:vAlign w:val="center"/>
            <w:hideMark/>
          </w:tcPr>
          <w:p w14:paraId="752025AE" w14:textId="77777777" w:rsidR="00FD2CBB" w:rsidRPr="002E267F" w:rsidRDefault="00FD2CBB" w:rsidP="00636CAE">
            <w:pPr>
              <w:spacing w:after="0" w:line="240" w:lineRule="auto"/>
              <w:jc w:val="center"/>
              <w:rPr>
                <w:rFonts w:eastAsia="Times New Roman" w:cs="Calibri"/>
                <w:b/>
                <w:color w:val="000000"/>
              </w:rPr>
            </w:pPr>
          </w:p>
        </w:tc>
      </w:tr>
      <w:tr w:rsidR="00FD2CBB" w:rsidRPr="002E267F" w14:paraId="2CD17261" w14:textId="77777777" w:rsidTr="00E1577A">
        <w:trPr>
          <w:trHeight w:val="300"/>
        </w:trPr>
        <w:tc>
          <w:tcPr>
            <w:tcW w:w="1135" w:type="pct"/>
            <w:tcBorders>
              <w:top w:val="nil"/>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EE3438"/>
            <w:noWrap/>
            <w:vAlign w:val="center"/>
            <w:hideMark/>
          </w:tcPr>
          <w:p w14:paraId="10613742" w14:textId="77777777" w:rsidR="00FD2CBB" w:rsidRPr="002E267F" w:rsidRDefault="00FD2CBB" w:rsidP="00E1577A">
            <w:pPr>
              <w:spacing w:after="0" w:line="240" w:lineRule="auto"/>
              <w:jc w:val="left"/>
              <w:rPr>
                <w:rFonts w:eastAsia="Times New Roman" w:cs="Calibri"/>
                <w:b/>
                <w:color w:val="FFFFFF" w:themeColor="background1"/>
              </w:rPr>
            </w:pPr>
            <w:r w:rsidRPr="71EE7570">
              <w:rPr>
                <w:rFonts w:eastAsia="Times New Roman" w:cs="Calibri"/>
                <w:b/>
                <w:color w:val="FFFFFF" w:themeColor="background1"/>
              </w:rPr>
              <w:t>Valore unitario €/km</w:t>
            </w:r>
          </w:p>
        </w:tc>
        <w:tc>
          <w:tcPr>
            <w:tcW w:w="854" w:type="pct"/>
            <w:tcBorders>
              <w:top w:val="nil"/>
              <w:left w:val="nil"/>
              <w:bottom w:val="nil"/>
              <w:right w:val="nil"/>
            </w:tcBorders>
            <w:noWrap/>
            <w:vAlign w:val="center"/>
            <w:hideMark/>
          </w:tcPr>
          <w:p w14:paraId="7C91AABA" w14:textId="77777777" w:rsidR="00FD2CBB" w:rsidRPr="002E267F" w:rsidRDefault="00FD2CBB" w:rsidP="00E1577A">
            <w:pPr>
              <w:spacing w:after="0" w:line="240" w:lineRule="auto"/>
              <w:jc w:val="left"/>
              <w:rPr>
                <w:rFonts w:eastAsia="Times New Roman" w:cs="Calibri"/>
                <w:color w:val="FFFFFF" w:themeColor="background1"/>
              </w:rPr>
            </w:pPr>
            <w:r w:rsidRPr="71EE7570">
              <w:rPr>
                <w:rFonts w:eastAsia="Times New Roman" w:cs="Calibri"/>
                <w:color w:val="FFFFFF" w:themeColor="background1"/>
              </w:rPr>
              <w:t> </w:t>
            </w:r>
          </w:p>
        </w:tc>
        <w:tc>
          <w:tcPr>
            <w:tcW w:w="726" w:type="pct"/>
            <w:tcBorders>
              <w:top w:val="nil"/>
              <w:left w:val="nil"/>
              <w:bottom w:val="nil"/>
              <w:right w:val="single" w:sz="4" w:space="0" w:color="D9D9D9" w:themeColor="background1" w:themeShade="D9"/>
            </w:tcBorders>
            <w:noWrap/>
            <w:vAlign w:val="center"/>
            <w:hideMark/>
          </w:tcPr>
          <w:p w14:paraId="7B4F93E8" w14:textId="77777777" w:rsidR="00FD2CBB" w:rsidRPr="002E267F" w:rsidRDefault="00FD2CBB" w:rsidP="00E1577A">
            <w:pPr>
              <w:spacing w:after="0" w:line="240" w:lineRule="auto"/>
              <w:jc w:val="left"/>
              <w:rPr>
                <w:rFonts w:eastAsia="Times New Roman" w:cs="Calibri"/>
                <w:color w:val="FFFFFF" w:themeColor="background1"/>
              </w:rPr>
            </w:pPr>
            <w:r w:rsidRPr="71EE7570">
              <w:rPr>
                <w:rFonts w:eastAsia="Times New Roman" w:cs="Calibri"/>
                <w:color w:val="FFFFFF" w:themeColor="background1"/>
              </w:rPr>
              <w:t> </w:t>
            </w:r>
          </w:p>
        </w:tc>
        <w:tc>
          <w:tcPr>
            <w:tcW w:w="986" w:type="pct"/>
            <w:tcBorders>
              <w:top w:val="nil"/>
              <w:left w:val="nil"/>
              <w:bottom w:val="single" w:sz="4" w:space="0" w:color="D9D9D9" w:themeColor="background1" w:themeShade="D9"/>
              <w:right w:val="single" w:sz="4" w:space="0" w:color="D9D9D9" w:themeColor="background1" w:themeShade="D9"/>
            </w:tcBorders>
            <w:shd w:val="clear" w:color="auto" w:fill="EE3438"/>
            <w:noWrap/>
            <w:vAlign w:val="center"/>
            <w:hideMark/>
          </w:tcPr>
          <w:p w14:paraId="36EA32AD" w14:textId="61D146E2" w:rsidR="00FD2CBB" w:rsidRPr="002E267F" w:rsidRDefault="00FD2CBB" w:rsidP="00636CAE">
            <w:pPr>
              <w:spacing w:after="0" w:line="240" w:lineRule="auto"/>
              <w:jc w:val="center"/>
              <w:rPr>
                <w:rFonts w:eastAsia="Times New Roman" w:cs="Calibri"/>
                <w:b/>
                <w:color w:val="FFFFFF" w:themeColor="background1"/>
              </w:rPr>
            </w:pPr>
            <w:r>
              <w:rPr>
                <w:rFonts w:eastAsia="Times New Roman" w:cs="Calibri"/>
                <w:b/>
                <w:color w:val="FFFFFF" w:themeColor="background1"/>
              </w:rPr>
              <w:t xml:space="preserve">3,33 </w:t>
            </w:r>
            <w:r w:rsidRPr="71EE7570">
              <w:rPr>
                <w:rFonts w:eastAsia="Times New Roman" w:cs="Calibri"/>
                <w:b/>
                <w:color w:val="FFFFFF" w:themeColor="background1"/>
              </w:rPr>
              <w:t>€</w:t>
            </w:r>
          </w:p>
        </w:tc>
        <w:tc>
          <w:tcPr>
            <w:tcW w:w="772" w:type="pct"/>
            <w:tcBorders>
              <w:top w:val="nil"/>
              <w:left w:val="single" w:sz="4" w:space="0" w:color="D9D9D9" w:themeColor="background1" w:themeShade="D9"/>
              <w:bottom w:val="nil"/>
              <w:right w:val="nil"/>
            </w:tcBorders>
            <w:noWrap/>
            <w:vAlign w:val="center"/>
            <w:hideMark/>
          </w:tcPr>
          <w:p w14:paraId="51A6F961" w14:textId="77777777" w:rsidR="00FD2CBB" w:rsidRPr="002E267F" w:rsidRDefault="00FD2CBB" w:rsidP="00E1577A">
            <w:pPr>
              <w:spacing w:after="0" w:line="240" w:lineRule="auto"/>
              <w:jc w:val="left"/>
              <w:rPr>
                <w:rFonts w:eastAsia="Times New Roman" w:cs="Calibri"/>
                <w:color w:val="000000"/>
              </w:rPr>
            </w:pPr>
            <w:r w:rsidRPr="002E267F">
              <w:rPr>
                <w:rFonts w:eastAsia="Times New Roman" w:cs="Calibri"/>
                <w:color w:val="000000"/>
              </w:rPr>
              <w:t> </w:t>
            </w:r>
          </w:p>
        </w:tc>
        <w:tc>
          <w:tcPr>
            <w:tcW w:w="526" w:type="pct"/>
            <w:tcBorders>
              <w:top w:val="nil"/>
              <w:left w:val="nil"/>
              <w:bottom w:val="nil"/>
              <w:right w:val="nil"/>
            </w:tcBorders>
            <w:noWrap/>
            <w:vAlign w:val="center"/>
            <w:hideMark/>
          </w:tcPr>
          <w:p w14:paraId="0DB9D29C" w14:textId="77777777" w:rsidR="00FD2CBB" w:rsidRPr="002E267F" w:rsidRDefault="00FD2CBB" w:rsidP="00E1577A">
            <w:pPr>
              <w:spacing w:after="0" w:line="240" w:lineRule="auto"/>
              <w:jc w:val="left"/>
              <w:rPr>
                <w:rFonts w:eastAsia="Times New Roman" w:cs="Calibri"/>
                <w:color w:val="000000"/>
              </w:rPr>
            </w:pPr>
          </w:p>
        </w:tc>
      </w:tr>
    </w:tbl>
    <w:p w14:paraId="7A1DC68E" w14:textId="6B0254D1" w:rsidR="00FD2CBB" w:rsidRDefault="00FD2CBB" w:rsidP="00944A9A">
      <w:pPr>
        <w:spacing w:after="240" w:line="240" w:lineRule="auto"/>
        <w:jc w:val="center"/>
        <w:rPr>
          <w:rFonts w:eastAsia="Calibri"/>
          <w:i/>
          <w:color w:val="17406D"/>
          <w:sz w:val="18"/>
          <w:szCs w:val="18"/>
        </w:rPr>
      </w:pPr>
      <w:r w:rsidRPr="00BF35BC">
        <w:rPr>
          <w:rFonts w:eastAsia="Calibri"/>
          <w:i/>
          <w:color w:val="003366"/>
          <w:sz w:val="18"/>
          <w:szCs w:val="18"/>
        </w:rPr>
        <w:t xml:space="preserve">Tabella </w:t>
      </w:r>
      <w:r w:rsidRPr="00BF35BC">
        <w:rPr>
          <w:rFonts w:cstheme="minorHAnsi"/>
          <w:i/>
          <w:color w:val="003366"/>
          <w:sz w:val="18"/>
          <w:szCs w:val="18"/>
        </w:rPr>
        <w:fldChar w:fldCharType="begin"/>
      </w:r>
      <w:r w:rsidRPr="71EE7570">
        <w:rPr>
          <w:rFonts w:eastAsia="Calibri"/>
          <w:i/>
          <w:color w:val="17406D" w:themeColor="text2"/>
          <w:sz w:val="18"/>
          <w:szCs w:val="18"/>
        </w:rPr>
        <w:instrText xml:space="preserve"> SEQ Tabella \* ARABIC </w:instrText>
      </w:r>
      <w:r w:rsidRPr="00BF35BC">
        <w:rPr>
          <w:rFonts w:cstheme="minorHAnsi"/>
          <w:i/>
          <w:color w:val="003366"/>
          <w:sz w:val="18"/>
          <w:szCs w:val="18"/>
        </w:rPr>
        <w:fldChar w:fldCharType="separate"/>
      </w:r>
      <w:r w:rsidR="00073B6D">
        <w:rPr>
          <w:rFonts w:eastAsia="Calibri"/>
          <w:i/>
          <w:noProof/>
          <w:color w:val="17406D" w:themeColor="text2"/>
          <w:sz w:val="18"/>
          <w:szCs w:val="18"/>
        </w:rPr>
        <w:t>57</w:t>
      </w:r>
      <w:r w:rsidRPr="00BF35BC">
        <w:rPr>
          <w:rFonts w:cstheme="minorHAnsi"/>
          <w:i/>
          <w:color w:val="003366"/>
          <w:sz w:val="18"/>
          <w:szCs w:val="18"/>
        </w:rPr>
        <w:fldChar w:fldCharType="end"/>
      </w:r>
      <w:r w:rsidRPr="00BF35BC">
        <w:rPr>
          <w:rFonts w:cstheme="minorHAnsi"/>
          <w:i/>
          <w:color w:val="003366"/>
          <w:sz w:val="18"/>
          <w:szCs w:val="18"/>
        </w:rPr>
        <w:t xml:space="preserve"> </w:t>
      </w:r>
      <w:r w:rsidRPr="00BF35BC">
        <w:rPr>
          <w:rFonts w:eastAsia="Calibri"/>
          <w:color w:val="003366"/>
          <w:sz w:val="18"/>
          <w:szCs w:val="18"/>
        </w:rPr>
        <w:t xml:space="preserve">– </w:t>
      </w:r>
      <w:r w:rsidRPr="00AD01C5">
        <w:rPr>
          <w:rFonts w:eastAsia="Calibri"/>
          <w:i/>
          <w:color w:val="17406D"/>
          <w:sz w:val="18"/>
          <w:szCs w:val="18"/>
        </w:rPr>
        <w:t xml:space="preserve">Valutazione dei costi </w:t>
      </w:r>
      <w:r w:rsidRPr="0062443B">
        <w:rPr>
          <w:rFonts w:eastAsia="Calibri"/>
          <w:i/>
          <w:color w:val="17406D"/>
          <w:sz w:val="18"/>
          <w:szCs w:val="18"/>
        </w:rPr>
        <w:t>standard</w:t>
      </w:r>
      <w:r w:rsidRPr="00AD01C5">
        <w:rPr>
          <w:rFonts w:eastAsia="Calibri"/>
          <w:i/>
          <w:color w:val="17406D"/>
          <w:sz w:val="18"/>
          <w:szCs w:val="18"/>
        </w:rPr>
        <w:t xml:space="preserve"> delle singole unità di rete</w:t>
      </w:r>
    </w:p>
    <w:p w14:paraId="63573530" w14:textId="7D0ACD21" w:rsidR="00FD2CBB" w:rsidRPr="00804165" w:rsidRDefault="00646136" w:rsidP="002405AF">
      <w:pPr>
        <w:pStyle w:val="Titolo3"/>
        <w:ind w:left="720"/>
      </w:pPr>
      <w:bookmarkStart w:id="423" w:name="_Toc213078408"/>
      <w:r>
        <w:t>Valutazione dei servizi a chiamata</w:t>
      </w:r>
      <w:bookmarkEnd w:id="423"/>
    </w:p>
    <w:p w14:paraId="23A0592B" w14:textId="730AD187" w:rsidR="00FD2CBB" w:rsidRDefault="00FD2CBB" w:rsidP="00606F27">
      <w:pPr>
        <w:spacing w:before="120" w:after="0" w:line="240" w:lineRule="auto"/>
        <w:rPr>
          <w:rFonts w:eastAsia="Calibri"/>
        </w:rPr>
      </w:pPr>
      <w:r w:rsidRPr="00D20EFB">
        <w:rPr>
          <w:rFonts w:eastAsia="Calibri"/>
        </w:rPr>
        <w:t xml:space="preserve">Come già descritto nel </w:t>
      </w:r>
      <w:r w:rsidRPr="00691EF0">
        <w:rPr>
          <w:rFonts w:eastAsia="Calibri"/>
        </w:rPr>
        <w:t xml:space="preserve">paragrafo </w:t>
      </w:r>
      <w:r w:rsidR="00691EF0" w:rsidRPr="00691EF0">
        <w:rPr>
          <w:rFonts w:eastAsia="Calibri"/>
        </w:rPr>
        <w:fldChar w:fldCharType="begin"/>
      </w:r>
      <w:r w:rsidR="00691EF0" w:rsidRPr="00691EF0">
        <w:rPr>
          <w:rFonts w:eastAsia="Calibri"/>
        </w:rPr>
        <w:instrText xml:space="preserve"> REF _Ref212733908 \r \h </w:instrText>
      </w:r>
      <w:r w:rsidR="00691EF0">
        <w:rPr>
          <w:rFonts w:eastAsia="Calibri"/>
        </w:rPr>
        <w:instrText xml:space="preserve"> \* MERGEFORMAT </w:instrText>
      </w:r>
      <w:r w:rsidR="00691EF0" w:rsidRPr="00691EF0">
        <w:rPr>
          <w:rFonts w:eastAsia="Calibri"/>
        </w:rPr>
      </w:r>
      <w:r w:rsidR="00691EF0" w:rsidRPr="00691EF0">
        <w:rPr>
          <w:rFonts w:eastAsia="Calibri"/>
        </w:rPr>
        <w:fldChar w:fldCharType="separate"/>
      </w:r>
      <w:r w:rsidR="00073B6D">
        <w:rPr>
          <w:rFonts w:eastAsia="Calibri"/>
        </w:rPr>
        <w:t>4.1.3</w:t>
      </w:r>
      <w:r w:rsidR="00691EF0" w:rsidRPr="00691EF0">
        <w:rPr>
          <w:rFonts w:eastAsia="Calibri"/>
        </w:rPr>
        <w:fldChar w:fldCharType="end"/>
      </w:r>
      <w:r w:rsidRPr="00691EF0">
        <w:rPr>
          <w:rFonts w:eastAsia="Calibri"/>
        </w:rPr>
        <w:t>, all’interno</w:t>
      </w:r>
      <w:r>
        <w:rPr>
          <w:rFonts w:eastAsia="Calibri"/>
        </w:rPr>
        <w:t xml:space="preserve"> del Bacino metropolitano sono presenti importanti servizi a chiamata denominati Me</w:t>
      </w:r>
      <w:r w:rsidR="002346E0">
        <w:rPr>
          <w:rFonts w:eastAsia="Calibri"/>
        </w:rPr>
        <w:t>BUS</w:t>
      </w:r>
      <w:r w:rsidR="00FC3816">
        <w:rPr>
          <w:rFonts w:eastAsia="Calibri"/>
        </w:rPr>
        <w:t xml:space="preserve">, </w:t>
      </w:r>
      <w:r>
        <w:rPr>
          <w:rFonts w:eastAsia="Calibri"/>
        </w:rPr>
        <w:t>Provi</w:t>
      </w:r>
      <w:r w:rsidR="00F92BBD">
        <w:rPr>
          <w:rFonts w:eastAsia="Calibri"/>
        </w:rPr>
        <w:t>B</w:t>
      </w:r>
      <w:r>
        <w:rPr>
          <w:rFonts w:eastAsia="Calibri"/>
        </w:rPr>
        <w:t>us</w:t>
      </w:r>
      <w:r w:rsidR="00FC3816">
        <w:rPr>
          <w:rFonts w:eastAsia="Calibri"/>
        </w:rPr>
        <w:t xml:space="preserve"> </w:t>
      </w:r>
      <w:r>
        <w:rPr>
          <w:rFonts w:eastAsia="Calibri"/>
        </w:rPr>
        <w:t xml:space="preserve">e </w:t>
      </w:r>
      <w:r w:rsidR="00FC3816">
        <w:rPr>
          <w:rFonts w:eastAsia="Calibri"/>
        </w:rPr>
        <w:t>Setti</w:t>
      </w:r>
      <w:r w:rsidR="00F92BBD">
        <w:rPr>
          <w:rFonts w:eastAsia="Calibri"/>
        </w:rPr>
        <w:t>B</w:t>
      </w:r>
      <w:r w:rsidR="00E930A3">
        <w:rPr>
          <w:rFonts w:eastAsia="Calibri"/>
        </w:rPr>
        <w:t>us,</w:t>
      </w:r>
      <w:r>
        <w:rPr>
          <w:rFonts w:eastAsia="Calibri"/>
        </w:rPr>
        <w:t xml:space="preserve"> che per loro natura organizzativa hanno dei costi di esercizio non valutabili attraverso il metodo del costo standard descritto all’interno del presente paragrafo.</w:t>
      </w:r>
    </w:p>
    <w:p w14:paraId="7D53D920" w14:textId="4CB06EA5" w:rsidR="00FD2CBB" w:rsidRDefault="00FD2CBB" w:rsidP="00E244A9">
      <w:pPr>
        <w:spacing w:before="120" w:after="0" w:line="240" w:lineRule="auto"/>
        <w:rPr>
          <w:rFonts w:eastAsia="Calibri"/>
        </w:rPr>
      </w:pPr>
      <w:r>
        <w:rPr>
          <w:rFonts w:eastAsia="Calibri"/>
        </w:rPr>
        <w:t>Di seguito si riporta l’elenco dei servizi a chiamata e la loro assegnazione per competenza territoriale.</w:t>
      </w:r>
    </w:p>
    <w:p w14:paraId="0BB6364E" w14:textId="77777777" w:rsidR="00E244A9" w:rsidRDefault="00E244A9" w:rsidP="00E244A9">
      <w:pPr>
        <w:spacing w:before="120" w:after="0" w:line="240" w:lineRule="auto"/>
        <w:rPr>
          <w:rFonts w:eastAsia="Calibri"/>
        </w:rPr>
      </w:pPr>
    </w:p>
    <w:tbl>
      <w:tblPr>
        <w:tblW w:w="6799" w:type="dxa"/>
        <w:jc w:val="center"/>
        <w:tblCellMar>
          <w:left w:w="70" w:type="dxa"/>
          <w:right w:w="70" w:type="dxa"/>
        </w:tblCellMar>
        <w:tblLook w:val="04A0" w:firstRow="1" w:lastRow="0" w:firstColumn="1" w:lastColumn="0" w:noHBand="0" w:noVBand="1"/>
      </w:tblPr>
      <w:tblGrid>
        <w:gridCol w:w="3539"/>
        <w:gridCol w:w="1418"/>
        <w:gridCol w:w="1842"/>
      </w:tblGrid>
      <w:tr w:rsidR="00FD2CBB" w:rsidRPr="004A3398" w14:paraId="6EDCDE15" w14:textId="77777777" w:rsidTr="008D68F5">
        <w:trPr>
          <w:trHeight w:val="300"/>
          <w:jc w:val="center"/>
        </w:trPr>
        <w:tc>
          <w:tcPr>
            <w:tcW w:w="3539" w:type="dxa"/>
            <w:tcBorders>
              <w:top w:val="single" w:sz="4" w:space="0" w:color="A6A6A6"/>
              <w:left w:val="single" w:sz="4" w:space="0" w:color="A6A6A6"/>
              <w:bottom w:val="single" w:sz="4" w:space="0" w:color="A6A6A6"/>
              <w:right w:val="single" w:sz="4" w:space="0" w:color="A6A6A6"/>
            </w:tcBorders>
            <w:shd w:val="clear" w:color="auto" w:fill="EE0000"/>
            <w:noWrap/>
            <w:vAlign w:val="center"/>
            <w:hideMark/>
          </w:tcPr>
          <w:p w14:paraId="14BDAAA5" w14:textId="77777777" w:rsidR="00FD2CBB" w:rsidRPr="004A3398" w:rsidRDefault="00FD2CBB" w:rsidP="009161F6">
            <w:pPr>
              <w:spacing w:after="0" w:line="240" w:lineRule="auto"/>
              <w:jc w:val="left"/>
              <w:rPr>
                <w:rFonts w:eastAsia="Times New Roman" w:cstheme="minorHAnsi"/>
                <w:b/>
                <w:bCs/>
                <w:color w:val="FFFFFF"/>
                <w:sz w:val="20"/>
                <w:szCs w:val="20"/>
              </w:rPr>
            </w:pPr>
            <w:r w:rsidRPr="004A3398">
              <w:rPr>
                <w:rFonts w:eastAsia="Times New Roman" w:cstheme="minorHAnsi"/>
                <w:b/>
                <w:bCs/>
                <w:color w:val="FFFFFF"/>
                <w:sz w:val="20"/>
                <w:szCs w:val="20"/>
              </w:rPr>
              <w:t>SERVIZIO A CHIAMATA</w:t>
            </w:r>
          </w:p>
        </w:tc>
        <w:tc>
          <w:tcPr>
            <w:tcW w:w="1418" w:type="dxa"/>
            <w:tcBorders>
              <w:top w:val="single" w:sz="4" w:space="0" w:color="A6A6A6"/>
              <w:left w:val="nil"/>
              <w:bottom w:val="single" w:sz="4" w:space="0" w:color="A6A6A6"/>
              <w:right w:val="nil"/>
            </w:tcBorders>
            <w:shd w:val="clear" w:color="auto" w:fill="EE0000"/>
            <w:noWrap/>
            <w:vAlign w:val="center"/>
            <w:hideMark/>
          </w:tcPr>
          <w:p w14:paraId="4B4845E5" w14:textId="77777777" w:rsidR="00FD2CBB" w:rsidRPr="004A3398" w:rsidRDefault="00FD2CBB" w:rsidP="009161F6">
            <w:pPr>
              <w:spacing w:after="0" w:line="240" w:lineRule="auto"/>
              <w:jc w:val="left"/>
              <w:rPr>
                <w:rFonts w:eastAsia="Times New Roman" w:cstheme="minorHAnsi"/>
                <w:b/>
                <w:bCs/>
                <w:color w:val="FFFFFF"/>
                <w:sz w:val="20"/>
                <w:szCs w:val="20"/>
              </w:rPr>
            </w:pPr>
            <w:r w:rsidRPr="004A3398">
              <w:rPr>
                <w:rFonts w:eastAsia="Times New Roman" w:cstheme="minorHAnsi"/>
                <w:b/>
                <w:bCs/>
                <w:color w:val="FFFFFF"/>
                <w:sz w:val="20"/>
                <w:szCs w:val="20"/>
              </w:rPr>
              <w:t xml:space="preserve">UNITA DI RETE </w:t>
            </w:r>
          </w:p>
        </w:tc>
        <w:tc>
          <w:tcPr>
            <w:tcW w:w="1842" w:type="dxa"/>
            <w:tcBorders>
              <w:top w:val="single" w:sz="4" w:space="0" w:color="A6A6A6"/>
              <w:left w:val="single" w:sz="4" w:space="0" w:color="A6A6A6"/>
              <w:bottom w:val="single" w:sz="4" w:space="0" w:color="A6A6A6"/>
              <w:right w:val="single" w:sz="4" w:space="0" w:color="A6A6A6"/>
            </w:tcBorders>
            <w:shd w:val="clear" w:color="auto" w:fill="EE0000"/>
            <w:noWrap/>
            <w:vAlign w:val="center"/>
            <w:hideMark/>
          </w:tcPr>
          <w:p w14:paraId="2EAE46BF" w14:textId="77777777" w:rsidR="00FD2CBB" w:rsidRPr="004A3398" w:rsidRDefault="00FD2CBB" w:rsidP="009161F6">
            <w:pPr>
              <w:spacing w:after="0" w:line="240" w:lineRule="auto"/>
              <w:jc w:val="left"/>
              <w:rPr>
                <w:rFonts w:eastAsia="Times New Roman" w:cstheme="minorHAnsi"/>
                <w:b/>
                <w:bCs/>
                <w:color w:val="FFFFFF"/>
                <w:sz w:val="20"/>
                <w:szCs w:val="20"/>
              </w:rPr>
            </w:pPr>
            <w:r w:rsidRPr="004A3398">
              <w:rPr>
                <w:rFonts w:eastAsia="Times New Roman" w:cstheme="minorHAnsi"/>
                <w:b/>
                <w:bCs/>
                <w:color w:val="FFFFFF"/>
                <w:sz w:val="20"/>
                <w:szCs w:val="20"/>
              </w:rPr>
              <w:t xml:space="preserve">PRODUZIONE KM </w:t>
            </w:r>
          </w:p>
        </w:tc>
      </w:tr>
      <w:tr w:rsidR="00FD2CBB" w:rsidRPr="004A3398" w14:paraId="4F4EC808" w14:textId="77777777" w:rsidTr="009161F6">
        <w:trPr>
          <w:trHeight w:val="315"/>
          <w:jc w:val="center"/>
        </w:trPr>
        <w:tc>
          <w:tcPr>
            <w:tcW w:w="3539" w:type="dxa"/>
            <w:tcBorders>
              <w:top w:val="nil"/>
              <w:left w:val="single" w:sz="4" w:space="0" w:color="A6A6A6"/>
              <w:bottom w:val="single" w:sz="4" w:space="0" w:color="A6A6A6"/>
              <w:right w:val="single" w:sz="4" w:space="0" w:color="A6A6A6"/>
            </w:tcBorders>
            <w:shd w:val="clear" w:color="000000" w:fill="FF7C80"/>
            <w:noWrap/>
            <w:vAlign w:val="center"/>
            <w:hideMark/>
          </w:tcPr>
          <w:p w14:paraId="2A40BD86" w14:textId="0364BAF2" w:rsidR="00FD2CBB" w:rsidRPr="004A3398" w:rsidRDefault="00FD2CBB" w:rsidP="009161F6">
            <w:pPr>
              <w:spacing w:after="0" w:line="240" w:lineRule="auto"/>
              <w:jc w:val="left"/>
              <w:rPr>
                <w:rFonts w:eastAsia="Times New Roman" w:cstheme="minorHAnsi"/>
                <w:sz w:val="20"/>
                <w:szCs w:val="20"/>
              </w:rPr>
            </w:pPr>
            <w:r w:rsidRPr="004A3398">
              <w:rPr>
                <w:rFonts w:eastAsia="Times New Roman" w:cstheme="minorHAnsi"/>
                <w:sz w:val="20"/>
                <w:szCs w:val="20"/>
              </w:rPr>
              <w:t>Provi</w:t>
            </w:r>
            <w:r w:rsidR="00F92BBD">
              <w:rPr>
                <w:rFonts w:eastAsia="Times New Roman" w:cstheme="minorHAnsi"/>
                <w:sz w:val="20"/>
                <w:szCs w:val="20"/>
              </w:rPr>
              <w:t>B</w:t>
            </w:r>
            <w:r w:rsidRPr="004A3398">
              <w:rPr>
                <w:rFonts w:eastAsia="Times New Roman" w:cstheme="minorHAnsi"/>
                <w:sz w:val="20"/>
                <w:szCs w:val="20"/>
              </w:rPr>
              <w:t>us Caluso</w:t>
            </w:r>
          </w:p>
        </w:tc>
        <w:tc>
          <w:tcPr>
            <w:tcW w:w="1418" w:type="dxa"/>
            <w:tcBorders>
              <w:top w:val="nil"/>
              <w:left w:val="nil"/>
              <w:bottom w:val="single" w:sz="4" w:space="0" w:color="A6A6A6"/>
              <w:right w:val="nil"/>
            </w:tcBorders>
            <w:noWrap/>
            <w:vAlign w:val="center"/>
            <w:hideMark/>
          </w:tcPr>
          <w:p w14:paraId="10B374C1" w14:textId="77777777" w:rsidR="00FD2CBB" w:rsidRPr="004A3398" w:rsidRDefault="00FD2CBB" w:rsidP="009161F6">
            <w:pPr>
              <w:spacing w:after="0" w:line="240" w:lineRule="auto"/>
              <w:jc w:val="center"/>
              <w:rPr>
                <w:rFonts w:eastAsia="Times New Roman" w:cstheme="minorHAnsi"/>
                <w:color w:val="000000"/>
                <w:sz w:val="20"/>
                <w:szCs w:val="20"/>
              </w:rPr>
            </w:pPr>
            <w:r w:rsidRPr="004A3398">
              <w:rPr>
                <w:rFonts w:eastAsia="Times New Roman" w:cstheme="minorHAnsi"/>
                <w:color w:val="000000"/>
                <w:sz w:val="20"/>
                <w:szCs w:val="20"/>
              </w:rPr>
              <w:t>1</w:t>
            </w:r>
          </w:p>
        </w:tc>
        <w:tc>
          <w:tcPr>
            <w:tcW w:w="1842" w:type="dxa"/>
            <w:tcBorders>
              <w:top w:val="nil"/>
              <w:left w:val="single" w:sz="4" w:space="0" w:color="A6A6A6"/>
              <w:bottom w:val="single" w:sz="4" w:space="0" w:color="A6A6A6"/>
              <w:right w:val="single" w:sz="4" w:space="0" w:color="A6A6A6"/>
            </w:tcBorders>
            <w:vAlign w:val="center"/>
            <w:hideMark/>
          </w:tcPr>
          <w:p w14:paraId="4F92D6FF" w14:textId="77777777" w:rsidR="00FD2CBB" w:rsidRPr="004A3398" w:rsidRDefault="00FD2CBB" w:rsidP="009161F6">
            <w:pPr>
              <w:spacing w:after="0" w:line="240" w:lineRule="auto"/>
              <w:jc w:val="right"/>
              <w:rPr>
                <w:rFonts w:eastAsia="Times New Roman" w:cstheme="minorHAnsi"/>
                <w:color w:val="000000"/>
                <w:sz w:val="20"/>
                <w:szCs w:val="20"/>
              </w:rPr>
            </w:pPr>
            <w:r w:rsidRPr="004A3398">
              <w:rPr>
                <w:rFonts w:eastAsia="Times New Roman" w:cstheme="minorHAnsi"/>
                <w:color w:val="000000"/>
                <w:sz w:val="20"/>
                <w:szCs w:val="20"/>
              </w:rPr>
              <w:t xml:space="preserve">                      27.895 </w:t>
            </w:r>
          </w:p>
        </w:tc>
      </w:tr>
      <w:tr w:rsidR="00FD2CBB" w:rsidRPr="004A3398" w14:paraId="56F59C91" w14:textId="77777777" w:rsidTr="009161F6">
        <w:trPr>
          <w:trHeight w:val="315"/>
          <w:jc w:val="center"/>
        </w:trPr>
        <w:tc>
          <w:tcPr>
            <w:tcW w:w="3539" w:type="dxa"/>
            <w:tcBorders>
              <w:top w:val="nil"/>
              <w:left w:val="single" w:sz="4" w:space="0" w:color="A6A6A6"/>
              <w:bottom w:val="single" w:sz="4" w:space="0" w:color="A6A6A6"/>
              <w:right w:val="single" w:sz="4" w:space="0" w:color="A6A6A6"/>
            </w:tcBorders>
            <w:shd w:val="clear" w:color="000000" w:fill="FF7C80"/>
            <w:noWrap/>
            <w:vAlign w:val="center"/>
            <w:hideMark/>
          </w:tcPr>
          <w:p w14:paraId="1C5CBB1E" w14:textId="26BB519E" w:rsidR="00FD2CBB" w:rsidRPr="004A3398" w:rsidRDefault="00FD2CBB" w:rsidP="009161F6">
            <w:pPr>
              <w:spacing w:after="0" w:line="240" w:lineRule="auto"/>
              <w:jc w:val="left"/>
              <w:rPr>
                <w:rFonts w:eastAsia="Times New Roman" w:cstheme="minorHAnsi"/>
                <w:sz w:val="20"/>
                <w:szCs w:val="20"/>
              </w:rPr>
            </w:pPr>
            <w:r w:rsidRPr="004A3398">
              <w:rPr>
                <w:rFonts w:eastAsia="Times New Roman" w:cstheme="minorHAnsi"/>
                <w:sz w:val="20"/>
                <w:szCs w:val="20"/>
              </w:rPr>
              <w:t>Provi</w:t>
            </w:r>
            <w:r w:rsidR="00F92BBD">
              <w:rPr>
                <w:rFonts w:eastAsia="Times New Roman" w:cstheme="minorHAnsi"/>
                <w:sz w:val="20"/>
                <w:szCs w:val="20"/>
              </w:rPr>
              <w:t>B</w:t>
            </w:r>
            <w:r w:rsidRPr="004A3398">
              <w:rPr>
                <w:rFonts w:eastAsia="Times New Roman" w:cstheme="minorHAnsi"/>
                <w:sz w:val="20"/>
                <w:szCs w:val="20"/>
              </w:rPr>
              <w:t>us Chivassese</w:t>
            </w:r>
          </w:p>
        </w:tc>
        <w:tc>
          <w:tcPr>
            <w:tcW w:w="1418" w:type="dxa"/>
            <w:tcBorders>
              <w:top w:val="nil"/>
              <w:left w:val="nil"/>
              <w:bottom w:val="single" w:sz="4" w:space="0" w:color="A6A6A6"/>
              <w:right w:val="nil"/>
            </w:tcBorders>
            <w:noWrap/>
            <w:vAlign w:val="center"/>
            <w:hideMark/>
          </w:tcPr>
          <w:p w14:paraId="2C832A11" w14:textId="77777777" w:rsidR="00FD2CBB" w:rsidRPr="004A3398" w:rsidRDefault="00FD2CBB" w:rsidP="009161F6">
            <w:pPr>
              <w:spacing w:after="0" w:line="240" w:lineRule="auto"/>
              <w:jc w:val="center"/>
              <w:rPr>
                <w:rFonts w:eastAsia="Times New Roman" w:cstheme="minorHAnsi"/>
                <w:color w:val="000000"/>
                <w:sz w:val="20"/>
                <w:szCs w:val="20"/>
              </w:rPr>
            </w:pPr>
            <w:r w:rsidRPr="004A3398">
              <w:rPr>
                <w:rFonts w:eastAsia="Times New Roman" w:cstheme="minorHAnsi"/>
                <w:color w:val="000000"/>
                <w:sz w:val="20"/>
                <w:szCs w:val="20"/>
              </w:rPr>
              <w:t>1</w:t>
            </w:r>
          </w:p>
        </w:tc>
        <w:tc>
          <w:tcPr>
            <w:tcW w:w="1842" w:type="dxa"/>
            <w:tcBorders>
              <w:top w:val="nil"/>
              <w:left w:val="single" w:sz="4" w:space="0" w:color="A6A6A6"/>
              <w:bottom w:val="single" w:sz="4" w:space="0" w:color="A6A6A6"/>
              <w:right w:val="single" w:sz="4" w:space="0" w:color="A6A6A6"/>
            </w:tcBorders>
            <w:noWrap/>
            <w:vAlign w:val="center"/>
            <w:hideMark/>
          </w:tcPr>
          <w:p w14:paraId="3EF1A28C" w14:textId="77777777" w:rsidR="00FD2CBB" w:rsidRPr="004A3398" w:rsidRDefault="00FD2CBB" w:rsidP="009161F6">
            <w:pPr>
              <w:spacing w:after="0" w:line="240" w:lineRule="auto"/>
              <w:jc w:val="right"/>
              <w:rPr>
                <w:rFonts w:eastAsia="Times New Roman" w:cstheme="minorHAnsi"/>
                <w:color w:val="000000"/>
                <w:sz w:val="20"/>
                <w:szCs w:val="20"/>
              </w:rPr>
            </w:pPr>
            <w:r w:rsidRPr="004A3398">
              <w:rPr>
                <w:rFonts w:eastAsia="Times New Roman" w:cstheme="minorHAnsi"/>
                <w:color w:val="000000"/>
                <w:sz w:val="20"/>
                <w:szCs w:val="20"/>
              </w:rPr>
              <w:t xml:space="preserve">                      46.278 </w:t>
            </w:r>
          </w:p>
        </w:tc>
      </w:tr>
      <w:tr w:rsidR="00FD2CBB" w:rsidRPr="004A3398" w14:paraId="2C065C8A" w14:textId="77777777" w:rsidTr="009161F6">
        <w:trPr>
          <w:trHeight w:val="315"/>
          <w:jc w:val="center"/>
        </w:trPr>
        <w:tc>
          <w:tcPr>
            <w:tcW w:w="3539" w:type="dxa"/>
            <w:tcBorders>
              <w:top w:val="nil"/>
              <w:left w:val="single" w:sz="4" w:space="0" w:color="A6A6A6"/>
              <w:bottom w:val="single" w:sz="4" w:space="0" w:color="A6A6A6"/>
              <w:right w:val="single" w:sz="4" w:space="0" w:color="A6A6A6"/>
            </w:tcBorders>
            <w:shd w:val="clear" w:color="000000" w:fill="FF7C80"/>
            <w:noWrap/>
            <w:vAlign w:val="center"/>
            <w:hideMark/>
          </w:tcPr>
          <w:p w14:paraId="278439FF" w14:textId="08775629" w:rsidR="00FD2CBB" w:rsidRPr="004A3398" w:rsidRDefault="00FD2CBB" w:rsidP="009161F6">
            <w:pPr>
              <w:spacing w:after="0" w:line="240" w:lineRule="auto"/>
              <w:jc w:val="left"/>
              <w:rPr>
                <w:rFonts w:eastAsia="Times New Roman" w:cstheme="minorHAnsi"/>
                <w:sz w:val="20"/>
                <w:szCs w:val="20"/>
              </w:rPr>
            </w:pPr>
            <w:r w:rsidRPr="004A3398">
              <w:rPr>
                <w:rFonts w:eastAsia="Times New Roman" w:cstheme="minorHAnsi"/>
                <w:sz w:val="20"/>
                <w:szCs w:val="20"/>
              </w:rPr>
              <w:t>Provi</w:t>
            </w:r>
            <w:r w:rsidR="00F92BBD">
              <w:rPr>
                <w:rFonts w:eastAsia="Times New Roman" w:cstheme="minorHAnsi"/>
                <w:sz w:val="20"/>
                <w:szCs w:val="20"/>
              </w:rPr>
              <w:t>B</w:t>
            </w:r>
            <w:r w:rsidRPr="004A3398">
              <w:rPr>
                <w:rFonts w:eastAsia="Times New Roman" w:cstheme="minorHAnsi"/>
                <w:sz w:val="20"/>
                <w:szCs w:val="20"/>
              </w:rPr>
              <w:t>us Crescentino</w:t>
            </w:r>
          </w:p>
        </w:tc>
        <w:tc>
          <w:tcPr>
            <w:tcW w:w="1418" w:type="dxa"/>
            <w:tcBorders>
              <w:top w:val="nil"/>
              <w:left w:val="nil"/>
              <w:bottom w:val="single" w:sz="4" w:space="0" w:color="A6A6A6"/>
              <w:right w:val="nil"/>
            </w:tcBorders>
            <w:noWrap/>
            <w:vAlign w:val="center"/>
            <w:hideMark/>
          </w:tcPr>
          <w:p w14:paraId="16B1C4E1" w14:textId="77777777" w:rsidR="00FD2CBB" w:rsidRPr="004A3398" w:rsidRDefault="00FD2CBB" w:rsidP="009161F6">
            <w:pPr>
              <w:spacing w:after="0" w:line="240" w:lineRule="auto"/>
              <w:jc w:val="center"/>
              <w:rPr>
                <w:rFonts w:eastAsia="Times New Roman" w:cstheme="minorHAnsi"/>
                <w:color w:val="000000"/>
                <w:sz w:val="20"/>
                <w:szCs w:val="20"/>
              </w:rPr>
            </w:pPr>
            <w:r w:rsidRPr="004A3398">
              <w:rPr>
                <w:rFonts w:eastAsia="Times New Roman" w:cstheme="minorHAnsi"/>
                <w:color w:val="000000"/>
                <w:sz w:val="20"/>
                <w:szCs w:val="20"/>
              </w:rPr>
              <w:t>1</w:t>
            </w:r>
          </w:p>
        </w:tc>
        <w:tc>
          <w:tcPr>
            <w:tcW w:w="1842" w:type="dxa"/>
            <w:tcBorders>
              <w:top w:val="nil"/>
              <w:left w:val="single" w:sz="4" w:space="0" w:color="A6A6A6"/>
              <w:bottom w:val="single" w:sz="4" w:space="0" w:color="A6A6A6"/>
              <w:right w:val="single" w:sz="4" w:space="0" w:color="A6A6A6"/>
            </w:tcBorders>
            <w:noWrap/>
            <w:vAlign w:val="center"/>
            <w:hideMark/>
          </w:tcPr>
          <w:p w14:paraId="3CDAAC07" w14:textId="77777777" w:rsidR="00FD2CBB" w:rsidRPr="004A3398" w:rsidRDefault="00FD2CBB" w:rsidP="009161F6">
            <w:pPr>
              <w:spacing w:after="0" w:line="240" w:lineRule="auto"/>
              <w:jc w:val="right"/>
              <w:rPr>
                <w:rFonts w:eastAsia="Times New Roman" w:cstheme="minorHAnsi"/>
                <w:color w:val="000000"/>
                <w:sz w:val="20"/>
                <w:szCs w:val="20"/>
              </w:rPr>
            </w:pPr>
            <w:r w:rsidRPr="004A3398">
              <w:rPr>
                <w:rFonts w:eastAsia="Times New Roman" w:cstheme="minorHAnsi"/>
                <w:color w:val="000000"/>
                <w:sz w:val="20"/>
                <w:szCs w:val="20"/>
              </w:rPr>
              <w:t xml:space="preserve">                      56.882 </w:t>
            </w:r>
          </w:p>
        </w:tc>
      </w:tr>
      <w:tr w:rsidR="00FD2CBB" w:rsidRPr="004A3398" w14:paraId="4B5E6FEC" w14:textId="77777777" w:rsidTr="009161F6">
        <w:trPr>
          <w:trHeight w:val="345"/>
          <w:jc w:val="center"/>
        </w:trPr>
        <w:tc>
          <w:tcPr>
            <w:tcW w:w="3539" w:type="dxa"/>
            <w:tcBorders>
              <w:top w:val="nil"/>
              <w:left w:val="single" w:sz="4" w:space="0" w:color="A6A6A6"/>
              <w:bottom w:val="single" w:sz="4" w:space="0" w:color="A6A6A6"/>
              <w:right w:val="single" w:sz="4" w:space="0" w:color="A6A6A6"/>
            </w:tcBorders>
            <w:shd w:val="clear" w:color="000000" w:fill="FF7C80"/>
            <w:noWrap/>
            <w:vAlign w:val="center"/>
            <w:hideMark/>
          </w:tcPr>
          <w:p w14:paraId="0B18E55D" w14:textId="2DC0F439" w:rsidR="00FD2CBB" w:rsidRPr="004A3398" w:rsidRDefault="00FD2CBB" w:rsidP="009161F6">
            <w:pPr>
              <w:spacing w:after="0" w:line="240" w:lineRule="auto"/>
              <w:jc w:val="left"/>
              <w:rPr>
                <w:rFonts w:eastAsia="Times New Roman" w:cstheme="minorHAnsi"/>
                <w:sz w:val="20"/>
                <w:szCs w:val="20"/>
              </w:rPr>
            </w:pPr>
            <w:r w:rsidRPr="004A3398">
              <w:rPr>
                <w:rFonts w:eastAsia="Times New Roman" w:cstheme="minorHAnsi"/>
                <w:sz w:val="20"/>
                <w:szCs w:val="20"/>
              </w:rPr>
              <w:t>Provi</w:t>
            </w:r>
            <w:r w:rsidR="00F92BBD">
              <w:rPr>
                <w:rFonts w:eastAsia="Times New Roman" w:cstheme="minorHAnsi"/>
                <w:sz w:val="20"/>
                <w:szCs w:val="20"/>
              </w:rPr>
              <w:t>B</w:t>
            </w:r>
            <w:r w:rsidRPr="004A3398">
              <w:rPr>
                <w:rFonts w:eastAsia="Times New Roman" w:cstheme="minorHAnsi"/>
                <w:sz w:val="20"/>
                <w:szCs w:val="20"/>
              </w:rPr>
              <w:t>us Gassino</w:t>
            </w:r>
          </w:p>
        </w:tc>
        <w:tc>
          <w:tcPr>
            <w:tcW w:w="1418" w:type="dxa"/>
            <w:tcBorders>
              <w:top w:val="nil"/>
              <w:left w:val="nil"/>
              <w:bottom w:val="single" w:sz="4" w:space="0" w:color="A6A6A6"/>
              <w:right w:val="nil"/>
            </w:tcBorders>
            <w:noWrap/>
            <w:vAlign w:val="center"/>
            <w:hideMark/>
          </w:tcPr>
          <w:p w14:paraId="5523E259" w14:textId="77777777" w:rsidR="00FD2CBB" w:rsidRPr="004A3398" w:rsidRDefault="00FD2CBB" w:rsidP="009161F6">
            <w:pPr>
              <w:spacing w:after="0" w:line="240" w:lineRule="auto"/>
              <w:jc w:val="center"/>
              <w:rPr>
                <w:rFonts w:eastAsia="Times New Roman" w:cstheme="minorHAnsi"/>
                <w:color w:val="000000"/>
                <w:sz w:val="20"/>
                <w:szCs w:val="20"/>
              </w:rPr>
            </w:pPr>
            <w:r w:rsidRPr="004A3398">
              <w:rPr>
                <w:rFonts w:eastAsia="Times New Roman" w:cstheme="minorHAnsi"/>
                <w:color w:val="000000"/>
                <w:sz w:val="20"/>
                <w:szCs w:val="20"/>
              </w:rPr>
              <w:t>1</w:t>
            </w:r>
          </w:p>
        </w:tc>
        <w:tc>
          <w:tcPr>
            <w:tcW w:w="1842" w:type="dxa"/>
            <w:tcBorders>
              <w:top w:val="nil"/>
              <w:left w:val="single" w:sz="4" w:space="0" w:color="A6A6A6"/>
              <w:bottom w:val="single" w:sz="4" w:space="0" w:color="A6A6A6"/>
              <w:right w:val="single" w:sz="4" w:space="0" w:color="A6A6A6"/>
            </w:tcBorders>
            <w:noWrap/>
            <w:vAlign w:val="center"/>
            <w:hideMark/>
          </w:tcPr>
          <w:p w14:paraId="5CAF47B2" w14:textId="77777777" w:rsidR="00FD2CBB" w:rsidRPr="004A3398" w:rsidRDefault="00FD2CBB" w:rsidP="009161F6">
            <w:pPr>
              <w:spacing w:after="0" w:line="240" w:lineRule="auto"/>
              <w:jc w:val="right"/>
              <w:rPr>
                <w:rFonts w:eastAsia="Times New Roman" w:cstheme="minorHAnsi"/>
                <w:color w:val="000000"/>
                <w:sz w:val="20"/>
                <w:szCs w:val="20"/>
              </w:rPr>
            </w:pPr>
            <w:r w:rsidRPr="004A3398">
              <w:rPr>
                <w:rFonts w:eastAsia="Times New Roman" w:cstheme="minorHAnsi"/>
                <w:color w:val="000000"/>
                <w:sz w:val="20"/>
                <w:szCs w:val="20"/>
              </w:rPr>
              <w:t xml:space="preserve">                      13.205 </w:t>
            </w:r>
          </w:p>
        </w:tc>
      </w:tr>
      <w:tr w:rsidR="00FD2CBB" w:rsidRPr="004A3398" w14:paraId="26D55B4B" w14:textId="77777777" w:rsidTr="009161F6">
        <w:trPr>
          <w:trHeight w:val="315"/>
          <w:jc w:val="center"/>
        </w:trPr>
        <w:tc>
          <w:tcPr>
            <w:tcW w:w="3539" w:type="dxa"/>
            <w:tcBorders>
              <w:top w:val="nil"/>
              <w:left w:val="single" w:sz="4" w:space="0" w:color="A6A6A6"/>
              <w:bottom w:val="single" w:sz="4" w:space="0" w:color="A6A6A6"/>
              <w:right w:val="single" w:sz="4" w:space="0" w:color="A6A6A6"/>
            </w:tcBorders>
            <w:shd w:val="clear" w:color="000000" w:fill="FF7C80"/>
            <w:noWrap/>
            <w:vAlign w:val="center"/>
            <w:hideMark/>
          </w:tcPr>
          <w:p w14:paraId="00F89F08" w14:textId="6707EF3A" w:rsidR="00FD2CBB" w:rsidRPr="004A3398" w:rsidRDefault="00FD2CBB" w:rsidP="009161F6">
            <w:pPr>
              <w:spacing w:after="0" w:line="240" w:lineRule="auto"/>
              <w:jc w:val="left"/>
              <w:rPr>
                <w:rFonts w:eastAsia="Times New Roman" w:cstheme="minorHAnsi"/>
                <w:sz w:val="20"/>
                <w:szCs w:val="20"/>
              </w:rPr>
            </w:pPr>
            <w:r w:rsidRPr="004A3398">
              <w:rPr>
                <w:rFonts w:eastAsia="Times New Roman" w:cstheme="minorHAnsi"/>
                <w:sz w:val="20"/>
                <w:szCs w:val="20"/>
              </w:rPr>
              <w:t>Me</w:t>
            </w:r>
            <w:r w:rsidR="00F92BBD">
              <w:rPr>
                <w:rFonts w:eastAsia="Times New Roman" w:cstheme="minorHAnsi"/>
                <w:sz w:val="20"/>
                <w:szCs w:val="20"/>
              </w:rPr>
              <w:t>BUS</w:t>
            </w:r>
            <w:r w:rsidRPr="004A3398">
              <w:rPr>
                <w:rFonts w:eastAsia="Times New Roman" w:cstheme="minorHAnsi"/>
                <w:sz w:val="20"/>
                <w:szCs w:val="20"/>
              </w:rPr>
              <w:t xml:space="preserve"> Nord Est</w:t>
            </w:r>
          </w:p>
        </w:tc>
        <w:tc>
          <w:tcPr>
            <w:tcW w:w="1418" w:type="dxa"/>
            <w:tcBorders>
              <w:top w:val="nil"/>
              <w:left w:val="nil"/>
              <w:bottom w:val="single" w:sz="4" w:space="0" w:color="A6A6A6"/>
              <w:right w:val="nil"/>
            </w:tcBorders>
            <w:noWrap/>
            <w:vAlign w:val="center"/>
            <w:hideMark/>
          </w:tcPr>
          <w:p w14:paraId="5CF9B7C4" w14:textId="77777777" w:rsidR="00FD2CBB" w:rsidRPr="004A3398" w:rsidRDefault="00FD2CBB" w:rsidP="009161F6">
            <w:pPr>
              <w:spacing w:after="0" w:line="240" w:lineRule="auto"/>
              <w:jc w:val="center"/>
              <w:rPr>
                <w:rFonts w:eastAsia="Times New Roman" w:cstheme="minorHAnsi"/>
                <w:color w:val="000000"/>
                <w:sz w:val="20"/>
                <w:szCs w:val="20"/>
              </w:rPr>
            </w:pPr>
            <w:r w:rsidRPr="004A3398">
              <w:rPr>
                <w:rFonts w:eastAsia="Times New Roman" w:cstheme="minorHAnsi"/>
                <w:color w:val="000000"/>
                <w:sz w:val="20"/>
                <w:szCs w:val="20"/>
              </w:rPr>
              <w:t>1</w:t>
            </w:r>
          </w:p>
        </w:tc>
        <w:tc>
          <w:tcPr>
            <w:tcW w:w="1842" w:type="dxa"/>
            <w:tcBorders>
              <w:top w:val="nil"/>
              <w:left w:val="single" w:sz="4" w:space="0" w:color="A6A6A6"/>
              <w:bottom w:val="single" w:sz="4" w:space="0" w:color="A6A6A6"/>
              <w:right w:val="single" w:sz="4" w:space="0" w:color="A6A6A6"/>
            </w:tcBorders>
            <w:noWrap/>
            <w:vAlign w:val="center"/>
            <w:hideMark/>
          </w:tcPr>
          <w:p w14:paraId="730BCD71" w14:textId="77777777" w:rsidR="00FD2CBB" w:rsidRPr="004A3398" w:rsidRDefault="00FD2CBB" w:rsidP="009161F6">
            <w:pPr>
              <w:spacing w:after="0" w:line="240" w:lineRule="auto"/>
              <w:jc w:val="right"/>
              <w:rPr>
                <w:rFonts w:eastAsia="Times New Roman" w:cstheme="minorHAnsi"/>
                <w:color w:val="000000"/>
                <w:sz w:val="20"/>
                <w:szCs w:val="20"/>
              </w:rPr>
            </w:pPr>
            <w:r w:rsidRPr="004A3398">
              <w:rPr>
                <w:rFonts w:eastAsia="Times New Roman" w:cstheme="minorHAnsi"/>
                <w:color w:val="000000"/>
                <w:sz w:val="20"/>
                <w:szCs w:val="20"/>
              </w:rPr>
              <w:t xml:space="preserve">                      20.094 </w:t>
            </w:r>
          </w:p>
        </w:tc>
      </w:tr>
      <w:tr w:rsidR="00FD2CBB" w:rsidRPr="004A3398" w14:paraId="7E07A854" w14:textId="77777777" w:rsidTr="009161F6">
        <w:trPr>
          <w:trHeight w:val="315"/>
          <w:jc w:val="center"/>
        </w:trPr>
        <w:tc>
          <w:tcPr>
            <w:tcW w:w="3539" w:type="dxa"/>
            <w:tcBorders>
              <w:top w:val="nil"/>
              <w:left w:val="single" w:sz="4" w:space="0" w:color="A6A6A6"/>
              <w:bottom w:val="single" w:sz="4" w:space="0" w:color="A6A6A6"/>
              <w:right w:val="single" w:sz="4" w:space="0" w:color="A6A6A6"/>
            </w:tcBorders>
            <w:shd w:val="clear" w:color="000000" w:fill="FF7C80"/>
            <w:noWrap/>
            <w:vAlign w:val="center"/>
            <w:hideMark/>
          </w:tcPr>
          <w:p w14:paraId="621C0DCE" w14:textId="6FAA612C" w:rsidR="00FD2CBB" w:rsidRPr="004A3398" w:rsidRDefault="00FD2CBB" w:rsidP="009161F6">
            <w:pPr>
              <w:spacing w:after="0" w:line="240" w:lineRule="auto"/>
              <w:jc w:val="left"/>
              <w:rPr>
                <w:rFonts w:eastAsia="Times New Roman" w:cstheme="minorHAnsi"/>
                <w:sz w:val="20"/>
                <w:szCs w:val="20"/>
              </w:rPr>
            </w:pPr>
            <w:r w:rsidRPr="004A3398">
              <w:rPr>
                <w:rFonts w:eastAsia="Times New Roman" w:cstheme="minorHAnsi"/>
                <w:sz w:val="20"/>
                <w:szCs w:val="20"/>
              </w:rPr>
              <w:t>Provi</w:t>
            </w:r>
            <w:r w:rsidR="00F92BBD">
              <w:rPr>
                <w:rFonts w:eastAsia="Times New Roman" w:cstheme="minorHAnsi"/>
                <w:sz w:val="20"/>
                <w:szCs w:val="20"/>
              </w:rPr>
              <w:t>B</w:t>
            </w:r>
            <w:r w:rsidRPr="004A3398">
              <w:rPr>
                <w:rFonts w:eastAsia="Times New Roman" w:cstheme="minorHAnsi"/>
                <w:sz w:val="20"/>
                <w:szCs w:val="20"/>
              </w:rPr>
              <w:t>us Ciriacese</w:t>
            </w:r>
          </w:p>
        </w:tc>
        <w:tc>
          <w:tcPr>
            <w:tcW w:w="1418" w:type="dxa"/>
            <w:tcBorders>
              <w:top w:val="nil"/>
              <w:left w:val="nil"/>
              <w:bottom w:val="single" w:sz="4" w:space="0" w:color="A6A6A6"/>
              <w:right w:val="nil"/>
            </w:tcBorders>
            <w:noWrap/>
            <w:vAlign w:val="center"/>
            <w:hideMark/>
          </w:tcPr>
          <w:p w14:paraId="694A9590" w14:textId="77777777" w:rsidR="00FD2CBB" w:rsidRPr="004A3398" w:rsidRDefault="00FD2CBB" w:rsidP="009161F6">
            <w:pPr>
              <w:spacing w:after="0" w:line="240" w:lineRule="auto"/>
              <w:jc w:val="center"/>
              <w:rPr>
                <w:rFonts w:eastAsia="Times New Roman" w:cstheme="minorHAnsi"/>
                <w:color w:val="000000"/>
                <w:sz w:val="20"/>
                <w:szCs w:val="20"/>
              </w:rPr>
            </w:pPr>
            <w:r w:rsidRPr="004A3398">
              <w:rPr>
                <w:rFonts w:eastAsia="Times New Roman" w:cstheme="minorHAnsi"/>
                <w:color w:val="000000"/>
                <w:sz w:val="20"/>
                <w:szCs w:val="20"/>
              </w:rPr>
              <w:t>2</w:t>
            </w:r>
          </w:p>
        </w:tc>
        <w:tc>
          <w:tcPr>
            <w:tcW w:w="1842" w:type="dxa"/>
            <w:tcBorders>
              <w:top w:val="nil"/>
              <w:left w:val="single" w:sz="4" w:space="0" w:color="A6A6A6"/>
              <w:bottom w:val="single" w:sz="4" w:space="0" w:color="A6A6A6"/>
              <w:right w:val="single" w:sz="4" w:space="0" w:color="A6A6A6"/>
            </w:tcBorders>
            <w:noWrap/>
            <w:vAlign w:val="center"/>
            <w:hideMark/>
          </w:tcPr>
          <w:p w14:paraId="6D58AD92" w14:textId="77777777" w:rsidR="00FD2CBB" w:rsidRPr="004A3398" w:rsidRDefault="00FD2CBB" w:rsidP="009161F6">
            <w:pPr>
              <w:spacing w:after="0" w:line="240" w:lineRule="auto"/>
              <w:jc w:val="right"/>
              <w:rPr>
                <w:rFonts w:eastAsia="Times New Roman" w:cstheme="minorHAnsi"/>
                <w:color w:val="000000"/>
                <w:sz w:val="20"/>
                <w:szCs w:val="20"/>
              </w:rPr>
            </w:pPr>
            <w:r w:rsidRPr="004A3398">
              <w:rPr>
                <w:rFonts w:eastAsia="Times New Roman" w:cstheme="minorHAnsi"/>
                <w:color w:val="000000"/>
                <w:sz w:val="20"/>
                <w:szCs w:val="20"/>
              </w:rPr>
              <w:t xml:space="preserve">                      93.343 </w:t>
            </w:r>
          </w:p>
        </w:tc>
      </w:tr>
      <w:tr w:rsidR="00FD2CBB" w:rsidRPr="004A3398" w14:paraId="156FA605" w14:textId="77777777" w:rsidTr="009161F6">
        <w:trPr>
          <w:trHeight w:val="315"/>
          <w:jc w:val="center"/>
        </w:trPr>
        <w:tc>
          <w:tcPr>
            <w:tcW w:w="3539" w:type="dxa"/>
            <w:tcBorders>
              <w:top w:val="nil"/>
              <w:left w:val="single" w:sz="4" w:space="0" w:color="A6A6A6"/>
              <w:bottom w:val="single" w:sz="4" w:space="0" w:color="A6A6A6"/>
              <w:right w:val="single" w:sz="4" w:space="0" w:color="A6A6A6"/>
            </w:tcBorders>
            <w:shd w:val="clear" w:color="000000" w:fill="FF7C80"/>
            <w:noWrap/>
            <w:vAlign w:val="center"/>
            <w:hideMark/>
          </w:tcPr>
          <w:p w14:paraId="06D1AD1C" w14:textId="03E15ACB" w:rsidR="00FD2CBB" w:rsidRPr="004A3398" w:rsidRDefault="00FD2CBB" w:rsidP="009161F6">
            <w:pPr>
              <w:spacing w:after="0" w:line="240" w:lineRule="auto"/>
              <w:jc w:val="left"/>
              <w:rPr>
                <w:rFonts w:eastAsia="Times New Roman" w:cstheme="minorHAnsi"/>
                <w:sz w:val="20"/>
                <w:szCs w:val="20"/>
              </w:rPr>
            </w:pPr>
            <w:r w:rsidRPr="004A3398">
              <w:rPr>
                <w:rFonts w:eastAsia="Times New Roman" w:cstheme="minorHAnsi"/>
                <w:sz w:val="20"/>
                <w:szCs w:val="20"/>
              </w:rPr>
              <w:t>Provi</w:t>
            </w:r>
            <w:r w:rsidR="00F92BBD">
              <w:rPr>
                <w:rFonts w:eastAsia="Times New Roman" w:cstheme="minorHAnsi"/>
                <w:sz w:val="20"/>
                <w:szCs w:val="20"/>
              </w:rPr>
              <w:t>B</w:t>
            </w:r>
            <w:r w:rsidRPr="004A3398">
              <w:rPr>
                <w:rFonts w:eastAsia="Times New Roman" w:cstheme="minorHAnsi"/>
                <w:sz w:val="20"/>
                <w:szCs w:val="20"/>
              </w:rPr>
              <w:t>us Val Germagnasca</w:t>
            </w:r>
          </w:p>
        </w:tc>
        <w:tc>
          <w:tcPr>
            <w:tcW w:w="1418" w:type="dxa"/>
            <w:tcBorders>
              <w:top w:val="nil"/>
              <w:left w:val="nil"/>
              <w:bottom w:val="single" w:sz="4" w:space="0" w:color="A6A6A6"/>
              <w:right w:val="nil"/>
            </w:tcBorders>
            <w:noWrap/>
            <w:vAlign w:val="center"/>
            <w:hideMark/>
          </w:tcPr>
          <w:p w14:paraId="34EAB1C3" w14:textId="77777777" w:rsidR="00FD2CBB" w:rsidRPr="004A3398" w:rsidRDefault="00FD2CBB" w:rsidP="009161F6">
            <w:pPr>
              <w:spacing w:after="0" w:line="240" w:lineRule="auto"/>
              <w:jc w:val="center"/>
              <w:rPr>
                <w:rFonts w:eastAsia="Times New Roman" w:cstheme="minorHAnsi"/>
                <w:color w:val="000000"/>
                <w:sz w:val="20"/>
                <w:szCs w:val="20"/>
              </w:rPr>
            </w:pPr>
            <w:r w:rsidRPr="004A3398">
              <w:rPr>
                <w:rFonts w:eastAsia="Times New Roman" w:cstheme="minorHAnsi"/>
                <w:color w:val="000000"/>
                <w:sz w:val="20"/>
                <w:szCs w:val="20"/>
              </w:rPr>
              <w:t>3</w:t>
            </w:r>
          </w:p>
        </w:tc>
        <w:tc>
          <w:tcPr>
            <w:tcW w:w="1842" w:type="dxa"/>
            <w:tcBorders>
              <w:top w:val="nil"/>
              <w:left w:val="single" w:sz="4" w:space="0" w:color="A6A6A6"/>
              <w:bottom w:val="single" w:sz="4" w:space="0" w:color="A6A6A6"/>
              <w:right w:val="single" w:sz="4" w:space="0" w:color="A6A6A6"/>
            </w:tcBorders>
            <w:noWrap/>
            <w:vAlign w:val="center"/>
            <w:hideMark/>
          </w:tcPr>
          <w:p w14:paraId="2AB24E39" w14:textId="77777777" w:rsidR="00FD2CBB" w:rsidRPr="004A3398" w:rsidRDefault="00FD2CBB" w:rsidP="009161F6">
            <w:pPr>
              <w:spacing w:after="0" w:line="240" w:lineRule="auto"/>
              <w:jc w:val="right"/>
              <w:rPr>
                <w:rFonts w:eastAsia="Times New Roman" w:cstheme="minorHAnsi"/>
                <w:color w:val="000000"/>
                <w:sz w:val="20"/>
                <w:szCs w:val="20"/>
              </w:rPr>
            </w:pPr>
            <w:r w:rsidRPr="004A3398">
              <w:rPr>
                <w:rFonts w:eastAsia="Times New Roman" w:cstheme="minorHAnsi"/>
                <w:color w:val="000000"/>
                <w:sz w:val="20"/>
                <w:szCs w:val="20"/>
              </w:rPr>
              <w:t xml:space="preserve">                        4.925 </w:t>
            </w:r>
          </w:p>
        </w:tc>
      </w:tr>
      <w:tr w:rsidR="00FD2CBB" w:rsidRPr="004A3398" w14:paraId="33F64BC3" w14:textId="77777777" w:rsidTr="009161F6">
        <w:trPr>
          <w:trHeight w:val="315"/>
          <w:jc w:val="center"/>
        </w:trPr>
        <w:tc>
          <w:tcPr>
            <w:tcW w:w="3539" w:type="dxa"/>
            <w:tcBorders>
              <w:top w:val="nil"/>
              <w:left w:val="single" w:sz="4" w:space="0" w:color="A6A6A6"/>
              <w:bottom w:val="single" w:sz="4" w:space="0" w:color="A6A6A6"/>
              <w:right w:val="single" w:sz="4" w:space="0" w:color="A6A6A6"/>
            </w:tcBorders>
            <w:shd w:val="clear" w:color="000000" w:fill="FF7C80"/>
            <w:noWrap/>
            <w:vAlign w:val="center"/>
            <w:hideMark/>
          </w:tcPr>
          <w:p w14:paraId="7740C1F7" w14:textId="2CA45C81" w:rsidR="00FD2CBB" w:rsidRPr="004A3398" w:rsidRDefault="00FD2CBB" w:rsidP="009161F6">
            <w:pPr>
              <w:spacing w:after="0" w:line="240" w:lineRule="auto"/>
              <w:jc w:val="left"/>
              <w:rPr>
                <w:rFonts w:eastAsia="Times New Roman" w:cstheme="minorHAnsi"/>
                <w:sz w:val="20"/>
                <w:szCs w:val="20"/>
              </w:rPr>
            </w:pPr>
            <w:r w:rsidRPr="004A3398">
              <w:rPr>
                <w:rFonts w:eastAsia="Times New Roman" w:cstheme="minorHAnsi"/>
                <w:sz w:val="20"/>
                <w:szCs w:val="20"/>
              </w:rPr>
              <w:t>Me</w:t>
            </w:r>
            <w:r w:rsidR="00F92BBD">
              <w:rPr>
                <w:rFonts w:eastAsia="Times New Roman" w:cstheme="minorHAnsi"/>
                <w:sz w:val="20"/>
                <w:szCs w:val="20"/>
              </w:rPr>
              <w:t>BUS</w:t>
            </w:r>
            <w:r w:rsidRPr="004A3398">
              <w:rPr>
                <w:rFonts w:eastAsia="Times New Roman" w:cstheme="minorHAnsi"/>
                <w:sz w:val="20"/>
                <w:szCs w:val="20"/>
              </w:rPr>
              <w:t xml:space="preserve"> Sud Ovest</w:t>
            </w:r>
          </w:p>
        </w:tc>
        <w:tc>
          <w:tcPr>
            <w:tcW w:w="1418" w:type="dxa"/>
            <w:tcBorders>
              <w:top w:val="nil"/>
              <w:left w:val="nil"/>
              <w:bottom w:val="single" w:sz="4" w:space="0" w:color="A6A6A6"/>
              <w:right w:val="nil"/>
            </w:tcBorders>
            <w:noWrap/>
            <w:vAlign w:val="center"/>
            <w:hideMark/>
          </w:tcPr>
          <w:p w14:paraId="0A5E0AC2" w14:textId="77777777" w:rsidR="00FD2CBB" w:rsidRPr="004A3398" w:rsidRDefault="00FD2CBB" w:rsidP="009161F6">
            <w:pPr>
              <w:spacing w:after="0" w:line="240" w:lineRule="auto"/>
              <w:jc w:val="center"/>
              <w:rPr>
                <w:rFonts w:eastAsia="Times New Roman" w:cstheme="minorHAnsi"/>
                <w:color w:val="000000"/>
                <w:sz w:val="20"/>
                <w:szCs w:val="20"/>
              </w:rPr>
            </w:pPr>
            <w:r w:rsidRPr="004A3398">
              <w:rPr>
                <w:rFonts w:eastAsia="Times New Roman" w:cstheme="minorHAnsi"/>
                <w:color w:val="000000"/>
                <w:sz w:val="20"/>
                <w:szCs w:val="20"/>
              </w:rPr>
              <w:t>4</w:t>
            </w:r>
          </w:p>
        </w:tc>
        <w:tc>
          <w:tcPr>
            <w:tcW w:w="1842" w:type="dxa"/>
            <w:tcBorders>
              <w:top w:val="nil"/>
              <w:left w:val="single" w:sz="4" w:space="0" w:color="A6A6A6"/>
              <w:bottom w:val="single" w:sz="4" w:space="0" w:color="A6A6A6"/>
              <w:right w:val="single" w:sz="4" w:space="0" w:color="A6A6A6"/>
            </w:tcBorders>
            <w:noWrap/>
            <w:vAlign w:val="center"/>
            <w:hideMark/>
          </w:tcPr>
          <w:p w14:paraId="54CF68DA" w14:textId="77777777" w:rsidR="00FD2CBB" w:rsidRPr="004A3398" w:rsidRDefault="00FD2CBB" w:rsidP="009161F6">
            <w:pPr>
              <w:spacing w:after="0" w:line="240" w:lineRule="auto"/>
              <w:jc w:val="right"/>
              <w:rPr>
                <w:rFonts w:eastAsia="Times New Roman" w:cstheme="minorHAnsi"/>
                <w:color w:val="000000"/>
                <w:sz w:val="20"/>
                <w:szCs w:val="20"/>
              </w:rPr>
            </w:pPr>
            <w:r w:rsidRPr="004A3398">
              <w:rPr>
                <w:rFonts w:eastAsia="Times New Roman" w:cstheme="minorHAnsi"/>
                <w:color w:val="000000"/>
                <w:sz w:val="20"/>
                <w:szCs w:val="20"/>
              </w:rPr>
              <w:t xml:space="preserve">                      14.860 </w:t>
            </w:r>
          </w:p>
        </w:tc>
      </w:tr>
      <w:tr w:rsidR="00FD2CBB" w:rsidRPr="004A3398" w14:paraId="325984C6" w14:textId="77777777" w:rsidTr="009161F6">
        <w:trPr>
          <w:trHeight w:val="315"/>
          <w:jc w:val="center"/>
        </w:trPr>
        <w:tc>
          <w:tcPr>
            <w:tcW w:w="3539" w:type="dxa"/>
            <w:tcBorders>
              <w:top w:val="nil"/>
              <w:left w:val="single" w:sz="4" w:space="0" w:color="A6A6A6"/>
              <w:bottom w:val="single" w:sz="4" w:space="0" w:color="A6A6A6"/>
              <w:right w:val="single" w:sz="4" w:space="0" w:color="A6A6A6"/>
            </w:tcBorders>
            <w:shd w:val="clear" w:color="000000" w:fill="FF7C80"/>
            <w:noWrap/>
            <w:vAlign w:val="center"/>
            <w:hideMark/>
          </w:tcPr>
          <w:p w14:paraId="0AC54625" w14:textId="6A179766" w:rsidR="00FD2CBB" w:rsidRPr="004A3398" w:rsidRDefault="00FD2CBB" w:rsidP="009161F6">
            <w:pPr>
              <w:spacing w:after="0" w:line="240" w:lineRule="auto"/>
              <w:jc w:val="left"/>
              <w:rPr>
                <w:rFonts w:eastAsia="Times New Roman" w:cstheme="minorHAnsi"/>
                <w:sz w:val="20"/>
                <w:szCs w:val="20"/>
              </w:rPr>
            </w:pPr>
            <w:r w:rsidRPr="004A3398">
              <w:rPr>
                <w:rFonts w:eastAsia="Times New Roman" w:cstheme="minorHAnsi"/>
                <w:sz w:val="20"/>
                <w:szCs w:val="20"/>
              </w:rPr>
              <w:t>Me</w:t>
            </w:r>
            <w:r w:rsidR="00F92BBD">
              <w:rPr>
                <w:rFonts w:eastAsia="Times New Roman" w:cstheme="minorHAnsi"/>
                <w:sz w:val="20"/>
                <w:szCs w:val="20"/>
              </w:rPr>
              <w:t>BUS</w:t>
            </w:r>
            <w:r w:rsidRPr="004A3398">
              <w:rPr>
                <w:rFonts w:eastAsia="Times New Roman" w:cstheme="minorHAnsi"/>
                <w:sz w:val="20"/>
                <w:szCs w:val="20"/>
              </w:rPr>
              <w:t xml:space="preserve"> Collina Chierese</w:t>
            </w:r>
          </w:p>
        </w:tc>
        <w:tc>
          <w:tcPr>
            <w:tcW w:w="1418" w:type="dxa"/>
            <w:tcBorders>
              <w:top w:val="nil"/>
              <w:left w:val="nil"/>
              <w:bottom w:val="single" w:sz="4" w:space="0" w:color="A6A6A6"/>
              <w:right w:val="nil"/>
            </w:tcBorders>
            <w:noWrap/>
            <w:vAlign w:val="center"/>
            <w:hideMark/>
          </w:tcPr>
          <w:p w14:paraId="4D20A5CC" w14:textId="77777777" w:rsidR="00FD2CBB" w:rsidRPr="004A3398" w:rsidRDefault="00FD2CBB" w:rsidP="009161F6">
            <w:pPr>
              <w:spacing w:after="0" w:line="240" w:lineRule="auto"/>
              <w:jc w:val="center"/>
              <w:rPr>
                <w:rFonts w:eastAsia="Times New Roman" w:cstheme="minorHAnsi"/>
                <w:color w:val="000000"/>
                <w:sz w:val="20"/>
                <w:szCs w:val="20"/>
              </w:rPr>
            </w:pPr>
            <w:r w:rsidRPr="004A3398">
              <w:rPr>
                <w:rFonts w:eastAsia="Times New Roman" w:cstheme="minorHAnsi"/>
                <w:color w:val="000000"/>
                <w:sz w:val="20"/>
                <w:szCs w:val="20"/>
              </w:rPr>
              <w:t>4</w:t>
            </w:r>
          </w:p>
        </w:tc>
        <w:tc>
          <w:tcPr>
            <w:tcW w:w="1842" w:type="dxa"/>
            <w:tcBorders>
              <w:top w:val="nil"/>
              <w:left w:val="single" w:sz="4" w:space="0" w:color="A6A6A6"/>
              <w:bottom w:val="single" w:sz="4" w:space="0" w:color="A6A6A6"/>
              <w:right w:val="single" w:sz="4" w:space="0" w:color="A6A6A6"/>
            </w:tcBorders>
            <w:noWrap/>
            <w:vAlign w:val="center"/>
            <w:hideMark/>
          </w:tcPr>
          <w:p w14:paraId="78857153" w14:textId="77777777" w:rsidR="00FD2CBB" w:rsidRPr="004A3398" w:rsidRDefault="00FD2CBB" w:rsidP="009161F6">
            <w:pPr>
              <w:spacing w:after="0" w:line="240" w:lineRule="auto"/>
              <w:jc w:val="right"/>
              <w:rPr>
                <w:rFonts w:eastAsia="Times New Roman" w:cstheme="minorHAnsi"/>
                <w:color w:val="000000"/>
                <w:sz w:val="20"/>
                <w:szCs w:val="20"/>
              </w:rPr>
            </w:pPr>
            <w:r w:rsidRPr="004A3398">
              <w:rPr>
                <w:rFonts w:eastAsia="Times New Roman" w:cstheme="minorHAnsi"/>
                <w:color w:val="000000"/>
                <w:sz w:val="20"/>
                <w:szCs w:val="20"/>
              </w:rPr>
              <w:t xml:space="preserve">                      32.680 </w:t>
            </w:r>
          </w:p>
        </w:tc>
      </w:tr>
      <w:tr w:rsidR="00A0793B" w:rsidRPr="004A3398" w14:paraId="5C30330F" w14:textId="77777777" w:rsidTr="009161F6">
        <w:trPr>
          <w:trHeight w:val="315"/>
          <w:jc w:val="center"/>
        </w:trPr>
        <w:tc>
          <w:tcPr>
            <w:tcW w:w="3539" w:type="dxa"/>
            <w:tcBorders>
              <w:top w:val="nil"/>
              <w:left w:val="single" w:sz="4" w:space="0" w:color="A6A6A6"/>
              <w:bottom w:val="single" w:sz="4" w:space="0" w:color="A6A6A6"/>
              <w:right w:val="single" w:sz="4" w:space="0" w:color="A6A6A6"/>
            </w:tcBorders>
            <w:shd w:val="clear" w:color="000000" w:fill="FF7C80"/>
            <w:noWrap/>
            <w:vAlign w:val="center"/>
          </w:tcPr>
          <w:p w14:paraId="498E202D" w14:textId="05FA77C0" w:rsidR="00A0793B" w:rsidRPr="004A3398" w:rsidRDefault="00A0793B">
            <w:pPr>
              <w:spacing w:after="0" w:line="240" w:lineRule="auto"/>
              <w:jc w:val="left"/>
              <w:rPr>
                <w:rFonts w:eastAsia="Times New Roman" w:cstheme="minorHAnsi"/>
                <w:sz w:val="20"/>
                <w:szCs w:val="20"/>
              </w:rPr>
            </w:pPr>
            <w:r>
              <w:rPr>
                <w:rFonts w:eastAsia="Times New Roman" w:cstheme="minorHAnsi"/>
                <w:sz w:val="20"/>
                <w:szCs w:val="20"/>
              </w:rPr>
              <w:t>Setti</w:t>
            </w:r>
            <w:r w:rsidR="00F92BBD">
              <w:rPr>
                <w:rFonts w:eastAsia="Times New Roman" w:cstheme="minorHAnsi"/>
                <w:sz w:val="20"/>
                <w:szCs w:val="20"/>
              </w:rPr>
              <w:t>B</w:t>
            </w:r>
            <w:r>
              <w:rPr>
                <w:rFonts w:eastAsia="Times New Roman" w:cstheme="minorHAnsi"/>
                <w:sz w:val="20"/>
                <w:szCs w:val="20"/>
              </w:rPr>
              <w:t>us</w:t>
            </w:r>
          </w:p>
        </w:tc>
        <w:tc>
          <w:tcPr>
            <w:tcW w:w="1418" w:type="dxa"/>
            <w:tcBorders>
              <w:top w:val="nil"/>
              <w:left w:val="nil"/>
              <w:bottom w:val="single" w:sz="4" w:space="0" w:color="A6A6A6"/>
              <w:right w:val="nil"/>
            </w:tcBorders>
            <w:noWrap/>
            <w:vAlign w:val="center"/>
          </w:tcPr>
          <w:p w14:paraId="6C753C01" w14:textId="4FBAABD6" w:rsidR="00A0793B" w:rsidRPr="004A3398" w:rsidRDefault="00A0793B">
            <w:pPr>
              <w:spacing w:after="0" w:line="240" w:lineRule="auto"/>
              <w:jc w:val="center"/>
              <w:rPr>
                <w:rFonts w:eastAsia="Times New Roman" w:cstheme="minorHAnsi"/>
                <w:color w:val="000000"/>
                <w:sz w:val="20"/>
                <w:szCs w:val="20"/>
              </w:rPr>
            </w:pPr>
            <w:r>
              <w:rPr>
                <w:rFonts w:eastAsia="Times New Roman" w:cstheme="minorHAnsi"/>
                <w:color w:val="000000"/>
                <w:sz w:val="20"/>
                <w:szCs w:val="20"/>
              </w:rPr>
              <w:t>5</w:t>
            </w:r>
          </w:p>
        </w:tc>
        <w:tc>
          <w:tcPr>
            <w:tcW w:w="1842" w:type="dxa"/>
            <w:tcBorders>
              <w:top w:val="nil"/>
              <w:left w:val="single" w:sz="4" w:space="0" w:color="A6A6A6"/>
              <w:bottom w:val="single" w:sz="4" w:space="0" w:color="A6A6A6"/>
              <w:right w:val="single" w:sz="4" w:space="0" w:color="A6A6A6"/>
            </w:tcBorders>
            <w:noWrap/>
            <w:vAlign w:val="center"/>
          </w:tcPr>
          <w:p w14:paraId="688BF483" w14:textId="3A626F32" w:rsidR="00A0793B" w:rsidRPr="004A3398" w:rsidRDefault="00A0793B">
            <w:pPr>
              <w:spacing w:after="0" w:line="240" w:lineRule="auto"/>
              <w:jc w:val="right"/>
              <w:rPr>
                <w:rFonts w:eastAsia="Times New Roman" w:cstheme="minorHAnsi"/>
                <w:color w:val="000000"/>
                <w:sz w:val="20"/>
                <w:szCs w:val="20"/>
              </w:rPr>
            </w:pPr>
            <w:r w:rsidRPr="00A0793B">
              <w:rPr>
                <w:rFonts w:eastAsia="Times New Roman" w:cstheme="minorHAnsi"/>
                <w:color w:val="000000"/>
                <w:sz w:val="20"/>
                <w:szCs w:val="20"/>
              </w:rPr>
              <w:t>12.443</w:t>
            </w:r>
          </w:p>
        </w:tc>
      </w:tr>
      <w:tr w:rsidR="00FD2CBB" w:rsidRPr="004A3398" w14:paraId="347F2CEE" w14:textId="77777777" w:rsidTr="008D68F5">
        <w:trPr>
          <w:trHeight w:val="300"/>
          <w:jc w:val="center"/>
        </w:trPr>
        <w:tc>
          <w:tcPr>
            <w:tcW w:w="3539" w:type="dxa"/>
            <w:tcBorders>
              <w:top w:val="nil"/>
              <w:left w:val="single" w:sz="4" w:space="0" w:color="A6A6A6"/>
              <w:bottom w:val="single" w:sz="4" w:space="0" w:color="A6A6A6"/>
              <w:right w:val="single" w:sz="4" w:space="0" w:color="A6A6A6"/>
            </w:tcBorders>
            <w:shd w:val="clear" w:color="auto" w:fill="EE0000"/>
            <w:noWrap/>
            <w:vAlign w:val="center"/>
            <w:hideMark/>
          </w:tcPr>
          <w:p w14:paraId="2F477114" w14:textId="77777777" w:rsidR="00FD2CBB" w:rsidRPr="004A3398" w:rsidRDefault="00FD2CBB" w:rsidP="009161F6">
            <w:pPr>
              <w:spacing w:after="0" w:line="240" w:lineRule="auto"/>
              <w:jc w:val="left"/>
              <w:rPr>
                <w:rFonts w:eastAsia="Times New Roman" w:cstheme="minorHAnsi"/>
                <w:b/>
                <w:bCs/>
                <w:color w:val="FFFFFF"/>
                <w:sz w:val="20"/>
                <w:szCs w:val="20"/>
              </w:rPr>
            </w:pPr>
            <w:r w:rsidRPr="004A3398">
              <w:rPr>
                <w:rFonts w:eastAsia="Times New Roman" w:cstheme="minorHAnsi"/>
                <w:b/>
                <w:bCs/>
                <w:color w:val="FFFFFF"/>
                <w:sz w:val="20"/>
                <w:szCs w:val="20"/>
              </w:rPr>
              <w:t>SERVIZIO A CONFERMA</w:t>
            </w:r>
          </w:p>
        </w:tc>
        <w:tc>
          <w:tcPr>
            <w:tcW w:w="1418" w:type="dxa"/>
            <w:tcBorders>
              <w:top w:val="nil"/>
              <w:left w:val="nil"/>
              <w:bottom w:val="nil"/>
              <w:right w:val="nil"/>
            </w:tcBorders>
            <w:shd w:val="clear" w:color="auto" w:fill="EE0000"/>
            <w:noWrap/>
            <w:vAlign w:val="center"/>
            <w:hideMark/>
          </w:tcPr>
          <w:p w14:paraId="62C9DB3D" w14:textId="2DC0CB12" w:rsidR="00FD2CBB" w:rsidRPr="004A3398" w:rsidRDefault="004478D6" w:rsidP="008D68F5">
            <w:pPr>
              <w:spacing w:after="0" w:line="240" w:lineRule="auto"/>
              <w:jc w:val="left"/>
              <w:rPr>
                <w:rFonts w:eastAsia="Times New Roman" w:cstheme="minorHAnsi"/>
                <w:b/>
                <w:bCs/>
                <w:color w:val="FFFFFF"/>
                <w:sz w:val="20"/>
                <w:szCs w:val="20"/>
              </w:rPr>
            </w:pPr>
            <w:r w:rsidRPr="008D68F5">
              <w:rPr>
                <w:rFonts w:eastAsia="Times New Roman" w:cstheme="minorHAnsi"/>
                <w:b/>
                <w:bCs/>
                <w:color w:val="FFFFFF"/>
                <w:sz w:val="20"/>
                <w:szCs w:val="20"/>
              </w:rPr>
              <w:t xml:space="preserve">UNITA DI RETE </w:t>
            </w:r>
          </w:p>
        </w:tc>
        <w:tc>
          <w:tcPr>
            <w:tcW w:w="1842" w:type="dxa"/>
            <w:tcBorders>
              <w:top w:val="nil"/>
              <w:left w:val="single" w:sz="4" w:space="0" w:color="A6A6A6"/>
              <w:bottom w:val="single" w:sz="4" w:space="0" w:color="A6A6A6"/>
              <w:right w:val="single" w:sz="4" w:space="0" w:color="A6A6A6"/>
            </w:tcBorders>
            <w:shd w:val="clear" w:color="auto" w:fill="EE0000"/>
            <w:noWrap/>
            <w:vAlign w:val="center"/>
            <w:hideMark/>
          </w:tcPr>
          <w:p w14:paraId="74EC9E3B" w14:textId="716C4C16" w:rsidR="00FD2CBB" w:rsidRPr="008D68F5" w:rsidRDefault="004478D6" w:rsidP="009161F6">
            <w:pPr>
              <w:spacing w:after="0" w:line="240" w:lineRule="auto"/>
              <w:jc w:val="right"/>
              <w:rPr>
                <w:rFonts w:eastAsia="Times New Roman" w:cstheme="minorHAnsi"/>
                <w:b/>
                <w:color w:val="000000"/>
                <w:sz w:val="20"/>
                <w:szCs w:val="20"/>
                <w:highlight w:val="red"/>
              </w:rPr>
            </w:pPr>
            <w:r w:rsidRPr="008D68F5">
              <w:rPr>
                <w:rFonts w:eastAsia="Times New Roman" w:cstheme="minorHAnsi"/>
                <w:b/>
                <w:bCs/>
                <w:color w:val="FFFFFF"/>
                <w:sz w:val="20"/>
                <w:szCs w:val="20"/>
                <w:highlight w:val="red"/>
              </w:rPr>
              <w:t xml:space="preserve">PRODUZIONE KM </w:t>
            </w:r>
          </w:p>
        </w:tc>
      </w:tr>
      <w:tr w:rsidR="00FD2CBB" w:rsidRPr="004A3398" w14:paraId="35C69A7D" w14:textId="77777777" w:rsidTr="009161F6">
        <w:trPr>
          <w:trHeight w:val="315"/>
          <w:jc w:val="center"/>
        </w:trPr>
        <w:tc>
          <w:tcPr>
            <w:tcW w:w="3539" w:type="dxa"/>
            <w:tcBorders>
              <w:top w:val="nil"/>
              <w:left w:val="single" w:sz="4" w:space="0" w:color="A6A6A6"/>
              <w:bottom w:val="single" w:sz="4" w:space="0" w:color="A6A6A6"/>
              <w:right w:val="single" w:sz="4" w:space="0" w:color="A6A6A6"/>
            </w:tcBorders>
            <w:shd w:val="clear" w:color="000000" w:fill="FF7C80"/>
            <w:noWrap/>
            <w:vAlign w:val="center"/>
            <w:hideMark/>
          </w:tcPr>
          <w:p w14:paraId="0DEB64BB" w14:textId="0B0C34A1" w:rsidR="00FD2CBB" w:rsidRPr="004A3398" w:rsidRDefault="00FD2CBB" w:rsidP="009161F6">
            <w:pPr>
              <w:spacing w:after="0" w:line="240" w:lineRule="auto"/>
              <w:jc w:val="left"/>
              <w:rPr>
                <w:rFonts w:eastAsia="Times New Roman" w:cstheme="minorHAnsi"/>
                <w:sz w:val="20"/>
                <w:szCs w:val="20"/>
              </w:rPr>
            </w:pPr>
            <w:r w:rsidRPr="004A3398">
              <w:rPr>
                <w:rFonts w:eastAsia="Times New Roman" w:cstheme="minorHAnsi"/>
                <w:sz w:val="20"/>
                <w:szCs w:val="20"/>
              </w:rPr>
              <w:t>Provi</w:t>
            </w:r>
            <w:r w:rsidR="00F92BBD">
              <w:rPr>
                <w:rFonts w:eastAsia="Times New Roman" w:cstheme="minorHAnsi"/>
                <w:sz w:val="20"/>
                <w:szCs w:val="20"/>
              </w:rPr>
              <w:t>B</w:t>
            </w:r>
            <w:r w:rsidRPr="004A3398">
              <w:rPr>
                <w:rFonts w:eastAsia="Times New Roman" w:cstheme="minorHAnsi"/>
                <w:sz w:val="20"/>
                <w:szCs w:val="20"/>
              </w:rPr>
              <w:t>us Crescentino serv. Conferma</w:t>
            </w:r>
          </w:p>
        </w:tc>
        <w:tc>
          <w:tcPr>
            <w:tcW w:w="1418" w:type="dxa"/>
            <w:tcBorders>
              <w:top w:val="single" w:sz="4" w:space="0" w:color="A6A6A6"/>
              <w:left w:val="nil"/>
              <w:bottom w:val="single" w:sz="4" w:space="0" w:color="A6A6A6"/>
              <w:right w:val="single" w:sz="4" w:space="0" w:color="A6A6A6"/>
            </w:tcBorders>
            <w:noWrap/>
            <w:vAlign w:val="center"/>
            <w:hideMark/>
          </w:tcPr>
          <w:p w14:paraId="1A840B3D" w14:textId="77777777" w:rsidR="00FD2CBB" w:rsidRPr="004A3398" w:rsidRDefault="00FD2CBB" w:rsidP="009161F6">
            <w:pPr>
              <w:spacing w:after="0" w:line="240" w:lineRule="auto"/>
              <w:jc w:val="center"/>
              <w:rPr>
                <w:rFonts w:eastAsia="Times New Roman" w:cstheme="minorHAnsi"/>
                <w:color w:val="000000"/>
                <w:sz w:val="20"/>
                <w:szCs w:val="20"/>
              </w:rPr>
            </w:pPr>
            <w:r w:rsidRPr="004A3398">
              <w:rPr>
                <w:rFonts w:eastAsia="Times New Roman" w:cstheme="minorHAnsi"/>
                <w:color w:val="000000"/>
                <w:sz w:val="20"/>
                <w:szCs w:val="20"/>
              </w:rPr>
              <w:t>1</w:t>
            </w:r>
          </w:p>
        </w:tc>
        <w:tc>
          <w:tcPr>
            <w:tcW w:w="1842" w:type="dxa"/>
            <w:tcBorders>
              <w:top w:val="nil"/>
              <w:left w:val="nil"/>
              <w:bottom w:val="single" w:sz="4" w:space="0" w:color="A6A6A6"/>
              <w:right w:val="single" w:sz="4" w:space="0" w:color="A6A6A6"/>
            </w:tcBorders>
            <w:noWrap/>
            <w:vAlign w:val="center"/>
            <w:hideMark/>
          </w:tcPr>
          <w:p w14:paraId="56AFEA91" w14:textId="77777777" w:rsidR="00FD2CBB" w:rsidRPr="004A3398" w:rsidRDefault="00FD2CBB" w:rsidP="009161F6">
            <w:pPr>
              <w:spacing w:after="0" w:line="240" w:lineRule="auto"/>
              <w:jc w:val="right"/>
              <w:rPr>
                <w:rFonts w:eastAsia="Times New Roman" w:cstheme="minorHAnsi"/>
                <w:color w:val="000000"/>
                <w:sz w:val="20"/>
                <w:szCs w:val="20"/>
              </w:rPr>
            </w:pPr>
            <w:r w:rsidRPr="004A3398">
              <w:rPr>
                <w:rFonts w:eastAsia="Times New Roman" w:cstheme="minorHAnsi"/>
                <w:color w:val="000000"/>
                <w:sz w:val="20"/>
                <w:szCs w:val="20"/>
              </w:rPr>
              <w:t xml:space="preserve">                      11.500 </w:t>
            </w:r>
          </w:p>
        </w:tc>
      </w:tr>
      <w:tr w:rsidR="00FD2CBB" w:rsidRPr="004A3398" w14:paraId="3FD0E305" w14:textId="77777777" w:rsidTr="009161F6">
        <w:trPr>
          <w:trHeight w:val="315"/>
          <w:jc w:val="center"/>
        </w:trPr>
        <w:tc>
          <w:tcPr>
            <w:tcW w:w="3539" w:type="dxa"/>
            <w:tcBorders>
              <w:top w:val="nil"/>
              <w:left w:val="single" w:sz="4" w:space="0" w:color="A6A6A6"/>
              <w:bottom w:val="single" w:sz="4" w:space="0" w:color="A6A6A6"/>
              <w:right w:val="single" w:sz="4" w:space="0" w:color="A6A6A6"/>
            </w:tcBorders>
            <w:shd w:val="clear" w:color="000000" w:fill="FF7C80"/>
            <w:noWrap/>
            <w:vAlign w:val="center"/>
            <w:hideMark/>
          </w:tcPr>
          <w:p w14:paraId="1F2170C6" w14:textId="696495D5" w:rsidR="00FD2CBB" w:rsidRPr="004A3398" w:rsidRDefault="00FD2CBB" w:rsidP="009161F6">
            <w:pPr>
              <w:spacing w:after="0" w:line="240" w:lineRule="auto"/>
              <w:jc w:val="left"/>
              <w:rPr>
                <w:rFonts w:eastAsia="Times New Roman" w:cstheme="minorHAnsi"/>
                <w:sz w:val="20"/>
                <w:szCs w:val="20"/>
              </w:rPr>
            </w:pPr>
            <w:r w:rsidRPr="004A3398">
              <w:rPr>
                <w:rFonts w:eastAsia="Times New Roman" w:cstheme="minorHAnsi"/>
                <w:sz w:val="20"/>
                <w:szCs w:val="20"/>
              </w:rPr>
              <w:t>Provi</w:t>
            </w:r>
            <w:r w:rsidR="00F92BBD">
              <w:rPr>
                <w:rFonts w:eastAsia="Times New Roman" w:cstheme="minorHAnsi"/>
                <w:sz w:val="20"/>
                <w:szCs w:val="20"/>
              </w:rPr>
              <w:t>B</w:t>
            </w:r>
            <w:r w:rsidRPr="004A3398">
              <w:rPr>
                <w:rFonts w:eastAsia="Times New Roman" w:cstheme="minorHAnsi"/>
                <w:sz w:val="20"/>
                <w:szCs w:val="20"/>
              </w:rPr>
              <w:t>us Pont Canavese serv. Conferma</w:t>
            </w:r>
          </w:p>
        </w:tc>
        <w:tc>
          <w:tcPr>
            <w:tcW w:w="1418" w:type="dxa"/>
            <w:tcBorders>
              <w:top w:val="nil"/>
              <w:left w:val="nil"/>
              <w:bottom w:val="single" w:sz="4" w:space="0" w:color="A6A6A6"/>
              <w:right w:val="single" w:sz="4" w:space="0" w:color="A6A6A6"/>
            </w:tcBorders>
            <w:noWrap/>
            <w:vAlign w:val="center"/>
            <w:hideMark/>
          </w:tcPr>
          <w:p w14:paraId="60F01AB8" w14:textId="77777777" w:rsidR="00FD2CBB" w:rsidRPr="004A3398" w:rsidRDefault="00FD2CBB" w:rsidP="009161F6">
            <w:pPr>
              <w:spacing w:after="0" w:line="240" w:lineRule="auto"/>
              <w:jc w:val="center"/>
              <w:rPr>
                <w:rFonts w:eastAsia="Times New Roman" w:cstheme="minorHAnsi"/>
                <w:color w:val="000000"/>
                <w:sz w:val="20"/>
                <w:szCs w:val="20"/>
              </w:rPr>
            </w:pPr>
            <w:r w:rsidRPr="004A3398">
              <w:rPr>
                <w:rFonts w:eastAsia="Times New Roman" w:cstheme="minorHAnsi"/>
                <w:color w:val="000000"/>
                <w:sz w:val="20"/>
                <w:szCs w:val="20"/>
              </w:rPr>
              <w:t>2</w:t>
            </w:r>
          </w:p>
        </w:tc>
        <w:tc>
          <w:tcPr>
            <w:tcW w:w="1842" w:type="dxa"/>
            <w:tcBorders>
              <w:top w:val="nil"/>
              <w:left w:val="nil"/>
              <w:bottom w:val="single" w:sz="4" w:space="0" w:color="A6A6A6"/>
              <w:right w:val="single" w:sz="4" w:space="0" w:color="A6A6A6"/>
            </w:tcBorders>
            <w:noWrap/>
            <w:vAlign w:val="center"/>
            <w:hideMark/>
          </w:tcPr>
          <w:p w14:paraId="763DE6EC" w14:textId="77777777" w:rsidR="00FD2CBB" w:rsidRPr="004A3398" w:rsidRDefault="00FD2CBB" w:rsidP="009161F6">
            <w:pPr>
              <w:spacing w:after="0" w:line="240" w:lineRule="auto"/>
              <w:jc w:val="right"/>
              <w:rPr>
                <w:rFonts w:eastAsia="Times New Roman" w:cstheme="minorHAnsi"/>
                <w:color w:val="000000"/>
                <w:sz w:val="20"/>
                <w:szCs w:val="20"/>
              </w:rPr>
            </w:pPr>
            <w:r w:rsidRPr="004A3398">
              <w:rPr>
                <w:rFonts w:eastAsia="Times New Roman" w:cstheme="minorHAnsi"/>
                <w:color w:val="000000"/>
                <w:sz w:val="20"/>
                <w:szCs w:val="20"/>
              </w:rPr>
              <w:t xml:space="preserve">                        2.000 </w:t>
            </w:r>
          </w:p>
        </w:tc>
      </w:tr>
    </w:tbl>
    <w:p w14:paraId="4BA21740" w14:textId="4F048B19" w:rsidR="00FD2CBB" w:rsidRDefault="00FD2CBB" w:rsidP="006D0A2D">
      <w:pPr>
        <w:spacing w:after="240" w:line="240" w:lineRule="auto"/>
        <w:jc w:val="center"/>
        <w:rPr>
          <w:rFonts w:eastAsia="Calibri"/>
          <w:i/>
          <w:color w:val="17406D"/>
          <w:sz w:val="18"/>
          <w:szCs w:val="18"/>
        </w:rPr>
      </w:pPr>
      <w:r w:rsidRPr="00BF35BC">
        <w:rPr>
          <w:rFonts w:eastAsia="Calibri"/>
          <w:i/>
          <w:color w:val="003366"/>
          <w:sz w:val="18"/>
          <w:szCs w:val="18"/>
        </w:rPr>
        <w:t xml:space="preserve">Tabella </w:t>
      </w:r>
      <w:r w:rsidRPr="00BF35BC">
        <w:rPr>
          <w:rFonts w:cstheme="minorHAnsi"/>
          <w:i/>
          <w:color w:val="003366"/>
          <w:sz w:val="18"/>
          <w:szCs w:val="18"/>
        </w:rPr>
        <w:fldChar w:fldCharType="begin"/>
      </w:r>
      <w:r w:rsidRPr="000F02DB">
        <w:rPr>
          <w:rFonts w:eastAsia="Calibri"/>
          <w:i/>
          <w:color w:val="17406D" w:themeColor="text2"/>
          <w:sz w:val="18"/>
          <w:szCs w:val="18"/>
        </w:rPr>
        <w:instrText xml:space="preserve"> SEQ Tabella \* ARABIC </w:instrText>
      </w:r>
      <w:r w:rsidRPr="00BF35BC">
        <w:rPr>
          <w:rFonts w:cstheme="minorHAnsi"/>
          <w:i/>
          <w:color w:val="003366"/>
          <w:sz w:val="18"/>
          <w:szCs w:val="18"/>
        </w:rPr>
        <w:fldChar w:fldCharType="separate"/>
      </w:r>
      <w:r w:rsidR="00073B6D">
        <w:rPr>
          <w:rFonts w:eastAsia="Calibri"/>
          <w:i/>
          <w:noProof/>
          <w:color w:val="17406D" w:themeColor="text2"/>
          <w:sz w:val="18"/>
          <w:szCs w:val="18"/>
        </w:rPr>
        <w:t>58</w:t>
      </w:r>
      <w:r w:rsidRPr="00BF35BC">
        <w:rPr>
          <w:rFonts w:cstheme="minorHAnsi"/>
          <w:i/>
          <w:color w:val="003366"/>
          <w:sz w:val="18"/>
          <w:szCs w:val="18"/>
        </w:rPr>
        <w:fldChar w:fldCharType="end"/>
      </w:r>
      <w:r w:rsidRPr="00BF35BC">
        <w:rPr>
          <w:rFonts w:cstheme="minorHAnsi"/>
          <w:i/>
          <w:color w:val="003366"/>
          <w:sz w:val="18"/>
          <w:szCs w:val="18"/>
        </w:rPr>
        <w:t xml:space="preserve"> </w:t>
      </w:r>
      <w:r w:rsidRPr="00BF35BC">
        <w:rPr>
          <w:rFonts w:eastAsia="Calibri"/>
          <w:color w:val="003366"/>
          <w:sz w:val="18"/>
          <w:szCs w:val="18"/>
        </w:rPr>
        <w:t xml:space="preserve">– </w:t>
      </w:r>
      <w:r w:rsidRPr="000F02DB">
        <w:rPr>
          <w:rFonts w:eastAsia="Calibri"/>
          <w:i/>
          <w:color w:val="17406D"/>
          <w:sz w:val="18"/>
          <w:szCs w:val="18"/>
        </w:rPr>
        <w:t>Servizi a chiamata e a conferma per unità di rete dati 2023</w:t>
      </w:r>
    </w:p>
    <w:p w14:paraId="2462C353" w14:textId="77777777" w:rsidR="00FD2CBB" w:rsidRDefault="00FD2CBB" w:rsidP="000F02DB">
      <w:pPr>
        <w:spacing w:before="120" w:after="0" w:line="240" w:lineRule="auto"/>
        <w:rPr>
          <w:rFonts w:eastAsia="Calibri"/>
        </w:rPr>
      </w:pPr>
      <w:r>
        <w:rPr>
          <w:rFonts w:eastAsia="Calibri"/>
        </w:rPr>
        <w:t>Come si evince dalla tabella, tutte le unità di rete con servizi extraurbani avranno al loro interno dei servizi a chiamata:</w:t>
      </w:r>
    </w:p>
    <w:p w14:paraId="7BEC0F28" w14:textId="7DD91EF8" w:rsidR="00FD2CBB" w:rsidRDefault="00FD2CBB" w:rsidP="004B0DBE">
      <w:pPr>
        <w:pStyle w:val="Paragrafoelenco"/>
        <w:numPr>
          <w:ilvl w:val="0"/>
          <w:numId w:val="88"/>
        </w:numPr>
        <w:spacing w:before="120" w:after="0" w:line="240" w:lineRule="auto"/>
        <w:contextualSpacing w:val="0"/>
        <w:rPr>
          <w:rFonts w:eastAsia="Calibri"/>
        </w:rPr>
      </w:pPr>
      <w:r w:rsidRPr="007B17E0">
        <w:rPr>
          <w:rFonts w:eastAsia="Calibri"/>
        </w:rPr>
        <w:t xml:space="preserve">L’unità di rete 1 </w:t>
      </w:r>
      <w:r>
        <w:rPr>
          <w:rFonts w:eastAsia="Calibri"/>
        </w:rPr>
        <w:t>comprenderà nella sua offerta i servizi oggi denominati Provi</w:t>
      </w:r>
      <w:r w:rsidR="00F92BBD">
        <w:rPr>
          <w:rFonts w:eastAsia="Calibri"/>
        </w:rPr>
        <w:t>B</w:t>
      </w:r>
      <w:r>
        <w:rPr>
          <w:rFonts w:eastAsia="Calibri"/>
        </w:rPr>
        <w:t>us dei territori di Caluso, Chivasso, Crescentino e Gassino oltre al servizio a chiamata Me</w:t>
      </w:r>
      <w:r w:rsidR="00F92BBD">
        <w:rPr>
          <w:rFonts w:eastAsia="Calibri"/>
        </w:rPr>
        <w:t>BUS</w:t>
      </w:r>
      <w:r>
        <w:rPr>
          <w:rFonts w:eastAsia="Calibri"/>
        </w:rPr>
        <w:t xml:space="preserve"> Nord Est</w:t>
      </w:r>
    </w:p>
    <w:p w14:paraId="2A0E60BA" w14:textId="6A65AE5A" w:rsidR="00FD2CBB" w:rsidRDefault="00FD2CBB" w:rsidP="004B0DBE">
      <w:pPr>
        <w:pStyle w:val="Paragrafoelenco"/>
        <w:numPr>
          <w:ilvl w:val="0"/>
          <w:numId w:val="88"/>
        </w:numPr>
        <w:spacing w:before="120" w:after="0" w:line="240" w:lineRule="auto"/>
        <w:contextualSpacing w:val="0"/>
        <w:rPr>
          <w:rFonts w:eastAsia="Calibri"/>
        </w:rPr>
      </w:pPr>
      <w:r>
        <w:rPr>
          <w:rFonts w:eastAsia="Calibri"/>
        </w:rPr>
        <w:lastRenderedPageBreak/>
        <w:t>L’unità di rete 2 comprenderà nella sua offerta i servizi oggi denominati Provi</w:t>
      </w:r>
      <w:r w:rsidR="00F92BBD">
        <w:rPr>
          <w:rFonts w:eastAsia="Calibri"/>
        </w:rPr>
        <w:t>B</w:t>
      </w:r>
      <w:r>
        <w:rPr>
          <w:rFonts w:eastAsia="Calibri"/>
        </w:rPr>
        <w:t>us dei territori di Ciriè e Pont canavese</w:t>
      </w:r>
    </w:p>
    <w:p w14:paraId="04A18854" w14:textId="4E2622E0" w:rsidR="00FD2CBB" w:rsidRDefault="00FD2CBB" w:rsidP="004B0DBE">
      <w:pPr>
        <w:pStyle w:val="Paragrafoelenco"/>
        <w:numPr>
          <w:ilvl w:val="0"/>
          <w:numId w:val="88"/>
        </w:numPr>
        <w:spacing w:before="120" w:after="0" w:line="240" w:lineRule="auto"/>
        <w:contextualSpacing w:val="0"/>
        <w:rPr>
          <w:rFonts w:eastAsia="Calibri"/>
        </w:rPr>
      </w:pPr>
      <w:r>
        <w:rPr>
          <w:rFonts w:eastAsia="Calibri"/>
        </w:rPr>
        <w:t>L’unità di rete 3 comprenderà nella sua offerta i servizi del Provi</w:t>
      </w:r>
      <w:r w:rsidR="00F92BBD">
        <w:rPr>
          <w:rFonts w:eastAsia="Calibri"/>
        </w:rPr>
        <w:t>B</w:t>
      </w:r>
      <w:r>
        <w:rPr>
          <w:rFonts w:eastAsia="Calibri"/>
        </w:rPr>
        <w:t>us Val Germanasca</w:t>
      </w:r>
    </w:p>
    <w:p w14:paraId="43F7C04E" w14:textId="61E6DC41" w:rsidR="00FD2CBB" w:rsidRDefault="00FD2CBB" w:rsidP="004B0DBE">
      <w:pPr>
        <w:pStyle w:val="Paragrafoelenco"/>
        <w:numPr>
          <w:ilvl w:val="0"/>
          <w:numId w:val="88"/>
        </w:numPr>
        <w:spacing w:before="120" w:after="0" w:line="240" w:lineRule="auto"/>
        <w:contextualSpacing w:val="0"/>
        <w:rPr>
          <w:rFonts w:eastAsia="Calibri"/>
        </w:rPr>
      </w:pPr>
      <w:r>
        <w:rPr>
          <w:rFonts w:eastAsia="Calibri"/>
        </w:rPr>
        <w:t>L’unità di rete 4 comprenderà nella sua offerta i servizi oggi denominati Me</w:t>
      </w:r>
      <w:r w:rsidR="00F92BBD">
        <w:rPr>
          <w:rFonts w:eastAsia="Calibri"/>
        </w:rPr>
        <w:t>BUS</w:t>
      </w:r>
      <w:r>
        <w:rPr>
          <w:rFonts w:eastAsia="Calibri"/>
        </w:rPr>
        <w:t xml:space="preserve"> Sud Ovest e Collina Chierese</w:t>
      </w:r>
    </w:p>
    <w:p w14:paraId="4EBE27B7" w14:textId="41011894" w:rsidR="00491B60" w:rsidRPr="00491B60" w:rsidRDefault="00491B60" w:rsidP="004B0DBE">
      <w:pPr>
        <w:pStyle w:val="Paragrafoelenco"/>
        <w:numPr>
          <w:ilvl w:val="0"/>
          <w:numId w:val="88"/>
        </w:numPr>
        <w:spacing w:before="120" w:after="0" w:line="240" w:lineRule="auto"/>
        <w:contextualSpacing w:val="0"/>
        <w:rPr>
          <w:rFonts w:eastAsia="Calibri"/>
        </w:rPr>
      </w:pPr>
      <w:r>
        <w:rPr>
          <w:rFonts w:eastAsia="Calibri"/>
        </w:rPr>
        <w:t>L’unità di rete 5 comprenderà nella sua offerta il servizio oggi denominato Setti</w:t>
      </w:r>
      <w:r w:rsidR="00F92BBD">
        <w:rPr>
          <w:rFonts w:eastAsia="Calibri"/>
        </w:rPr>
        <w:t>B</w:t>
      </w:r>
      <w:r>
        <w:rPr>
          <w:rFonts w:eastAsia="Calibri"/>
        </w:rPr>
        <w:t>us.</w:t>
      </w:r>
    </w:p>
    <w:p w14:paraId="1AC2D46C" w14:textId="7EC78626" w:rsidR="00FD2CBB" w:rsidRDefault="00FD2CBB" w:rsidP="0099400F">
      <w:pPr>
        <w:spacing w:before="120" w:after="0" w:line="240" w:lineRule="auto"/>
        <w:rPr>
          <w:rFonts w:eastAsia="Calibri"/>
        </w:rPr>
      </w:pPr>
      <w:r>
        <w:rPr>
          <w:rFonts w:eastAsia="Calibri"/>
        </w:rPr>
        <w:t>I costi di tali servizi andranno addizionati al costo standard totale di ciascuna unità di rete. Supponendo di mantenere un livello di servizio pari a quello erogato nel 2023 i costi di esercizio potranno essere all’incirca pari a quelli attualmente sostenuti. Tali servizi avranno un’incidenza complessiva di circ</w:t>
      </w:r>
      <w:r w:rsidR="007B6C51">
        <w:rPr>
          <w:rFonts w:eastAsia="Calibri"/>
        </w:rPr>
        <w:t>a</w:t>
      </w:r>
      <w:r>
        <w:rPr>
          <w:rFonts w:eastAsia="Calibri"/>
        </w:rPr>
        <w:t xml:space="preserve"> 750 mila €/anno, ripartita per unità di rete come descritto nella tabella seguente</w:t>
      </w:r>
      <w:r w:rsidR="00AF01D0">
        <w:rPr>
          <w:rFonts w:eastAsia="Calibri"/>
        </w:rPr>
        <w:t>, che prende in considerazione i soli servizi a gara</w:t>
      </w:r>
      <w:r>
        <w:rPr>
          <w:rFonts w:eastAsia="Calibri"/>
        </w:rPr>
        <w:t>.</w:t>
      </w:r>
    </w:p>
    <w:p w14:paraId="095B1DCD" w14:textId="77777777" w:rsidR="0099400F" w:rsidRDefault="0099400F" w:rsidP="0099400F">
      <w:pPr>
        <w:spacing w:before="120" w:after="0" w:line="240" w:lineRule="auto"/>
        <w:rPr>
          <w:rFonts w:eastAsia="Calibri"/>
        </w:rPr>
      </w:pPr>
    </w:p>
    <w:tbl>
      <w:tblPr>
        <w:tblW w:w="5098" w:type="dxa"/>
        <w:jc w:val="center"/>
        <w:tblCellMar>
          <w:left w:w="70" w:type="dxa"/>
          <w:right w:w="70" w:type="dxa"/>
        </w:tblCellMar>
        <w:tblLook w:val="04A0" w:firstRow="1" w:lastRow="0" w:firstColumn="1" w:lastColumn="0" w:noHBand="0" w:noVBand="1"/>
      </w:tblPr>
      <w:tblGrid>
        <w:gridCol w:w="1460"/>
        <w:gridCol w:w="1738"/>
        <w:gridCol w:w="1900"/>
      </w:tblGrid>
      <w:tr w:rsidR="00FD2CBB" w:rsidRPr="00BA085D" w14:paraId="4513278D" w14:textId="77777777" w:rsidTr="00BA085D">
        <w:trPr>
          <w:trHeight w:val="300"/>
          <w:jc w:val="center"/>
        </w:trPr>
        <w:tc>
          <w:tcPr>
            <w:tcW w:w="1460" w:type="dxa"/>
            <w:tcBorders>
              <w:top w:val="single" w:sz="4" w:space="0" w:color="A6A6A6"/>
              <w:left w:val="single" w:sz="4" w:space="0" w:color="A6A6A6"/>
              <w:bottom w:val="single" w:sz="4" w:space="0" w:color="A6A6A6"/>
              <w:right w:val="nil"/>
            </w:tcBorders>
            <w:shd w:val="clear" w:color="auto" w:fill="EE3438"/>
            <w:noWrap/>
            <w:vAlign w:val="center"/>
            <w:hideMark/>
          </w:tcPr>
          <w:p w14:paraId="3F5BFC4A" w14:textId="77777777" w:rsidR="00FD2CBB" w:rsidRPr="00BA085D" w:rsidRDefault="00FD2CBB" w:rsidP="00BA085D">
            <w:pPr>
              <w:spacing w:after="0" w:line="240" w:lineRule="auto"/>
              <w:jc w:val="right"/>
              <w:rPr>
                <w:rFonts w:eastAsia="Times New Roman" w:cstheme="minorHAnsi"/>
                <w:b/>
                <w:bCs/>
                <w:color w:val="FFFFFF"/>
                <w:sz w:val="20"/>
                <w:szCs w:val="20"/>
              </w:rPr>
            </w:pPr>
            <w:r w:rsidRPr="00BA085D">
              <w:rPr>
                <w:rFonts w:eastAsia="Times New Roman" w:cstheme="minorHAnsi"/>
                <w:b/>
                <w:bCs/>
                <w:color w:val="FFFFFF"/>
                <w:sz w:val="20"/>
                <w:szCs w:val="20"/>
              </w:rPr>
              <w:t xml:space="preserve">UNITA DI RETE </w:t>
            </w:r>
          </w:p>
        </w:tc>
        <w:tc>
          <w:tcPr>
            <w:tcW w:w="1738" w:type="dxa"/>
            <w:tcBorders>
              <w:top w:val="single" w:sz="4" w:space="0" w:color="A6A6A6"/>
              <w:left w:val="single" w:sz="4" w:space="0" w:color="A6A6A6"/>
              <w:bottom w:val="single" w:sz="4" w:space="0" w:color="A6A6A6"/>
              <w:right w:val="single" w:sz="4" w:space="0" w:color="A6A6A6"/>
            </w:tcBorders>
            <w:shd w:val="clear" w:color="auto" w:fill="EE3438"/>
            <w:noWrap/>
            <w:vAlign w:val="center"/>
            <w:hideMark/>
          </w:tcPr>
          <w:p w14:paraId="46EA808B" w14:textId="77777777" w:rsidR="00FD2CBB" w:rsidRPr="00BA085D" w:rsidRDefault="00FD2CBB" w:rsidP="00BA085D">
            <w:pPr>
              <w:spacing w:after="0" w:line="240" w:lineRule="auto"/>
              <w:jc w:val="right"/>
              <w:rPr>
                <w:rFonts w:eastAsia="Times New Roman" w:cstheme="minorHAnsi"/>
                <w:b/>
                <w:bCs/>
                <w:color w:val="FFFFFF"/>
                <w:sz w:val="20"/>
                <w:szCs w:val="20"/>
              </w:rPr>
            </w:pPr>
            <w:r w:rsidRPr="00BA085D">
              <w:rPr>
                <w:rFonts w:eastAsia="Times New Roman" w:cstheme="minorHAnsi"/>
                <w:b/>
                <w:bCs/>
                <w:color w:val="FFFFFF"/>
                <w:sz w:val="20"/>
                <w:szCs w:val="20"/>
              </w:rPr>
              <w:t xml:space="preserve">PRODUZIONE KM </w:t>
            </w:r>
          </w:p>
        </w:tc>
        <w:tc>
          <w:tcPr>
            <w:tcW w:w="1900" w:type="dxa"/>
            <w:tcBorders>
              <w:top w:val="single" w:sz="4" w:space="0" w:color="A6A6A6"/>
              <w:left w:val="nil"/>
              <w:bottom w:val="single" w:sz="4" w:space="0" w:color="A6A6A6"/>
              <w:right w:val="single" w:sz="4" w:space="0" w:color="A6A6A6"/>
            </w:tcBorders>
            <w:shd w:val="clear" w:color="auto" w:fill="EE3438"/>
            <w:noWrap/>
            <w:vAlign w:val="center"/>
            <w:hideMark/>
          </w:tcPr>
          <w:p w14:paraId="2D523049" w14:textId="77777777" w:rsidR="00FD2CBB" w:rsidRPr="00BA085D" w:rsidRDefault="00FD2CBB" w:rsidP="00BA085D">
            <w:pPr>
              <w:spacing w:after="0" w:line="240" w:lineRule="auto"/>
              <w:jc w:val="right"/>
              <w:rPr>
                <w:rFonts w:eastAsia="Times New Roman" w:cstheme="minorHAnsi"/>
                <w:b/>
                <w:bCs/>
                <w:color w:val="FFFFFF"/>
                <w:sz w:val="20"/>
                <w:szCs w:val="20"/>
              </w:rPr>
            </w:pPr>
            <w:r w:rsidRPr="00BA085D">
              <w:rPr>
                <w:rFonts w:eastAsia="Times New Roman" w:cstheme="minorHAnsi"/>
                <w:b/>
                <w:bCs/>
                <w:color w:val="FFFFFF"/>
                <w:sz w:val="20"/>
                <w:szCs w:val="20"/>
              </w:rPr>
              <w:t>COSTO</w:t>
            </w:r>
          </w:p>
        </w:tc>
      </w:tr>
      <w:tr w:rsidR="00FD2CBB" w:rsidRPr="00BA085D" w14:paraId="5B4ECE43" w14:textId="77777777" w:rsidTr="00BA085D">
        <w:trPr>
          <w:trHeight w:val="300"/>
          <w:jc w:val="center"/>
        </w:trPr>
        <w:tc>
          <w:tcPr>
            <w:tcW w:w="1460" w:type="dxa"/>
            <w:tcBorders>
              <w:top w:val="nil"/>
              <w:left w:val="single" w:sz="4" w:space="0" w:color="A6A6A6"/>
              <w:bottom w:val="single" w:sz="4" w:space="0" w:color="A6A6A6"/>
              <w:right w:val="nil"/>
            </w:tcBorders>
            <w:noWrap/>
            <w:vAlign w:val="center"/>
            <w:hideMark/>
          </w:tcPr>
          <w:p w14:paraId="0AE12D8F" w14:textId="77777777" w:rsidR="00FD2CBB" w:rsidRPr="00BA085D" w:rsidRDefault="00FD2CBB" w:rsidP="00BA085D">
            <w:pPr>
              <w:spacing w:after="0" w:line="240" w:lineRule="auto"/>
              <w:jc w:val="center"/>
              <w:rPr>
                <w:rFonts w:eastAsia="Times New Roman" w:cstheme="minorHAnsi"/>
                <w:color w:val="000000"/>
                <w:sz w:val="20"/>
                <w:szCs w:val="20"/>
              </w:rPr>
            </w:pPr>
            <w:r w:rsidRPr="00BA085D">
              <w:rPr>
                <w:rFonts w:eastAsia="Times New Roman" w:cstheme="minorHAnsi"/>
                <w:color w:val="000000"/>
                <w:sz w:val="20"/>
                <w:szCs w:val="20"/>
              </w:rPr>
              <w:t>1</w:t>
            </w:r>
          </w:p>
        </w:tc>
        <w:tc>
          <w:tcPr>
            <w:tcW w:w="1738" w:type="dxa"/>
            <w:tcBorders>
              <w:top w:val="nil"/>
              <w:left w:val="single" w:sz="4" w:space="0" w:color="A6A6A6"/>
              <w:bottom w:val="single" w:sz="4" w:space="0" w:color="A6A6A6"/>
              <w:right w:val="single" w:sz="4" w:space="0" w:color="A6A6A6"/>
            </w:tcBorders>
            <w:vAlign w:val="center"/>
            <w:hideMark/>
          </w:tcPr>
          <w:p w14:paraId="7B9D788C" w14:textId="77777777" w:rsidR="00FD2CBB" w:rsidRPr="00BA085D" w:rsidRDefault="00FD2CBB" w:rsidP="00BA085D">
            <w:pPr>
              <w:spacing w:after="0" w:line="240" w:lineRule="auto"/>
              <w:jc w:val="right"/>
              <w:rPr>
                <w:rFonts w:eastAsia="Times New Roman" w:cstheme="minorHAnsi"/>
                <w:color w:val="000000"/>
                <w:sz w:val="20"/>
                <w:szCs w:val="20"/>
              </w:rPr>
            </w:pPr>
            <w:r w:rsidRPr="00BA085D">
              <w:rPr>
                <w:rFonts w:eastAsia="Times New Roman" w:cstheme="minorHAnsi"/>
                <w:color w:val="000000"/>
                <w:sz w:val="20"/>
                <w:szCs w:val="20"/>
              </w:rPr>
              <w:t xml:space="preserve">175.853 </w:t>
            </w:r>
          </w:p>
        </w:tc>
        <w:tc>
          <w:tcPr>
            <w:tcW w:w="1900" w:type="dxa"/>
            <w:tcBorders>
              <w:top w:val="nil"/>
              <w:left w:val="nil"/>
              <w:bottom w:val="single" w:sz="4" w:space="0" w:color="A6A6A6"/>
              <w:right w:val="single" w:sz="4" w:space="0" w:color="A6A6A6"/>
            </w:tcBorders>
            <w:vAlign w:val="center"/>
            <w:hideMark/>
          </w:tcPr>
          <w:p w14:paraId="63269C80" w14:textId="77777777" w:rsidR="00FD2CBB" w:rsidRPr="00BA085D" w:rsidRDefault="00FD2CBB" w:rsidP="00BA085D">
            <w:pPr>
              <w:spacing w:after="0" w:line="240" w:lineRule="auto"/>
              <w:jc w:val="right"/>
              <w:rPr>
                <w:rFonts w:eastAsia="Times New Roman" w:cstheme="minorHAnsi"/>
                <w:color w:val="000000"/>
                <w:sz w:val="20"/>
                <w:szCs w:val="20"/>
              </w:rPr>
            </w:pPr>
            <w:r w:rsidRPr="00BA085D">
              <w:rPr>
                <w:rFonts w:eastAsia="Times New Roman" w:cstheme="minorHAnsi"/>
                <w:color w:val="000000"/>
                <w:sz w:val="20"/>
                <w:szCs w:val="20"/>
              </w:rPr>
              <w:t xml:space="preserve">   399.190 € </w:t>
            </w:r>
          </w:p>
        </w:tc>
      </w:tr>
      <w:tr w:rsidR="00FD2CBB" w:rsidRPr="00BA085D" w14:paraId="29EA8058" w14:textId="77777777" w:rsidTr="00BA085D">
        <w:trPr>
          <w:trHeight w:val="300"/>
          <w:jc w:val="center"/>
        </w:trPr>
        <w:tc>
          <w:tcPr>
            <w:tcW w:w="1460" w:type="dxa"/>
            <w:tcBorders>
              <w:top w:val="nil"/>
              <w:left w:val="single" w:sz="4" w:space="0" w:color="A6A6A6"/>
              <w:bottom w:val="single" w:sz="4" w:space="0" w:color="A6A6A6"/>
              <w:right w:val="nil"/>
            </w:tcBorders>
            <w:noWrap/>
            <w:vAlign w:val="center"/>
            <w:hideMark/>
          </w:tcPr>
          <w:p w14:paraId="794BD287" w14:textId="77777777" w:rsidR="00FD2CBB" w:rsidRPr="00BA085D" w:rsidRDefault="00FD2CBB" w:rsidP="00BA085D">
            <w:pPr>
              <w:spacing w:after="0" w:line="240" w:lineRule="auto"/>
              <w:jc w:val="center"/>
              <w:rPr>
                <w:rFonts w:eastAsia="Times New Roman" w:cstheme="minorHAnsi"/>
                <w:color w:val="000000"/>
                <w:sz w:val="20"/>
                <w:szCs w:val="20"/>
              </w:rPr>
            </w:pPr>
            <w:r w:rsidRPr="00BA085D">
              <w:rPr>
                <w:rFonts w:eastAsia="Times New Roman" w:cstheme="minorHAnsi"/>
                <w:color w:val="000000"/>
                <w:sz w:val="20"/>
                <w:szCs w:val="20"/>
              </w:rPr>
              <w:t>2</w:t>
            </w:r>
          </w:p>
        </w:tc>
        <w:tc>
          <w:tcPr>
            <w:tcW w:w="1738" w:type="dxa"/>
            <w:tcBorders>
              <w:top w:val="nil"/>
              <w:left w:val="single" w:sz="4" w:space="0" w:color="A6A6A6"/>
              <w:bottom w:val="single" w:sz="4" w:space="0" w:color="A6A6A6"/>
              <w:right w:val="single" w:sz="4" w:space="0" w:color="A6A6A6"/>
            </w:tcBorders>
            <w:noWrap/>
            <w:vAlign w:val="center"/>
            <w:hideMark/>
          </w:tcPr>
          <w:p w14:paraId="6CD87E59" w14:textId="77777777" w:rsidR="00FD2CBB" w:rsidRPr="00BA085D" w:rsidRDefault="00FD2CBB" w:rsidP="00BA085D">
            <w:pPr>
              <w:spacing w:after="0" w:line="240" w:lineRule="auto"/>
              <w:jc w:val="right"/>
              <w:rPr>
                <w:rFonts w:eastAsia="Times New Roman" w:cstheme="minorHAnsi"/>
                <w:color w:val="000000"/>
                <w:sz w:val="20"/>
                <w:szCs w:val="20"/>
              </w:rPr>
            </w:pPr>
            <w:r w:rsidRPr="00BA085D">
              <w:rPr>
                <w:rFonts w:eastAsia="Times New Roman" w:cstheme="minorHAnsi"/>
                <w:color w:val="000000"/>
                <w:sz w:val="20"/>
                <w:szCs w:val="20"/>
              </w:rPr>
              <w:t xml:space="preserve">95.343 </w:t>
            </w:r>
          </w:p>
        </w:tc>
        <w:tc>
          <w:tcPr>
            <w:tcW w:w="1900" w:type="dxa"/>
            <w:tcBorders>
              <w:top w:val="nil"/>
              <w:left w:val="nil"/>
              <w:bottom w:val="single" w:sz="4" w:space="0" w:color="A6A6A6"/>
              <w:right w:val="single" w:sz="4" w:space="0" w:color="A6A6A6"/>
            </w:tcBorders>
            <w:noWrap/>
            <w:vAlign w:val="center"/>
            <w:hideMark/>
          </w:tcPr>
          <w:p w14:paraId="48741F88" w14:textId="77777777" w:rsidR="00FD2CBB" w:rsidRPr="00BA085D" w:rsidRDefault="00FD2CBB" w:rsidP="00BA085D">
            <w:pPr>
              <w:spacing w:after="0" w:line="240" w:lineRule="auto"/>
              <w:jc w:val="right"/>
              <w:rPr>
                <w:rFonts w:eastAsia="Times New Roman" w:cstheme="minorHAnsi"/>
                <w:color w:val="000000"/>
                <w:sz w:val="20"/>
                <w:szCs w:val="20"/>
              </w:rPr>
            </w:pPr>
            <w:r w:rsidRPr="00BA085D">
              <w:rPr>
                <w:rFonts w:eastAsia="Times New Roman" w:cstheme="minorHAnsi"/>
                <w:color w:val="000000"/>
                <w:sz w:val="20"/>
                <w:szCs w:val="20"/>
              </w:rPr>
              <w:t xml:space="preserve">   207.905 € </w:t>
            </w:r>
          </w:p>
        </w:tc>
      </w:tr>
      <w:tr w:rsidR="00FD2CBB" w:rsidRPr="00BA085D" w14:paraId="3A884777" w14:textId="77777777" w:rsidTr="00BA085D">
        <w:trPr>
          <w:trHeight w:val="300"/>
          <w:jc w:val="center"/>
        </w:trPr>
        <w:tc>
          <w:tcPr>
            <w:tcW w:w="1460" w:type="dxa"/>
            <w:tcBorders>
              <w:top w:val="nil"/>
              <w:left w:val="single" w:sz="4" w:space="0" w:color="A6A6A6"/>
              <w:bottom w:val="single" w:sz="4" w:space="0" w:color="A6A6A6"/>
              <w:right w:val="nil"/>
            </w:tcBorders>
            <w:noWrap/>
            <w:vAlign w:val="center"/>
            <w:hideMark/>
          </w:tcPr>
          <w:p w14:paraId="244A84F0" w14:textId="77777777" w:rsidR="00FD2CBB" w:rsidRPr="00BA085D" w:rsidRDefault="00FD2CBB" w:rsidP="00BA085D">
            <w:pPr>
              <w:spacing w:after="0" w:line="240" w:lineRule="auto"/>
              <w:jc w:val="center"/>
              <w:rPr>
                <w:rFonts w:eastAsia="Times New Roman" w:cstheme="minorHAnsi"/>
                <w:color w:val="000000"/>
                <w:sz w:val="20"/>
                <w:szCs w:val="20"/>
              </w:rPr>
            </w:pPr>
            <w:r w:rsidRPr="00BA085D">
              <w:rPr>
                <w:rFonts w:eastAsia="Times New Roman" w:cstheme="minorHAnsi"/>
                <w:color w:val="000000"/>
                <w:sz w:val="20"/>
                <w:szCs w:val="20"/>
              </w:rPr>
              <w:t>3</w:t>
            </w:r>
          </w:p>
        </w:tc>
        <w:tc>
          <w:tcPr>
            <w:tcW w:w="1738" w:type="dxa"/>
            <w:tcBorders>
              <w:top w:val="nil"/>
              <w:left w:val="single" w:sz="4" w:space="0" w:color="A6A6A6"/>
              <w:bottom w:val="single" w:sz="4" w:space="0" w:color="A6A6A6"/>
              <w:right w:val="single" w:sz="4" w:space="0" w:color="A6A6A6"/>
            </w:tcBorders>
            <w:noWrap/>
            <w:vAlign w:val="center"/>
            <w:hideMark/>
          </w:tcPr>
          <w:p w14:paraId="59DAC447" w14:textId="77777777" w:rsidR="00FD2CBB" w:rsidRPr="00BA085D" w:rsidRDefault="00FD2CBB" w:rsidP="00BA085D">
            <w:pPr>
              <w:spacing w:after="0" w:line="240" w:lineRule="auto"/>
              <w:jc w:val="right"/>
              <w:rPr>
                <w:rFonts w:eastAsia="Times New Roman" w:cstheme="minorHAnsi"/>
                <w:color w:val="000000"/>
                <w:sz w:val="20"/>
                <w:szCs w:val="20"/>
              </w:rPr>
            </w:pPr>
            <w:r w:rsidRPr="00BA085D">
              <w:rPr>
                <w:rFonts w:eastAsia="Times New Roman" w:cstheme="minorHAnsi"/>
                <w:color w:val="000000"/>
                <w:sz w:val="20"/>
                <w:szCs w:val="20"/>
              </w:rPr>
              <w:t xml:space="preserve">4.925 </w:t>
            </w:r>
          </w:p>
        </w:tc>
        <w:tc>
          <w:tcPr>
            <w:tcW w:w="1900" w:type="dxa"/>
            <w:tcBorders>
              <w:top w:val="nil"/>
              <w:left w:val="nil"/>
              <w:bottom w:val="single" w:sz="4" w:space="0" w:color="A6A6A6"/>
              <w:right w:val="single" w:sz="4" w:space="0" w:color="A6A6A6"/>
            </w:tcBorders>
            <w:noWrap/>
            <w:vAlign w:val="center"/>
            <w:hideMark/>
          </w:tcPr>
          <w:p w14:paraId="38A8B082" w14:textId="77777777" w:rsidR="00FD2CBB" w:rsidRPr="00BA085D" w:rsidRDefault="00FD2CBB" w:rsidP="00BA085D">
            <w:pPr>
              <w:spacing w:after="0" w:line="240" w:lineRule="auto"/>
              <w:jc w:val="right"/>
              <w:rPr>
                <w:rFonts w:eastAsia="Times New Roman" w:cstheme="minorHAnsi"/>
                <w:color w:val="000000"/>
                <w:sz w:val="20"/>
                <w:szCs w:val="20"/>
              </w:rPr>
            </w:pPr>
            <w:r w:rsidRPr="00BA085D">
              <w:rPr>
                <w:rFonts w:eastAsia="Times New Roman" w:cstheme="minorHAnsi"/>
                <w:color w:val="000000"/>
                <w:sz w:val="20"/>
                <w:szCs w:val="20"/>
              </w:rPr>
              <w:t xml:space="preserve">     14.767 € </w:t>
            </w:r>
          </w:p>
        </w:tc>
      </w:tr>
      <w:tr w:rsidR="00FD2CBB" w:rsidRPr="00BA085D" w14:paraId="54197462" w14:textId="77777777" w:rsidTr="00BA085D">
        <w:trPr>
          <w:trHeight w:val="300"/>
          <w:jc w:val="center"/>
        </w:trPr>
        <w:tc>
          <w:tcPr>
            <w:tcW w:w="1460" w:type="dxa"/>
            <w:tcBorders>
              <w:top w:val="nil"/>
              <w:left w:val="single" w:sz="4" w:space="0" w:color="A6A6A6"/>
              <w:bottom w:val="single" w:sz="4" w:space="0" w:color="A6A6A6"/>
              <w:right w:val="nil"/>
            </w:tcBorders>
            <w:noWrap/>
            <w:vAlign w:val="center"/>
            <w:hideMark/>
          </w:tcPr>
          <w:p w14:paraId="192A6AB6" w14:textId="77777777" w:rsidR="00FD2CBB" w:rsidRPr="00BA085D" w:rsidRDefault="00FD2CBB" w:rsidP="00BA085D">
            <w:pPr>
              <w:spacing w:after="0" w:line="240" w:lineRule="auto"/>
              <w:jc w:val="center"/>
              <w:rPr>
                <w:rFonts w:eastAsia="Times New Roman" w:cstheme="minorHAnsi"/>
                <w:color w:val="000000"/>
                <w:sz w:val="20"/>
                <w:szCs w:val="20"/>
              </w:rPr>
            </w:pPr>
            <w:r w:rsidRPr="00BA085D">
              <w:rPr>
                <w:rFonts w:eastAsia="Times New Roman" w:cstheme="minorHAnsi"/>
                <w:color w:val="000000"/>
                <w:sz w:val="20"/>
                <w:szCs w:val="20"/>
              </w:rPr>
              <w:t>4</w:t>
            </w:r>
          </w:p>
        </w:tc>
        <w:tc>
          <w:tcPr>
            <w:tcW w:w="1738" w:type="dxa"/>
            <w:tcBorders>
              <w:top w:val="nil"/>
              <w:left w:val="single" w:sz="4" w:space="0" w:color="A6A6A6"/>
              <w:bottom w:val="single" w:sz="4" w:space="0" w:color="A6A6A6"/>
              <w:right w:val="single" w:sz="4" w:space="0" w:color="A6A6A6"/>
            </w:tcBorders>
            <w:noWrap/>
            <w:vAlign w:val="center"/>
            <w:hideMark/>
          </w:tcPr>
          <w:p w14:paraId="0B4C90BA" w14:textId="77777777" w:rsidR="00FD2CBB" w:rsidRPr="00BA085D" w:rsidRDefault="00FD2CBB" w:rsidP="00BA085D">
            <w:pPr>
              <w:spacing w:after="0" w:line="240" w:lineRule="auto"/>
              <w:jc w:val="right"/>
              <w:rPr>
                <w:rFonts w:eastAsia="Times New Roman" w:cstheme="minorHAnsi"/>
                <w:color w:val="000000"/>
                <w:sz w:val="20"/>
                <w:szCs w:val="20"/>
              </w:rPr>
            </w:pPr>
            <w:r w:rsidRPr="00BA085D">
              <w:rPr>
                <w:rFonts w:eastAsia="Times New Roman" w:cstheme="minorHAnsi"/>
                <w:color w:val="000000"/>
                <w:sz w:val="20"/>
                <w:szCs w:val="20"/>
              </w:rPr>
              <w:t xml:space="preserve">47.540 </w:t>
            </w:r>
          </w:p>
        </w:tc>
        <w:tc>
          <w:tcPr>
            <w:tcW w:w="1900" w:type="dxa"/>
            <w:tcBorders>
              <w:top w:val="nil"/>
              <w:left w:val="nil"/>
              <w:bottom w:val="single" w:sz="4" w:space="0" w:color="A6A6A6"/>
              <w:right w:val="single" w:sz="4" w:space="0" w:color="A6A6A6"/>
            </w:tcBorders>
            <w:noWrap/>
            <w:vAlign w:val="center"/>
            <w:hideMark/>
          </w:tcPr>
          <w:p w14:paraId="1358E36C" w14:textId="77777777" w:rsidR="00FD2CBB" w:rsidRPr="00BA085D" w:rsidRDefault="00FD2CBB" w:rsidP="00BA085D">
            <w:pPr>
              <w:spacing w:after="0" w:line="240" w:lineRule="auto"/>
              <w:jc w:val="right"/>
              <w:rPr>
                <w:rFonts w:eastAsia="Times New Roman" w:cstheme="minorHAnsi"/>
                <w:color w:val="000000"/>
                <w:sz w:val="20"/>
                <w:szCs w:val="20"/>
              </w:rPr>
            </w:pPr>
            <w:r w:rsidRPr="00BA085D">
              <w:rPr>
                <w:rFonts w:eastAsia="Times New Roman" w:cstheme="minorHAnsi"/>
                <w:color w:val="000000"/>
                <w:sz w:val="20"/>
                <w:szCs w:val="20"/>
              </w:rPr>
              <w:t xml:space="preserve">127.768 € </w:t>
            </w:r>
          </w:p>
        </w:tc>
      </w:tr>
      <w:tr w:rsidR="00FD2CBB" w:rsidRPr="00BA085D" w14:paraId="558D2597" w14:textId="77777777" w:rsidTr="00BA085D">
        <w:trPr>
          <w:trHeight w:val="300"/>
          <w:jc w:val="center"/>
        </w:trPr>
        <w:tc>
          <w:tcPr>
            <w:tcW w:w="1460" w:type="dxa"/>
            <w:tcBorders>
              <w:top w:val="nil"/>
              <w:left w:val="single" w:sz="4" w:space="0" w:color="A6A6A6"/>
              <w:bottom w:val="single" w:sz="4" w:space="0" w:color="A6A6A6"/>
              <w:right w:val="single" w:sz="4" w:space="0" w:color="A6A6A6"/>
            </w:tcBorders>
            <w:noWrap/>
            <w:vAlign w:val="center"/>
            <w:hideMark/>
          </w:tcPr>
          <w:p w14:paraId="6F92BEBF" w14:textId="77777777" w:rsidR="00FD2CBB" w:rsidRPr="00BA085D" w:rsidRDefault="00FD2CBB" w:rsidP="00BA085D">
            <w:pPr>
              <w:spacing w:after="0" w:line="240" w:lineRule="auto"/>
              <w:jc w:val="center"/>
              <w:rPr>
                <w:rFonts w:eastAsia="Times New Roman" w:cstheme="minorHAnsi"/>
                <w:b/>
                <w:bCs/>
                <w:color w:val="000000"/>
                <w:sz w:val="20"/>
                <w:szCs w:val="20"/>
              </w:rPr>
            </w:pPr>
            <w:r w:rsidRPr="00BA085D">
              <w:rPr>
                <w:rFonts w:eastAsia="Times New Roman" w:cstheme="minorHAnsi"/>
                <w:b/>
                <w:bCs/>
                <w:color w:val="000000"/>
                <w:sz w:val="20"/>
                <w:szCs w:val="20"/>
              </w:rPr>
              <w:t>Totale UR</w:t>
            </w:r>
          </w:p>
        </w:tc>
        <w:tc>
          <w:tcPr>
            <w:tcW w:w="1738" w:type="dxa"/>
            <w:tcBorders>
              <w:top w:val="nil"/>
              <w:left w:val="nil"/>
              <w:bottom w:val="single" w:sz="4" w:space="0" w:color="A6A6A6"/>
              <w:right w:val="single" w:sz="4" w:space="0" w:color="A6A6A6"/>
            </w:tcBorders>
            <w:noWrap/>
            <w:vAlign w:val="center"/>
            <w:hideMark/>
          </w:tcPr>
          <w:p w14:paraId="6BAC9BD9" w14:textId="77777777" w:rsidR="00FD2CBB" w:rsidRPr="00BA085D" w:rsidRDefault="00FD2CBB" w:rsidP="00BA085D">
            <w:pPr>
              <w:spacing w:after="0" w:line="240" w:lineRule="auto"/>
              <w:jc w:val="right"/>
              <w:rPr>
                <w:rFonts w:eastAsia="Times New Roman" w:cstheme="minorHAnsi"/>
                <w:b/>
                <w:bCs/>
                <w:color w:val="000000"/>
                <w:sz w:val="20"/>
                <w:szCs w:val="20"/>
              </w:rPr>
            </w:pPr>
            <w:r w:rsidRPr="00BA085D">
              <w:rPr>
                <w:rFonts w:eastAsia="Times New Roman" w:cstheme="minorHAnsi"/>
                <w:b/>
                <w:bCs/>
                <w:color w:val="000000"/>
                <w:sz w:val="20"/>
                <w:szCs w:val="20"/>
              </w:rPr>
              <w:t xml:space="preserve">323.661 </w:t>
            </w:r>
          </w:p>
        </w:tc>
        <w:tc>
          <w:tcPr>
            <w:tcW w:w="1900" w:type="dxa"/>
            <w:tcBorders>
              <w:top w:val="nil"/>
              <w:left w:val="nil"/>
              <w:bottom w:val="single" w:sz="4" w:space="0" w:color="A6A6A6"/>
              <w:right w:val="single" w:sz="4" w:space="0" w:color="A6A6A6"/>
            </w:tcBorders>
            <w:noWrap/>
            <w:vAlign w:val="center"/>
            <w:hideMark/>
          </w:tcPr>
          <w:p w14:paraId="57E3B46A" w14:textId="77777777" w:rsidR="00FD2CBB" w:rsidRPr="00BA085D" w:rsidRDefault="00FD2CBB" w:rsidP="00BA085D">
            <w:pPr>
              <w:spacing w:after="0" w:line="240" w:lineRule="auto"/>
              <w:jc w:val="right"/>
              <w:rPr>
                <w:rFonts w:eastAsia="Times New Roman" w:cstheme="minorHAnsi"/>
                <w:b/>
                <w:bCs/>
                <w:color w:val="000000"/>
                <w:sz w:val="20"/>
                <w:szCs w:val="20"/>
              </w:rPr>
            </w:pPr>
            <w:r w:rsidRPr="00BA085D">
              <w:rPr>
                <w:rFonts w:eastAsia="Times New Roman" w:cstheme="minorHAnsi"/>
                <w:b/>
                <w:bCs/>
                <w:color w:val="000000"/>
                <w:sz w:val="20"/>
                <w:szCs w:val="20"/>
              </w:rPr>
              <w:t xml:space="preserve">749.630 € </w:t>
            </w:r>
          </w:p>
        </w:tc>
      </w:tr>
    </w:tbl>
    <w:p w14:paraId="7F6D5387" w14:textId="688D3661" w:rsidR="00FD2CBB" w:rsidRPr="001E1333" w:rsidRDefault="00FD2CBB" w:rsidP="0099400F">
      <w:pPr>
        <w:spacing w:after="240" w:line="240" w:lineRule="auto"/>
        <w:jc w:val="center"/>
        <w:rPr>
          <w:rFonts w:eastAsia="Calibri"/>
          <w:i/>
          <w:color w:val="17406D"/>
          <w:sz w:val="18"/>
          <w:szCs w:val="18"/>
        </w:rPr>
      </w:pPr>
      <w:bookmarkStart w:id="424" w:name="_Ref212929806"/>
      <w:bookmarkStart w:id="425" w:name="_Ref212631062"/>
      <w:r w:rsidRPr="00BF35BC">
        <w:rPr>
          <w:rFonts w:eastAsia="Calibri"/>
          <w:i/>
          <w:color w:val="003366"/>
          <w:sz w:val="18"/>
          <w:szCs w:val="18"/>
        </w:rPr>
        <w:t xml:space="preserve">Tabella </w:t>
      </w:r>
      <w:r w:rsidRPr="00BF35BC">
        <w:rPr>
          <w:rFonts w:cstheme="minorHAnsi"/>
          <w:i/>
          <w:color w:val="003366"/>
          <w:sz w:val="18"/>
          <w:szCs w:val="18"/>
        </w:rPr>
        <w:fldChar w:fldCharType="begin"/>
      </w:r>
      <w:r w:rsidRPr="71EE7570">
        <w:rPr>
          <w:rFonts w:eastAsia="Calibri"/>
          <w:i/>
          <w:color w:val="17406D" w:themeColor="text2"/>
          <w:sz w:val="18"/>
          <w:szCs w:val="18"/>
        </w:rPr>
        <w:instrText xml:space="preserve"> SEQ Tabella \* ARABIC </w:instrText>
      </w:r>
      <w:r w:rsidRPr="00BF35BC">
        <w:rPr>
          <w:rFonts w:cstheme="minorHAnsi"/>
          <w:i/>
          <w:color w:val="003366"/>
          <w:sz w:val="18"/>
          <w:szCs w:val="18"/>
        </w:rPr>
        <w:fldChar w:fldCharType="separate"/>
      </w:r>
      <w:r w:rsidR="00073B6D">
        <w:rPr>
          <w:rFonts w:eastAsia="Calibri"/>
          <w:i/>
          <w:noProof/>
          <w:color w:val="17406D" w:themeColor="text2"/>
          <w:sz w:val="18"/>
          <w:szCs w:val="18"/>
        </w:rPr>
        <w:t>59</w:t>
      </w:r>
      <w:r w:rsidRPr="00BF35BC">
        <w:rPr>
          <w:rFonts w:cstheme="minorHAnsi"/>
          <w:i/>
          <w:color w:val="003366"/>
          <w:sz w:val="18"/>
          <w:szCs w:val="18"/>
        </w:rPr>
        <w:fldChar w:fldCharType="end"/>
      </w:r>
      <w:bookmarkEnd w:id="424"/>
      <w:r w:rsidRPr="00BF35BC">
        <w:rPr>
          <w:rFonts w:cstheme="minorHAnsi"/>
          <w:i/>
          <w:color w:val="003366"/>
          <w:sz w:val="18"/>
          <w:szCs w:val="18"/>
        </w:rPr>
        <w:t xml:space="preserve"> </w:t>
      </w:r>
      <w:r w:rsidRPr="00BF35BC">
        <w:rPr>
          <w:rFonts w:eastAsia="Calibri"/>
          <w:color w:val="003366"/>
          <w:sz w:val="18"/>
          <w:szCs w:val="18"/>
        </w:rPr>
        <w:t xml:space="preserve">– </w:t>
      </w:r>
      <w:r>
        <w:rPr>
          <w:rFonts w:eastAsia="Calibri"/>
          <w:color w:val="17406D"/>
          <w:sz w:val="18"/>
          <w:szCs w:val="18"/>
        </w:rPr>
        <w:t>Costo s</w:t>
      </w:r>
      <w:r>
        <w:rPr>
          <w:rFonts w:eastAsia="Calibri"/>
          <w:i/>
          <w:color w:val="17406D"/>
          <w:sz w:val="18"/>
          <w:szCs w:val="18"/>
        </w:rPr>
        <w:t>ervizi a chiamata e a conferma per unità di rete.</w:t>
      </w:r>
      <w:bookmarkEnd w:id="425"/>
    </w:p>
    <w:p w14:paraId="202A6A31" w14:textId="77777777" w:rsidR="00FD2CBB" w:rsidRPr="00852B3F" w:rsidRDefault="00FD2CBB" w:rsidP="00726047">
      <w:pPr>
        <w:pStyle w:val="Titolo2"/>
        <w:spacing w:after="240"/>
        <w:ind w:left="567" w:hanging="578"/>
      </w:pPr>
      <w:bookmarkStart w:id="426" w:name="_Toc204328764"/>
      <w:bookmarkStart w:id="427" w:name="_Ref212732490"/>
      <w:bookmarkStart w:id="428" w:name="_Toc213078409"/>
      <w:bookmarkEnd w:id="416"/>
      <w:bookmarkEnd w:id="417"/>
      <w:bookmarkEnd w:id="418"/>
      <w:bookmarkEnd w:id="419"/>
      <w:bookmarkEnd w:id="420"/>
      <w:bookmarkEnd w:id="421"/>
      <w:bookmarkEnd w:id="422"/>
      <w:r w:rsidRPr="00852B3F">
        <w:t>Valutazioni sulla contendibilità dei lotti</w:t>
      </w:r>
      <w:bookmarkEnd w:id="426"/>
      <w:bookmarkEnd w:id="427"/>
      <w:bookmarkEnd w:id="428"/>
    </w:p>
    <w:p w14:paraId="16388EEE" w14:textId="77777777" w:rsidR="00FD2CBB" w:rsidRPr="00852B3F" w:rsidRDefault="00FD2CBB" w:rsidP="00726047">
      <w:pPr>
        <w:pStyle w:val="Titolo3"/>
        <w:ind w:left="720"/>
      </w:pPr>
      <w:bookmarkStart w:id="429" w:name="_Toc193195797"/>
      <w:bookmarkStart w:id="430" w:name="_Toc559924692"/>
      <w:bookmarkStart w:id="431" w:name="_Toc197695725"/>
      <w:bookmarkStart w:id="432" w:name="_Toc204328765"/>
      <w:bookmarkStart w:id="433" w:name="_Ref212814015"/>
      <w:bookmarkStart w:id="434" w:name="_Toc213078410"/>
      <w:r w:rsidRPr="00852B3F">
        <w:t>Valutazioni sugli operatori di mercato</w:t>
      </w:r>
      <w:bookmarkEnd w:id="429"/>
      <w:bookmarkEnd w:id="430"/>
      <w:bookmarkEnd w:id="431"/>
      <w:bookmarkEnd w:id="432"/>
      <w:bookmarkEnd w:id="433"/>
      <w:bookmarkEnd w:id="434"/>
    </w:p>
    <w:p w14:paraId="12CFEB9F" w14:textId="723974AE" w:rsidR="00FD2CBB" w:rsidRPr="00852B3F" w:rsidRDefault="00A61DA8" w:rsidP="00726047">
      <w:pPr>
        <w:spacing w:before="120" w:after="0" w:line="240" w:lineRule="auto"/>
        <w:rPr>
          <w:rFonts w:eastAsia="Calibri"/>
        </w:rPr>
      </w:pPr>
      <w:r>
        <w:rPr>
          <w:rFonts w:eastAsia="Calibri"/>
        </w:rPr>
        <w:t>Es</w:t>
      </w:r>
      <w:r w:rsidR="0096530A">
        <w:rPr>
          <w:rFonts w:eastAsia="Calibri"/>
        </w:rPr>
        <w:t>cludendo i servizi urbani e suburbani dell</w:t>
      </w:r>
      <w:r w:rsidR="00C6027A">
        <w:rPr>
          <w:rFonts w:eastAsia="Calibri"/>
        </w:rPr>
        <w:t>’area metropolitana</w:t>
      </w:r>
      <w:r w:rsidR="00FD2CBB" w:rsidRPr="00852B3F">
        <w:rPr>
          <w:rFonts w:eastAsia="Calibri"/>
        </w:rPr>
        <w:t xml:space="preserve"> di </w:t>
      </w:r>
      <w:r w:rsidR="00C6027A">
        <w:rPr>
          <w:rFonts w:eastAsia="Calibri"/>
        </w:rPr>
        <w:t>Torino</w:t>
      </w:r>
      <w:r w:rsidR="0036205C">
        <w:rPr>
          <w:rStyle w:val="Rimandonotaapidipagina"/>
          <w:rFonts w:eastAsia="Calibri"/>
        </w:rPr>
        <w:footnoteReference w:id="51"/>
      </w:r>
      <w:r w:rsidR="00C6027A">
        <w:rPr>
          <w:rFonts w:eastAsia="Calibri"/>
        </w:rPr>
        <w:t>, a</w:t>
      </w:r>
      <w:r w:rsidR="00FD2CBB" w:rsidRPr="00852B3F">
        <w:rPr>
          <w:rFonts w:eastAsia="Calibri"/>
        </w:rPr>
        <w:t xml:space="preserve">ttualmente il servizio di TPL all’interno del </w:t>
      </w:r>
      <w:r w:rsidR="00FD2CBB" w:rsidRPr="00747672">
        <w:rPr>
          <w:rFonts w:eastAsia="Calibri"/>
        </w:rPr>
        <w:t>Bacino è affidato attraverso 1 contratto</w:t>
      </w:r>
      <w:r w:rsidR="00FD2CBB">
        <w:rPr>
          <w:rFonts w:eastAsia="Calibri"/>
        </w:rPr>
        <w:t xml:space="preserve"> di servizio</w:t>
      </w:r>
      <w:r w:rsidR="00FD2CBB" w:rsidRPr="00747672">
        <w:rPr>
          <w:rFonts w:eastAsia="Calibri"/>
        </w:rPr>
        <w:t xml:space="preserve"> </w:t>
      </w:r>
      <w:r w:rsidR="009447B6">
        <w:rPr>
          <w:rFonts w:eastAsia="Calibri"/>
        </w:rPr>
        <w:t>(</w:t>
      </w:r>
      <w:r w:rsidR="00A959AF">
        <w:rPr>
          <w:rFonts w:eastAsia="Calibri"/>
        </w:rPr>
        <w:t xml:space="preserve">periodo 2023-2026) </w:t>
      </w:r>
      <w:r w:rsidR="00FD2CBB" w:rsidRPr="00747672">
        <w:rPr>
          <w:rFonts w:eastAsia="Calibri"/>
        </w:rPr>
        <w:t>e</w:t>
      </w:r>
      <w:r w:rsidR="00FD2CBB">
        <w:rPr>
          <w:rFonts w:eastAsia="Calibri"/>
        </w:rPr>
        <w:t xml:space="preserve"> 6 Accordi di Programma </w:t>
      </w:r>
      <w:r w:rsidR="00FD2CBB" w:rsidRPr="00747672">
        <w:rPr>
          <w:rFonts w:eastAsia="Calibri"/>
        </w:rPr>
        <w:t>che vedono la presenza sul territorio di 2</w:t>
      </w:r>
      <w:r w:rsidR="00972E00">
        <w:rPr>
          <w:rFonts w:eastAsia="Calibri"/>
        </w:rPr>
        <w:t>4</w:t>
      </w:r>
      <w:r w:rsidR="00FD2CBB" w:rsidRPr="00747672">
        <w:rPr>
          <w:rFonts w:eastAsia="Calibri"/>
        </w:rPr>
        <w:t xml:space="preserve"> aziende: </w:t>
      </w:r>
      <w:r w:rsidR="00FD2CBB" w:rsidRPr="00822074">
        <w:rPr>
          <w:rFonts w:eastAsia="Calibri"/>
        </w:rPr>
        <w:t>A.T.A.P. Spa</w:t>
      </w:r>
      <w:r w:rsidR="00FD2CBB">
        <w:rPr>
          <w:rFonts w:eastAsia="Calibri"/>
        </w:rPr>
        <w:t xml:space="preserve">, </w:t>
      </w:r>
      <w:r w:rsidR="00FD2CBB" w:rsidRPr="00822074">
        <w:rPr>
          <w:rFonts w:eastAsia="Calibri"/>
        </w:rPr>
        <w:t>Arriva Italia Srl</w:t>
      </w:r>
      <w:r w:rsidR="00FD2CBB">
        <w:rPr>
          <w:rFonts w:eastAsia="Calibri"/>
        </w:rPr>
        <w:t xml:space="preserve">, </w:t>
      </w:r>
      <w:r w:rsidR="00FD2CBB" w:rsidRPr="00822074">
        <w:rPr>
          <w:rFonts w:eastAsia="Calibri"/>
        </w:rPr>
        <w:t>Autolinee Giachino Srl</w:t>
      </w:r>
      <w:r w:rsidR="00FD2CBB">
        <w:rPr>
          <w:rFonts w:eastAsia="Calibri"/>
        </w:rPr>
        <w:t xml:space="preserve">, </w:t>
      </w:r>
      <w:r w:rsidR="00FD2CBB" w:rsidRPr="00822074">
        <w:rPr>
          <w:rFonts w:eastAsia="Calibri"/>
        </w:rPr>
        <w:t>Autoservizi Garofalo Srl</w:t>
      </w:r>
      <w:r w:rsidR="00FD2CBB">
        <w:rPr>
          <w:rFonts w:eastAsia="Calibri"/>
        </w:rPr>
        <w:t xml:space="preserve">, </w:t>
      </w:r>
      <w:r w:rsidR="00FD2CBB" w:rsidRPr="00822074">
        <w:rPr>
          <w:rFonts w:eastAsia="Calibri"/>
        </w:rPr>
        <w:t>Autoservizi Marietta Srl</w:t>
      </w:r>
      <w:r w:rsidR="00FD2CBB">
        <w:rPr>
          <w:rFonts w:eastAsia="Calibri"/>
        </w:rPr>
        <w:t xml:space="preserve">, </w:t>
      </w:r>
      <w:r w:rsidR="00FD2CBB" w:rsidRPr="00822074">
        <w:rPr>
          <w:rFonts w:eastAsia="Calibri"/>
        </w:rPr>
        <w:t>Autoservizi Sestriere Sas</w:t>
      </w:r>
      <w:r w:rsidR="00FD2CBB">
        <w:rPr>
          <w:rFonts w:eastAsia="Calibri"/>
        </w:rPr>
        <w:t xml:space="preserve">, </w:t>
      </w:r>
      <w:r w:rsidR="00FD2CBB" w:rsidRPr="00822074">
        <w:rPr>
          <w:rFonts w:eastAsia="Calibri"/>
        </w:rPr>
        <w:t>Autostradale Srl</w:t>
      </w:r>
      <w:r w:rsidR="00FD2CBB">
        <w:rPr>
          <w:rFonts w:eastAsia="Calibri"/>
        </w:rPr>
        <w:t xml:space="preserve">, </w:t>
      </w:r>
      <w:r w:rsidR="00FD2CBB" w:rsidRPr="00822074">
        <w:rPr>
          <w:rFonts w:eastAsia="Calibri"/>
        </w:rPr>
        <w:t xml:space="preserve">Bellando Tours Srl </w:t>
      </w:r>
      <w:r w:rsidR="00FD2CBB">
        <w:rPr>
          <w:rFonts w:eastAsia="Calibri"/>
        </w:rPr>
        <w:t>e</w:t>
      </w:r>
      <w:r w:rsidR="00FD2CBB" w:rsidRPr="00822074">
        <w:rPr>
          <w:rFonts w:eastAsia="Calibri"/>
        </w:rPr>
        <w:t xml:space="preserve"> Gherra Srl</w:t>
      </w:r>
      <w:r w:rsidR="00FD2CBB">
        <w:rPr>
          <w:rFonts w:eastAsia="Calibri"/>
        </w:rPr>
        <w:t xml:space="preserve">, </w:t>
      </w:r>
      <w:r w:rsidR="00FD2CBB" w:rsidRPr="00822074">
        <w:rPr>
          <w:rFonts w:eastAsia="Calibri"/>
        </w:rPr>
        <w:t>Bobba Roberto</w:t>
      </w:r>
      <w:r w:rsidR="00FD2CBB">
        <w:rPr>
          <w:rFonts w:eastAsia="Calibri"/>
        </w:rPr>
        <w:t xml:space="preserve">, </w:t>
      </w:r>
      <w:r w:rsidR="00FD2CBB" w:rsidRPr="00822074">
        <w:rPr>
          <w:rFonts w:eastAsia="Calibri"/>
        </w:rPr>
        <w:t>Bus Company Srl</w:t>
      </w:r>
      <w:r w:rsidR="00FD2CBB">
        <w:rPr>
          <w:rFonts w:eastAsia="Calibri"/>
        </w:rPr>
        <w:t xml:space="preserve">, </w:t>
      </w:r>
      <w:r w:rsidR="00FD2CBB" w:rsidRPr="00822074">
        <w:rPr>
          <w:rFonts w:eastAsia="Calibri"/>
        </w:rPr>
        <w:t>Cavourese Spa</w:t>
      </w:r>
      <w:r w:rsidR="00FD2CBB">
        <w:rPr>
          <w:rFonts w:eastAsia="Calibri"/>
        </w:rPr>
        <w:t xml:space="preserve">, </w:t>
      </w:r>
      <w:r w:rsidR="00FD2CBB" w:rsidRPr="00822074">
        <w:rPr>
          <w:rFonts w:eastAsia="Calibri"/>
        </w:rPr>
        <w:t>Chiesa Srl</w:t>
      </w:r>
      <w:r w:rsidR="00FD2CBB">
        <w:rPr>
          <w:rFonts w:eastAsia="Calibri"/>
        </w:rPr>
        <w:t xml:space="preserve">, </w:t>
      </w:r>
      <w:r w:rsidR="00972E00">
        <w:rPr>
          <w:rFonts w:eastAsia="Calibri"/>
        </w:rPr>
        <w:t xml:space="preserve">De Marchi srl, </w:t>
      </w:r>
      <w:r w:rsidR="00FD2CBB" w:rsidRPr="00822074">
        <w:rPr>
          <w:rFonts w:eastAsia="Calibri"/>
        </w:rPr>
        <w:t>Dossetto Bus Snc</w:t>
      </w:r>
      <w:r w:rsidR="00FD2CBB">
        <w:rPr>
          <w:rFonts w:eastAsia="Calibri"/>
        </w:rPr>
        <w:t xml:space="preserve">, </w:t>
      </w:r>
      <w:r w:rsidR="00FD2CBB" w:rsidRPr="00822074">
        <w:rPr>
          <w:rFonts w:eastAsia="Calibri"/>
        </w:rPr>
        <w:t>Ghi.Me Snc</w:t>
      </w:r>
      <w:r w:rsidR="00FD2CBB">
        <w:rPr>
          <w:rFonts w:eastAsia="Calibri"/>
        </w:rPr>
        <w:t>, GTT</w:t>
      </w:r>
      <w:r w:rsidR="00FD2CBB" w:rsidRPr="00822074">
        <w:rPr>
          <w:rFonts w:eastAsia="Calibri"/>
        </w:rPr>
        <w:t xml:space="preserve"> Spa</w:t>
      </w:r>
      <w:r w:rsidR="00FD2CBB">
        <w:rPr>
          <w:rFonts w:eastAsia="Calibri"/>
        </w:rPr>
        <w:t xml:space="preserve">, </w:t>
      </w:r>
      <w:r w:rsidR="00FD2CBB" w:rsidRPr="00822074">
        <w:rPr>
          <w:rFonts w:eastAsia="Calibri"/>
        </w:rPr>
        <w:t>Marletti Autolinee Srl</w:t>
      </w:r>
      <w:r w:rsidR="00FD2CBB">
        <w:rPr>
          <w:rFonts w:eastAsia="Calibri"/>
        </w:rPr>
        <w:t xml:space="preserve">, </w:t>
      </w:r>
      <w:r w:rsidR="00FD2CBB" w:rsidRPr="00822074">
        <w:rPr>
          <w:rFonts w:eastAsia="Calibri"/>
        </w:rPr>
        <w:t>Rossatto Claudio</w:t>
      </w:r>
      <w:r w:rsidR="00FD2CBB">
        <w:rPr>
          <w:rFonts w:eastAsia="Calibri"/>
        </w:rPr>
        <w:t xml:space="preserve">, </w:t>
      </w:r>
      <w:r w:rsidR="00FD2CBB" w:rsidRPr="00822074">
        <w:rPr>
          <w:rFonts w:eastAsia="Calibri"/>
        </w:rPr>
        <w:t>Seren Snc</w:t>
      </w:r>
      <w:r w:rsidR="00FD2CBB">
        <w:rPr>
          <w:rFonts w:eastAsia="Calibri"/>
        </w:rPr>
        <w:t xml:space="preserve">, </w:t>
      </w:r>
      <w:r w:rsidR="00FD2CBB" w:rsidRPr="00822074">
        <w:rPr>
          <w:rFonts w:eastAsia="Calibri"/>
        </w:rPr>
        <w:t>S.T.A.A.V. - Caluso Viaggi S.R.L.</w:t>
      </w:r>
      <w:r w:rsidR="00FD2CBB">
        <w:rPr>
          <w:rFonts w:eastAsia="Calibri"/>
        </w:rPr>
        <w:t xml:space="preserve">, </w:t>
      </w:r>
      <w:r w:rsidR="00972E00">
        <w:rPr>
          <w:rFonts w:eastAsia="Calibri"/>
        </w:rPr>
        <w:t xml:space="preserve">Viaggi Fruno srl, </w:t>
      </w:r>
      <w:r w:rsidR="00FD2CBB" w:rsidRPr="00822074">
        <w:rPr>
          <w:rFonts w:eastAsia="Calibri"/>
        </w:rPr>
        <w:t>Vi.Mu. - Viaggi Munaro Sas</w:t>
      </w:r>
      <w:r w:rsidR="00FD2CBB">
        <w:rPr>
          <w:rFonts w:eastAsia="Calibri"/>
        </w:rPr>
        <w:t xml:space="preserve">, </w:t>
      </w:r>
      <w:r w:rsidR="00FD2CBB" w:rsidRPr="00822074">
        <w:rPr>
          <w:rFonts w:eastAsia="Calibri"/>
        </w:rPr>
        <w:t>V.I.T.A Spa</w:t>
      </w:r>
      <w:r w:rsidR="00FD2CBB">
        <w:rPr>
          <w:rFonts w:eastAsia="Calibri"/>
        </w:rPr>
        <w:t xml:space="preserve">, </w:t>
      </w:r>
      <w:r w:rsidR="00FD2CBB" w:rsidRPr="00822074">
        <w:rPr>
          <w:rFonts w:eastAsia="Calibri"/>
        </w:rPr>
        <w:t>Vottero Autoservizi Srl</w:t>
      </w:r>
      <w:r w:rsidR="00FD2CBB">
        <w:rPr>
          <w:rFonts w:eastAsia="Calibri"/>
        </w:rPr>
        <w:t>.</w:t>
      </w:r>
    </w:p>
    <w:p w14:paraId="01BB5A74" w14:textId="506873CC" w:rsidR="00FD2CBB" w:rsidRPr="00852B3F" w:rsidRDefault="00FD2CBB" w:rsidP="00726047">
      <w:pPr>
        <w:spacing w:before="120" w:after="0" w:line="240" w:lineRule="auto"/>
        <w:rPr>
          <w:rFonts w:eastAsia="Calibri"/>
        </w:rPr>
      </w:pPr>
      <w:r w:rsidRPr="00822074">
        <w:rPr>
          <w:rFonts w:eastAsia="Calibri"/>
        </w:rPr>
        <w:t xml:space="preserve">Complessivamente le linee urbane descritte nel paragrafo </w:t>
      </w:r>
      <w:r w:rsidR="001E1333">
        <w:rPr>
          <w:rFonts w:eastAsia="Calibri"/>
        </w:rPr>
        <w:fldChar w:fldCharType="begin"/>
      </w:r>
      <w:r w:rsidR="001E1333">
        <w:rPr>
          <w:rFonts w:eastAsia="Calibri"/>
        </w:rPr>
        <w:instrText xml:space="preserve"> REF _Ref212733874 \r \h </w:instrText>
      </w:r>
      <w:r w:rsidR="001E1333">
        <w:rPr>
          <w:rFonts w:eastAsia="Calibri"/>
        </w:rPr>
      </w:r>
      <w:r w:rsidR="001E1333">
        <w:rPr>
          <w:rFonts w:eastAsia="Calibri"/>
        </w:rPr>
        <w:fldChar w:fldCharType="separate"/>
      </w:r>
      <w:r w:rsidR="00073B6D">
        <w:rPr>
          <w:rFonts w:eastAsia="Calibri"/>
        </w:rPr>
        <w:t>4.1.2</w:t>
      </w:r>
      <w:r w:rsidR="001E1333">
        <w:rPr>
          <w:rFonts w:eastAsia="Calibri"/>
        </w:rPr>
        <w:fldChar w:fldCharType="end"/>
      </w:r>
      <w:r w:rsidRPr="00822074">
        <w:rPr>
          <w:rFonts w:eastAsia="Calibri"/>
        </w:rPr>
        <w:t xml:space="preserve"> sono gestite dalle seguenti aziende: Arriva Italia, Bellando Tours e Gherra, Cavourese, Chiesa, GTT</w:t>
      </w:r>
      <w:r>
        <w:rPr>
          <w:rFonts w:eastAsia="Calibri"/>
        </w:rPr>
        <w:t xml:space="preserve"> e</w:t>
      </w:r>
      <w:r w:rsidRPr="00822074">
        <w:rPr>
          <w:rFonts w:eastAsia="Calibri"/>
        </w:rPr>
        <w:t xml:space="preserve"> V.I.T.A.</w:t>
      </w:r>
      <w:r>
        <w:rPr>
          <w:rFonts w:eastAsia="Calibri"/>
        </w:rPr>
        <w:t xml:space="preserve"> Tutti questi</w:t>
      </w:r>
      <w:r w:rsidRPr="00822074">
        <w:rPr>
          <w:rFonts w:eastAsia="Calibri"/>
        </w:rPr>
        <w:t xml:space="preserve"> operatori svolgono anche servizi extraurbani.</w:t>
      </w:r>
    </w:p>
    <w:p w14:paraId="1E75BE90" w14:textId="782141AE" w:rsidR="00726047" w:rsidRDefault="00FD2CBB" w:rsidP="00275293">
      <w:pPr>
        <w:spacing w:before="120" w:after="0" w:line="240" w:lineRule="auto"/>
        <w:rPr>
          <w:rFonts w:eastAsia="Calibri"/>
        </w:rPr>
      </w:pPr>
      <w:r>
        <w:rPr>
          <w:rFonts w:eastAsia="Calibri"/>
        </w:rPr>
        <w:t>La tabella sottostante illustra</w:t>
      </w:r>
      <w:r w:rsidRPr="00D429DB">
        <w:rPr>
          <w:rFonts w:eastAsia="Calibri"/>
        </w:rPr>
        <w:t xml:space="preserve"> l’impegno chilometrico sviluppato dalle principali aziende presenti nel Bacino</w:t>
      </w:r>
      <w:r>
        <w:rPr>
          <w:rFonts w:eastAsia="Calibri"/>
        </w:rPr>
        <w:t xml:space="preserve">, sia </w:t>
      </w:r>
      <w:r w:rsidRPr="00D429DB">
        <w:rPr>
          <w:rFonts w:eastAsia="Calibri"/>
        </w:rPr>
        <w:t xml:space="preserve">all’interno del contratto gestito dall’Agenzia, </w:t>
      </w:r>
      <w:r>
        <w:rPr>
          <w:rFonts w:eastAsia="Calibri"/>
        </w:rPr>
        <w:t>sia</w:t>
      </w:r>
      <w:r w:rsidRPr="00D429DB">
        <w:rPr>
          <w:rFonts w:eastAsia="Calibri"/>
        </w:rPr>
        <w:t xml:space="preserve"> attraverso affidamenti diretti gestiti dagli Enti Locali in virtù degli accordi di programma (paragrafo </w:t>
      </w:r>
      <w:r w:rsidR="001E1333">
        <w:rPr>
          <w:rFonts w:eastAsia="Calibri"/>
        </w:rPr>
        <w:fldChar w:fldCharType="begin"/>
      </w:r>
      <w:r w:rsidR="001E1333">
        <w:rPr>
          <w:rFonts w:eastAsia="Calibri"/>
        </w:rPr>
        <w:instrText xml:space="preserve"> REF _Ref204164723 \r \h </w:instrText>
      </w:r>
      <w:r w:rsidR="001E1333">
        <w:rPr>
          <w:rFonts w:eastAsia="Calibri"/>
        </w:rPr>
      </w:r>
      <w:r w:rsidR="001E1333">
        <w:rPr>
          <w:rFonts w:eastAsia="Calibri"/>
        </w:rPr>
        <w:fldChar w:fldCharType="separate"/>
      </w:r>
      <w:r w:rsidR="00073B6D">
        <w:rPr>
          <w:rFonts w:eastAsia="Calibri"/>
        </w:rPr>
        <w:t>2.2</w:t>
      </w:r>
      <w:r w:rsidR="001E1333">
        <w:rPr>
          <w:rFonts w:eastAsia="Calibri"/>
        </w:rPr>
        <w:fldChar w:fldCharType="end"/>
      </w:r>
      <w:r w:rsidRPr="00D429DB">
        <w:rPr>
          <w:rFonts w:eastAsia="Calibri"/>
        </w:rPr>
        <w:t>)</w:t>
      </w:r>
      <w:r>
        <w:rPr>
          <w:rFonts w:eastAsia="Calibri"/>
        </w:rPr>
        <w:t xml:space="preserve">. Tali servizi sono </w:t>
      </w:r>
      <w:r w:rsidRPr="00AD01C5">
        <w:rPr>
          <w:rFonts w:eastAsia="Calibri"/>
        </w:rPr>
        <w:t>gestiti in economia o attraverso affidamenti diretti a piccoli operatori locali</w:t>
      </w:r>
      <w:r>
        <w:rPr>
          <w:rFonts w:eastAsia="Calibri"/>
        </w:rPr>
        <w:t>.</w:t>
      </w:r>
    </w:p>
    <w:p w14:paraId="2F682CEA" w14:textId="77777777" w:rsidR="00214FD3" w:rsidRDefault="00214FD3" w:rsidP="00275293">
      <w:pPr>
        <w:spacing w:before="120" w:after="0" w:line="240" w:lineRule="auto"/>
        <w:rPr>
          <w:rFonts w:eastAsia="Calibri"/>
        </w:rPr>
      </w:pPr>
    </w:p>
    <w:p w14:paraId="0F427969" w14:textId="77777777" w:rsidR="0005210A" w:rsidRDefault="0005210A" w:rsidP="00275293">
      <w:pPr>
        <w:spacing w:before="120" w:after="0" w:line="240" w:lineRule="auto"/>
        <w:rPr>
          <w:rFonts w:eastAsia="Calibri"/>
        </w:rPr>
      </w:pPr>
    </w:p>
    <w:tbl>
      <w:tblPr>
        <w:tblW w:w="8820" w:type="dxa"/>
        <w:jc w:val="center"/>
        <w:tblCellMar>
          <w:left w:w="70" w:type="dxa"/>
          <w:right w:w="70" w:type="dxa"/>
        </w:tblCellMar>
        <w:tblLook w:val="04A0" w:firstRow="1" w:lastRow="0" w:firstColumn="1" w:lastColumn="0" w:noHBand="0" w:noVBand="1"/>
      </w:tblPr>
      <w:tblGrid>
        <w:gridCol w:w="4980"/>
        <w:gridCol w:w="1480"/>
        <w:gridCol w:w="1120"/>
        <w:gridCol w:w="1240"/>
      </w:tblGrid>
      <w:tr w:rsidR="003737D2" w:rsidRPr="003737D2" w14:paraId="6BADFFC0" w14:textId="77777777" w:rsidTr="0087783A">
        <w:trPr>
          <w:trHeight w:val="615"/>
          <w:jc w:val="center"/>
        </w:trPr>
        <w:tc>
          <w:tcPr>
            <w:tcW w:w="4980" w:type="dxa"/>
            <w:tcBorders>
              <w:top w:val="single" w:sz="8" w:space="0" w:color="A6A6A6"/>
              <w:left w:val="single" w:sz="8" w:space="0" w:color="A6A6A6"/>
              <w:bottom w:val="single" w:sz="8" w:space="0" w:color="A6A6A6"/>
              <w:right w:val="single" w:sz="8" w:space="0" w:color="A6A6A6"/>
            </w:tcBorders>
            <w:shd w:val="clear" w:color="000000" w:fill="EE3438"/>
            <w:vAlign w:val="center"/>
            <w:hideMark/>
          </w:tcPr>
          <w:p w14:paraId="71C79921" w14:textId="77777777" w:rsidR="003737D2" w:rsidRPr="003737D2" w:rsidRDefault="003737D2" w:rsidP="003737D2">
            <w:pPr>
              <w:spacing w:after="0" w:line="240" w:lineRule="auto"/>
              <w:jc w:val="center"/>
              <w:rPr>
                <w:rFonts w:eastAsia="Times New Roman" w:cs="Calibri"/>
                <w:b/>
                <w:bCs/>
                <w:color w:val="000000"/>
              </w:rPr>
            </w:pPr>
            <w:bookmarkStart w:id="435" w:name="RANGE!A39"/>
            <w:r w:rsidRPr="003737D2">
              <w:rPr>
                <w:rFonts w:eastAsia="Times New Roman" w:cs="Calibri"/>
                <w:b/>
                <w:bCs/>
                <w:color w:val="000000"/>
              </w:rPr>
              <w:lastRenderedPageBreak/>
              <w:t>Operatore TPL</w:t>
            </w:r>
            <w:bookmarkEnd w:id="435"/>
          </w:p>
        </w:tc>
        <w:tc>
          <w:tcPr>
            <w:tcW w:w="1480" w:type="dxa"/>
            <w:tcBorders>
              <w:top w:val="single" w:sz="8" w:space="0" w:color="A6A6A6"/>
              <w:left w:val="nil"/>
              <w:bottom w:val="single" w:sz="8" w:space="0" w:color="A6A6A6"/>
              <w:right w:val="single" w:sz="8" w:space="0" w:color="A6A6A6"/>
            </w:tcBorders>
            <w:shd w:val="clear" w:color="000000" w:fill="EE3438"/>
            <w:vAlign w:val="center"/>
            <w:hideMark/>
          </w:tcPr>
          <w:p w14:paraId="114A809A" w14:textId="77777777" w:rsidR="003737D2" w:rsidRPr="003737D2" w:rsidRDefault="003737D2" w:rsidP="003737D2">
            <w:pPr>
              <w:spacing w:after="0" w:line="240" w:lineRule="auto"/>
              <w:jc w:val="center"/>
              <w:rPr>
                <w:rFonts w:eastAsia="Times New Roman" w:cs="Calibri"/>
                <w:b/>
                <w:bCs/>
                <w:color w:val="000000"/>
              </w:rPr>
            </w:pPr>
            <w:r w:rsidRPr="003737D2">
              <w:rPr>
                <w:rFonts w:eastAsia="Times New Roman" w:cs="Calibri"/>
                <w:b/>
                <w:bCs/>
                <w:color w:val="000000"/>
              </w:rPr>
              <w:t>km servizi extraurbani</w:t>
            </w:r>
          </w:p>
        </w:tc>
        <w:tc>
          <w:tcPr>
            <w:tcW w:w="1120" w:type="dxa"/>
            <w:tcBorders>
              <w:top w:val="single" w:sz="8" w:space="0" w:color="A6A6A6"/>
              <w:left w:val="nil"/>
              <w:bottom w:val="single" w:sz="8" w:space="0" w:color="A6A6A6"/>
              <w:right w:val="single" w:sz="8" w:space="0" w:color="A6A6A6"/>
            </w:tcBorders>
            <w:shd w:val="clear" w:color="000000" w:fill="EE3438"/>
            <w:vAlign w:val="center"/>
            <w:hideMark/>
          </w:tcPr>
          <w:p w14:paraId="72343FED" w14:textId="77777777" w:rsidR="003737D2" w:rsidRPr="003737D2" w:rsidRDefault="003737D2" w:rsidP="003737D2">
            <w:pPr>
              <w:spacing w:after="0" w:line="240" w:lineRule="auto"/>
              <w:jc w:val="center"/>
              <w:rPr>
                <w:rFonts w:eastAsia="Times New Roman" w:cs="Calibri"/>
                <w:b/>
                <w:bCs/>
                <w:color w:val="000000"/>
              </w:rPr>
            </w:pPr>
            <w:r w:rsidRPr="003737D2">
              <w:rPr>
                <w:rFonts w:eastAsia="Times New Roman" w:cs="Calibri"/>
                <w:b/>
                <w:bCs/>
                <w:color w:val="000000"/>
              </w:rPr>
              <w:t>km servizi urbani</w:t>
            </w:r>
          </w:p>
        </w:tc>
        <w:tc>
          <w:tcPr>
            <w:tcW w:w="1240" w:type="dxa"/>
            <w:tcBorders>
              <w:top w:val="single" w:sz="8" w:space="0" w:color="A6A6A6"/>
              <w:left w:val="nil"/>
              <w:bottom w:val="single" w:sz="8" w:space="0" w:color="A6A6A6"/>
              <w:right w:val="single" w:sz="8" w:space="0" w:color="A6A6A6"/>
            </w:tcBorders>
            <w:shd w:val="clear" w:color="000000" w:fill="EE3438"/>
            <w:vAlign w:val="center"/>
            <w:hideMark/>
          </w:tcPr>
          <w:p w14:paraId="598558D6" w14:textId="77777777" w:rsidR="003737D2" w:rsidRPr="003737D2" w:rsidRDefault="003737D2" w:rsidP="003737D2">
            <w:pPr>
              <w:spacing w:after="0" w:line="240" w:lineRule="auto"/>
              <w:jc w:val="center"/>
              <w:rPr>
                <w:rFonts w:eastAsia="Times New Roman" w:cs="Calibri"/>
                <w:b/>
                <w:bCs/>
                <w:color w:val="000000"/>
              </w:rPr>
            </w:pPr>
            <w:r w:rsidRPr="003737D2">
              <w:rPr>
                <w:rFonts w:eastAsia="Times New Roman" w:cs="Calibri"/>
                <w:b/>
                <w:bCs/>
                <w:color w:val="000000"/>
              </w:rPr>
              <w:t xml:space="preserve">Totale </w:t>
            </w:r>
          </w:p>
        </w:tc>
      </w:tr>
      <w:tr w:rsidR="003737D2" w:rsidRPr="003737D2" w14:paraId="218FB6EB" w14:textId="77777777" w:rsidTr="0087783A">
        <w:trPr>
          <w:trHeight w:val="315"/>
          <w:jc w:val="center"/>
        </w:trPr>
        <w:tc>
          <w:tcPr>
            <w:tcW w:w="4980" w:type="dxa"/>
            <w:tcBorders>
              <w:top w:val="nil"/>
              <w:left w:val="single" w:sz="8" w:space="0" w:color="A6A6A6"/>
              <w:bottom w:val="single" w:sz="8" w:space="0" w:color="A6A6A6"/>
              <w:right w:val="single" w:sz="8" w:space="0" w:color="A6A6A6"/>
            </w:tcBorders>
            <w:shd w:val="clear" w:color="000000" w:fill="FFFFFF"/>
            <w:noWrap/>
            <w:vAlign w:val="center"/>
            <w:hideMark/>
          </w:tcPr>
          <w:p w14:paraId="0D396C2D" w14:textId="77777777" w:rsidR="003737D2" w:rsidRPr="003737D2" w:rsidRDefault="003737D2" w:rsidP="003737D2">
            <w:pPr>
              <w:spacing w:after="0" w:line="240" w:lineRule="auto"/>
              <w:rPr>
                <w:rFonts w:eastAsia="Times New Roman" w:cs="Calibri"/>
                <w:color w:val="000000"/>
              </w:rPr>
            </w:pPr>
            <w:r w:rsidRPr="003737D2">
              <w:rPr>
                <w:rFonts w:eastAsia="Times New Roman" w:cs="Calibri"/>
                <w:color w:val="000000"/>
              </w:rPr>
              <w:t>A.T.A.P. SPA</w:t>
            </w:r>
          </w:p>
        </w:tc>
        <w:tc>
          <w:tcPr>
            <w:tcW w:w="1480" w:type="dxa"/>
            <w:tcBorders>
              <w:top w:val="nil"/>
              <w:left w:val="nil"/>
              <w:bottom w:val="single" w:sz="8" w:space="0" w:color="A6A6A6"/>
              <w:right w:val="single" w:sz="8" w:space="0" w:color="A6A6A6"/>
            </w:tcBorders>
            <w:noWrap/>
            <w:vAlign w:val="center"/>
            <w:hideMark/>
          </w:tcPr>
          <w:p w14:paraId="6EF7C4E6" w14:textId="77777777" w:rsidR="003737D2" w:rsidRPr="003737D2" w:rsidRDefault="003737D2" w:rsidP="003737D2">
            <w:pPr>
              <w:spacing w:after="0" w:line="240" w:lineRule="auto"/>
              <w:jc w:val="right"/>
              <w:rPr>
                <w:rFonts w:eastAsia="Times New Roman" w:cs="Calibri"/>
                <w:color w:val="000000"/>
              </w:rPr>
            </w:pPr>
            <w:r w:rsidRPr="003737D2">
              <w:rPr>
                <w:rFonts w:eastAsia="Times New Roman" w:cs="Calibri"/>
                <w:color w:val="000000"/>
              </w:rPr>
              <w:t>480.736</w:t>
            </w:r>
          </w:p>
        </w:tc>
        <w:tc>
          <w:tcPr>
            <w:tcW w:w="1120" w:type="dxa"/>
            <w:tcBorders>
              <w:top w:val="nil"/>
              <w:left w:val="nil"/>
              <w:bottom w:val="single" w:sz="8" w:space="0" w:color="A6A6A6"/>
              <w:right w:val="single" w:sz="8" w:space="0" w:color="A6A6A6"/>
            </w:tcBorders>
            <w:noWrap/>
            <w:vAlign w:val="center"/>
            <w:hideMark/>
          </w:tcPr>
          <w:p w14:paraId="3249A17E" w14:textId="77777777" w:rsidR="003737D2" w:rsidRPr="003737D2" w:rsidRDefault="003737D2" w:rsidP="003737D2">
            <w:pPr>
              <w:spacing w:after="0" w:line="240" w:lineRule="auto"/>
              <w:jc w:val="right"/>
              <w:rPr>
                <w:rFonts w:eastAsia="Times New Roman" w:cs="Calibri"/>
                <w:color w:val="000000"/>
              </w:rPr>
            </w:pPr>
            <w:r w:rsidRPr="003737D2">
              <w:rPr>
                <w:rFonts w:eastAsia="Times New Roman" w:cs="Calibri"/>
                <w:color w:val="000000"/>
              </w:rPr>
              <w:t> </w:t>
            </w:r>
          </w:p>
        </w:tc>
        <w:tc>
          <w:tcPr>
            <w:tcW w:w="1240" w:type="dxa"/>
            <w:tcBorders>
              <w:top w:val="nil"/>
              <w:left w:val="nil"/>
              <w:bottom w:val="single" w:sz="8" w:space="0" w:color="A6A6A6"/>
              <w:right w:val="single" w:sz="8" w:space="0" w:color="A6A6A6"/>
            </w:tcBorders>
            <w:noWrap/>
            <w:vAlign w:val="center"/>
            <w:hideMark/>
          </w:tcPr>
          <w:p w14:paraId="4DC53504" w14:textId="77777777" w:rsidR="003737D2" w:rsidRPr="003737D2" w:rsidRDefault="003737D2" w:rsidP="003737D2">
            <w:pPr>
              <w:spacing w:after="0" w:line="240" w:lineRule="auto"/>
              <w:jc w:val="right"/>
              <w:rPr>
                <w:rFonts w:eastAsia="Times New Roman" w:cs="Calibri"/>
                <w:color w:val="000000"/>
              </w:rPr>
            </w:pPr>
            <w:r w:rsidRPr="003737D2">
              <w:rPr>
                <w:rFonts w:eastAsia="Times New Roman" w:cs="Calibri"/>
                <w:color w:val="000000"/>
              </w:rPr>
              <w:t>480.736</w:t>
            </w:r>
          </w:p>
        </w:tc>
      </w:tr>
      <w:tr w:rsidR="003737D2" w:rsidRPr="003737D2" w14:paraId="73C21829" w14:textId="77777777" w:rsidTr="0087783A">
        <w:trPr>
          <w:trHeight w:val="315"/>
          <w:jc w:val="center"/>
        </w:trPr>
        <w:tc>
          <w:tcPr>
            <w:tcW w:w="4980" w:type="dxa"/>
            <w:tcBorders>
              <w:top w:val="nil"/>
              <w:left w:val="single" w:sz="8" w:space="0" w:color="A6A6A6"/>
              <w:bottom w:val="single" w:sz="8" w:space="0" w:color="A6A6A6"/>
              <w:right w:val="single" w:sz="8" w:space="0" w:color="A6A6A6"/>
            </w:tcBorders>
            <w:shd w:val="clear" w:color="000000" w:fill="FFFFFF"/>
            <w:noWrap/>
            <w:vAlign w:val="center"/>
            <w:hideMark/>
          </w:tcPr>
          <w:p w14:paraId="21690E65" w14:textId="77777777" w:rsidR="003737D2" w:rsidRPr="003737D2" w:rsidRDefault="003737D2" w:rsidP="003737D2">
            <w:pPr>
              <w:spacing w:after="0" w:line="240" w:lineRule="auto"/>
              <w:rPr>
                <w:rFonts w:eastAsia="Times New Roman" w:cs="Calibri"/>
                <w:color w:val="000000"/>
              </w:rPr>
            </w:pPr>
            <w:r w:rsidRPr="003737D2">
              <w:rPr>
                <w:rFonts w:eastAsia="Times New Roman" w:cs="Calibri"/>
                <w:color w:val="000000"/>
              </w:rPr>
              <w:t>ARRIVA ITALIA SRL</w:t>
            </w:r>
          </w:p>
        </w:tc>
        <w:tc>
          <w:tcPr>
            <w:tcW w:w="1480" w:type="dxa"/>
            <w:tcBorders>
              <w:top w:val="nil"/>
              <w:left w:val="nil"/>
              <w:bottom w:val="single" w:sz="8" w:space="0" w:color="A6A6A6"/>
              <w:right w:val="single" w:sz="8" w:space="0" w:color="A6A6A6"/>
            </w:tcBorders>
            <w:noWrap/>
            <w:vAlign w:val="center"/>
            <w:hideMark/>
          </w:tcPr>
          <w:p w14:paraId="5659F4EF" w14:textId="77777777" w:rsidR="003737D2" w:rsidRPr="003737D2" w:rsidRDefault="003737D2" w:rsidP="003737D2">
            <w:pPr>
              <w:spacing w:after="0" w:line="240" w:lineRule="auto"/>
              <w:jc w:val="right"/>
              <w:rPr>
                <w:rFonts w:eastAsia="Times New Roman" w:cs="Calibri"/>
                <w:color w:val="000000"/>
              </w:rPr>
            </w:pPr>
            <w:r w:rsidRPr="003737D2">
              <w:rPr>
                <w:rFonts w:eastAsia="Times New Roman" w:cs="Calibri"/>
                <w:color w:val="000000"/>
              </w:rPr>
              <w:t>6.313.904</w:t>
            </w:r>
          </w:p>
        </w:tc>
        <w:tc>
          <w:tcPr>
            <w:tcW w:w="1120" w:type="dxa"/>
            <w:tcBorders>
              <w:top w:val="nil"/>
              <w:left w:val="nil"/>
              <w:bottom w:val="single" w:sz="8" w:space="0" w:color="A6A6A6"/>
              <w:right w:val="single" w:sz="8" w:space="0" w:color="A6A6A6"/>
            </w:tcBorders>
            <w:noWrap/>
            <w:vAlign w:val="center"/>
            <w:hideMark/>
          </w:tcPr>
          <w:p w14:paraId="54165029" w14:textId="77777777" w:rsidR="003737D2" w:rsidRPr="003737D2" w:rsidRDefault="003737D2" w:rsidP="003737D2">
            <w:pPr>
              <w:spacing w:after="0" w:line="240" w:lineRule="auto"/>
              <w:jc w:val="right"/>
              <w:rPr>
                <w:rFonts w:eastAsia="Times New Roman" w:cs="Calibri"/>
                <w:color w:val="000000"/>
              </w:rPr>
            </w:pPr>
            <w:r w:rsidRPr="003737D2">
              <w:rPr>
                <w:rFonts w:eastAsia="Times New Roman" w:cs="Calibri"/>
                <w:color w:val="000000"/>
              </w:rPr>
              <w:t>216.677</w:t>
            </w:r>
          </w:p>
        </w:tc>
        <w:tc>
          <w:tcPr>
            <w:tcW w:w="1240" w:type="dxa"/>
            <w:tcBorders>
              <w:top w:val="nil"/>
              <w:left w:val="nil"/>
              <w:bottom w:val="single" w:sz="8" w:space="0" w:color="A6A6A6"/>
              <w:right w:val="single" w:sz="8" w:space="0" w:color="A6A6A6"/>
            </w:tcBorders>
            <w:noWrap/>
            <w:vAlign w:val="center"/>
            <w:hideMark/>
          </w:tcPr>
          <w:p w14:paraId="770E1ED7" w14:textId="77777777" w:rsidR="003737D2" w:rsidRPr="003737D2" w:rsidRDefault="003737D2" w:rsidP="003737D2">
            <w:pPr>
              <w:spacing w:after="0" w:line="240" w:lineRule="auto"/>
              <w:jc w:val="right"/>
              <w:rPr>
                <w:rFonts w:eastAsia="Times New Roman" w:cs="Calibri"/>
                <w:color w:val="000000"/>
              </w:rPr>
            </w:pPr>
            <w:r w:rsidRPr="003737D2">
              <w:rPr>
                <w:rFonts w:eastAsia="Times New Roman" w:cs="Calibri"/>
                <w:color w:val="000000"/>
              </w:rPr>
              <w:t>6.530.581</w:t>
            </w:r>
          </w:p>
        </w:tc>
      </w:tr>
      <w:tr w:rsidR="003737D2" w:rsidRPr="003737D2" w14:paraId="06782B48" w14:textId="77777777" w:rsidTr="0087783A">
        <w:trPr>
          <w:trHeight w:val="315"/>
          <w:jc w:val="center"/>
        </w:trPr>
        <w:tc>
          <w:tcPr>
            <w:tcW w:w="4980" w:type="dxa"/>
            <w:tcBorders>
              <w:top w:val="nil"/>
              <w:left w:val="single" w:sz="8" w:space="0" w:color="A6A6A6"/>
              <w:bottom w:val="single" w:sz="8" w:space="0" w:color="A6A6A6"/>
              <w:right w:val="single" w:sz="8" w:space="0" w:color="A6A6A6"/>
            </w:tcBorders>
            <w:shd w:val="clear" w:color="000000" w:fill="FFFFFF"/>
            <w:noWrap/>
            <w:vAlign w:val="center"/>
            <w:hideMark/>
          </w:tcPr>
          <w:p w14:paraId="7825D90C" w14:textId="77777777" w:rsidR="003737D2" w:rsidRPr="003737D2" w:rsidRDefault="003737D2" w:rsidP="003737D2">
            <w:pPr>
              <w:spacing w:after="0" w:line="240" w:lineRule="auto"/>
              <w:rPr>
                <w:rFonts w:eastAsia="Times New Roman" w:cs="Calibri"/>
                <w:color w:val="000000"/>
              </w:rPr>
            </w:pPr>
            <w:r w:rsidRPr="003737D2">
              <w:rPr>
                <w:rFonts w:eastAsia="Times New Roman" w:cs="Calibri"/>
                <w:color w:val="000000"/>
              </w:rPr>
              <w:t>AUTOLINEE GIACHINO SRL</w:t>
            </w:r>
          </w:p>
        </w:tc>
        <w:tc>
          <w:tcPr>
            <w:tcW w:w="1480" w:type="dxa"/>
            <w:tcBorders>
              <w:top w:val="nil"/>
              <w:left w:val="nil"/>
              <w:bottom w:val="single" w:sz="8" w:space="0" w:color="A6A6A6"/>
              <w:right w:val="single" w:sz="8" w:space="0" w:color="A6A6A6"/>
            </w:tcBorders>
            <w:noWrap/>
            <w:vAlign w:val="center"/>
            <w:hideMark/>
          </w:tcPr>
          <w:p w14:paraId="5F04A0D0" w14:textId="77777777" w:rsidR="003737D2" w:rsidRPr="003737D2" w:rsidRDefault="003737D2" w:rsidP="003737D2">
            <w:pPr>
              <w:spacing w:after="0" w:line="240" w:lineRule="auto"/>
              <w:jc w:val="right"/>
              <w:rPr>
                <w:rFonts w:eastAsia="Times New Roman" w:cs="Calibri"/>
                <w:color w:val="000000"/>
              </w:rPr>
            </w:pPr>
            <w:r w:rsidRPr="003737D2">
              <w:rPr>
                <w:rFonts w:eastAsia="Times New Roman" w:cs="Calibri"/>
                <w:color w:val="000000"/>
              </w:rPr>
              <w:t>423.207</w:t>
            </w:r>
          </w:p>
        </w:tc>
        <w:tc>
          <w:tcPr>
            <w:tcW w:w="1120" w:type="dxa"/>
            <w:tcBorders>
              <w:top w:val="nil"/>
              <w:left w:val="nil"/>
              <w:bottom w:val="single" w:sz="8" w:space="0" w:color="A6A6A6"/>
              <w:right w:val="single" w:sz="8" w:space="0" w:color="A6A6A6"/>
            </w:tcBorders>
            <w:noWrap/>
            <w:vAlign w:val="center"/>
            <w:hideMark/>
          </w:tcPr>
          <w:p w14:paraId="4F9A245A" w14:textId="77777777" w:rsidR="003737D2" w:rsidRPr="003737D2" w:rsidRDefault="003737D2" w:rsidP="003737D2">
            <w:pPr>
              <w:spacing w:after="0" w:line="240" w:lineRule="auto"/>
              <w:jc w:val="right"/>
              <w:rPr>
                <w:rFonts w:eastAsia="Times New Roman" w:cs="Calibri"/>
                <w:color w:val="000000"/>
              </w:rPr>
            </w:pPr>
            <w:r w:rsidRPr="003737D2">
              <w:rPr>
                <w:rFonts w:eastAsia="Times New Roman" w:cs="Calibri"/>
                <w:color w:val="000000"/>
              </w:rPr>
              <w:t> </w:t>
            </w:r>
          </w:p>
        </w:tc>
        <w:tc>
          <w:tcPr>
            <w:tcW w:w="1240" w:type="dxa"/>
            <w:tcBorders>
              <w:top w:val="nil"/>
              <w:left w:val="nil"/>
              <w:bottom w:val="single" w:sz="8" w:space="0" w:color="A6A6A6"/>
              <w:right w:val="single" w:sz="8" w:space="0" w:color="A6A6A6"/>
            </w:tcBorders>
            <w:noWrap/>
            <w:vAlign w:val="center"/>
            <w:hideMark/>
          </w:tcPr>
          <w:p w14:paraId="677173E6" w14:textId="77777777" w:rsidR="003737D2" w:rsidRPr="003737D2" w:rsidRDefault="003737D2" w:rsidP="003737D2">
            <w:pPr>
              <w:spacing w:after="0" w:line="240" w:lineRule="auto"/>
              <w:jc w:val="right"/>
              <w:rPr>
                <w:rFonts w:eastAsia="Times New Roman" w:cs="Calibri"/>
                <w:color w:val="000000"/>
              </w:rPr>
            </w:pPr>
            <w:r w:rsidRPr="003737D2">
              <w:rPr>
                <w:rFonts w:eastAsia="Times New Roman" w:cs="Calibri"/>
                <w:color w:val="000000"/>
              </w:rPr>
              <w:t>423.207</w:t>
            </w:r>
          </w:p>
        </w:tc>
      </w:tr>
      <w:tr w:rsidR="003737D2" w:rsidRPr="003737D2" w14:paraId="0AC492EF" w14:textId="77777777" w:rsidTr="0087783A">
        <w:trPr>
          <w:trHeight w:val="315"/>
          <w:jc w:val="center"/>
        </w:trPr>
        <w:tc>
          <w:tcPr>
            <w:tcW w:w="4980" w:type="dxa"/>
            <w:tcBorders>
              <w:top w:val="nil"/>
              <w:left w:val="single" w:sz="8" w:space="0" w:color="A6A6A6"/>
              <w:bottom w:val="single" w:sz="8" w:space="0" w:color="A6A6A6"/>
              <w:right w:val="single" w:sz="8" w:space="0" w:color="A6A6A6"/>
            </w:tcBorders>
            <w:shd w:val="clear" w:color="000000" w:fill="FFFFFF"/>
            <w:noWrap/>
            <w:vAlign w:val="center"/>
            <w:hideMark/>
          </w:tcPr>
          <w:p w14:paraId="4B210BC6" w14:textId="77777777" w:rsidR="003737D2" w:rsidRPr="003737D2" w:rsidRDefault="003737D2" w:rsidP="003737D2">
            <w:pPr>
              <w:spacing w:after="0" w:line="240" w:lineRule="auto"/>
              <w:rPr>
                <w:rFonts w:eastAsia="Times New Roman" w:cs="Calibri"/>
                <w:color w:val="000000"/>
              </w:rPr>
            </w:pPr>
            <w:r w:rsidRPr="003737D2">
              <w:rPr>
                <w:rFonts w:eastAsia="Times New Roman" w:cs="Calibri"/>
                <w:color w:val="000000"/>
              </w:rPr>
              <w:t>AUTOSERVIZI GAROFALO SRL</w:t>
            </w:r>
          </w:p>
        </w:tc>
        <w:tc>
          <w:tcPr>
            <w:tcW w:w="1480" w:type="dxa"/>
            <w:tcBorders>
              <w:top w:val="nil"/>
              <w:left w:val="nil"/>
              <w:bottom w:val="single" w:sz="8" w:space="0" w:color="A6A6A6"/>
              <w:right w:val="single" w:sz="8" w:space="0" w:color="A6A6A6"/>
            </w:tcBorders>
            <w:noWrap/>
            <w:vAlign w:val="center"/>
            <w:hideMark/>
          </w:tcPr>
          <w:p w14:paraId="4DCD819F" w14:textId="77777777" w:rsidR="003737D2" w:rsidRPr="003737D2" w:rsidRDefault="003737D2" w:rsidP="003737D2">
            <w:pPr>
              <w:spacing w:after="0" w:line="240" w:lineRule="auto"/>
              <w:jc w:val="right"/>
              <w:rPr>
                <w:rFonts w:eastAsia="Times New Roman" w:cs="Calibri"/>
                <w:color w:val="000000"/>
              </w:rPr>
            </w:pPr>
            <w:r w:rsidRPr="003737D2">
              <w:rPr>
                <w:rFonts w:eastAsia="Times New Roman" w:cs="Calibri"/>
                <w:color w:val="000000"/>
              </w:rPr>
              <w:t> </w:t>
            </w:r>
          </w:p>
        </w:tc>
        <w:tc>
          <w:tcPr>
            <w:tcW w:w="1120" w:type="dxa"/>
            <w:tcBorders>
              <w:top w:val="nil"/>
              <w:left w:val="nil"/>
              <w:bottom w:val="single" w:sz="8" w:space="0" w:color="A6A6A6"/>
              <w:right w:val="single" w:sz="8" w:space="0" w:color="A6A6A6"/>
            </w:tcBorders>
            <w:noWrap/>
            <w:vAlign w:val="center"/>
            <w:hideMark/>
          </w:tcPr>
          <w:p w14:paraId="5FF290AB" w14:textId="77777777" w:rsidR="003737D2" w:rsidRPr="003737D2" w:rsidRDefault="003737D2" w:rsidP="003737D2">
            <w:pPr>
              <w:spacing w:after="0" w:line="240" w:lineRule="auto"/>
              <w:jc w:val="right"/>
              <w:rPr>
                <w:rFonts w:eastAsia="Times New Roman" w:cs="Calibri"/>
                <w:color w:val="000000"/>
              </w:rPr>
            </w:pPr>
            <w:r w:rsidRPr="003737D2">
              <w:rPr>
                <w:rFonts w:eastAsia="Times New Roman" w:cs="Calibri"/>
                <w:color w:val="000000"/>
              </w:rPr>
              <w:t>28.925</w:t>
            </w:r>
          </w:p>
        </w:tc>
        <w:tc>
          <w:tcPr>
            <w:tcW w:w="1240" w:type="dxa"/>
            <w:tcBorders>
              <w:top w:val="nil"/>
              <w:left w:val="nil"/>
              <w:bottom w:val="single" w:sz="8" w:space="0" w:color="A6A6A6"/>
              <w:right w:val="single" w:sz="8" w:space="0" w:color="A6A6A6"/>
            </w:tcBorders>
            <w:noWrap/>
            <w:vAlign w:val="center"/>
            <w:hideMark/>
          </w:tcPr>
          <w:p w14:paraId="77A4DD24" w14:textId="77777777" w:rsidR="003737D2" w:rsidRPr="003737D2" w:rsidRDefault="003737D2" w:rsidP="003737D2">
            <w:pPr>
              <w:spacing w:after="0" w:line="240" w:lineRule="auto"/>
              <w:jc w:val="right"/>
              <w:rPr>
                <w:rFonts w:eastAsia="Times New Roman" w:cs="Calibri"/>
                <w:color w:val="000000"/>
              </w:rPr>
            </w:pPr>
            <w:r w:rsidRPr="003737D2">
              <w:rPr>
                <w:rFonts w:eastAsia="Times New Roman" w:cs="Calibri"/>
                <w:color w:val="000000"/>
              </w:rPr>
              <w:t>28.925</w:t>
            </w:r>
          </w:p>
        </w:tc>
      </w:tr>
      <w:tr w:rsidR="003737D2" w:rsidRPr="003737D2" w14:paraId="55D2778C" w14:textId="77777777" w:rsidTr="0087783A">
        <w:trPr>
          <w:trHeight w:val="315"/>
          <w:jc w:val="center"/>
        </w:trPr>
        <w:tc>
          <w:tcPr>
            <w:tcW w:w="4980" w:type="dxa"/>
            <w:tcBorders>
              <w:top w:val="nil"/>
              <w:left w:val="single" w:sz="8" w:space="0" w:color="A6A6A6"/>
              <w:bottom w:val="single" w:sz="8" w:space="0" w:color="A6A6A6"/>
              <w:right w:val="single" w:sz="8" w:space="0" w:color="A6A6A6"/>
            </w:tcBorders>
            <w:shd w:val="clear" w:color="000000" w:fill="FFFFFF"/>
            <w:noWrap/>
            <w:vAlign w:val="center"/>
            <w:hideMark/>
          </w:tcPr>
          <w:p w14:paraId="3245A12F" w14:textId="77777777" w:rsidR="003737D2" w:rsidRPr="003737D2" w:rsidRDefault="003737D2" w:rsidP="003737D2">
            <w:pPr>
              <w:spacing w:after="0" w:line="240" w:lineRule="auto"/>
              <w:rPr>
                <w:rFonts w:eastAsia="Times New Roman" w:cs="Calibri"/>
                <w:color w:val="000000"/>
              </w:rPr>
            </w:pPr>
            <w:r w:rsidRPr="003737D2">
              <w:rPr>
                <w:rFonts w:eastAsia="Times New Roman" w:cs="Calibri"/>
                <w:color w:val="000000"/>
              </w:rPr>
              <w:t>AUTOSERVIZI MARIETTA SRL</w:t>
            </w:r>
          </w:p>
        </w:tc>
        <w:tc>
          <w:tcPr>
            <w:tcW w:w="1480" w:type="dxa"/>
            <w:tcBorders>
              <w:top w:val="nil"/>
              <w:left w:val="nil"/>
              <w:bottom w:val="single" w:sz="8" w:space="0" w:color="A6A6A6"/>
              <w:right w:val="single" w:sz="8" w:space="0" w:color="A6A6A6"/>
            </w:tcBorders>
            <w:noWrap/>
            <w:vAlign w:val="center"/>
            <w:hideMark/>
          </w:tcPr>
          <w:p w14:paraId="3445510E" w14:textId="77777777" w:rsidR="003737D2" w:rsidRPr="003737D2" w:rsidRDefault="003737D2" w:rsidP="003737D2">
            <w:pPr>
              <w:spacing w:after="0" w:line="240" w:lineRule="auto"/>
              <w:jc w:val="right"/>
              <w:rPr>
                <w:rFonts w:eastAsia="Times New Roman" w:cs="Calibri"/>
                <w:color w:val="000000"/>
              </w:rPr>
            </w:pPr>
            <w:r w:rsidRPr="003737D2">
              <w:rPr>
                <w:rFonts w:eastAsia="Times New Roman" w:cs="Calibri"/>
                <w:color w:val="000000"/>
              </w:rPr>
              <w:t>35.958</w:t>
            </w:r>
          </w:p>
        </w:tc>
        <w:tc>
          <w:tcPr>
            <w:tcW w:w="1120" w:type="dxa"/>
            <w:tcBorders>
              <w:top w:val="nil"/>
              <w:left w:val="nil"/>
              <w:bottom w:val="single" w:sz="8" w:space="0" w:color="A6A6A6"/>
              <w:right w:val="single" w:sz="8" w:space="0" w:color="A6A6A6"/>
            </w:tcBorders>
            <w:noWrap/>
            <w:vAlign w:val="center"/>
            <w:hideMark/>
          </w:tcPr>
          <w:p w14:paraId="62435CC7" w14:textId="77777777" w:rsidR="003737D2" w:rsidRPr="003737D2" w:rsidRDefault="003737D2" w:rsidP="003737D2">
            <w:pPr>
              <w:spacing w:after="0" w:line="240" w:lineRule="auto"/>
              <w:jc w:val="right"/>
              <w:rPr>
                <w:rFonts w:eastAsia="Times New Roman" w:cs="Calibri"/>
                <w:color w:val="000000"/>
              </w:rPr>
            </w:pPr>
            <w:r w:rsidRPr="003737D2">
              <w:rPr>
                <w:rFonts w:eastAsia="Times New Roman" w:cs="Calibri"/>
                <w:color w:val="000000"/>
              </w:rPr>
              <w:t> </w:t>
            </w:r>
          </w:p>
        </w:tc>
        <w:tc>
          <w:tcPr>
            <w:tcW w:w="1240" w:type="dxa"/>
            <w:tcBorders>
              <w:top w:val="nil"/>
              <w:left w:val="nil"/>
              <w:bottom w:val="single" w:sz="8" w:space="0" w:color="A6A6A6"/>
              <w:right w:val="single" w:sz="8" w:space="0" w:color="A6A6A6"/>
            </w:tcBorders>
            <w:noWrap/>
            <w:vAlign w:val="center"/>
            <w:hideMark/>
          </w:tcPr>
          <w:p w14:paraId="4D4B1E33" w14:textId="77777777" w:rsidR="003737D2" w:rsidRPr="003737D2" w:rsidRDefault="003737D2" w:rsidP="003737D2">
            <w:pPr>
              <w:spacing w:after="0" w:line="240" w:lineRule="auto"/>
              <w:jc w:val="right"/>
              <w:rPr>
                <w:rFonts w:eastAsia="Times New Roman" w:cs="Calibri"/>
                <w:color w:val="000000"/>
              </w:rPr>
            </w:pPr>
            <w:r w:rsidRPr="003737D2">
              <w:rPr>
                <w:rFonts w:eastAsia="Times New Roman" w:cs="Calibri"/>
                <w:color w:val="000000"/>
              </w:rPr>
              <w:t>35.958</w:t>
            </w:r>
          </w:p>
        </w:tc>
      </w:tr>
      <w:tr w:rsidR="003737D2" w:rsidRPr="003737D2" w14:paraId="4EFED014" w14:textId="77777777" w:rsidTr="0087783A">
        <w:trPr>
          <w:trHeight w:val="315"/>
          <w:jc w:val="center"/>
        </w:trPr>
        <w:tc>
          <w:tcPr>
            <w:tcW w:w="4980" w:type="dxa"/>
            <w:tcBorders>
              <w:top w:val="nil"/>
              <w:left w:val="single" w:sz="8" w:space="0" w:color="A6A6A6"/>
              <w:bottom w:val="single" w:sz="8" w:space="0" w:color="A6A6A6"/>
              <w:right w:val="single" w:sz="8" w:space="0" w:color="A6A6A6"/>
            </w:tcBorders>
            <w:shd w:val="clear" w:color="000000" w:fill="FFFFFF"/>
            <w:noWrap/>
            <w:vAlign w:val="center"/>
            <w:hideMark/>
          </w:tcPr>
          <w:p w14:paraId="06411AB7" w14:textId="77777777" w:rsidR="003737D2" w:rsidRPr="003737D2" w:rsidRDefault="003737D2" w:rsidP="003737D2">
            <w:pPr>
              <w:spacing w:after="0" w:line="240" w:lineRule="auto"/>
              <w:rPr>
                <w:rFonts w:eastAsia="Times New Roman" w:cs="Calibri"/>
                <w:color w:val="000000"/>
              </w:rPr>
            </w:pPr>
            <w:r w:rsidRPr="003737D2">
              <w:rPr>
                <w:rFonts w:eastAsia="Times New Roman" w:cs="Calibri"/>
                <w:color w:val="000000"/>
              </w:rPr>
              <w:t>AUTOSERVIZI SESTRIERE SAS</w:t>
            </w:r>
          </w:p>
        </w:tc>
        <w:tc>
          <w:tcPr>
            <w:tcW w:w="1480" w:type="dxa"/>
            <w:tcBorders>
              <w:top w:val="nil"/>
              <w:left w:val="nil"/>
              <w:bottom w:val="single" w:sz="8" w:space="0" w:color="A6A6A6"/>
              <w:right w:val="single" w:sz="8" w:space="0" w:color="A6A6A6"/>
            </w:tcBorders>
            <w:noWrap/>
            <w:vAlign w:val="center"/>
            <w:hideMark/>
          </w:tcPr>
          <w:p w14:paraId="0AAAA4B1" w14:textId="77777777" w:rsidR="003737D2" w:rsidRPr="003737D2" w:rsidRDefault="003737D2" w:rsidP="003737D2">
            <w:pPr>
              <w:spacing w:after="0" w:line="240" w:lineRule="auto"/>
              <w:jc w:val="right"/>
              <w:rPr>
                <w:rFonts w:eastAsia="Times New Roman" w:cs="Calibri"/>
                <w:color w:val="000000"/>
              </w:rPr>
            </w:pPr>
            <w:r w:rsidRPr="003737D2">
              <w:rPr>
                <w:rFonts w:eastAsia="Times New Roman" w:cs="Calibri"/>
                <w:color w:val="000000"/>
              </w:rPr>
              <w:t>19.768</w:t>
            </w:r>
          </w:p>
        </w:tc>
        <w:tc>
          <w:tcPr>
            <w:tcW w:w="1120" w:type="dxa"/>
            <w:tcBorders>
              <w:top w:val="nil"/>
              <w:left w:val="nil"/>
              <w:bottom w:val="single" w:sz="8" w:space="0" w:color="A6A6A6"/>
              <w:right w:val="single" w:sz="8" w:space="0" w:color="A6A6A6"/>
            </w:tcBorders>
            <w:noWrap/>
            <w:vAlign w:val="center"/>
            <w:hideMark/>
          </w:tcPr>
          <w:p w14:paraId="4F7CD558" w14:textId="77777777" w:rsidR="003737D2" w:rsidRPr="003737D2" w:rsidRDefault="003737D2" w:rsidP="003737D2">
            <w:pPr>
              <w:spacing w:after="0" w:line="240" w:lineRule="auto"/>
              <w:jc w:val="right"/>
              <w:rPr>
                <w:rFonts w:eastAsia="Times New Roman" w:cs="Calibri"/>
                <w:color w:val="000000"/>
              </w:rPr>
            </w:pPr>
            <w:r w:rsidRPr="003737D2">
              <w:rPr>
                <w:rFonts w:eastAsia="Times New Roman" w:cs="Calibri"/>
                <w:color w:val="000000"/>
              </w:rPr>
              <w:t> </w:t>
            </w:r>
          </w:p>
        </w:tc>
        <w:tc>
          <w:tcPr>
            <w:tcW w:w="1240" w:type="dxa"/>
            <w:tcBorders>
              <w:top w:val="nil"/>
              <w:left w:val="nil"/>
              <w:bottom w:val="single" w:sz="8" w:space="0" w:color="A6A6A6"/>
              <w:right w:val="single" w:sz="8" w:space="0" w:color="A6A6A6"/>
            </w:tcBorders>
            <w:noWrap/>
            <w:vAlign w:val="center"/>
            <w:hideMark/>
          </w:tcPr>
          <w:p w14:paraId="03116FE8" w14:textId="77777777" w:rsidR="003737D2" w:rsidRPr="003737D2" w:rsidRDefault="003737D2" w:rsidP="003737D2">
            <w:pPr>
              <w:spacing w:after="0" w:line="240" w:lineRule="auto"/>
              <w:jc w:val="right"/>
              <w:rPr>
                <w:rFonts w:eastAsia="Times New Roman" w:cs="Calibri"/>
                <w:color w:val="000000"/>
              </w:rPr>
            </w:pPr>
            <w:r w:rsidRPr="003737D2">
              <w:rPr>
                <w:rFonts w:eastAsia="Times New Roman" w:cs="Calibri"/>
                <w:color w:val="000000"/>
              </w:rPr>
              <w:t>19.768</w:t>
            </w:r>
          </w:p>
        </w:tc>
      </w:tr>
      <w:tr w:rsidR="003737D2" w:rsidRPr="003737D2" w14:paraId="36E0DF37" w14:textId="77777777" w:rsidTr="0087783A">
        <w:trPr>
          <w:trHeight w:val="315"/>
          <w:jc w:val="center"/>
        </w:trPr>
        <w:tc>
          <w:tcPr>
            <w:tcW w:w="4980" w:type="dxa"/>
            <w:tcBorders>
              <w:top w:val="nil"/>
              <w:left w:val="single" w:sz="8" w:space="0" w:color="A6A6A6"/>
              <w:bottom w:val="single" w:sz="8" w:space="0" w:color="A6A6A6"/>
              <w:right w:val="single" w:sz="8" w:space="0" w:color="A6A6A6"/>
            </w:tcBorders>
            <w:shd w:val="clear" w:color="000000" w:fill="FFFFFF"/>
            <w:noWrap/>
            <w:vAlign w:val="center"/>
            <w:hideMark/>
          </w:tcPr>
          <w:p w14:paraId="20815CF9" w14:textId="77777777" w:rsidR="003737D2" w:rsidRPr="003737D2" w:rsidRDefault="003737D2" w:rsidP="003737D2">
            <w:pPr>
              <w:spacing w:after="0" w:line="240" w:lineRule="auto"/>
              <w:rPr>
                <w:rFonts w:eastAsia="Times New Roman" w:cs="Calibri"/>
                <w:color w:val="000000"/>
              </w:rPr>
            </w:pPr>
            <w:r w:rsidRPr="003737D2">
              <w:rPr>
                <w:rFonts w:eastAsia="Times New Roman" w:cs="Calibri"/>
                <w:color w:val="000000"/>
              </w:rPr>
              <w:t>AUTOSTRADALE SRL</w:t>
            </w:r>
          </w:p>
        </w:tc>
        <w:tc>
          <w:tcPr>
            <w:tcW w:w="1480" w:type="dxa"/>
            <w:tcBorders>
              <w:top w:val="nil"/>
              <w:left w:val="nil"/>
              <w:bottom w:val="single" w:sz="8" w:space="0" w:color="A6A6A6"/>
              <w:right w:val="single" w:sz="8" w:space="0" w:color="A6A6A6"/>
            </w:tcBorders>
            <w:noWrap/>
            <w:vAlign w:val="center"/>
            <w:hideMark/>
          </w:tcPr>
          <w:p w14:paraId="1DD86E70" w14:textId="77777777" w:rsidR="003737D2" w:rsidRPr="003737D2" w:rsidRDefault="003737D2" w:rsidP="003737D2">
            <w:pPr>
              <w:spacing w:after="0" w:line="240" w:lineRule="auto"/>
              <w:jc w:val="right"/>
              <w:rPr>
                <w:rFonts w:eastAsia="Times New Roman" w:cs="Calibri"/>
                <w:color w:val="000000"/>
              </w:rPr>
            </w:pPr>
            <w:r w:rsidRPr="003737D2">
              <w:rPr>
                <w:rFonts w:eastAsia="Times New Roman" w:cs="Calibri"/>
                <w:color w:val="000000"/>
              </w:rPr>
              <w:t>247.320</w:t>
            </w:r>
          </w:p>
        </w:tc>
        <w:tc>
          <w:tcPr>
            <w:tcW w:w="1120" w:type="dxa"/>
            <w:tcBorders>
              <w:top w:val="nil"/>
              <w:left w:val="nil"/>
              <w:bottom w:val="single" w:sz="8" w:space="0" w:color="A6A6A6"/>
              <w:right w:val="single" w:sz="8" w:space="0" w:color="A6A6A6"/>
            </w:tcBorders>
            <w:noWrap/>
            <w:vAlign w:val="center"/>
            <w:hideMark/>
          </w:tcPr>
          <w:p w14:paraId="13117816" w14:textId="77777777" w:rsidR="003737D2" w:rsidRPr="003737D2" w:rsidRDefault="003737D2" w:rsidP="003737D2">
            <w:pPr>
              <w:spacing w:after="0" w:line="240" w:lineRule="auto"/>
              <w:jc w:val="right"/>
              <w:rPr>
                <w:rFonts w:eastAsia="Times New Roman" w:cs="Calibri"/>
                <w:color w:val="000000"/>
              </w:rPr>
            </w:pPr>
            <w:r w:rsidRPr="003737D2">
              <w:rPr>
                <w:rFonts w:eastAsia="Times New Roman" w:cs="Calibri"/>
                <w:color w:val="000000"/>
              </w:rPr>
              <w:t> </w:t>
            </w:r>
          </w:p>
        </w:tc>
        <w:tc>
          <w:tcPr>
            <w:tcW w:w="1240" w:type="dxa"/>
            <w:tcBorders>
              <w:top w:val="nil"/>
              <w:left w:val="nil"/>
              <w:bottom w:val="single" w:sz="8" w:space="0" w:color="A6A6A6"/>
              <w:right w:val="single" w:sz="8" w:space="0" w:color="A6A6A6"/>
            </w:tcBorders>
            <w:noWrap/>
            <w:vAlign w:val="center"/>
            <w:hideMark/>
          </w:tcPr>
          <w:p w14:paraId="20389CB7" w14:textId="77777777" w:rsidR="003737D2" w:rsidRPr="003737D2" w:rsidRDefault="003737D2" w:rsidP="003737D2">
            <w:pPr>
              <w:spacing w:after="0" w:line="240" w:lineRule="auto"/>
              <w:jc w:val="right"/>
              <w:rPr>
                <w:rFonts w:eastAsia="Times New Roman" w:cs="Calibri"/>
                <w:color w:val="000000"/>
              </w:rPr>
            </w:pPr>
            <w:r w:rsidRPr="003737D2">
              <w:rPr>
                <w:rFonts w:eastAsia="Times New Roman" w:cs="Calibri"/>
                <w:color w:val="000000"/>
              </w:rPr>
              <w:t>247.320</w:t>
            </w:r>
          </w:p>
        </w:tc>
      </w:tr>
      <w:tr w:rsidR="003737D2" w:rsidRPr="003737D2" w14:paraId="21FCB1B6" w14:textId="77777777" w:rsidTr="0087783A">
        <w:trPr>
          <w:trHeight w:val="315"/>
          <w:jc w:val="center"/>
        </w:trPr>
        <w:tc>
          <w:tcPr>
            <w:tcW w:w="4980" w:type="dxa"/>
            <w:tcBorders>
              <w:top w:val="nil"/>
              <w:left w:val="single" w:sz="8" w:space="0" w:color="A6A6A6"/>
              <w:bottom w:val="single" w:sz="8" w:space="0" w:color="A6A6A6"/>
              <w:right w:val="single" w:sz="8" w:space="0" w:color="A6A6A6"/>
            </w:tcBorders>
            <w:shd w:val="clear" w:color="000000" w:fill="FFFFFF"/>
            <w:noWrap/>
            <w:vAlign w:val="center"/>
            <w:hideMark/>
          </w:tcPr>
          <w:p w14:paraId="6BE00670" w14:textId="77777777" w:rsidR="003737D2" w:rsidRPr="003737D2" w:rsidRDefault="003737D2" w:rsidP="003737D2">
            <w:pPr>
              <w:spacing w:after="0" w:line="240" w:lineRule="auto"/>
              <w:rPr>
                <w:rFonts w:eastAsia="Times New Roman" w:cs="Calibri"/>
                <w:color w:val="000000"/>
              </w:rPr>
            </w:pPr>
            <w:r w:rsidRPr="003737D2">
              <w:rPr>
                <w:rFonts w:eastAsia="Times New Roman" w:cs="Calibri"/>
                <w:color w:val="000000"/>
              </w:rPr>
              <w:t>BELLANDO TOURS SRL E GHERRA SRL</w:t>
            </w:r>
          </w:p>
        </w:tc>
        <w:tc>
          <w:tcPr>
            <w:tcW w:w="1480" w:type="dxa"/>
            <w:tcBorders>
              <w:top w:val="nil"/>
              <w:left w:val="nil"/>
              <w:bottom w:val="single" w:sz="8" w:space="0" w:color="A6A6A6"/>
              <w:right w:val="single" w:sz="8" w:space="0" w:color="A6A6A6"/>
            </w:tcBorders>
            <w:noWrap/>
            <w:vAlign w:val="center"/>
            <w:hideMark/>
          </w:tcPr>
          <w:p w14:paraId="0C63DF24" w14:textId="77777777" w:rsidR="003737D2" w:rsidRPr="003737D2" w:rsidRDefault="003737D2" w:rsidP="003737D2">
            <w:pPr>
              <w:spacing w:after="0" w:line="240" w:lineRule="auto"/>
              <w:jc w:val="right"/>
              <w:rPr>
                <w:rFonts w:eastAsia="Times New Roman" w:cs="Calibri"/>
                <w:color w:val="000000"/>
              </w:rPr>
            </w:pPr>
            <w:r w:rsidRPr="003737D2">
              <w:rPr>
                <w:rFonts w:eastAsia="Times New Roman" w:cs="Calibri"/>
                <w:color w:val="000000"/>
              </w:rPr>
              <w:t>693.489</w:t>
            </w:r>
          </w:p>
        </w:tc>
        <w:tc>
          <w:tcPr>
            <w:tcW w:w="1120" w:type="dxa"/>
            <w:tcBorders>
              <w:top w:val="nil"/>
              <w:left w:val="nil"/>
              <w:bottom w:val="single" w:sz="8" w:space="0" w:color="A6A6A6"/>
              <w:right w:val="single" w:sz="8" w:space="0" w:color="A6A6A6"/>
            </w:tcBorders>
            <w:noWrap/>
            <w:vAlign w:val="center"/>
            <w:hideMark/>
          </w:tcPr>
          <w:p w14:paraId="6E7423A5" w14:textId="77777777" w:rsidR="003737D2" w:rsidRPr="003737D2" w:rsidRDefault="003737D2" w:rsidP="003737D2">
            <w:pPr>
              <w:spacing w:after="0" w:line="240" w:lineRule="auto"/>
              <w:jc w:val="right"/>
              <w:rPr>
                <w:rFonts w:eastAsia="Times New Roman" w:cs="Calibri"/>
                <w:color w:val="000000"/>
              </w:rPr>
            </w:pPr>
            <w:r w:rsidRPr="003737D2">
              <w:rPr>
                <w:rFonts w:eastAsia="Times New Roman" w:cs="Calibri"/>
                <w:color w:val="000000"/>
              </w:rPr>
              <w:t>222.036</w:t>
            </w:r>
          </w:p>
        </w:tc>
        <w:tc>
          <w:tcPr>
            <w:tcW w:w="1240" w:type="dxa"/>
            <w:tcBorders>
              <w:top w:val="nil"/>
              <w:left w:val="nil"/>
              <w:bottom w:val="single" w:sz="8" w:space="0" w:color="A6A6A6"/>
              <w:right w:val="single" w:sz="8" w:space="0" w:color="A6A6A6"/>
            </w:tcBorders>
            <w:noWrap/>
            <w:vAlign w:val="center"/>
            <w:hideMark/>
          </w:tcPr>
          <w:p w14:paraId="78885A4A" w14:textId="77777777" w:rsidR="003737D2" w:rsidRPr="003737D2" w:rsidRDefault="003737D2" w:rsidP="003737D2">
            <w:pPr>
              <w:spacing w:after="0" w:line="240" w:lineRule="auto"/>
              <w:jc w:val="right"/>
              <w:rPr>
                <w:rFonts w:eastAsia="Times New Roman" w:cs="Calibri"/>
                <w:color w:val="000000"/>
              </w:rPr>
            </w:pPr>
            <w:r w:rsidRPr="003737D2">
              <w:rPr>
                <w:rFonts w:eastAsia="Times New Roman" w:cs="Calibri"/>
                <w:color w:val="000000"/>
              </w:rPr>
              <w:t>915.525</w:t>
            </w:r>
          </w:p>
        </w:tc>
      </w:tr>
      <w:tr w:rsidR="003737D2" w:rsidRPr="003737D2" w14:paraId="618E66B6" w14:textId="77777777" w:rsidTr="0087783A">
        <w:trPr>
          <w:trHeight w:val="315"/>
          <w:jc w:val="center"/>
        </w:trPr>
        <w:tc>
          <w:tcPr>
            <w:tcW w:w="4980" w:type="dxa"/>
            <w:tcBorders>
              <w:top w:val="nil"/>
              <w:left w:val="single" w:sz="8" w:space="0" w:color="A6A6A6"/>
              <w:bottom w:val="single" w:sz="8" w:space="0" w:color="A6A6A6"/>
              <w:right w:val="single" w:sz="8" w:space="0" w:color="A6A6A6"/>
            </w:tcBorders>
            <w:shd w:val="clear" w:color="000000" w:fill="FFFFFF"/>
            <w:noWrap/>
            <w:vAlign w:val="center"/>
            <w:hideMark/>
          </w:tcPr>
          <w:p w14:paraId="763A4B16" w14:textId="77777777" w:rsidR="003737D2" w:rsidRPr="003737D2" w:rsidRDefault="003737D2" w:rsidP="003737D2">
            <w:pPr>
              <w:spacing w:after="0" w:line="240" w:lineRule="auto"/>
              <w:rPr>
                <w:rFonts w:eastAsia="Times New Roman" w:cs="Calibri"/>
                <w:color w:val="000000"/>
              </w:rPr>
            </w:pPr>
            <w:r w:rsidRPr="003737D2">
              <w:rPr>
                <w:rFonts w:eastAsia="Times New Roman" w:cs="Calibri"/>
                <w:color w:val="000000"/>
              </w:rPr>
              <w:t>BOBBA ROBERTO</w:t>
            </w:r>
          </w:p>
        </w:tc>
        <w:tc>
          <w:tcPr>
            <w:tcW w:w="1480" w:type="dxa"/>
            <w:tcBorders>
              <w:top w:val="nil"/>
              <w:left w:val="nil"/>
              <w:bottom w:val="single" w:sz="8" w:space="0" w:color="A6A6A6"/>
              <w:right w:val="single" w:sz="8" w:space="0" w:color="A6A6A6"/>
            </w:tcBorders>
            <w:noWrap/>
            <w:vAlign w:val="center"/>
            <w:hideMark/>
          </w:tcPr>
          <w:p w14:paraId="355F7F22" w14:textId="77777777" w:rsidR="003737D2" w:rsidRPr="003737D2" w:rsidRDefault="003737D2" w:rsidP="003737D2">
            <w:pPr>
              <w:spacing w:after="0" w:line="240" w:lineRule="auto"/>
              <w:jc w:val="right"/>
              <w:rPr>
                <w:rFonts w:eastAsia="Times New Roman" w:cs="Calibri"/>
                <w:color w:val="000000"/>
              </w:rPr>
            </w:pPr>
            <w:r w:rsidRPr="003737D2">
              <w:rPr>
                <w:rFonts w:eastAsia="Times New Roman" w:cs="Calibri"/>
                <w:color w:val="000000"/>
              </w:rPr>
              <w:t>9.986</w:t>
            </w:r>
          </w:p>
        </w:tc>
        <w:tc>
          <w:tcPr>
            <w:tcW w:w="1120" w:type="dxa"/>
            <w:tcBorders>
              <w:top w:val="nil"/>
              <w:left w:val="nil"/>
              <w:bottom w:val="single" w:sz="8" w:space="0" w:color="A6A6A6"/>
              <w:right w:val="single" w:sz="8" w:space="0" w:color="A6A6A6"/>
            </w:tcBorders>
            <w:noWrap/>
            <w:vAlign w:val="center"/>
            <w:hideMark/>
          </w:tcPr>
          <w:p w14:paraId="2B9D03CF" w14:textId="77777777" w:rsidR="003737D2" w:rsidRPr="003737D2" w:rsidRDefault="003737D2" w:rsidP="003737D2">
            <w:pPr>
              <w:spacing w:after="0" w:line="240" w:lineRule="auto"/>
              <w:jc w:val="right"/>
              <w:rPr>
                <w:rFonts w:eastAsia="Times New Roman" w:cs="Calibri"/>
                <w:color w:val="000000"/>
              </w:rPr>
            </w:pPr>
            <w:r w:rsidRPr="003737D2">
              <w:rPr>
                <w:rFonts w:eastAsia="Times New Roman" w:cs="Calibri"/>
                <w:color w:val="000000"/>
              </w:rPr>
              <w:t> </w:t>
            </w:r>
          </w:p>
        </w:tc>
        <w:tc>
          <w:tcPr>
            <w:tcW w:w="1240" w:type="dxa"/>
            <w:tcBorders>
              <w:top w:val="nil"/>
              <w:left w:val="nil"/>
              <w:bottom w:val="single" w:sz="8" w:space="0" w:color="A6A6A6"/>
              <w:right w:val="single" w:sz="8" w:space="0" w:color="A6A6A6"/>
            </w:tcBorders>
            <w:noWrap/>
            <w:vAlign w:val="center"/>
            <w:hideMark/>
          </w:tcPr>
          <w:p w14:paraId="41A7E87A" w14:textId="77777777" w:rsidR="003737D2" w:rsidRPr="003737D2" w:rsidRDefault="003737D2" w:rsidP="003737D2">
            <w:pPr>
              <w:spacing w:after="0" w:line="240" w:lineRule="auto"/>
              <w:jc w:val="right"/>
              <w:rPr>
                <w:rFonts w:eastAsia="Times New Roman" w:cs="Calibri"/>
                <w:color w:val="000000"/>
              </w:rPr>
            </w:pPr>
            <w:r w:rsidRPr="003737D2">
              <w:rPr>
                <w:rFonts w:eastAsia="Times New Roman" w:cs="Calibri"/>
                <w:color w:val="000000"/>
              </w:rPr>
              <w:t>9.986</w:t>
            </w:r>
          </w:p>
        </w:tc>
      </w:tr>
      <w:tr w:rsidR="003737D2" w:rsidRPr="003737D2" w14:paraId="52A85344" w14:textId="77777777" w:rsidTr="0087783A">
        <w:trPr>
          <w:trHeight w:val="315"/>
          <w:jc w:val="center"/>
        </w:trPr>
        <w:tc>
          <w:tcPr>
            <w:tcW w:w="4980" w:type="dxa"/>
            <w:tcBorders>
              <w:top w:val="nil"/>
              <w:left w:val="single" w:sz="8" w:space="0" w:color="A6A6A6"/>
              <w:bottom w:val="single" w:sz="8" w:space="0" w:color="A6A6A6"/>
              <w:right w:val="single" w:sz="8" w:space="0" w:color="A6A6A6"/>
            </w:tcBorders>
            <w:shd w:val="clear" w:color="000000" w:fill="FFFFFF"/>
            <w:noWrap/>
            <w:vAlign w:val="center"/>
            <w:hideMark/>
          </w:tcPr>
          <w:p w14:paraId="2F073E84" w14:textId="77777777" w:rsidR="003737D2" w:rsidRPr="003737D2" w:rsidRDefault="003737D2" w:rsidP="003737D2">
            <w:pPr>
              <w:spacing w:after="0" w:line="240" w:lineRule="auto"/>
              <w:rPr>
                <w:rFonts w:eastAsia="Times New Roman" w:cs="Calibri"/>
                <w:color w:val="000000"/>
              </w:rPr>
            </w:pPr>
            <w:r w:rsidRPr="003737D2">
              <w:rPr>
                <w:rFonts w:eastAsia="Times New Roman" w:cs="Calibri"/>
                <w:color w:val="000000"/>
              </w:rPr>
              <w:t>BUS COMPANY SRL</w:t>
            </w:r>
          </w:p>
        </w:tc>
        <w:tc>
          <w:tcPr>
            <w:tcW w:w="1480" w:type="dxa"/>
            <w:tcBorders>
              <w:top w:val="nil"/>
              <w:left w:val="nil"/>
              <w:bottom w:val="single" w:sz="8" w:space="0" w:color="A6A6A6"/>
              <w:right w:val="single" w:sz="8" w:space="0" w:color="A6A6A6"/>
            </w:tcBorders>
            <w:noWrap/>
            <w:vAlign w:val="center"/>
            <w:hideMark/>
          </w:tcPr>
          <w:p w14:paraId="43F62518" w14:textId="77777777" w:rsidR="003737D2" w:rsidRPr="003737D2" w:rsidRDefault="003737D2" w:rsidP="003737D2">
            <w:pPr>
              <w:spacing w:after="0" w:line="240" w:lineRule="auto"/>
              <w:jc w:val="right"/>
              <w:rPr>
                <w:rFonts w:eastAsia="Times New Roman" w:cs="Calibri"/>
                <w:color w:val="000000"/>
              </w:rPr>
            </w:pPr>
            <w:r w:rsidRPr="003737D2">
              <w:rPr>
                <w:rFonts w:eastAsia="Times New Roman" w:cs="Calibri"/>
                <w:color w:val="000000"/>
              </w:rPr>
              <w:t>2.052.724</w:t>
            </w:r>
          </w:p>
        </w:tc>
        <w:tc>
          <w:tcPr>
            <w:tcW w:w="1120" w:type="dxa"/>
            <w:tcBorders>
              <w:top w:val="nil"/>
              <w:left w:val="nil"/>
              <w:bottom w:val="single" w:sz="8" w:space="0" w:color="A6A6A6"/>
              <w:right w:val="single" w:sz="8" w:space="0" w:color="A6A6A6"/>
            </w:tcBorders>
            <w:noWrap/>
            <w:vAlign w:val="center"/>
            <w:hideMark/>
          </w:tcPr>
          <w:p w14:paraId="54F9ED13" w14:textId="77777777" w:rsidR="003737D2" w:rsidRPr="003737D2" w:rsidRDefault="003737D2" w:rsidP="003737D2">
            <w:pPr>
              <w:spacing w:after="0" w:line="240" w:lineRule="auto"/>
              <w:jc w:val="right"/>
              <w:rPr>
                <w:rFonts w:eastAsia="Times New Roman" w:cs="Calibri"/>
                <w:color w:val="000000"/>
              </w:rPr>
            </w:pPr>
            <w:r w:rsidRPr="003737D2">
              <w:rPr>
                <w:rFonts w:eastAsia="Times New Roman" w:cs="Calibri"/>
                <w:color w:val="000000"/>
              </w:rPr>
              <w:t> </w:t>
            </w:r>
          </w:p>
        </w:tc>
        <w:tc>
          <w:tcPr>
            <w:tcW w:w="1240" w:type="dxa"/>
            <w:tcBorders>
              <w:top w:val="nil"/>
              <w:left w:val="nil"/>
              <w:bottom w:val="single" w:sz="8" w:space="0" w:color="A6A6A6"/>
              <w:right w:val="single" w:sz="8" w:space="0" w:color="A6A6A6"/>
            </w:tcBorders>
            <w:noWrap/>
            <w:vAlign w:val="center"/>
            <w:hideMark/>
          </w:tcPr>
          <w:p w14:paraId="1308C633" w14:textId="77777777" w:rsidR="003737D2" w:rsidRPr="003737D2" w:rsidRDefault="003737D2" w:rsidP="003737D2">
            <w:pPr>
              <w:spacing w:after="0" w:line="240" w:lineRule="auto"/>
              <w:jc w:val="right"/>
              <w:rPr>
                <w:rFonts w:eastAsia="Times New Roman" w:cs="Calibri"/>
                <w:color w:val="000000"/>
              </w:rPr>
            </w:pPr>
            <w:r w:rsidRPr="003737D2">
              <w:rPr>
                <w:rFonts w:eastAsia="Times New Roman" w:cs="Calibri"/>
                <w:color w:val="000000"/>
              </w:rPr>
              <w:t>2.052.724</w:t>
            </w:r>
          </w:p>
        </w:tc>
      </w:tr>
      <w:tr w:rsidR="003737D2" w:rsidRPr="003737D2" w14:paraId="5AF2A251" w14:textId="77777777" w:rsidTr="0087783A">
        <w:trPr>
          <w:trHeight w:val="315"/>
          <w:jc w:val="center"/>
        </w:trPr>
        <w:tc>
          <w:tcPr>
            <w:tcW w:w="4980" w:type="dxa"/>
            <w:tcBorders>
              <w:top w:val="nil"/>
              <w:left w:val="single" w:sz="8" w:space="0" w:color="A6A6A6"/>
              <w:bottom w:val="single" w:sz="8" w:space="0" w:color="A6A6A6"/>
              <w:right w:val="single" w:sz="8" w:space="0" w:color="A6A6A6"/>
            </w:tcBorders>
            <w:shd w:val="clear" w:color="000000" w:fill="FFFFFF"/>
            <w:noWrap/>
            <w:vAlign w:val="center"/>
            <w:hideMark/>
          </w:tcPr>
          <w:p w14:paraId="1E8F2F26" w14:textId="77777777" w:rsidR="003737D2" w:rsidRPr="003737D2" w:rsidRDefault="003737D2" w:rsidP="003737D2">
            <w:pPr>
              <w:spacing w:after="0" w:line="240" w:lineRule="auto"/>
              <w:rPr>
                <w:rFonts w:eastAsia="Times New Roman" w:cs="Calibri"/>
                <w:color w:val="000000"/>
              </w:rPr>
            </w:pPr>
            <w:r w:rsidRPr="003737D2">
              <w:rPr>
                <w:rFonts w:eastAsia="Times New Roman" w:cs="Calibri"/>
                <w:color w:val="000000"/>
              </w:rPr>
              <w:t>CAVOURESE SPA</w:t>
            </w:r>
          </w:p>
        </w:tc>
        <w:tc>
          <w:tcPr>
            <w:tcW w:w="1480" w:type="dxa"/>
            <w:tcBorders>
              <w:top w:val="nil"/>
              <w:left w:val="nil"/>
              <w:bottom w:val="single" w:sz="8" w:space="0" w:color="A6A6A6"/>
              <w:right w:val="single" w:sz="8" w:space="0" w:color="A6A6A6"/>
            </w:tcBorders>
            <w:noWrap/>
            <w:vAlign w:val="center"/>
            <w:hideMark/>
          </w:tcPr>
          <w:p w14:paraId="7610774E" w14:textId="77777777" w:rsidR="003737D2" w:rsidRPr="003737D2" w:rsidRDefault="003737D2" w:rsidP="003737D2">
            <w:pPr>
              <w:spacing w:after="0" w:line="240" w:lineRule="auto"/>
              <w:jc w:val="right"/>
              <w:rPr>
                <w:rFonts w:eastAsia="Times New Roman" w:cs="Calibri"/>
                <w:color w:val="000000"/>
              </w:rPr>
            </w:pPr>
            <w:r w:rsidRPr="003737D2">
              <w:rPr>
                <w:rFonts w:eastAsia="Times New Roman" w:cs="Calibri"/>
                <w:color w:val="000000"/>
              </w:rPr>
              <w:t>2.915.691</w:t>
            </w:r>
          </w:p>
        </w:tc>
        <w:tc>
          <w:tcPr>
            <w:tcW w:w="1120" w:type="dxa"/>
            <w:tcBorders>
              <w:top w:val="nil"/>
              <w:left w:val="nil"/>
              <w:bottom w:val="single" w:sz="8" w:space="0" w:color="A6A6A6"/>
              <w:right w:val="single" w:sz="8" w:space="0" w:color="A6A6A6"/>
            </w:tcBorders>
            <w:noWrap/>
            <w:vAlign w:val="center"/>
            <w:hideMark/>
          </w:tcPr>
          <w:p w14:paraId="70BDD582" w14:textId="77777777" w:rsidR="003737D2" w:rsidRPr="003737D2" w:rsidRDefault="003737D2" w:rsidP="003737D2">
            <w:pPr>
              <w:spacing w:after="0" w:line="240" w:lineRule="auto"/>
              <w:jc w:val="right"/>
              <w:rPr>
                <w:rFonts w:eastAsia="Times New Roman" w:cs="Calibri"/>
                <w:color w:val="000000"/>
              </w:rPr>
            </w:pPr>
            <w:r w:rsidRPr="003737D2">
              <w:rPr>
                <w:rFonts w:eastAsia="Times New Roman" w:cs="Calibri"/>
                <w:color w:val="000000"/>
              </w:rPr>
              <w:t>295.092</w:t>
            </w:r>
          </w:p>
        </w:tc>
        <w:tc>
          <w:tcPr>
            <w:tcW w:w="1240" w:type="dxa"/>
            <w:tcBorders>
              <w:top w:val="nil"/>
              <w:left w:val="nil"/>
              <w:bottom w:val="single" w:sz="8" w:space="0" w:color="A6A6A6"/>
              <w:right w:val="single" w:sz="8" w:space="0" w:color="A6A6A6"/>
            </w:tcBorders>
            <w:noWrap/>
            <w:vAlign w:val="center"/>
            <w:hideMark/>
          </w:tcPr>
          <w:p w14:paraId="3DB4C4E7" w14:textId="77777777" w:rsidR="003737D2" w:rsidRPr="003737D2" w:rsidRDefault="003737D2" w:rsidP="003737D2">
            <w:pPr>
              <w:spacing w:after="0" w:line="240" w:lineRule="auto"/>
              <w:jc w:val="right"/>
              <w:rPr>
                <w:rFonts w:eastAsia="Times New Roman" w:cs="Calibri"/>
                <w:color w:val="000000"/>
              </w:rPr>
            </w:pPr>
            <w:r w:rsidRPr="003737D2">
              <w:rPr>
                <w:rFonts w:eastAsia="Times New Roman" w:cs="Calibri"/>
                <w:color w:val="000000"/>
              </w:rPr>
              <w:t>3.210.783</w:t>
            </w:r>
          </w:p>
        </w:tc>
      </w:tr>
      <w:tr w:rsidR="003737D2" w:rsidRPr="003737D2" w14:paraId="23AE8166" w14:textId="77777777" w:rsidTr="0087783A">
        <w:trPr>
          <w:trHeight w:val="315"/>
          <w:jc w:val="center"/>
        </w:trPr>
        <w:tc>
          <w:tcPr>
            <w:tcW w:w="4980" w:type="dxa"/>
            <w:tcBorders>
              <w:top w:val="nil"/>
              <w:left w:val="single" w:sz="8" w:space="0" w:color="A6A6A6"/>
              <w:bottom w:val="single" w:sz="8" w:space="0" w:color="A6A6A6"/>
              <w:right w:val="single" w:sz="8" w:space="0" w:color="A6A6A6"/>
            </w:tcBorders>
            <w:shd w:val="clear" w:color="000000" w:fill="FFFFFF"/>
            <w:noWrap/>
            <w:vAlign w:val="center"/>
            <w:hideMark/>
          </w:tcPr>
          <w:p w14:paraId="2949D372" w14:textId="77777777" w:rsidR="003737D2" w:rsidRPr="003737D2" w:rsidRDefault="003737D2" w:rsidP="003737D2">
            <w:pPr>
              <w:spacing w:after="0" w:line="240" w:lineRule="auto"/>
              <w:rPr>
                <w:rFonts w:eastAsia="Times New Roman" w:cs="Calibri"/>
                <w:color w:val="000000"/>
              </w:rPr>
            </w:pPr>
            <w:r w:rsidRPr="003737D2">
              <w:rPr>
                <w:rFonts w:eastAsia="Times New Roman" w:cs="Calibri"/>
                <w:color w:val="000000"/>
              </w:rPr>
              <w:t>CHIESA SRL</w:t>
            </w:r>
          </w:p>
        </w:tc>
        <w:tc>
          <w:tcPr>
            <w:tcW w:w="1480" w:type="dxa"/>
            <w:tcBorders>
              <w:top w:val="nil"/>
              <w:left w:val="nil"/>
              <w:bottom w:val="single" w:sz="8" w:space="0" w:color="A6A6A6"/>
              <w:right w:val="single" w:sz="8" w:space="0" w:color="A6A6A6"/>
            </w:tcBorders>
            <w:noWrap/>
            <w:vAlign w:val="center"/>
            <w:hideMark/>
          </w:tcPr>
          <w:p w14:paraId="104183F9" w14:textId="77777777" w:rsidR="003737D2" w:rsidRPr="003737D2" w:rsidRDefault="003737D2" w:rsidP="003737D2">
            <w:pPr>
              <w:spacing w:after="0" w:line="240" w:lineRule="auto"/>
              <w:jc w:val="right"/>
              <w:rPr>
                <w:rFonts w:eastAsia="Times New Roman" w:cs="Calibri"/>
                <w:color w:val="000000"/>
              </w:rPr>
            </w:pPr>
            <w:r w:rsidRPr="003737D2">
              <w:rPr>
                <w:rFonts w:eastAsia="Times New Roman" w:cs="Calibri"/>
                <w:color w:val="000000"/>
              </w:rPr>
              <w:t>255.771</w:t>
            </w:r>
          </w:p>
        </w:tc>
        <w:tc>
          <w:tcPr>
            <w:tcW w:w="1120" w:type="dxa"/>
            <w:tcBorders>
              <w:top w:val="nil"/>
              <w:left w:val="nil"/>
              <w:bottom w:val="single" w:sz="8" w:space="0" w:color="A6A6A6"/>
              <w:right w:val="single" w:sz="8" w:space="0" w:color="A6A6A6"/>
            </w:tcBorders>
            <w:noWrap/>
            <w:vAlign w:val="center"/>
            <w:hideMark/>
          </w:tcPr>
          <w:p w14:paraId="3C70ACD7" w14:textId="77777777" w:rsidR="003737D2" w:rsidRPr="003737D2" w:rsidRDefault="003737D2" w:rsidP="003737D2">
            <w:pPr>
              <w:spacing w:after="0" w:line="240" w:lineRule="auto"/>
              <w:jc w:val="right"/>
              <w:rPr>
                <w:rFonts w:eastAsia="Times New Roman" w:cs="Calibri"/>
                <w:color w:val="000000"/>
              </w:rPr>
            </w:pPr>
            <w:r w:rsidRPr="003737D2">
              <w:rPr>
                <w:rFonts w:eastAsia="Times New Roman" w:cs="Calibri"/>
                <w:color w:val="000000"/>
              </w:rPr>
              <w:t>202.198</w:t>
            </w:r>
          </w:p>
        </w:tc>
        <w:tc>
          <w:tcPr>
            <w:tcW w:w="1240" w:type="dxa"/>
            <w:tcBorders>
              <w:top w:val="nil"/>
              <w:left w:val="nil"/>
              <w:bottom w:val="single" w:sz="8" w:space="0" w:color="A6A6A6"/>
              <w:right w:val="single" w:sz="8" w:space="0" w:color="A6A6A6"/>
            </w:tcBorders>
            <w:noWrap/>
            <w:vAlign w:val="center"/>
            <w:hideMark/>
          </w:tcPr>
          <w:p w14:paraId="49A39596" w14:textId="77777777" w:rsidR="003737D2" w:rsidRPr="003737D2" w:rsidRDefault="003737D2" w:rsidP="003737D2">
            <w:pPr>
              <w:spacing w:after="0" w:line="240" w:lineRule="auto"/>
              <w:jc w:val="right"/>
              <w:rPr>
                <w:rFonts w:eastAsia="Times New Roman" w:cs="Calibri"/>
                <w:color w:val="000000"/>
              </w:rPr>
            </w:pPr>
            <w:r w:rsidRPr="003737D2">
              <w:rPr>
                <w:rFonts w:eastAsia="Times New Roman" w:cs="Calibri"/>
                <w:color w:val="000000"/>
              </w:rPr>
              <w:t>457.969</w:t>
            </w:r>
          </w:p>
        </w:tc>
      </w:tr>
      <w:tr w:rsidR="003737D2" w:rsidRPr="003737D2" w14:paraId="3DABE86A" w14:textId="77777777" w:rsidTr="0087783A">
        <w:trPr>
          <w:trHeight w:val="315"/>
          <w:jc w:val="center"/>
        </w:trPr>
        <w:tc>
          <w:tcPr>
            <w:tcW w:w="4980" w:type="dxa"/>
            <w:tcBorders>
              <w:top w:val="nil"/>
              <w:left w:val="single" w:sz="8" w:space="0" w:color="A6A6A6"/>
              <w:bottom w:val="single" w:sz="8" w:space="0" w:color="A6A6A6"/>
              <w:right w:val="single" w:sz="8" w:space="0" w:color="A6A6A6"/>
            </w:tcBorders>
            <w:shd w:val="clear" w:color="000000" w:fill="FFFFFF"/>
            <w:noWrap/>
            <w:vAlign w:val="center"/>
            <w:hideMark/>
          </w:tcPr>
          <w:p w14:paraId="78A6DABA" w14:textId="77777777" w:rsidR="003737D2" w:rsidRPr="003737D2" w:rsidRDefault="003737D2" w:rsidP="003737D2">
            <w:pPr>
              <w:spacing w:after="0" w:line="240" w:lineRule="auto"/>
              <w:rPr>
                <w:rFonts w:eastAsia="Times New Roman" w:cs="Calibri"/>
                <w:color w:val="000000"/>
              </w:rPr>
            </w:pPr>
            <w:r w:rsidRPr="003737D2">
              <w:rPr>
                <w:rFonts w:eastAsia="Times New Roman" w:cs="Calibri"/>
                <w:color w:val="000000"/>
              </w:rPr>
              <w:t>COMUNE DI CHIANOCCO</w:t>
            </w:r>
          </w:p>
        </w:tc>
        <w:tc>
          <w:tcPr>
            <w:tcW w:w="1480" w:type="dxa"/>
            <w:tcBorders>
              <w:top w:val="nil"/>
              <w:left w:val="nil"/>
              <w:bottom w:val="single" w:sz="8" w:space="0" w:color="A6A6A6"/>
              <w:right w:val="single" w:sz="8" w:space="0" w:color="A6A6A6"/>
            </w:tcBorders>
            <w:noWrap/>
            <w:vAlign w:val="center"/>
            <w:hideMark/>
          </w:tcPr>
          <w:p w14:paraId="34220603" w14:textId="77777777" w:rsidR="003737D2" w:rsidRPr="003737D2" w:rsidRDefault="003737D2" w:rsidP="003737D2">
            <w:pPr>
              <w:spacing w:after="0" w:line="240" w:lineRule="auto"/>
              <w:jc w:val="right"/>
              <w:rPr>
                <w:rFonts w:eastAsia="Times New Roman" w:cs="Calibri"/>
                <w:color w:val="000000"/>
              </w:rPr>
            </w:pPr>
            <w:r w:rsidRPr="003737D2">
              <w:rPr>
                <w:rFonts w:eastAsia="Times New Roman" w:cs="Calibri"/>
                <w:color w:val="000000"/>
              </w:rPr>
              <w:t>20.062</w:t>
            </w:r>
          </w:p>
        </w:tc>
        <w:tc>
          <w:tcPr>
            <w:tcW w:w="1120" w:type="dxa"/>
            <w:tcBorders>
              <w:top w:val="nil"/>
              <w:left w:val="nil"/>
              <w:bottom w:val="single" w:sz="8" w:space="0" w:color="A6A6A6"/>
              <w:right w:val="single" w:sz="8" w:space="0" w:color="A6A6A6"/>
            </w:tcBorders>
            <w:noWrap/>
            <w:vAlign w:val="center"/>
            <w:hideMark/>
          </w:tcPr>
          <w:p w14:paraId="184D5F0F" w14:textId="77777777" w:rsidR="003737D2" w:rsidRPr="003737D2" w:rsidRDefault="003737D2" w:rsidP="003737D2">
            <w:pPr>
              <w:spacing w:after="0" w:line="240" w:lineRule="auto"/>
              <w:jc w:val="right"/>
              <w:rPr>
                <w:rFonts w:eastAsia="Times New Roman" w:cs="Calibri"/>
                <w:color w:val="000000"/>
              </w:rPr>
            </w:pPr>
            <w:r w:rsidRPr="003737D2">
              <w:rPr>
                <w:rFonts w:eastAsia="Times New Roman" w:cs="Calibri"/>
                <w:color w:val="000000"/>
              </w:rPr>
              <w:t> </w:t>
            </w:r>
          </w:p>
        </w:tc>
        <w:tc>
          <w:tcPr>
            <w:tcW w:w="1240" w:type="dxa"/>
            <w:tcBorders>
              <w:top w:val="nil"/>
              <w:left w:val="nil"/>
              <w:bottom w:val="single" w:sz="8" w:space="0" w:color="A6A6A6"/>
              <w:right w:val="single" w:sz="8" w:space="0" w:color="A6A6A6"/>
            </w:tcBorders>
            <w:noWrap/>
            <w:vAlign w:val="center"/>
            <w:hideMark/>
          </w:tcPr>
          <w:p w14:paraId="6B447E3D" w14:textId="77777777" w:rsidR="003737D2" w:rsidRPr="003737D2" w:rsidRDefault="003737D2" w:rsidP="003737D2">
            <w:pPr>
              <w:spacing w:after="0" w:line="240" w:lineRule="auto"/>
              <w:jc w:val="right"/>
              <w:rPr>
                <w:rFonts w:eastAsia="Times New Roman" w:cs="Calibri"/>
                <w:color w:val="000000"/>
              </w:rPr>
            </w:pPr>
            <w:r w:rsidRPr="003737D2">
              <w:rPr>
                <w:rFonts w:eastAsia="Times New Roman" w:cs="Calibri"/>
                <w:color w:val="000000"/>
              </w:rPr>
              <w:t>20.062</w:t>
            </w:r>
          </w:p>
        </w:tc>
      </w:tr>
      <w:tr w:rsidR="003737D2" w:rsidRPr="003737D2" w14:paraId="4A14450E" w14:textId="77777777" w:rsidTr="0087783A">
        <w:trPr>
          <w:trHeight w:val="315"/>
          <w:jc w:val="center"/>
        </w:trPr>
        <w:tc>
          <w:tcPr>
            <w:tcW w:w="4980" w:type="dxa"/>
            <w:tcBorders>
              <w:top w:val="nil"/>
              <w:left w:val="single" w:sz="8" w:space="0" w:color="A6A6A6"/>
              <w:bottom w:val="single" w:sz="8" w:space="0" w:color="A6A6A6"/>
              <w:right w:val="single" w:sz="8" w:space="0" w:color="A6A6A6"/>
            </w:tcBorders>
            <w:shd w:val="clear" w:color="000000" w:fill="FFFFFF"/>
            <w:noWrap/>
            <w:vAlign w:val="center"/>
            <w:hideMark/>
          </w:tcPr>
          <w:p w14:paraId="070006E6" w14:textId="77777777" w:rsidR="003737D2" w:rsidRPr="003737D2" w:rsidRDefault="003737D2" w:rsidP="003737D2">
            <w:pPr>
              <w:spacing w:after="0" w:line="240" w:lineRule="auto"/>
              <w:rPr>
                <w:rFonts w:eastAsia="Times New Roman" w:cs="Calibri"/>
                <w:color w:val="000000"/>
              </w:rPr>
            </w:pPr>
            <w:r w:rsidRPr="003737D2">
              <w:rPr>
                <w:rFonts w:eastAsia="Times New Roman" w:cs="Calibri"/>
                <w:color w:val="000000"/>
              </w:rPr>
              <w:t>COMUNE DI CHIVASSO</w:t>
            </w:r>
          </w:p>
        </w:tc>
        <w:tc>
          <w:tcPr>
            <w:tcW w:w="1480" w:type="dxa"/>
            <w:tcBorders>
              <w:top w:val="nil"/>
              <w:left w:val="nil"/>
              <w:bottom w:val="single" w:sz="8" w:space="0" w:color="A6A6A6"/>
              <w:right w:val="single" w:sz="8" w:space="0" w:color="A6A6A6"/>
            </w:tcBorders>
            <w:noWrap/>
            <w:vAlign w:val="center"/>
            <w:hideMark/>
          </w:tcPr>
          <w:p w14:paraId="2715579C" w14:textId="77777777" w:rsidR="003737D2" w:rsidRPr="003737D2" w:rsidRDefault="003737D2" w:rsidP="003737D2">
            <w:pPr>
              <w:spacing w:after="0" w:line="240" w:lineRule="auto"/>
              <w:jc w:val="right"/>
              <w:rPr>
                <w:rFonts w:eastAsia="Times New Roman" w:cs="Calibri"/>
                <w:color w:val="000000"/>
              </w:rPr>
            </w:pPr>
            <w:r w:rsidRPr="003737D2">
              <w:rPr>
                <w:rFonts w:eastAsia="Times New Roman" w:cs="Calibri"/>
                <w:color w:val="000000"/>
              </w:rPr>
              <w:t> </w:t>
            </w:r>
          </w:p>
        </w:tc>
        <w:tc>
          <w:tcPr>
            <w:tcW w:w="1120" w:type="dxa"/>
            <w:tcBorders>
              <w:top w:val="nil"/>
              <w:left w:val="nil"/>
              <w:bottom w:val="single" w:sz="8" w:space="0" w:color="A6A6A6"/>
              <w:right w:val="single" w:sz="8" w:space="0" w:color="A6A6A6"/>
            </w:tcBorders>
            <w:noWrap/>
            <w:vAlign w:val="center"/>
            <w:hideMark/>
          </w:tcPr>
          <w:p w14:paraId="78CEBC08" w14:textId="77777777" w:rsidR="003737D2" w:rsidRPr="003737D2" w:rsidRDefault="003737D2" w:rsidP="003737D2">
            <w:pPr>
              <w:spacing w:after="0" w:line="240" w:lineRule="auto"/>
              <w:jc w:val="right"/>
              <w:rPr>
                <w:rFonts w:eastAsia="Times New Roman" w:cs="Calibri"/>
                <w:color w:val="000000"/>
              </w:rPr>
            </w:pPr>
            <w:r w:rsidRPr="003737D2">
              <w:rPr>
                <w:rFonts w:eastAsia="Times New Roman" w:cs="Calibri"/>
                <w:color w:val="000000"/>
              </w:rPr>
              <w:t>31.325</w:t>
            </w:r>
          </w:p>
        </w:tc>
        <w:tc>
          <w:tcPr>
            <w:tcW w:w="1240" w:type="dxa"/>
            <w:tcBorders>
              <w:top w:val="nil"/>
              <w:left w:val="nil"/>
              <w:bottom w:val="single" w:sz="8" w:space="0" w:color="A6A6A6"/>
              <w:right w:val="single" w:sz="8" w:space="0" w:color="A6A6A6"/>
            </w:tcBorders>
            <w:noWrap/>
            <w:vAlign w:val="center"/>
            <w:hideMark/>
          </w:tcPr>
          <w:p w14:paraId="2E10803C" w14:textId="77777777" w:rsidR="003737D2" w:rsidRPr="003737D2" w:rsidRDefault="003737D2" w:rsidP="003737D2">
            <w:pPr>
              <w:spacing w:after="0" w:line="240" w:lineRule="auto"/>
              <w:jc w:val="right"/>
              <w:rPr>
                <w:rFonts w:eastAsia="Times New Roman" w:cs="Calibri"/>
                <w:color w:val="000000"/>
              </w:rPr>
            </w:pPr>
            <w:r w:rsidRPr="003737D2">
              <w:rPr>
                <w:rFonts w:eastAsia="Times New Roman" w:cs="Calibri"/>
                <w:color w:val="000000"/>
              </w:rPr>
              <w:t>31.325</w:t>
            </w:r>
          </w:p>
        </w:tc>
      </w:tr>
      <w:tr w:rsidR="003737D2" w:rsidRPr="003737D2" w14:paraId="3345FA1C" w14:textId="77777777" w:rsidTr="0087783A">
        <w:trPr>
          <w:trHeight w:val="315"/>
          <w:jc w:val="center"/>
        </w:trPr>
        <w:tc>
          <w:tcPr>
            <w:tcW w:w="4980" w:type="dxa"/>
            <w:tcBorders>
              <w:top w:val="nil"/>
              <w:left w:val="single" w:sz="8" w:space="0" w:color="A6A6A6"/>
              <w:bottom w:val="single" w:sz="8" w:space="0" w:color="A6A6A6"/>
              <w:right w:val="single" w:sz="8" w:space="0" w:color="A6A6A6"/>
            </w:tcBorders>
            <w:shd w:val="clear" w:color="000000" w:fill="FFFFFF"/>
            <w:noWrap/>
            <w:vAlign w:val="center"/>
            <w:hideMark/>
          </w:tcPr>
          <w:p w14:paraId="06A9F9F7" w14:textId="77777777" w:rsidR="003737D2" w:rsidRPr="003737D2" w:rsidRDefault="003737D2" w:rsidP="003737D2">
            <w:pPr>
              <w:spacing w:after="0" w:line="240" w:lineRule="auto"/>
              <w:rPr>
                <w:rFonts w:eastAsia="Times New Roman" w:cs="Calibri"/>
                <w:color w:val="000000"/>
              </w:rPr>
            </w:pPr>
            <w:r w:rsidRPr="003737D2">
              <w:rPr>
                <w:rFonts w:eastAsia="Times New Roman" w:cs="Calibri"/>
                <w:color w:val="000000"/>
              </w:rPr>
              <w:t>COMUNE DI MONASTERO LANZO</w:t>
            </w:r>
          </w:p>
        </w:tc>
        <w:tc>
          <w:tcPr>
            <w:tcW w:w="1480" w:type="dxa"/>
            <w:tcBorders>
              <w:top w:val="nil"/>
              <w:left w:val="nil"/>
              <w:bottom w:val="single" w:sz="8" w:space="0" w:color="A6A6A6"/>
              <w:right w:val="single" w:sz="8" w:space="0" w:color="A6A6A6"/>
            </w:tcBorders>
            <w:noWrap/>
            <w:vAlign w:val="center"/>
            <w:hideMark/>
          </w:tcPr>
          <w:p w14:paraId="41E71DF8" w14:textId="77777777" w:rsidR="003737D2" w:rsidRPr="003737D2" w:rsidRDefault="003737D2" w:rsidP="003737D2">
            <w:pPr>
              <w:spacing w:after="0" w:line="240" w:lineRule="auto"/>
              <w:jc w:val="right"/>
              <w:rPr>
                <w:rFonts w:eastAsia="Times New Roman" w:cs="Calibri"/>
                <w:color w:val="000000"/>
              </w:rPr>
            </w:pPr>
            <w:r w:rsidRPr="003737D2">
              <w:rPr>
                <w:rFonts w:eastAsia="Times New Roman" w:cs="Calibri"/>
                <w:color w:val="000000"/>
              </w:rPr>
              <w:t>27.157</w:t>
            </w:r>
          </w:p>
        </w:tc>
        <w:tc>
          <w:tcPr>
            <w:tcW w:w="1120" w:type="dxa"/>
            <w:tcBorders>
              <w:top w:val="nil"/>
              <w:left w:val="nil"/>
              <w:bottom w:val="single" w:sz="8" w:space="0" w:color="A6A6A6"/>
              <w:right w:val="single" w:sz="8" w:space="0" w:color="A6A6A6"/>
            </w:tcBorders>
            <w:noWrap/>
            <w:vAlign w:val="center"/>
            <w:hideMark/>
          </w:tcPr>
          <w:p w14:paraId="5A75977F" w14:textId="77777777" w:rsidR="003737D2" w:rsidRPr="003737D2" w:rsidRDefault="003737D2" w:rsidP="003737D2">
            <w:pPr>
              <w:spacing w:after="0" w:line="240" w:lineRule="auto"/>
              <w:jc w:val="right"/>
              <w:rPr>
                <w:rFonts w:eastAsia="Times New Roman" w:cs="Calibri"/>
                <w:color w:val="000000"/>
              </w:rPr>
            </w:pPr>
            <w:r w:rsidRPr="003737D2">
              <w:rPr>
                <w:rFonts w:eastAsia="Times New Roman" w:cs="Calibri"/>
                <w:color w:val="000000"/>
              </w:rPr>
              <w:t> </w:t>
            </w:r>
          </w:p>
        </w:tc>
        <w:tc>
          <w:tcPr>
            <w:tcW w:w="1240" w:type="dxa"/>
            <w:tcBorders>
              <w:top w:val="nil"/>
              <w:left w:val="nil"/>
              <w:bottom w:val="single" w:sz="8" w:space="0" w:color="A6A6A6"/>
              <w:right w:val="single" w:sz="8" w:space="0" w:color="A6A6A6"/>
            </w:tcBorders>
            <w:noWrap/>
            <w:vAlign w:val="center"/>
            <w:hideMark/>
          </w:tcPr>
          <w:p w14:paraId="6C41CC42" w14:textId="77777777" w:rsidR="003737D2" w:rsidRPr="003737D2" w:rsidRDefault="003737D2" w:rsidP="003737D2">
            <w:pPr>
              <w:spacing w:after="0" w:line="240" w:lineRule="auto"/>
              <w:jc w:val="right"/>
              <w:rPr>
                <w:rFonts w:eastAsia="Times New Roman" w:cs="Calibri"/>
                <w:color w:val="000000"/>
              </w:rPr>
            </w:pPr>
            <w:r w:rsidRPr="003737D2">
              <w:rPr>
                <w:rFonts w:eastAsia="Times New Roman" w:cs="Calibri"/>
                <w:color w:val="000000"/>
              </w:rPr>
              <w:t>27.157</w:t>
            </w:r>
          </w:p>
        </w:tc>
      </w:tr>
      <w:tr w:rsidR="003737D2" w:rsidRPr="003737D2" w14:paraId="2F766AE8" w14:textId="77777777" w:rsidTr="0087783A">
        <w:trPr>
          <w:trHeight w:val="315"/>
          <w:jc w:val="center"/>
        </w:trPr>
        <w:tc>
          <w:tcPr>
            <w:tcW w:w="4980" w:type="dxa"/>
            <w:tcBorders>
              <w:top w:val="nil"/>
              <w:left w:val="single" w:sz="8" w:space="0" w:color="A6A6A6"/>
              <w:bottom w:val="single" w:sz="8" w:space="0" w:color="A6A6A6"/>
              <w:right w:val="single" w:sz="8" w:space="0" w:color="A6A6A6"/>
            </w:tcBorders>
            <w:shd w:val="clear" w:color="000000" w:fill="FFFFFF"/>
            <w:noWrap/>
            <w:vAlign w:val="center"/>
            <w:hideMark/>
          </w:tcPr>
          <w:p w14:paraId="1E98E103" w14:textId="77777777" w:rsidR="003737D2" w:rsidRPr="003737D2" w:rsidRDefault="003737D2" w:rsidP="003737D2">
            <w:pPr>
              <w:spacing w:after="0" w:line="240" w:lineRule="auto"/>
              <w:rPr>
                <w:rFonts w:eastAsia="Times New Roman" w:cs="Calibri"/>
                <w:color w:val="000000"/>
              </w:rPr>
            </w:pPr>
            <w:r w:rsidRPr="003737D2">
              <w:rPr>
                <w:rFonts w:eastAsia="Times New Roman" w:cs="Calibri"/>
                <w:color w:val="000000"/>
              </w:rPr>
              <w:t>DE MARCHI SRL</w:t>
            </w:r>
          </w:p>
        </w:tc>
        <w:tc>
          <w:tcPr>
            <w:tcW w:w="1480" w:type="dxa"/>
            <w:tcBorders>
              <w:top w:val="nil"/>
              <w:left w:val="nil"/>
              <w:bottom w:val="single" w:sz="8" w:space="0" w:color="A6A6A6"/>
              <w:right w:val="single" w:sz="8" w:space="0" w:color="A6A6A6"/>
            </w:tcBorders>
            <w:noWrap/>
            <w:vAlign w:val="center"/>
            <w:hideMark/>
          </w:tcPr>
          <w:p w14:paraId="69FCE596" w14:textId="77777777" w:rsidR="003737D2" w:rsidRPr="003737D2" w:rsidRDefault="003737D2" w:rsidP="003737D2">
            <w:pPr>
              <w:spacing w:after="0" w:line="240" w:lineRule="auto"/>
              <w:jc w:val="right"/>
              <w:rPr>
                <w:rFonts w:eastAsia="Times New Roman" w:cs="Calibri"/>
                <w:color w:val="000000"/>
              </w:rPr>
            </w:pPr>
            <w:r w:rsidRPr="003737D2">
              <w:rPr>
                <w:rFonts w:eastAsia="Times New Roman" w:cs="Calibri"/>
                <w:color w:val="000000"/>
              </w:rPr>
              <w:t>20.094</w:t>
            </w:r>
          </w:p>
        </w:tc>
        <w:tc>
          <w:tcPr>
            <w:tcW w:w="1120" w:type="dxa"/>
            <w:tcBorders>
              <w:top w:val="nil"/>
              <w:left w:val="nil"/>
              <w:bottom w:val="single" w:sz="8" w:space="0" w:color="A6A6A6"/>
              <w:right w:val="single" w:sz="8" w:space="0" w:color="A6A6A6"/>
            </w:tcBorders>
            <w:noWrap/>
            <w:vAlign w:val="center"/>
            <w:hideMark/>
          </w:tcPr>
          <w:p w14:paraId="26009FDC" w14:textId="77777777" w:rsidR="003737D2" w:rsidRPr="003737D2" w:rsidRDefault="003737D2" w:rsidP="003737D2">
            <w:pPr>
              <w:spacing w:after="0" w:line="240" w:lineRule="auto"/>
              <w:jc w:val="right"/>
              <w:rPr>
                <w:rFonts w:eastAsia="Times New Roman" w:cs="Calibri"/>
                <w:color w:val="000000"/>
              </w:rPr>
            </w:pPr>
            <w:r w:rsidRPr="003737D2">
              <w:rPr>
                <w:rFonts w:eastAsia="Times New Roman" w:cs="Calibri"/>
                <w:color w:val="000000"/>
              </w:rPr>
              <w:t> </w:t>
            </w:r>
          </w:p>
        </w:tc>
        <w:tc>
          <w:tcPr>
            <w:tcW w:w="1240" w:type="dxa"/>
            <w:tcBorders>
              <w:top w:val="nil"/>
              <w:left w:val="nil"/>
              <w:bottom w:val="single" w:sz="8" w:space="0" w:color="A6A6A6"/>
              <w:right w:val="single" w:sz="8" w:space="0" w:color="A6A6A6"/>
            </w:tcBorders>
            <w:noWrap/>
            <w:vAlign w:val="center"/>
            <w:hideMark/>
          </w:tcPr>
          <w:p w14:paraId="010171C6" w14:textId="77777777" w:rsidR="003737D2" w:rsidRPr="003737D2" w:rsidRDefault="003737D2" w:rsidP="003737D2">
            <w:pPr>
              <w:spacing w:after="0" w:line="240" w:lineRule="auto"/>
              <w:jc w:val="right"/>
              <w:rPr>
                <w:rFonts w:eastAsia="Times New Roman" w:cs="Calibri"/>
                <w:color w:val="000000"/>
              </w:rPr>
            </w:pPr>
            <w:r w:rsidRPr="003737D2">
              <w:rPr>
                <w:rFonts w:eastAsia="Times New Roman" w:cs="Calibri"/>
                <w:color w:val="000000"/>
              </w:rPr>
              <w:t>20.094</w:t>
            </w:r>
          </w:p>
        </w:tc>
      </w:tr>
      <w:tr w:rsidR="003737D2" w:rsidRPr="003737D2" w14:paraId="13F92D1F" w14:textId="77777777" w:rsidTr="0087783A">
        <w:trPr>
          <w:trHeight w:val="315"/>
          <w:jc w:val="center"/>
        </w:trPr>
        <w:tc>
          <w:tcPr>
            <w:tcW w:w="4980" w:type="dxa"/>
            <w:tcBorders>
              <w:top w:val="nil"/>
              <w:left w:val="single" w:sz="8" w:space="0" w:color="A6A6A6"/>
              <w:bottom w:val="single" w:sz="8" w:space="0" w:color="A6A6A6"/>
              <w:right w:val="single" w:sz="8" w:space="0" w:color="A6A6A6"/>
            </w:tcBorders>
            <w:shd w:val="clear" w:color="000000" w:fill="FFFFFF"/>
            <w:noWrap/>
            <w:vAlign w:val="center"/>
            <w:hideMark/>
          </w:tcPr>
          <w:p w14:paraId="6CF0260A" w14:textId="77777777" w:rsidR="003737D2" w:rsidRPr="003737D2" w:rsidRDefault="003737D2" w:rsidP="003737D2">
            <w:pPr>
              <w:spacing w:after="0" w:line="240" w:lineRule="auto"/>
              <w:rPr>
                <w:rFonts w:eastAsia="Times New Roman" w:cs="Calibri"/>
                <w:color w:val="000000"/>
              </w:rPr>
            </w:pPr>
            <w:r w:rsidRPr="003737D2">
              <w:rPr>
                <w:rFonts w:eastAsia="Times New Roman" w:cs="Calibri"/>
                <w:color w:val="000000"/>
              </w:rPr>
              <w:t>DOSSETTO BUS SNC</w:t>
            </w:r>
          </w:p>
        </w:tc>
        <w:tc>
          <w:tcPr>
            <w:tcW w:w="1480" w:type="dxa"/>
            <w:tcBorders>
              <w:top w:val="nil"/>
              <w:left w:val="nil"/>
              <w:bottom w:val="single" w:sz="8" w:space="0" w:color="A6A6A6"/>
              <w:right w:val="single" w:sz="8" w:space="0" w:color="A6A6A6"/>
            </w:tcBorders>
            <w:noWrap/>
            <w:vAlign w:val="center"/>
            <w:hideMark/>
          </w:tcPr>
          <w:p w14:paraId="53F03838" w14:textId="77777777" w:rsidR="003737D2" w:rsidRPr="003737D2" w:rsidRDefault="003737D2" w:rsidP="003737D2">
            <w:pPr>
              <w:spacing w:after="0" w:line="240" w:lineRule="auto"/>
              <w:jc w:val="right"/>
              <w:rPr>
                <w:rFonts w:eastAsia="Times New Roman" w:cs="Calibri"/>
                <w:color w:val="000000"/>
              </w:rPr>
            </w:pPr>
            <w:r w:rsidRPr="003737D2">
              <w:rPr>
                <w:rFonts w:eastAsia="Times New Roman" w:cs="Calibri"/>
                <w:color w:val="000000"/>
              </w:rPr>
              <w:t>27.371</w:t>
            </w:r>
          </w:p>
        </w:tc>
        <w:tc>
          <w:tcPr>
            <w:tcW w:w="1120" w:type="dxa"/>
            <w:tcBorders>
              <w:top w:val="nil"/>
              <w:left w:val="nil"/>
              <w:bottom w:val="single" w:sz="8" w:space="0" w:color="A6A6A6"/>
              <w:right w:val="single" w:sz="8" w:space="0" w:color="A6A6A6"/>
            </w:tcBorders>
            <w:noWrap/>
            <w:vAlign w:val="center"/>
            <w:hideMark/>
          </w:tcPr>
          <w:p w14:paraId="41A991D6" w14:textId="77777777" w:rsidR="003737D2" w:rsidRPr="003737D2" w:rsidRDefault="003737D2" w:rsidP="003737D2">
            <w:pPr>
              <w:spacing w:after="0" w:line="240" w:lineRule="auto"/>
              <w:jc w:val="right"/>
              <w:rPr>
                <w:rFonts w:eastAsia="Times New Roman" w:cs="Calibri"/>
                <w:color w:val="000000"/>
              </w:rPr>
            </w:pPr>
            <w:r w:rsidRPr="003737D2">
              <w:rPr>
                <w:rFonts w:eastAsia="Times New Roman" w:cs="Calibri"/>
                <w:color w:val="000000"/>
              </w:rPr>
              <w:t> </w:t>
            </w:r>
          </w:p>
        </w:tc>
        <w:tc>
          <w:tcPr>
            <w:tcW w:w="1240" w:type="dxa"/>
            <w:tcBorders>
              <w:top w:val="nil"/>
              <w:left w:val="nil"/>
              <w:bottom w:val="single" w:sz="8" w:space="0" w:color="A6A6A6"/>
              <w:right w:val="single" w:sz="8" w:space="0" w:color="A6A6A6"/>
            </w:tcBorders>
            <w:noWrap/>
            <w:vAlign w:val="center"/>
            <w:hideMark/>
          </w:tcPr>
          <w:p w14:paraId="214CA240" w14:textId="77777777" w:rsidR="003737D2" w:rsidRPr="003737D2" w:rsidRDefault="003737D2" w:rsidP="003737D2">
            <w:pPr>
              <w:spacing w:after="0" w:line="240" w:lineRule="auto"/>
              <w:jc w:val="right"/>
              <w:rPr>
                <w:rFonts w:eastAsia="Times New Roman" w:cs="Calibri"/>
                <w:color w:val="000000"/>
              </w:rPr>
            </w:pPr>
            <w:r w:rsidRPr="003737D2">
              <w:rPr>
                <w:rFonts w:eastAsia="Times New Roman" w:cs="Calibri"/>
                <w:color w:val="000000"/>
              </w:rPr>
              <w:t>27.371</w:t>
            </w:r>
          </w:p>
        </w:tc>
      </w:tr>
      <w:tr w:rsidR="003737D2" w:rsidRPr="003737D2" w14:paraId="2F24D2B9" w14:textId="77777777" w:rsidTr="0087783A">
        <w:trPr>
          <w:trHeight w:val="315"/>
          <w:jc w:val="center"/>
        </w:trPr>
        <w:tc>
          <w:tcPr>
            <w:tcW w:w="4980" w:type="dxa"/>
            <w:tcBorders>
              <w:top w:val="nil"/>
              <w:left w:val="single" w:sz="8" w:space="0" w:color="A6A6A6"/>
              <w:bottom w:val="single" w:sz="8" w:space="0" w:color="A6A6A6"/>
              <w:right w:val="single" w:sz="8" w:space="0" w:color="A6A6A6"/>
            </w:tcBorders>
            <w:shd w:val="clear" w:color="000000" w:fill="FFFFFF"/>
            <w:noWrap/>
            <w:vAlign w:val="center"/>
            <w:hideMark/>
          </w:tcPr>
          <w:p w14:paraId="5944B6C2" w14:textId="77777777" w:rsidR="003737D2" w:rsidRPr="003737D2" w:rsidRDefault="003737D2" w:rsidP="003737D2">
            <w:pPr>
              <w:spacing w:after="0" w:line="240" w:lineRule="auto"/>
              <w:rPr>
                <w:rFonts w:eastAsia="Times New Roman" w:cs="Calibri"/>
                <w:color w:val="000000"/>
              </w:rPr>
            </w:pPr>
            <w:r w:rsidRPr="003737D2">
              <w:rPr>
                <w:rFonts w:eastAsia="Times New Roman" w:cs="Calibri"/>
                <w:color w:val="000000"/>
              </w:rPr>
              <w:t>GHI.ME SNC</w:t>
            </w:r>
          </w:p>
        </w:tc>
        <w:tc>
          <w:tcPr>
            <w:tcW w:w="1480" w:type="dxa"/>
            <w:tcBorders>
              <w:top w:val="nil"/>
              <w:left w:val="nil"/>
              <w:bottom w:val="single" w:sz="8" w:space="0" w:color="A6A6A6"/>
              <w:right w:val="single" w:sz="8" w:space="0" w:color="A6A6A6"/>
            </w:tcBorders>
            <w:noWrap/>
            <w:vAlign w:val="center"/>
            <w:hideMark/>
          </w:tcPr>
          <w:p w14:paraId="3C2408AB" w14:textId="77777777" w:rsidR="003737D2" w:rsidRPr="003737D2" w:rsidRDefault="003737D2" w:rsidP="003737D2">
            <w:pPr>
              <w:spacing w:after="0" w:line="240" w:lineRule="auto"/>
              <w:jc w:val="right"/>
              <w:rPr>
                <w:rFonts w:eastAsia="Times New Roman" w:cs="Calibri"/>
                <w:color w:val="000000"/>
              </w:rPr>
            </w:pPr>
            <w:r w:rsidRPr="003737D2">
              <w:rPr>
                <w:rFonts w:eastAsia="Times New Roman" w:cs="Calibri"/>
                <w:color w:val="000000"/>
              </w:rPr>
              <w:t>68.445</w:t>
            </w:r>
          </w:p>
        </w:tc>
        <w:tc>
          <w:tcPr>
            <w:tcW w:w="1120" w:type="dxa"/>
            <w:tcBorders>
              <w:top w:val="nil"/>
              <w:left w:val="nil"/>
              <w:bottom w:val="single" w:sz="8" w:space="0" w:color="A6A6A6"/>
              <w:right w:val="single" w:sz="8" w:space="0" w:color="A6A6A6"/>
            </w:tcBorders>
            <w:noWrap/>
            <w:vAlign w:val="center"/>
            <w:hideMark/>
          </w:tcPr>
          <w:p w14:paraId="4D6D59F1" w14:textId="77777777" w:rsidR="003737D2" w:rsidRPr="003737D2" w:rsidRDefault="003737D2" w:rsidP="003737D2">
            <w:pPr>
              <w:spacing w:after="0" w:line="240" w:lineRule="auto"/>
              <w:jc w:val="right"/>
              <w:rPr>
                <w:rFonts w:eastAsia="Times New Roman" w:cs="Calibri"/>
                <w:color w:val="000000"/>
              </w:rPr>
            </w:pPr>
            <w:r w:rsidRPr="003737D2">
              <w:rPr>
                <w:rFonts w:eastAsia="Times New Roman" w:cs="Calibri"/>
                <w:color w:val="000000"/>
              </w:rPr>
              <w:t> </w:t>
            </w:r>
          </w:p>
        </w:tc>
        <w:tc>
          <w:tcPr>
            <w:tcW w:w="1240" w:type="dxa"/>
            <w:tcBorders>
              <w:top w:val="nil"/>
              <w:left w:val="nil"/>
              <w:bottom w:val="single" w:sz="8" w:space="0" w:color="A6A6A6"/>
              <w:right w:val="single" w:sz="8" w:space="0" w:color="A6A6A6"/>
            </w:tcBorders>
            <w:noWrap/>
            <w:vAlign w:val="center"/>
            <w:hideMark/>
          </w:tcPr>
          <w:p w14:paraId="772059E0" w14:textId="77777777" w:rsidR="003737D2" w:rsidRPr="003737D2" w:rsidRDefault="003737D2" w:rsidP="003737D2">
            <w:pPr>
              <w:spacing w:after="0" w:line="240" w:lineRule="auto"/>
              <w:jc w:val="right"/>
              <w:rPr>
                <w:rFonts w:eastAsia="Times New Roman" w:cs="Calibri"/>
                <w:color w:val="000000"/>
              </w:rPr>
            </w:pPr>
            <w:r w:rsidRPr="003737D2">
              <w:rPr>
                <w:rFonts w:eastAsia="Times New Roman" w:cs="Calibri"/>
                <w:color w:val="000000"/>
              </w:rPr>
              <w:t>68.445</w:t>
            </w:r>
          </w:p>
        </w:tc>
      </w:tr>
      <w:tr w:rsidR="003737D2" w:rsidRPr="003737D2" w14:paraId="03D8888E" w14:textId="77777777" w:rsidTr="0087783A">
        <w:trPr>
          <w:trHeight w:val="315"/>
          <w:jc w:val="center"/>
        </w:trPr>
        <w:tc>
          <w:tcPr>
            <w:tcW w:w="4980" w:type="dxa"/>
            <w:tcBorders>
              <w:top w:val="nil"/>
              <w:left w:val="single" w:sz="8" w:space="0" w:color="A6A6A6"/>
              <w:bottom w:val="single" w:sz="8" w:space="0" w:color="A6A6A6"/>
              <w:right w:val="single" w:sz="8" w:space="0" w:color="A6A6A6"/>
            </w:tcBorders>
            <w:shd w:val="clear" w:color="000000" w:fill="FFFFFF"/>
            <w:noWrap/>
            <w:vAlign w:val="center"/>
            <w:hideMark/>
          </w:tcPr>
          <w:p w14:paraId="32B4CFDC" w14:textId="77777777" w:rsidR="003737D2" w:rsidRPr="003737D2" w:rsidRDefault="003737D2" w:rsidP="003737D2">
            <w:pPr>
              <w:spacing w:after="0" w:line="240" w:lineRule="auto"/>
              <w:rPr>
                <w:rFonts w:eastAsia="Times New Roman" w:cs="Calibri"/>
                <w:color w:val="000000"/>
              </w:rPr>
            </w:pPr>
            <w:r w:rsidRPr="003737D2">
              <w:rPr>
                <w:rFonts w:eastAsia="Times New Roman" w:cs="Calibri"/>
                <w:color w:val="000000"/>
              </w:rPr>
              <w:t>GTT SPA</w:t>
            </w:r>
          </w:p>
        </w:tc>
        <w:tc>
          <w:tcPr>
            <w:tcW w:w="1480" w:type="dxa"/>
            <w:tcBorders>
              <w:top w:val="nil"/>
              <w:left w:val="nil"/>
              <w:bottom w:val="single" w:sz="8" w:space="0" w:color="A6A6A6"/>
              <w:right w:val="single" w:sz="8" w:space="0" w:color="A6A6A6"/>
            </w:tcBorders>
            <w:noWrap/>
            <w:vAlign w:val="center"/>
            <w:hideMark/>
          </w:tcPr>
          <w:p w14:paraId="5D96FDCB" w14:textId="77777777" w:rsidR="003737D2" w:rsidRPr="003737D2" w:rsidRDefault="003737D2" w:rsidP="003737D2">
            <w:pPr>
              <w:spacing w:after="0" w:line="240" w:lineRule="auto"/>
              <w:jc w:val="right"/>
              <w:rPr>
                <w:rFonts w:eastAsia="Times New Roman" w:cs="Calibri"/>
                <w:color w:val="000000"/>
              </w:rPr>
            </w:pPr>
            <w:r w:rsidRPr="003737D2">
              <w:rPr>
                <w:rFonts w:eastAsia="Times New Roman" w:cs="Calibri"/>
                <w:color w:val="000000"/>
              </w:rPr>
              <w:t>5.978.664</w:t>
            </w:r>
          </w:p>
        </w:tc>
        <w:tc>
          <w:tcPr>
            <w:tcW w:w="1120" w:type="dxa"/>
            <w:tcBorders>
              <w:top w:val="nil"/>
              <w:left w:val="nil"/>
              <w:bottom w:val="single" w:sz="8" w:space="0" w:color="A6A6A6"/>
              <w:right w:val="single" w:sz="8" w:space="0" w:color="A6A6A6"/>
            </w:tcBorders>
            <w:noWrap/>
            <w:vAlign w:val="center"/>
            <w:hideMark/>
          </w:tcPr>
          <w:p w14:paraId="04932A8B" w14:textId="77777777" w:rsidR="003737D2" w:rsidRPr="003737D2" w:rsidRDefault="003737D2" w:rsidP="003737D2">
            <w:pPr>
              <w:spacing w:after="0" w:line="240" w:lineRule="auto"/>
              <w:jc w:val="right"/>
              <w:rPr>
                <w:rFonts w:eastAsia="Times New Roman" w:cs="Calibri"/>
                <w:color w:val="000000"/>
              </w:rPr>
            </w:pPr>
            <w:r w:rsidRPr="003737D2">
              <w:rPr>
                <w:rFonts w:eastAsia="Times New Roman" w:cs="Calibri"/>
                <w:color w:val="000000"/>
              </w:rPr>
              <w:t>977.967</w:t>
            </w:r>
          </w:p>
        </w:tc>
        <w:tc>
          <w:tcPr>
            <w:tcW w:w="1240" w:type="dxa"/>
            <w:tcBorders>
              <w:top w:val="nil"/>
              <w:left w:val="nil"/>
              <w:bottom w:val="single" w:sz="8" w:space="0" w:color="A6A6A6"/>
              <w:right w:val="single" w:sz="8" w:space="0" w:color="A6A6A6"/>
            </w:tcBorders>
            <w:noWrap/>
            <w:vAlign w:val="center"/>
            <w:hideMark/>
          </w:tcPr>
          <w:p w14:paraId="1CD3C926" w14:textId="77777777" w:rsidR="003737D2" w:rsidRPr="003737D2" w:rsidRDefault="003737D2" w:rsidP="003737D2">
            <w:pPr>
              <w:spacing w:after="0" w:line="240" w:lineRule="auto"/>
              <w:jc w:val="right"/>
              <w:rPr>
                <w:rFonts w:eastAsia="Times New Roman" w:cs="Calibri"/>
                <w:color w:val="000000"/>
              </w:rPr>
            </w:pPr>
            <w:r w:rsidRPr="003737D2">
              <w:rPr>
                <w:rFonts w:eastAsia="Times New Roman" w:cs="Calibri"/>
                <w:color w:val="000000"/>
              </w:rPr>
              <w:t>6.956.631</w:t>
            </w:r>
          </w:p>
        </w:tc>
      </w:tr>
      <w:tr w:rsidR="003737D2" w:rsidRPr="003737D2" w14:paraId="2114CFDD" w14:textId="77777777" w:rsidTr="0087783A">
        <w:trPr>
          <w:trHeight w:val="315"/>
          <w:jc w:val="center"/>
        </w:trPr>
        <w:tc>
          <w:tcPr>
            <w:tcW w:w="4980" w:type="dxa"/>
            <w:tcBorders>
              <w:top w:val="nil"/>
              <w:left w:val="single" w:sz="8" w:space="0" w:color="A6A6A6"/>
              <w:bottom w:val="single" w:sz="8" w:space="0" w:color="A6A6A6"/>
              <w:right w:val="single" w:sz="8" w:space="0" w:color="A6A6A6"/>
            </w:tcBorders>
            <w:shd w:val="clear" w:color="000000" w:fill="FFFFFF"/>
            <w:noWrap/>
            <w:vAlign w:val="center"/>
            <w:hideMark/>
          </w:tcPr>
          <w:p w14:paraId="24FB6995" w14:textId="77777777" w:rsidR="003737D2" w:rsidRPr="003737D2" w:rsidRDefault="003737D2" w:rsidP="003737D2">
            <w:pPr>
              <w:spacing w:after="0" w:line="240" w:lineRule="auto"/>
              <w:rPr>
                <w:rFonts w:eastAsia="Times New Roman" w:cs="Calibri"/>
                <w:color w:val="000000"/>
              </w:rPr>
            </w:pPr>
            <w:r w:rsidRPr="003737D2">
              <w:rPr>
                <w:rFonts w:eastAsia="Times New Roman" w:cs="Calibri"/>
                <w:color w:val="000000"/>
              </w:rPr>
              <w:t>MARLETTI AUTOLINEE SRL</w:t>
            </w:r>
          </w:p>
        </w:tc>
        <w:tc>
          <w:tcPr>
            <w:tcW w:w="1480" w:type="dxa"/>
            <w:tcBorders>
              <w:top w:val="nil"/>
              <w:left w:val="nil"/>
              <w:bottom w:val="single" w:sz="8" w:space="0" w:color="A6A6A6"/>
              <w:right w:val="single" w:sz="8" w:space="0" w:color="A6A6A6"/>
            </w:tcBorders>
            <w:noWrap/>
            <w:vAlign w:val="center"/>
            <w:hideMark/>
          </w:tcPr>
          <w:p w14:paraId="5C0E433B" w14:textId="77777777" w:rsidR="003737D2" w:rsidRPr="003737D2" w:rsidRDefault="003737D2" w:rsidP="003737D2">
            <w:pPr>
              <w:spacing w:after="0" w:line="240" w:lineRule="auto"/>
              <w:jc w:val="right"/>
              <w:rPr>
                <w:rFonts w:eastAsia="Times New Roman" w:cs="Calibri"/>
                <w:color w:val="000000"/>
              </w:rPr>
            </w:pPr>
            <w:r w:rsidRPr="003737D2">
              <w:rPr>
                <w:rFonts w:eastAsia="Times New Roman" w:cs="Calibri"/>
                <w:color w:val="000000"/>
              </w:rPr>
              <w:t>219.670</w:t>
            </w:r>
          </w:p>
        </w:tc>
        <w:tc>
          <w:tcPr>
            <w:tcW w:w="1120" w:type="dxa"/>
            <w:tcBorders>
              <w:top w:val="nil"/>
              <w:left w:val="nil"/>
              <w:bottom w:val="single" w:sz="8" w:space="0" w:color="A6A6A6"/>
              <w:right w:val="single" w:sz="8" w:space="0" w:color="A6A6A6"/>
            </w:tcBorders>
            <w:noWrap/>
            <w:vAlign w:val="center"/>
            <w:hideMark/>
          </w:tcPr>
          <w:p w14:paraId="2A3620ED" w14:textId="77777777" w:rsidR="003737D2" w:rsidRPr="003737D2" w:rsidRDefault="003737D2" w:rsidP="003737D2">
            <w:pPr>
              <w:spacing w:after="0" w:line="240" w:lineRule="auto"/>
              <w:jc w:val="right"/>
              <w:rPr>
                <w:rFonts w:eastAsia="Times New Roman" w:cs="Calibri"/>
                <w:color w:val="000000"/>
              </w:rPr>
            </w:pPr>
            <w:r w:rsidRPr="003737D2">
              <w:rPr>
                <w:rFonts w:eastAsia="Times New Roman" w:cs="Calibri"/>
                <w:color w:val="000000"/>
              </w:rPr>
              <w:t> </w:t>
            </w:r>
          </w:p>
        </w:tc>
        <w:tc>
          <w:tcPr>
            <w:tcW w:w="1240" w:type="dxa"/>
            <w:tcBorders>
              <w:top w:val="nil"/>
              <w:left w:val="nil"/>
              <w:bottom w:val="single" w:sz="8" w:space="0" w:color="A6A6A6"/>
              <w:right w:val="single" w:sz="8" w:space="0" w:color="A6A6A6"/>
            </w:tcBorders>
            <w:noWrap/>
            <w:vAlign w:val="center"/>
            <w:hideMark/>
          </w:tcPr>
          <w:p w14:paraId="7999EC8D" w14:textId="77777777" w:rsidR="003737D2" w:rsidRPr="003737D2" w:rsidRDefault="003737D2" w:rsidP="003737D2">
            <w:pPr>
              <w:spacing w:after="0" w:line="240" w:lineRule="auto"/>
              <w:jc w:val="right"/>
              <w:rPr>
                <w:rFonts w:eastAsia="Times New Roman" w:cs="Calibri"/>
                <w:color w:val="000000"/>
              </w:rPr>
            </w:pPr>
            <w:r w:rsidRPr="003737D2">
              <w:rPr>
                <w:rFonts w:eastAsia="Times New Roman" w:cs="Calibri"/>
                <w:color w:val="000000"/>
              </w:rPr>
              <w:t>219.670</w:t>
            </w:r>
          </w:p>
        </w:tc>
      </w:tr>
      <w:tr w:rsidR="003737D2" w:rsidRPr="003737D2" w14:paraId="5A535F96" w14:textId="77777777" w:rsidTr="0087783A">
        <w:trPr>
          <w:trHeight w:val="315"/>
          <w:jc w:val="center"/>
        </w:trPr>
        <w:tc>
          <w:tcPr>
            <w:tcW w:w="4980" w:type="dxa"/>
            <w:tcBorders>
              <w:top w:val="nil"/>
              <w:left w:val="single" w:sz="8" w:space="0" w:color="A6A6A6"/>
              <w:bottom w:val="single" w:sz="8" w:space="0" w:color="A6A6A6"/>
              <w:right w:val="single" w:sz="8" w:space="0" w:color="A6A6A6"/>
            </w:tcBorders>
            <w:shd w:val="clear" w:color="000000" w:fill="FFFFFF"/>
            <w:noWrap/>
            <w:vAlign w:val="center"/>
            <w:hideMark/>
          </w:tcPr>
          <w:p w14:paraId="367727D4" w14:textId="77777777" w:rsidR="003737D2" w:rsidRPr="003737D2" w:rsidRDefault="003737D2" w:rsidP="003737D2">
            <w:pPr>
              <w:spacing w:after="0" w:line="240" w:lineRule="auto"/>
              <w:rPr>
                <w:rFonts w:eastAsia="Times New Roman" w:cs="Calibri"/>
                <w:color w:val="000000"/>
              </w:rPr>
            </w:pPr>
            <w:r w:rsidRPr="003737D2">
              <w:rPr>
                <w:rFonts w:eastAsia="Times New Roman" w:cs="Calibri"/>
                <w:color w:val="000000"/>
              </w:rPr>
              <w:t>ROSSATTO CLAUDIO</w:t>
            </w:r>
          </w:p>
        </w:tc>
        <w:tc>
          <w:tcPr>
            <w:tcW w:w="1480" w:type="dxa"/>
            <w:tcBorders>
              <w:top w:val="nil"/>
              <w:left w:val="nil"/>
              <w:bottom w:val="single" w:sz="8" w:space="0" w:color="A6A6A6"/>
              <w:right w:val="single" w:sz="8" w:space="0" w:color="A6A6A6"/>
            </w:tcBorders>
            <w:noWrap/>
            <w:vAlign w:val="center"/>
            <w:hideMark/>
          </w:tcPr>
          <w:p w14:paraId="143FC1FD" w14:textId="77777777" w:rsidR="003737D2" w:rsidRPr="003737D2" w:rsidRDefault="003737D2" w:rsidP="003737D2">
            <w:pPr>
              <w:spacing w:after="0" w:line="240" w:lineRule="auto"/>
              <w:jc w:val="right"/>
              <w:rPr>
                <w:rFonts w:eastAsia="Times New Roman" w:cs="Calibri"/>
                <w:color w:val="000000"/>
              </w:rPr>
            </w:pPr>
            <w:r w:rsidRPr="003737D2">
              <w:rPr>
                <w:rFonts w:eastAsia="Times New Roman" w:cs="Calibri"/>
                <w:color w:val="000000"/>
              </w:rPr>
              <w:t>144.483</w:t>
            </w:r>
          </w:p>
        </w:tc>
        <w:tc>
          <w:tcPr>
            <w:tcW w:w="1120" w:type="dxa"/>
            <w:tcBorders>
              <w:top w:val="nil"/>
              <w:left w:val="nil"/>
              <w:bottom w:val="single" w:sz="8" w:space="0" w:color="A6A6A6"/>
              <w:right w:val="single" w:sz="8" w:space="0" w:color="A6A6A6"/>
            </w:tcBorders>
            <w:noWrap/>
            <w:vAlign w:val="center"/>
            <w:hideMark/>
          </w:tcPr>
          <w:p w14:paraId="6D01D5CF" w14:textId="77777777" w:rsidR="003737D2" w:rsidRPr="003737D2" w:rsidRDefault="003737D2" w:rsidP="003737D2">
            <w:pPr>
              <w:spacing w:after="0" w:line="240" w:lineRule="auto"/>
              <w:jc w:val="right"/>
              <w:rPr>
                <w:rFonts w:eastAsia="Times New Roman" w:cs="Calibri"/>
                <w:color w:val="000000"/>
              </w:rPr>
            </w:pPr>
            <w:r w:rsidRPr="003737D2">
              <w:rPr>
                <w:rFonts w:eastAsia="Times New Roman" w:cs="Calibri"/>
                <w:color w:val="000000"/>
              </w:rPr>
              <w:t> </w:t>
            </w:r>
          </w:p>
        </w:tc>
        <w:tc>
          <w:tcPr>
            <w:tcW w:w="1240" w:type="dxa"/>
            <w:tcBorders>
              <w:top w:val="nil"/>
              <w:left w:val="nil"/>
              <w:bottom w:val="single" w:sz="8" w:space="0" w:color="A6A6A6"/>
              <w:right w:val="single" w:sz="8" w:space="0" w:color="A6A6A6"/>
            </w:tcBorders>
            <w:noWrap/>
            <w:vAlign w:val="center"/>
            <w:hideMark/>
          </w:tcPr>
          <w:p w14:paraId="7A744A4D" w14:textId="77777777" w:rsidR="003737D2" w:rsidRPr="003737D2" w:rsidRDefault="003737D2" w:rsidP="003737D2">
            <w:pPr>
              <w:spacing w:after="0" w:line="240" w:lineRule="auto"/>
              <w:jc w:val="right"/>
              <w:rPr>
                <w:rFonts w:eastAsia="Times New Roman" w:cs="Calibri"/>
                <w:color w:val="000000"/>
              </w:rPr>
            </w:pPr>
            <w:r w:rsidRPr="003737D2">
              <w:rPr>
                <w:rFonts w:eastAsia="Times New Roman" w:cs="Calibri"/>
                <w:color w:val="000000"/>
              </w:rPr>
              <w:t>144.483</w:t>
            </w:r>
          </w:p>
        </w:tc>
      </w:tr>
      <w:tr w:rsidR="003737D2" w:rsidRPr="003737D2" w14:paraId="372315C1" w14:textId="77777777" w:rsidTr="0087783A">
        <w:trPr>
          <w:trHeight w:val="315"/>
          <w:jc w:val="center"/>
        </w:trPr>
        <w:tc>
          <w:tcPr>
            <w:tcW w:w="4980" w:type="dxa"/>
            <w:tcBorders>
              <w:top w:val="nil"/>
              <w:left w:val="single" w:sz="8" w:space="0" w:color="A6A6A6"/>
              <w:bottom w:val="single" w:sz="8" w:space="0" w:color="A6A6A6"/>
              <w:right w:val="single" w:sz="8" w:space="0" w:color="A6A6A6"/>
            </w:tcBorders>
            <w:shd w:val="clear" w:color="000000" w:fill="FFFFFF"/>
            <w:noWrap/>
            <w:vAlign w:val="center"/>
            <w:hideMark/>
          </w:tcPr>
          <w:p w14:paraId="4B86E1D2" w14:textId="77777777" w:rsidR="003737D2" w:rsidRPr="003737D2" w:rsidRDefault="003737D2" w:rsidP="003737D2">
            <w:pPr>
              <w:spacing w:after="0" w:line="240" w:lineRule="auto"/>
              <w:rPr>
                <w:rFonts w:eastAsia="Times New Roman" w:cs="Calibri"/>
                <w:color w:val="000000"/>
              </w:rPr>
            </w:pPr>
            <w:r w:rsidRPr="003737D2">
              <w:rPr>
                <w:rFonts w:eastAsia="Times New Roman" w:cs="Calibri"/>
                <w:color w:val="000000"/>
              </w:rPr>
              <w:t>SEREN SNC</w:t>
            </w:r>
          </w:p>
        </w:tc>
        <w:tc>
          <w:tcPr>
            <w:tcW w:w="1480" w:type="dxa"/>
            <w:tcBorders>
              <w:top w:val="nil"/>
              <w:left w:val="nil"/>
              <w:bottom w:val="single" w:sz="8" w:space="0" w:color="A6A6A6"/>
              <w:right w:val="single" w:sz="8" w:space="0" w:color="A6A6A6"/>
            </w:tcBorders>
            <w:noWrap/>
            <w:vAlign w:val="center"/>
            <w:hideMark/>
          </w:tcPr>
          <w:p w14:paraId="10921773" w14:textId="77777777" w:rsidR="003737D2" w:rsidRPr="003737D2" w:rsidRDefault="003737D2" w:rsidP="003737D2">
            <w:pPr>
              <w:spacing w:after="0" w:line="240" w:lineRule="auto"/>
              <w:jc w:val="right"/>
              <w:rPr>
                <w:rFonts w:eastAsia="Times New Roman" w:cs="Calibri"/>
                <w:color w:val="000000"/>
              </w:rPr>
            </w:pPr>
            <w:r w:rsidRPr="003737D2">
              <w:rPr>
                <w:rFonts w:eastAsia="Times New Roman" w:cs="Calibri"/>
                <w:color w:val="000000"/>
              </w:rPr>
              <w:t>60.388</w:t>
            </w:r>
          </w:p>
        </w:tc>
        <w:tc>
          <w:tcPr>
            <w:tcW w:w="1120" w:type="dxa"/>
            <w:tcBorders>
              <w:top w:val="nil"/>
              <w:left w:val="nil"/>
              <w:bottom w:val="single" w:sz="8" w:space="0" w:color="A6A6A6"/>
              <w:right w:val="single" w:sz="8" w:space="0" w:color="A6A6A6"/>
            </w:tcBorders>
            <w:noWrap/>
            <w:vAlign w:val="center"/>
            <w:hideMark/>
          </w:tcPr>
          <w:p w14:paraId="4F9A484E" w14:textId="77777777" w:rsidR="003737D2" w:rsidRPr="003737D2" w:rsidRDefault="003737D2" w:rsidP="003737D2">
            <w:pPr>
              <w:spacing w:after="0" w:line="240" w:lineRule="auto"/>
              <w:jc w:val="right"/>
              <w:rPr>
                <w:rFonts w:eastAsia="Times New Roman" w:cs="Calibri"/>
                <w:color w:val="000000"/>
              </w:rPr>
            </w:pPr>
            <w:r w:rsidRPr="003737D2">
              <w:rPr>
                <w:rFonts w:eastAsia="Times New Roman" w:cs="Calibri"/>
                <w:color w:val="000000"/>
              </w:rPr>
              <w:t> </w:t>
            </w:r>
          </w:p>
        </w:tc>
        <w:tc>
          <w:tcPr>
            <w:tcW w:w="1240" w:type="dxa"/>
            <w:tcBorders>
              <w:top w:val="nil"/>
              <w:left w:val="nil"/>
              <w:bottom w:val="single" w:sz="8" w:space="0" w:color="A6A6A6"/>
              <w:right w:val="single" w:sz="8" w:space="0" w:color="A6A6A6"/>
            </w:tcBorders>
            <w:noWrap/>
            <w:vAlign w:val="center"/>
            <w:hideMark/>
          </w:tcPr>
          <w:p w14:paraId="6CD4B4A5" w14:textId="77777777" w:rsidR="003737D2" w:rsidRPr="003737D2" w:rsidRDefault="003737D2" w:rsidP="003737D2">
            <w:pPr>
              <w:spacing w:after="0" w:line="240" w:lineRule="auto"/>
              <w:jc w:val="right"/>
              <w:rPr>
                <w:rFonts w:eastAsia="Times New Roman" w:cs="Calibri"/>
                <w:color w:val="000000"/>
              </w:rPr>
            </w:pPr>
            <w:r w:rsidRPr="003737D2">
              <w:rPr>
                <w:rFonts w:eastAsia="Times New Roman" w:cs="Calibri"/>
                <w:color w:val="000000"/>
              </w:rPr>
              <w:t>60.388</w:t>
            </w:r>
          </w:p>
        </w:tc>
      </w:tr>
      <w:tr w:rsidR="003737D2" w:rsidRPr="003737D2" w14:paraId="6F0B9B1B" w14:textId="77777777" w:rsidTr="0087783A">
        <w:trPr>
          <w:trHeight w:val="315"/>
          <w:jc w:val="center"/>
        </w:trPr>
        <w:tc>
          <w:tcPr>
            <w:tcW w:w="4980" w:type="dxa"/>
            <w:tcBorders>
              <w:top w:val="nil"/>
              <w:left w:val="single" w:sz="8" w:space="0" w:color="A6A6A6"/>
              <w:bottom w:val="single" w:sz="8" w:space="0" w:color="A6A6A6"/>
              <w:right w:val="single" w:sz="8" w:space="0" w:color="A6A6A6"/>
            </w:tcBorders>
            <w:shd w:val="clear" w:color="000000" w:fill="FFFFFF"/>
            <w:noWrap/>
            <w:vAlign w:val="center"/>
            <w:hideMark/>
          </w:tcPr>
          <w:p w14:paraId="580651AC" w14:textId="77777777" w:rsidR="003737D2" w:rsidRPr="003737D2" w:rsidRDefault="003737D2" w:rsidP="003737D2">
            <w:pPr>
              <w:spacing w:after="0" w:line="240" w:lineRule="auto"/>
              <w:rPr>
                <w:rFonts w:eastAsia="Times New Roman" w:cs="Calibri"/>
                <w:color w:val="000000"/>
              </w:rPr>
            </w:pPr>
            <w:r w:rsidRPr="003737D2">
              <w:rPr>
                <w:rFonts w:eastAsia="Times New Roman" w:cs="Calibri"/>
                <w:color w:val="000000"/>
              </w:rPr>
              <w:t>S.T.A.A.V. - CALUSO VIAGGI S.r.l.</w:t>
            </w:r>
          </w:p>
        </w:tc>
        <w:tc>
          <w:tcPr>
            <w:tcW w:w="1480" w:type="dxa"/>
            <w:tcBorders>
              <w:top w:val="nil"/>
              <w:left w:val="nil"/>
              <w:bottom w:val="single" w:sz="8" w:space="0" w:color="A6A6A6"/>
              <w:right w:val="single" w:sz="8" w:space="0" w:color="A6A6A6"/>
            </w:tcBorders>
            <w:noWrap/>
            <w:vAlign w:val="center"/>
            <w:hideMark/>
          </w:tcPr>
          <w:p w14:paraId="0578150B" w14:textId="77777777" w:rsidR="003737D2" w:rsidRPr="003737D2" w:rsidRDefault="003737D2" w:rsidP="003737D2">
            <w:pPr>
              <w:spacing w:after="0" w:line="240" w:lineRule="auto"/>
              <w:jc w:val="right"/>
              <w:rPr>
                <w:rFonts w:eastAsia="Times New Roman" w:cs="Calibri"/>
                <w:color w:val="000000"/>
              </w:rPr>
            </w:pPr>
            <w:r w:rsidRPr="003737D2">
              <w:rPr>
                <w:rFonts w:eastAsia="Times New Roman" w:cs="Calibri"/>
                <w:color w:val="000000"/>
              </w:rPr>
              <w:t>334.568</w:t>
            </w:r>
          </w:p>
        </w:tc>
        <w:tc>
          <w:tcPr>
            <w:tcW w:w="1120" w:type="dxa"/>
            <w:tcBorders>
              <w:top w:val="nil"/>
              <w:left w:val="nil"/>
              <w:bottom w:val="single" w:sz="8" w:space="0" w:color="A6A6A6"/>
              <w:right w:val="single" w:sz="8" w:space="0" w:color="A6A6A6"/>
            </w:tcBorders>
            <w:noWrap/>
            <w:vAlign w:val="center"/>
            <w:hideMark/>
          </w:tcPr>
          <w:p w14:paraId="6ACC0D80" w14:textId="77777777" w:rsidR="003737D2" w:rsidRPr="003737D2" w:rsidRDefault="003737D2" w:rsidP="003737D2">
            <w:pPr>
              <w:spacing w:after="0" w:line="240" w:lineRule="auto"/>
              <w:jc w:val="right"/>
              <w:rPr>
                <w:rFonts w:eastAsia="Times New Roman" w:cs="Calibri"/>
                <w:color w:val="000000"/>
              </w:rPr>
            </w:pPr>
            <w:r w:rsidRPr="003737D2">
              <w:rPr>
                <w:rFonts w:eastAsia="Times New Roman" w:cs="Calibri"/>
                <w:color w:val="000000"/>
              </w:rPr>
              <w:t> </w:t>
            </w:r>
          </w:p>
        </w:tc>
        <w:tc>
          <w:tcPr>
            <w:tcW w:w="1240" w:type="dxa"/>
            <w:tcBorders>
              <w:top w:val="nil"/>
              <w:left w:val="nil"/>
              <w:bottom w:val="single" w:sz="8" w:space="0" w:color="A6A6A6"/>
              <w:right w:val="single" w:sz="8" w:space="0" w:color="A6A6A6"/>
            </w:tcBorders>
            <w:noWrap/>
            <w:vAlign w:val="center"/>
            <w:hideMark/>
          </w:tcPr>
          <w:p w14:paraId="312EE4C8" w14:textId="77777777" w:rsidR="003737D2" w:rsidRPr="003737D2" w:rsidRDefault="003737D2" w:rsidP="003737D2">
            <w:pPr>
              <w:spacing w:after="0" w:line="240" w:lineRule="auto"/>
              <w:jc w:val="right"/>
              <w:rPr>
                <w:rFonts w:eastAsia="Times New Roman" w:cs="Calibri"/>
                <w:color w:val="000000"/>
              </w:rPr>
            </w:pPr>
            <w:r w:rsidRPr="003737D2">
              <w:rPr>
                <w:rFonts w:eastAsia="Times New Roman" w:cs="Calibri"/>
                <w:color w:val="000000"/>
              </w:rPr>
              <w:t>334.568</w:t>
            </w:r>
          </w:p>
        </w:tc>
      </w:tr>
      <w:tr w:rsidR="003737D2" w:rsidRPr="003737D2" w14:paraId="2C9D4335" w14:textId="77777777" w:rsidTr="0087783A">
        <w:trPr>
          <w:trHeight w:val="315"/>
          <w:jc w:val="center"/>
        </w:trPr>
        <w:tc>
          <w:tcPr>
            <w:tcW w:w="4980" w:type="dxa"/>
            <w:tcBorders>
              <w:top w:val="nil"/>
              <w:left w:val="single" w:sz="8" w:space="0" w:color="A6A6A6"/>
              <w:bottom w:val="single" w:sz="8" w:space="0" w:color="A6A6A6"/>
              <w:right w:val="single" w:sz="8" w:space="0" w:color="A6A6A6"/>
            </w:tcBorders>
            <w:shd w:val="clear" w:color="000000" w:fill="FFFFFF"/>
            <w:noWrap/>
            <w:vAlign w:val="center"/>
            <w:hideMark/>
          </w:tcPr>
          <w:p w14:paraId="2B4A3B78" w14:textId="77777777" w:rsidR="003737D2" w:rsidRPr="003737D2" w:rsidRDefault="003737D2" w:rsidP="003737D2">
            <w:pPr>
              <w:spacing w:after="0" w:line="240" w:lineRule="auto"/>
              <w:rPr>
                <w:rFonts w:eastAsia="Times New Roman" w:cs="Calibri"/>
                <w:color w:val="000000"/>
              </w:rPr>
            </w:pPr>
            <w:r w:rsidRPr="003737D2">
              <w:rPr>
                <w:rFonts w:eastAsia="Times New Roman" w:cs="Calibri"/>
                <w:color w:val="000000"/>
              </w:rPr>
              <w:t>UNIONE MONTANA VALLI CHISONE E GERMANASCA</w:t>
            </w:r>
          </w:p>
        </w:tc>
        <w:tc>
          <w:tcPr>
            <w:tcW w:w="1480" w:type="dxa"/>
            <w:tcBorders>
              <w:top w:val="nil"/>
              <w:left w:val="nil"/>
              <w:bottom w:val="single" w:sz="8" w:space="0" w:color="A6A6A6"/>
              <w:right w:val="single" w:sz="8" w:space="0" w:color="A6A6A6"/>
            </w:tcBorders>
            <w:noWrap/>
            <w:vAlign w:val="center"/>
            <w:hideMark/>
          </w:tcPr>
          <w:p w14:paraId="59D82A5B" w14:textId="77777777" w:rsidR="003737D2" w:rsidRPr="003737D2" w:rsidRDefault="003737D2" w:rsidP="003737D2">
            <w:pPr>
              <w:spacing w:after="0" w:line="240" w:lineRule="auto"/>
              <w:jc w:val="right"/>
              <w:rPr>
                <w:rFonts w:eastAsia="Times New Roman" w:cs="Calibri"/>
                <w:color w:val="000000"/>
              </w:rPr>
            </w:pPr>
            <w:r w:rsidRPr="003737D2">
              <w:rPr>
                <w:rFonts w:eastAsia="Times New Roman" w:cs="Calibri"/>
                <w:color w:val="000000"/>
              </w:rPr>
              <w:t>7.696</w:t>
            </w:r>
          </w:p>
        </w:tc>
        <w:tc>
          <w:tcPr>
            <w:tcW w:w="1120" w:type="dxa"/>
            <w:tcBorders>
              <w:top w:val="nil"/>
              <w:left w:val="nil"/>
              <w:bottom w:val="single" w:sz="8" w:space="0" w:color="A6A6A6"/>
              <w:right w:val="single" w:sz="8" w:space="0" w:color="A6A6A6"/>
            </w:tcBorders>
            <w:noWrap/>
            <w:vAlign w:val="center"/>
            <w:hideMark/>
          </w:tcPr>
          <w:p w14:paraId="54DDD500" w14:textId="77777777" w:rsidR="003737D2" w:rsidRPr="003737D2" w:rsidRDefault="003737D2" w:rsidP="003737D2">
            <w:pPr>
              <w:spacing w:after="0" w:line="240" w:lineRule="auto"/>
              <w:jc w:val="right"/>
              <w:rPr>
                <w:rFonts w:eastAsia="Times New Roman" w:cs="Calibri"/>
                <w:color w:val="000000"/>
              </w:rPr>
            </w:pPr>
            <w:r w:rsidRPr="003737D2">
              <w:rPr>
                <w:rFonts w:eastAsia="Times New Roman" w:cs="Calibri"/>
                <w:color w:val="000000"/>
              </w:rPr>
              <w:t> </w:t>
            </w:r>
          </w:p>
        </w:tc>
        <w:tc>
          <w:tcPr>
            <w:tcW w:w="1240" w:type="dxa"/>
            <w:tcBorders>
              <w:top w:val="nil"/>
              <w:left w:val="nil"/>
              <w:bottom w:val="single" w:sz="8" w:space="0" w:color="A6A6A6"/>
              <w:right w:val="single" w:sz="8" w:space="0" w:color="A6A6A6"/>
            </w:tcBorders>
            <w:noWrap/>
            <w:vAlign w:val="center"/>
            <w:hideMark/>
          </w:tcPr>
          <w:p w14:paraId="5D414913" w14:textId="77777777" w:rsidR="003737D2" w:rsidRPr="003737D2" w:rsidRDefault="003737D2" w:rsidP="003737D2">
            <w:pPr>
              <w:spacing w:after="0" w:line="240" w:lineRule="auto"/>
              <w:jc w:val="right"/>
              <w:rPr>
                <w:rFonts w:eastAsia="Times New Roman" w:cs="Calibri"/>
                <w:color w:val="000000"/>
              </w:rPr>
            </w:pPr>
            <w:r w:rsidRPr="003737D2">
              <w:rPr>
                <w:rFonts w:eastAsia="Times New Roman" w:cs="Calibri"/>
                <w:color w:val="000000"/>
              </w:rPr>
              <w:t>7.696</w:t>
            </w:r>
          </w:p>
        </w:tc>
      </w:tr>
      <w:tr w:rsidR="003737D2" w:rsidRPr="003737D2" w14:paraId="061A1498" w14:textId="77777777" w:rsidTr="0087783A">
        <w:trPr>
          <w:trHeight w:val="315"/>
          <w:jc w:val="center"/>
        </w:trPr>
        <w:tc>
          <w:tcPr>
            <w:tcW w:w="4980" w:type="dxa"/>
            <w:tcBorders>
              <w:top w:val="nil"/>
              <w:left w:val="single" w:sz="8" w:space="0" w:color="A6A6A6"/>
              <w:bottom w:val="single" w:sz="8" w:space="0" w:color="A6A6A6"/>
              <w:right w:val="single" w:sz="8" w:space="0" w:color="A6A6A6"/>
            </w:tcBorders>
            <w:shd w:val="clear" w:color="000000" w:fill="FFFFFF"/>
            <w:noWrap/>
            <w:vAlign w:val="center"/>
            <w:hideMark/>
          </w:tcPr>
          <w:p w14:paraId="282811E9" w14:textId="77777777" w:rsidR="003737D2" w:rsidRPr="003737D2" w:rsidRDefault="003737D2" w:rsidP="003737D2">
            <w:pPr>
              <w:spacing w:after="0" w:line="240" w:lineRule="auto"/>
              <w:rPr>
                <w:rFonts w:eastAsia="Times New Roman" w:cs="Calibri"/>
                <w:color w:val="000000"/>
              </w:rPr>
            </w:pPr>
            <w:r w:rsidRPr="003737D2">
              <w:rPr>
                <w:rFonts w:eastAsia="Times New Roman" w:cs="Calibri"/>
                <w:color w:val="000000"/>
              </w:rPr>
              <w:t>VIAGGI FURNO S.R.L.</w:t>
            </w:r>
          </w:p>
        </w:tc>
        <w:tc>
          <w:tcPr>
            <w:tcW w:w="1480" w:type="dxa"/>
            <w:tcBorders>
              <w:top w:val="nil"/>
              <w:left w:val="nil"/>
              <w:bottom w:val="single" w:sz="8" w:space="0" w:color="A6A6A6"/>
              <w:right w:val="single" w:sz="8" w:space="0" w:color="A6A6A6"/>
            </w:tcBorders>
            <w:noWrap/>
            <w:vAlign w:val="center"/>
            <w:hideMark/>
          </w:tcPr>
          <w:p w14:paraId="2443E054" w14:textId="77777777" w:rsidR="003737D2" w:rsidRPr="003737D2" w:rsidRDefault="003737D2" w:rsidP="003737D2">
            <w:pPr>
              <w:spacing w:after="0" w:line="240" w:lineRule="auto"/>
              <w:jc w:val="right"/>
              <w:rPr>
                <w:rFonts w:eastAsia="Times New Roman" w:cs="Calibri"/>
                <w:color w:val="000000"/>
              </w:rPr>
            </w:pPr>
            <w:r w:rsidRPr="003737D2">
              <w:rPr>
                <w:rFonts w:eastAsia="Times New Roman" w:cs="Calibri"/>
                <w:color w:val="000000"/>
              </w:rPr>
              <w:t>93.343</w:t>
            </w:r>
          </w:p>
        </w:tc>
        <w:tc>
          <w:tcPr>
            <w:tcW w:w="1120" w:type="dxa"/>
            <w:tcBorders>
              <w:top w:val="nil"/>
              <w:left w:val="nil"/>
              <w:bottom w:val="single" w:sz="8" w:space="0" w:color="A6A6A6"/>
              <w:right w:val="single" w:sz="8" w:space="0" w:color="A6A6A6"/>
            </w:tcBorders>
            <w:noWrap/>
            <w:vAlign w:val="center"/>
            <w:hideMark/>
          </w:tcPr>
          <w:p w14:paraId="5B01B155" w14:textId="77777777" w:rsidR="003737D2" w:rsidRPr="003737D2" w:rsidRDefault="003737D2" w:rsidP="003737D2">
            <w:pPr>
              <w:spacing w:after="0" w:line="240" w:lineRule="auto"/>
              <w:jc w:val="right"/>
              <w:rPr>
                <w:rFonts w:eastAsia="Times New Roman" w:cs="Calibri"/>
                <w:color w:val="000000"/>
              </w:rPr>
            </w:pPr>
            <w:r w:rsidRPr="003737D2">
              <w:rPr>
                <w:rFonts w:eastAsia="Times New Roman" w:cs="Calibri"/>
                <w:color w:val="000000"/>
              </w:rPr>
              <w:t> </w:t>
            </w:r>
          </w:p>
        </w:tc>
        <w:tc>
          <w:tcPr>
            <w:tcW w:w="1240" w:type="dxa"/>
            <w:tcBorders>
              <w:top w:val="nil"/>
              <w:left w:val="nil"/>
              <w:bottom w:val="single" w:sz="8" w:space="0" w:color="A6A6A6"/>
              <w:right w:val="single" w:sz="8" w:space="0" w:color="A6A6A6"/>
            </w:tcBorders>
            <w:noWrap/>
            <w:vAlign w:val="center"/>
            <w:hideMark/>
          </w:tcPr>
          <w:p w14:paraId="6AFCFA45" w14:textId="77777777" w:rsidR="003737D2" w:rsidRPr="003737D2" w:rsidRDefault="003737D2" w:rsidP="003737D2">
            <w:pPr>
              <w:spacing w:after="0" w:line="240" w:lineRule="auto"/>
              <w:jc w:val="right"/>
              <w:rPr>
                <w:rFonts w:eastAsia="Times New Roman" w:cs="Calibri"/>
                <w:color w:val="000000"/>
              </w:rPr>
            </w:pPr>
            <w:r w:rsidRPr="003737D2">
              <w:rPr>
                <w:rFonts w:eastAsia="Times New Roman" w:cs="Calibri"/>
                <w:color w:val="000000"/>
              </w:rPr>
              <w:t>93.343</w:t>
            </w:r>
          </w:p>
        </w:tc>
      </w:tr>
      <w:tr w:rsidR="003737D2" w:rsidRPr="003737D2" w14:paraId="44298B13" w14:textId="77777777" w:rsidTr="0087783A">
        <w:trPr>
          <w:trHeight w:val="315"/>
          <w:jc w:val="center"/>
        </w:trPr>
        <w:tc>
          <w:tcPr>
            <w:tcW w:w="4980" w:type="dxa"/>
            <w:tcBorders>
              <w:top w:val="nil"/>
              <w:left w:val="single" w:sz="8" w:space="0" w:color="A6A6A6"/>
              <w:bottom w:val="single" w:sz="8" w:space="0" w:color="A6A6A6"/>
              <w:right w:val="single" w:sz="8" w:space="0" w:color="A6A6A6"/>
            </w:tcBorders>
            <w:shd w:val="clear" w:color="000000" w:fill="FFFFFF"/>
            <w:noWrap/>
            <w:vAlign w:val="center"/>
            <w:hideMark/>
          </w:tcPr>
          <w:p w14:paraId="3194B182" w14:textId="77777777" w:rsidR="003737D2" w:rsidRPr="003737D2" w:rsidRDefault="003737D2" w:rsidP="003737D2">
            <w:pPr>
              <w:spacing w:after="0" w:line="240" w:lineRule="auto"/>
              <w:rPr>
                <w:rFonts w:eastAsia="Times New Roman" w:cs="Calibri"/>
                <w:color w:val="000000"/>
              </w:rPr>
            </w:pPr>
            <w:r w:rsidRPr="003737D2">
              <w:rPr>
                <w:rFonts w:eastAsia="Times New Roman" w:cs="Calibri"/>
                <w:color w:val="000000"/>
              </w:rPr>
              <w:t>VI.MU. - VIAGGI MUNARO SAS</w:t>
            </w:r>
          </w:p>
        </w:tc>
        <w:tc>
          <w:tcPr>
            <w:tcW w:w="1480" w:type="dxa"/>
            <w:tcBorders>
              <w:top w:val="nil"/>
              <w:left w:val="nil"/>
              <w:bottom w:val="single" w:sz="8" w:space="0" w:color="A6A6A6"/>
              <w:right w:val="single" w:sz="8" w:space="0" w:color="A6A6A6"/>
            </w:tcBorders>
            <w:noWrap/>
            <w:vAlign w:val="center"/>
            <w:hideMark/>
          </w:tcPr>
          <w:p w14:paraId="306A9B19" w14:textId="77777777" w:rsidR="003737D2" w:rsidRPr="003737D2" w:rsidRDefault="003737D2" w:rsidP="003737D2">
            <w:pPr>
              <w:spacing w:after="0" w:line="240" w:lineRule="auto"/>
              <w:jc w:val="right"/>
              <w:rPr>
                <w:rFonts w:eastAsia="Times New Roman" w:cs="Calibri"/>
                <w:color w:val="000000"/>
              </w:rPr>
            </w:pPr>
            <w:r w:rsidRPr="003737D2">
              <w:rPr>
                <w:rFonts w:eastAsia="Times New Roman" w:cs="Calibri"/>
                <w:color w:val="000000"/>
              </w:rPr>
              <w:t>511.974</w:t>
            </w:r>
          </w:p>
        </w:tc>
        <w:tc>
          <w:tcPr>
            <w:tcW w:w="1120" w:type="dxa"/>
            <w:tcBorders>
              <w:top w:val="nil"/>
              <w:left w:val="nil"/>
              <w:bottom w:val="single" w:sz="8" w:space="0" w:color="A6A6A6"/>
              <w:right w:val="single" w:sz="8" w:space="0" w:color="A6A6A6"/>
            </w:tcBorders>
            <w:noWrap/>
            <w:vAlign w:val="center"/>
            <w:hideMark/>
          </w:tcPr>
          <w:p w14:paraId="04CCE3E1" w14:textId="77777777" w:rsidR="003737D2" w:rsidRPr="003737D2" w:rsidRDefault="003737D2" w:rsidP="003737D2">
            <w:pPr>
              <w:spacing w:after="0" w:line="240" w:lineRule="auto"/>
              <w:jc w:val="right"/>
              <w:rPr>
                <w:rFonts w:eastAsia="Times New Roman" w:cs="Calibri"/>
                <w:color w:val="000000"/>
              </w:rPr>
            </w:pPr>
            <w:r w:rsidRPr="003737D2">
              <w:rPr>
                <w:rFonts w:eastAsia="Times New Roman" w:cs="Calibri"/>
                <w:color w:val="000000"/>
              </w:rPr>
              <w:t> </w:t>
            </w:r>
          </w:p>
        </w:tc>
        <w:tc>
          <w:tcPr>
            <w:tcW w:w="1240" w:type="dxa"/>
            <w:tcBorders>
              <w:top w:val="nil"/>
              <w:left w:val="nil"/>
              <w:bottom w:val="single" w:sz="8" w:space="0" w:color="A6A6A6"/>
              <w:right w:val="single" w:sz="8" w:space="0" w:color="A6A6A6"/>
            </w:tcBorders>
            <w:noWrap/>
            <w:vAlign w:val="center"/>
            <w:hideMark/>
          </w:tcPr>
          <w:p w14:paraId="434EE164" w14:textId="77777777" w:rsidR="003737D2" w:rsidRPr="003737D2" w:rsidRDefault="003737D2" w:rsidP="003737D2">
            <w:pPr>
              <w:spacing w:after="0" w:line="240" w:lineRule="auto"/>
              <w:jc w:val="right"/>
              <w:rPr>
                <w:rFonts w:eastAsia="Times New Roman" w:cs="Calibri"/>
                <w:color w:val="000000"/>
              </w:rPr>
            </w:pPr>
            <w:r w:rsidRPr="003737D2">
              <w:rPr>
                <w:rFonts w:eastAsia="Times New Roman" w:cs="Calibri"/>
                <w:color w:val="000000"/>
              </w:rPr>
              <w:t>511.974</w:t>
            </w:r>
          </w:p>
        </w:tc>
      </w:tr>
      <w:tr w:rsidR="003737D2" w:rsidRPr="003737D2" w14:paraId="67028DEA" w14:textId="77777777" w:rsidTr="0087783A">
        <w:trPr>
          <w:trHeight w:val="315"/>
          <w:jc w:val="center"/>
        </w:trPr>
        <w:tc>
          <w:tcPr>
            <w:tcW w:w="4980" w:type="dxa"/>
            <w:tcBorders>
              <w:top w:val="nil"/>
              <w:left w:val="single" w:sz="8" w:space="0" w:color="A6A6A6"/>
              <w:bottom w:val="single" w:sz="8" w:space="0" w:color="A6A6A6"/>
              <w:right w:val="single" w:sz="8" w:space="0" w:color="A6A6A6"/>
            </w:tcBorders>
            <w:shd w:val="clear" w:color="000000" w:fill="FFFFFF"/>
            <w:noWrap/>
            <w:vAlign w:val="center"/>
            <w:hideMark/>
          </w:tcPr>
          <w:p w14:paraId="08C93844" w14:textId="77777777" w:rsidR="003737D2" w:rsidRPr="003737D2" w:rsidRDefault="003737D2" w:rsidP="003737D2">
            <w:pPr>
              <w:spacing w:after="0" w:line="240" w:lineRule="auto"/>
              <w:rPr>
                <w:rFonts w:eastAsia="Times New Roman" w:cs="Calibri"/>
                <w:color w:val="000000"/>
              </w:rPr>
            </w:pPr>
            <w:r w:rsidRPr="003737D2">
              <w:rPr>
                <w:rFonts w:eastAsia="Times New Roman" w:cs="Calibri"/>
                <w:color w:val="000000"/>
              </w:rPr>
              <w:t>V.I.T.A SPA</w:t>
            </w:r>
          </w:p>
        </w:tc>
        <w:tc>
          <w:tcPr>
            <w:tcW w:w="1480" w:type="dxa"/>
            <w:tcBorders>
              <w:top w:val="nil"/>
              <w:left w:val="nil"/>
              <w:bottom w:val="single" w:sz="8" w:space="0" w:color="A6A6A6"/>
              <w:right w:val="single" w:sz="8" w:space="0" w:color="A6A6A6"/>
            </w:tcBorders>
            <w:noWrap/>
            <w:vAlign w:val="center"/>
            <w:hideMark/>
          </w:tcPr>
          <w:p w14:paraId="2A802C72" w14:textId="77777777" w:rsidR="003737D2" w:rsidRPr="003737D2" w:rsidRDefault="003737D2" w:rsidP="003737D2">
            <w:pPr>
              <w:spacing w:after="0" w:line="240" w:lineRule="auto"/>
              <w:jc w:val="right"/>
              <w:rPr>
                <w:rFonts w:eastAsia="Times New Roman" w:cs="Calibri"/>
                <w:color w:val="000000"/>
              </w:rPr>
            </w:pPr>
            <w:r w:rsidRPr="003737D2">
              <w:rPr>
                <w:rFonts w:eastAsia="Times New Roman" w:cs="Calibri"/>
                <w:color w:val="000000"/>
              </w:rPr>
              <w:t>550.164</w:t>
            </w:r>
          </w:p>
        </w:tc>
        <w:tc>
          <w:tcPr>
            <w:tcW w:w="1120" w:type="dxa"/>
            <w:tcBorders>
              <w:top w:val="nil"/>
              <w:left w:val="nil"/>
              <w:bottom w:val="single" w:sz="8" w:space="0" w:color="A6A6A6"/>
              <w:right w:val="single" w:sz="8" w:space="0" w:color="A6A6A6"/>
            </w:tcBorders>
            <w:noWrap/>
            <w:vAlign w:val="center"/>
            <w:hideMark/>
          </w:tcPr>
          <w:p w14:paraId="1235DD8B" w14:textId="77777777" w:rsidR="003737D2" w:rsidRPr="003737D2" w:rsidRDefault="003737D2" w:rsidP="003737D2">
            <w:pPr>
              <w:spacing w:after="0" w:line="240" w:lineRule="auto"/>
              <w:jc w:val="right"/>
              <w:rPr>
                <w:rFonts w:eastAsia="Times New Roman" w:cs="Calibri"/>
                <w:color w:val="000000"/>
              </w:rPr>
            </w:pPr>
            <w:r w:rsidRPr="003737D2">
              <w:rPr>
                <w:rFonts w:eastAsia="Times New Roman" w:cs="Calibri"/>
                <w:color w:val="000000"/>
              </w:rPr>
              <w:t>3.788</w:t>
            </w:r>
          </w:p>
        </w:tc>
        <w:tc>
          <w:tcPr>
            <w:tcW w:w="1240" w:type="dxa"/>
            <w:tcBorders>
              <w:top w:val="nil"/>
              <w:left w:val="nil"/>
              <w:bottom w:val="single" w:sz="8" w:space="0" w:color="A6A6A6"/>
              <w:right w:val="single" w:sz="8" w:space="0" w:color="A6A6A6"/>
            </w:tcBorders>
            <w:noWrap/>
            <w:vAlign w:val="center"/>
            <w:hideMark/>
          </w:tcPr>
          <w:p w14:paraId="3780E5F4" w14:textId="77777777" w:rsidR="003737D2" w:rsidRPr="003737D2" w:rsidRDefault="003737D2" w:rsidP="003737D2">
            <w:pPr>
              <w:spacing w:after="0" w:line="240" w:lineRule="auto"/>
              <w:jc w:val="right"/>
              <w:rPr>
                <w:rFonts w:eastAsia="Times New Roman" w:cs="Calibri"/>
                <w:color w:val="000000"/>
              </w:rPr>
            </w:pPr>
            <w:r w:rsidRPr="003737D2">
              <w:rPr>
                <w:rFonts w:eastAsia="Times New Roman" w:cs="Calibri"/>
                <w:color w:val="000000"/>
              </w:rPr>
              <w:t>553.952</w:t>
            </w:r>
          </w:p>
        </w:tc>
      </w:tr>
      <w:tr w:rsidR="003737D2" w:rsidRPr="003737D2" w14:paraId="5D40EBF5" w14:textId="77777777" w:rsidTr="0087783A">
        <w:trPr>
          <w:trHeight w:val="315"/>
          <w:jc w:val="center"/>
        </w:trPr>
        <w:tc>
          <w:tcPr>
            <w:tcW w:w="4980" w:type="dxa"/>
            <w:tcBorders>
              <w:top w:val="nil"/>
              <w:left w:val="single" w:sz="8" w:space="0" w:color="A6A6A6"/>
              <w:bottom w:val="single" w:sz="8" w:space="0" w:color="A6A6A6"/>
              <w:right w:val="single" w:sz="8" w:space="0" w:color="A6A6A6"/>
            </w:tcBorders>
            <w:shd w:val="clear" w:color="000000" w:fill="FFFFFF"/>
            <w:noWrap/>
            <w:vAlign w:val="center"/>
            <w:hideMark/>
          </w:tcPr>
          <w:p w14:paraId="680B46C3" w14:textId="77777777" w:rsidR="003737D2" w:rsidRPr="003737D2" w:rsidRDefault="003737D2" w:rsidP="003737D2">
            <w:pPr>
              <w:spacing w:after="0" w:line="240" w:lineRule="auto"/>
              <w:rPr>
                <w:rFonts w:eastAsia="Times New Roman" w:cs="Calibri"/>
                <w:color w:val="000000"/>
              </w:rPr>
            </w:pPr>
            <w:r w:rsidRPr="003737D2">
              <w:rPr>
                <w:rFonts w:eastAsia="Times New Roman" w:cs="Calibri"/>
                <w:color w:val="000000"/>
              </w:rPr>
              <w:t>VOTTERO AUTOSERVIZI SRL</w:t>
            </w:r>
          </w:p>
        </w:tc>
        <w:tc>
          <w:tcPr>
            <w:tcW w:w="1480" w:type="dxa"/>
            <w:tcBorders>
              <w:top w:val="nil"/>
              <w:left w:val="nil"/>
              <w:bottom w:val="single" w:sz="8" w:space="0" w:color="A6A6A6"/>
              <w:right w:val="single" w:sz="8" w:space="0" w:color="A6A6A6"/>
            </w:tcBorders>
            <w:noWrap/>
            <w:vAlign w:val="center"/>
            <w:hideMark/>
          </w:tcPr>
          <w:p w14:paraId="13A6913E" w14:textId="77777777" w:rsidR="003737D2" w:rsidRPr="003737D2" w:rsidRDefault="003737D2" w:rsidP="003737D2">
            <w:pPr>
              <w:spacing w:after="0" w:line="240" w:lineRule="auto"/>
              <w:jc w:val="right"/>
              <w:rPr>
                <w:rFonts w:eastAsia="Times New Roman" w:cs="Calibri"/>
                <w:color w:val="000000"/>
              </w:rPr>
            </w:pPr>
            <w:r w:rsidRPr="003737D2">
              <w:rPr>
                <w:rFonts w:eastAsia="Times New Roman" w:cs="Calibri"/>
                <w:color w:val="000000"/>
              </w:rPr>
              <w:t>27.438</w:t>
            </w:r>
          </w:p>
        </w:tc>
        <w:tc>
          <w:tcPr>
            <w:tcW w:w="1120" w:type="dxa"/>
            <w:tcBorders>
              <w:top w:val="nil"/>
              <w:left w:val="nil"/>
              <w:bottom w:val="single" w:sz="8" w:space="0" w:color="A6A6A6"/>
              <w:right w:val="single" w:sz="8" w:space="0" w:color="A6A6A6"/>
            </w:tcBorders>
            <w:noWrap/>
            <w:vAlign w:val="center"/>
            <w:hideMark/>
          </w:tcPr>
          <w:p w14:paraId="781EA84C" w14:textId="77777777" w:rsidR="003737D2" w:rsidRPr="003737D2" w:rsidRDefault="003737D2" w:rsidP="003737D2">
            <w:pPr>
              <w:spacing w:after="0" w:line="240" w:lineRule="auto"/>
              <w:jc w:val="right"/>
              <w:rPr>
                <w:rFonts w:eastAsia="Times New Roman" w:cs="Calibri"/>
                <w:color w:val="000000"/>
              </w:rPr>
            </w:pPr>
            <w:r w:rsidRPr="003737D2">
              <w:rPr>
                <w:rFonts w:eastAsia="Times New Roman" w:cs="Calibri"/>
                <w:color w:val="000000"/>
              </w:rPr>
              <w:t> </w:t>
            </w:r>
          </w:p>
        </w:tc>
        <w:tc>
          <w:tcPr>
            <w:tcW w:w="1240" w:type="dxa"/>
            <w:tcBorders>
              <w:top w:val="nil"/>
              <w:left w:val="nil"/>
              <w:bottom w:val="single" w:sz="8" w:space="0" w:color="A6A6A6"/>
              <w:right w:val="single" w:sz="8" w:space="0" w:color="A6A6A6"/>
            </w:tcBorders>
            <w:noWrap/>
            <w:vAlign w:val="center"/>
            <w:hideMark/>
          </w:tcPr>
          <w:p w14:paraId="4B2B7554" w14:textId="77777777" w:rsidR="003737D2" w:rsidRPr="003737D2" w:rsidRDefault="003737D2" w:rsidP="003737D2">
            <w:pPr>
              <w:spacing w:after="0" w:line="240" w:lineRule="auto"/>
              <w:jc w:val="right"/>
              <w:rPr>
                <w:rFonts w:eastAsia="Times New Roman" w:cs="Calibri"/>
                <w:color w:val="000000"/>
              </w:rPr>
            </w:pPr>
            <w:r w:rsidRPr="003737D2">
              <w:rPr>
                <w:rFonts w:eastAsia="Times New Roman" w:cs="Calibri"/>
                <w:color w:val="000000"/>
              </w:rPr>
              <w:t>27.438</w:t>
            </w:r>
          </w:p>
        </w:tc>
      </w:tr>
      <w:tr w:rsidR="003737D2" w:rsidRPr="003737D2" w14:paraId="2DD168FD" w14:textId="77777777" w:rsidTr="0087783A">
        <w:trPr>
          <w:trHeight w:val="315"/>
          <w:jc w:val="center"/>
        </w:trPr>
        <w:tc>
          <w:tcPr>
            <w:tcW w:w="4980" w:type="dxa"/>
            <w:tcBorders>
              <w:top w:val="nil"/>
              <w:left w:val="single" w:sz="8" w:space="0" w:color="A6A6A6"/>
              <w:bottom w:val="single" w:sz="8" w:space="0" w:color="A6A6A6"/>
              <w:right w:val="single" w:sz="8" w:space="0" w:color="A6A6A6"/>
            </w:tcBorders>
            <w:shd w:val="clear" w:color="000000" w:fill="FFFFFF"/>
            <w:vAlign w:val="center"/>
            <w:hideMark/>
          </w:tcPr>
          <w:p w14:paraId="1EA90B0B" w14:textId="77777777" w:rsidR="003737D2" w:rsidRPr="003737D2" w:rsidRDefault="003737D2" w:rsidP="003737D2">
            <w:pPr>
              <w:spacing w:after="0" w:line="240" w:lineRule="auto"/>
              <w:rPr>
                <w:rFonts w:eastAsia="Times New Roman" w:cs="Calibri"/>
                <w:b/>
                <w:bCs/>
                <w:color w:val="000000"/>
              </w:rPr>
            </w:pPr>
            <w:r w:rsidRPr="003737D2">
              <w:rPr>
                <w:rFonts w:eastAsia="Times New Roman" w:cs="Calibri"/>
                <w:b/>
                <w:bCs/>
                <w:color w:val="000000"/>
              </w:rPr>
              <w:t>Totale</w:t>
            </w:r>
          </w:p>
        </w:tc>
        <w:tc>
          <w:tcPr>
            <w:tcW w:w="1480" w:type="dxa"/>
            <w:tcBorders>
              <w:top w:val="nil"/>
              <w:left w:val="nil"/>
              <w:bottom w:val="single" w:sz="8" w:space="0" w:color="A6A6A6"/>
              <w:right w:val="single" w:sz="8" w:space="0" w:color="A6A6A6"/>
            </w:tcBorders>
            <w:noWrap/>
            <w:vAlign w:val="center"/>
            <w:hideMark/>
          </w:tcPr>
          <w:p w14:paraId="56197432" w14:textId="77777777" w:rsidR="003737D2" w:rsidRPr="003737D2" w:rsidRDefault="003737D2" w:rsidP="003737D2">
            <w:pPr>
              <w:spacing w:after="0" w:line="240" w:lineRule="auto"/>
              <w:jc w:val="right"/>
              <w:rPr>
                <w:rFonts w:eastAsia="Times New Roman" w:cs="Calibri"/>
                <w:b/>
                <w:bCs/>
                <w:color w:val="000000"/>
              </w:rPr>
            </w:pPr>
            <w:r w:rsidRPr="003737D2">
              <w:rPr>
                <w:rFonts w:eastAsia="Times New Roman" w:cs="Calibri"/>
                <w:b/>
                <w:bCs/>
                <w:color w:val="000000"/>
              </w:rPr>
              <w:t>21.540.071</w:t>
            </w:r>
          </w:p>
        </w:tc>
        <w:tc>
          <w:tcPr>
            <w:tcW w:w="1120" w:type="dxa"/>
            <w:tcBorders>
              <w:top w:val="nil"/>
              <w:left w:val="nil"/>
              <w:bottom w:val="single" w:sz="8" w:space="0" w:color="A6A6A6"/>
              <w:right w:val="single" w:sz="8" w:space="0" w:color="A6A6A6"/>
            </w:tcBorders>
            <w:noWrap/>
            <w:vAlign w:val="center"/>
            <w:hideMark/>
          </w:tcPr>
          <w:p w14:paraId="298B7BC8" w14:textId="77777777" w:rsidR="003737D2" w:rsidRPr="003737D2" w:rsidRDefault="003737D2" w:rsidP="003737D2">
            <w:pPr>
              <w:spacing w:after="0" w:line="240" w:lineRule="auto"/>
              <w:jc w:val="right"/>
              <w:rPr>
                <w:rFonts w:eastAsia="Times New Roman" w:cs="Calibri"/>
                <w:b/>
                <w:bCs/>
                <w:color w:val="000000"/>
              </w:rPr>
            </w:pPr>
            <w:r w:rsidRPr="003737D2">
              <w:rPr>
                <w:rFonts w:eastAsia="Times New Roman" w:cs="Calibri"/>
                <w:b/>
                <w:bCs/>
                <w:color w:val="000000"/>
              </w:rPr>
              <w:t>1.978.008</w:t>
            </w:r>
          </w:p>
        </w:tc>
        <w:tc>
          <w:tcPr>
            <w:tcW w:w="1240" w:type="dxa"/>
            <w:tcBorders>
              <w:top w:val="nil"/>
              <w:left w:val="nil"/>
              <w:bottom w:val="single" w:sz="8" w:space="0" w:color="A6A6A6"/>
              <w:right w:val="single" w:sz="8" w:space="0" w:color="A6A6A6"/>
            </w:tcBorders>
            <w:noWrap/>
            <w:vAlign w:val="center"/>
            <w:hideMark/>
          </w:tcPr>
          <w:p w14:paraId="6718646C" w14:textId="77777777" w:rsidR="003737D2" w:rsidRPr="003737D2" w:rsidRDefault="003737D2" w:rsidP="003737D2">
            <w:pPr>
              <w:spacing w:after="0" w:line="240" w:lineRule="auto"/>
              <w:jc w:val="right"/>
              <w:rPr>
                <w:rFonts w:eastAsia="Times New Roman" w:cs="Calibri"/>
                <w:b/>
                <w:bCs/>
                <w:color w:val="000000"/>
              </w:rPr>
            </w:pPr>
            <w:r w:rsidRPr="003737D2">
              <w:rPr>
                <w:rFonts w:eastAsia="Times New Roman" w:cs="Calibri"/>
                <w:b/>
                <w:bCs/>
                <w:color w:val="000000"/>
              </w:rPr>
              <w:t>23.518.079</w:t>
            </w:r>
          </w:p>
        </w:tc>
      </w:tr>
    </w:tbl>
    <w:p w14:paraId="00311F4E" w14:textId="225E07AA" w:rsidR="00FD2CBB" w:rsidRPr="00FA5F66" w:rsidRDefault="00FA5F66" w:rsidP="00C358B3">
      <w:pPr>
        <w:spacing w:after="240" w:line="240" w:lineRule="auto"/>
        <w:jc w:val="center"/>
        <w:rPr>
          <w:rFonts w:eastAsia="Calibri"/>
          <w:color w:val="17406D"/>
          <w:sz w:val="18"/>
          <w:szCs w:val="18"/>
        </w:rPr>
      </w:pPr>
      <w:r w:rsidRPr="00BF35BC">
        <w:rPr>
          <w:rFonts w:eastAsia="Calibri"/>
          <w:i/>
          <w:color w:val="003366"/>
          <w:sz w:val="18"/>
          <w:szCs w:val="18"/>
        </w:rPr>
        <w:t xml:space="preserve">Tabella </w:t>
      </w:r>
      <w:r w:rsidRPr="00BF35BC">
        <w:rPr>
          <w:rFonts w:cstheme="minorHAnsi"/>
          <w:i/>
          <w:color w:val="003366"/>
          <w:sz w:val="18"/>
          <w:szCs w:val="18"/>
        </w:rPr>
        <w:fldChar w:fldCharType="begin"/>
      </w:r>
      <w:r w:rsidRPr="71EE7570">
        <w:rPr>
          <w:rFonts w:eastAsia="Calibri"/>
          <w:i/>
          <w:color w:val="17406D" w:themeColor="text2"/>
          <w:sz w:val="18"/>
          <w:szCs w:val="18"/>
        </w:rPr>
        <w:instrText xml:space="preserve"> SEQ Tabella \* ARABIC </w:instrText>
      </w:r>
      <w:r w:rsidRPr="00BF35BC">
        <w:rPr>
          <w:rFonts w:cstheme="minorHAnsi"/>
          <w:i/>
          <w:color w:val="003366"/>
          <w:sz w:val="18"/>
          <w:szCs w:val="18"/>
        </w:rPr>
        <w:fldChar w:fldCharType="separate"/>
      </w:r>
      <w:r w:rsidR="00073B6D">
        <w:rPr>
          <w:rFonts w:eastAsia="Calibri"/>
          <w:i/>
          <w:noProof/>
          <w:color w:val="17406D" w:themeColor="text2"/>
          <w:sz w:val="18"/>
          <w:szCs w:val="18"/>
        </w:rPr>
        <w:t>60</w:t>
      </w:r>
      <w:r w:rsidRPr="00BF35BC">
        <w:rPr>
          <w:rFonts w:cstheme="minorHAnsi"/>
          <w:i/>
          <w:color w:val="003366"/>
          <w:sz w:val="18"/>
          <w:szCs w:val="18"/>
        </w:rPr>
        <w:fldChar w:fldCharType="end"/>
      </w:r>
      <w:r w:rsidRPr="00BF35BC">
        <w:rPr>
          <w:rFonts w:cstheme="minorHAnsi"/>
          <w:i/>
          <w:color w:val="003366"/>
          <w:sz w:val="18"/>
          <w:szCs w:val="18"/>
        </w:rPr>
        <w:t xml:space="preserve"> </w:t>
      </w:r>
      <w:r w:rsidRPr="00BF35BC">
        <w:rPr>
          <w:rFonts w:eastAsia="Calibri"/>
          <w:color w:val="003366"/>
          <w:sz w:val="18"/>
          <w:szCs w:val="18"/>
        </w:rPr>
        <w:t xml:space="preserve">– </w:t>
      </w:r>
      <w:r w:rsidR="00FD2CBB" w:rsidRPr="00FA5F66">
        <w:rPr>
          <w:rFonts w:eastAsia="Calibri"/>
          <w:i/>
          <w:color w:val="17406D"/>
          <w:sz w:val="18"/>
          <w:szCs w:val="18"/>
        </w:rPr>
        <w:t>Ripartizione dei servizi fra le aziende attualmente operanti sul territorio</w:t>
      </w:r>
    </w:p>
    <w:p w14:paraId="778AB100" w14:textId="1773651F" w:rsidR="00FD2CBB" w:rsidRDefault="00FD2CBB" w:rsidP="00AD2961">
      <w:pPr>
        <w:spacing w:before="120" w:after="0" w:line="240" w:lineRule="auto"/>
        <w:rPr>
          <w:rFonts w:eastAsia="Calibri"/>
        </w:rPr>
      </w:pPr>
      <w:r w:rsidRPr="00B97E1B">
        <w:rPr>
          <w:rFonts w:eastAsia="Calibri"/>
        </w:rPr>
        <w:t xml:space="preserve">Si precisa che i dati riportati in tabella rappresentano </w:t>
      </w:r>
      <w:r w:rsidR="00FB4299">
        <w:rPr>
          <w:rFonts w:eastAsia="Calibri"/>
        </w:rPr>
        <w:t xml:space="preserve">i </w:t>
      </w:r>
      <w:r w:rsidRPr="00B97E1B">
        <w:rPr>
          <w:rFonts w:eastAsia="Calibri"/>
        </w:rPr>
        <w:t>valori delle percorrenze effettive</w:t>
      </w:r>
      <w:r w:rsidR="00FB4299">
        <w:rPr>
          <w:rFonts w:eastAsia="Calibri"/>
        </w:rPr>
        <w:t xml:space="preserve"> realizzate dalle singole aziende</w:t>
      </w:r>
      <w:r w:rsidRPr="00B97E1B">
        <w:rPr>
          <w:rFonts w:eastAsia="Calibri"/>
        </w:rPr>
        <w:t xml:space="preserve">, </w:t>
      </w:r>
      <w:r w:rsidR="00757F86">
        <w:rPr>
          <w:rFonts w:eastAsia="Calibri"/>
        </w:rPr>
        <w:t xml:space="preserve">ancorché in </w:t>
      </w:r>
      <w:r w:rsidR="00D5258C">
        <w:rPr>
          <w:rFonts w:eastAsia="Calibri"/>
        </w:rPr>
        <w:t>“</w:t>
      </w:r>
      <w:r w:rsidRPr="00B97E1B">
        <w:rPr>
          <w:rFonts w:eastAsia="Calibri"/>
        </w:rPr>
        <w:t>pool</w:t>
      </w:r>
      <w:r w:rsidR="00D5258C">
        <w:rPr>
          <w:rFonts w:eastAsia="Calibri"/>
        </w:rPr>
        <w:t>”</w:t>
      </w:r>
      <w:r w:rsidR="00757F86">
        <w:rPr>
          <w:rFonts w:eastAsia="Calibri"/>
        </w:rPr>
        <w:t xml:space="preserve"> o sub affidamento di altre</w:t>
      </w:r>
      <w:r w:rsidR="00D5258C">
        <w:rPr>
          <w:rFonts w:eastAsia="Calibri"/>
        </w:rPr>
        <w:t xml:space="preserve"> (</w:t>
      </w:r>
      <w:r w:rsidR="00757F86">
        <w:rPr>
          <w:rFonts w:eastAsia="Calibri"/>
        </w:rPr>
        <w:t xml:space="preserve">ad esempio Vottero </w:t>
      </w:r>
      <w:r w:rsidR="00D5258C">
        <w:rPr>
          <w:rFonts w:eastAsia="Calibri"/>
        </w:rPr>
        <w:t>A</w:t>
      </w:r>
      <w:r w:rsidR="00757F86">
        <w:rPr>
          <w:rFonts w:eastAsia="Calibri"/>
        </w:rPr>
        <w:t>utoservizi è una azienda che opera come sub affidataria di GTT</w:t>
      </w:r>
      <w:r w:rsidR="00C02D61">
        <w:rPr>
          <w:rFonts w:eastAsia="Calibri"/>
        </w:rPr>
        <w:t>)</w:t>
      </w:r>
      <w:r w:rsidR="00757F86">
        <w:rPr>
          <w:rFonts w:eastAsia="Calibri"/>
        </w:rPr>
        <w:t xml:space="preserve">. </w:t>
      </w:r>
      <w:r w:rsidRPr="00B97E1B">
        <w:rPr>
          <w:rFonts w:eastAsia="Calibri"/>
        </w:rPr>
        <w:t>Tale configurazione può comportare variazioni durante l’esercizio, riconducibili a dinamiche operative e alla flessibilità delle assegnazioni tra i gestori coinvolti</w:t>
      </w:r>
      <w:r>
        <w:rPr>
          <w:rFonts w:eastAsia="Calibri"/>
        </w:rPr>
        <w:t>.</w:t>
      </w:r>
    </w:p>
    <w:p w14:paraId="1EB539A6" w14:textId="77777777" w:rsidR="00FD2CBB" w:rsidRPr="00AD01C5" w:rsidRDefault="00FD2CBB" w:rsidP="00AD2961">
      <w:pPr>
        <w:spacing w:before="120" w:after="0" w:line="240" w:lineRule="auto"/>
        <w:rPr>
          <w:rFonts w:eastAsia="Calibri"/>
        </w:rPr>
      </w:pPr>
      <w:r w:rsidRPr="00AD01C5">
        <w:rPr>
          <w:rFonts w:eastAsia="Calibri"/>
        </w:rPr>
        <w:t xml:space="preserve">Tra </w:t>
      </w:r>
      <w:r>
        <w:rPr>
          <w:rFonts w:eastAsia="Calibri"/>
        </w:rPr>
        <w:t>ottobre</w:t>
      </w:r>
      <w:r w:rsidRPr="00AD01C5">
        <w:rPr>
          <w:rFonts w:eastAsia="Calibri"/>
        </w:rPr>
        <w:t xml:space="preserve"> e dicembre 2024, 1</w:t>
      </w:r>
      <w:r>
        <w:rPr>
          <w:rFonts w:eastAsia="Calibri"/>
        </w:rPr>
        <w:t>8</w:t>
      </w:r>
      <w:r w:rsidRPr="00AD01C5">
        <w:rPr>
          <w:rFonts w:eastAsia="Calibri"/>
        </w:rPr>
        <w:t xml:space="preserve"> operatori hanno partecipato agli incontri collettivi e individuali per il Bacino </w:t>
      </w:r>
      <w:r>
        <w:rPr>
          <w:rFonts w:eastAsia="Calibri"/>
        </w:rPr>
        <w:t>Metropolitano</w:t>
      </w:r>
      <w:r w:rsidRPr="00AD01C5">
        <w:rPr>
          <w:rFonts w:eastAsia="Calibri"/>
        </w:rPr>
        <w:t xml:space="preserve"> del Piemonte. Questi incontri sono stati espletati ai sensi delle Delibere ART 64/2024, e della Delibera 48/2017. Gli operatori hanno manifestato un interesse concreto a partecipare ai futuri affidamenti dei servizi del bacino (si veda allegato 3).</w:t>
      </w:r>
    </w:p>
    <w:p w14:paraId="297165B4" w14:textId="77777777" w:rsidR="00FD2CBB" w:rsidRDefault="00FD2CBB" w:rsidP="00AD2961">
      <w:pPr>
        <w:spacing w:before="120" w:after="0" w:line="240" w:lineRule="auto"/>
        <w:rPr>
          <w:rFonts w:eastAsia="Calibri"/>
        </w:rPr>
      </w:pPr>
      <w:r w:rsidRPr="00AD01C5">
        <w:rPr>
          <w:rFonts w:eastAsia="Calibri"/>
        </w:rPr>
        <w:t>Di seguito il dettaglio dei partecipanti</w:t>
      </w:r>
      <w:r>
        <w:rPr>
          <w:rFonts w:eastAsia="Calibri"/>
        </w:rPr>
        <w:t xml:space="preserve"> agli incontri del Bacino Metropolitano</w:t>
      </w:r>
      <w:r w:rsidRPr="00AD01C5">
        <w:rPr>
          <w:rFonts w:eastAsia="Calibri"/>
        </w:rPr>
        <w:t xml:space="preserve">, dei quali possiamo fornire alcuni </w:t>
      </w:r>
      <w:r>
        <w:rPr>
          <w:rFonts w:eastAsia="Calibri"/>
        </w:rPr>
        <w:t>elementi derivati dal Sistema di qualificazione degli operatori di TPL dell’Agenzia</w:t>
      </w:r>
      <w:r w:rsidRPr="00AD01C5">
        <w:rPr>
          <w:rFonts w:eastAsia="Calibri"/>
        </w:rPr>
        <w:t>.</w:t>
      </w:r>
    </w:p>
    <w:p w14:paraId="3ACE7C56" w14:textId="77777777" w:rsidR="00AD2961" w:rsidRDefault="00AD2961" w:rsidP="00AD2961">
      <w:pPr>
        <w:spacing w:before="120" w:after="0" w:line="240" w:lineRule="auto"/>
        <w:rPr>
          <w:rFonts w:eastAsia="Calibri"/>
        </w:rPr>
      </w:pPr>
    </w:p>
    <w:tbl>
      <w:tblPr>
        <w:tblW w:w="5000" w:type="pct"/>
        <w:tblBorders>
          <w:top w:val="single" w:sz="8" w:space="0" w:color="A6A6A6"/>
          <w:left w:val="single" w:sz="8" w:space="0" w:color="A6A6A6"/>
          <w:bottom w:val="single" w:sz="8" w:space="0" w:color="A6A6A6"/>
          <w:right w:val="single" w:sz="8" w:space="0" w:color="A6A6A6"/>
          <w:insideH w:val="single" w:sz="8" w:space="0" w:color="A6A6A6"/>
          <w:insideV w:val="single" w:sz="8" w:space="0" w:color="A6A6A6"/>
        </w:tblBorders>
        <w:tblCellMar>
          <w:left w:w="70" w:type="dxa"/>
          <w:right w:w="70" w:type="dxa"/>
        </w:tblCellMar>
        <w:tblLook w:val="04A0" w:firstRow="1" w:lastRow="0" w:firstColumn="1" w:lastColumn="0" w:noHBand="0" w:noVBand="1"/>
      </w:tblPr>
      <w:tblGrid>
        <w:gridCol w:w="2537"/>
        <w:gridCol w:w="1176"/>
        <w:gridCol w:w="1488"/>
        <w:gridCol w:w="1441"/>
        <w:gridCol w:w="1472"/>
        <w:gridCol w:w="936"/>
      </w:tblGrid>
      <w:tr w:rsidR="00FD2CBB" w:rsidRPr="000F3591" w14:paraId="47872B98" w14:textId="77777777" w:rsidTr="00990212">
        <w:trPr>
          <w:trHeight w:val="450"/>
        </w:trPr>
        <w:tc>
          <w:tcPr>
            <w:tcW w:w="1402" w:type="pct"/>
            <w:vMerge w:val="restart"/>
            <w:shd w:val="clear" w:color="auto" w:fill="EE3438"/>
            <w:vAlign w:val="center"/>
            <w:hideMark/>
          </w:tcPr>
          <w:p w14:paraId="7E578068" w14:textId="77777777" w:rsidR="00FD2CBB" w:rsidRPr="00847613" w:rsidRDefault="00FD2CBB" w:rsidP="00990212">
            <w:pPr>
              <w:spacing w:after="0" w:line="240" w:lineRule="auto"/>
              <w:jc w:val="center"/>
              <w:rPr>
                <w:rFonts w:eastAsia="Times New Roman" w:cs="Calibri"/>
                <w:b/>
                <w:color w:val="FFFFFF" w:themeColor="background1"/>
                <w:sz w:val="20"/>
                <w:szCs w:val="20"/>
              </w:rPr>
            </w:pPr>
            <w:bookmarkStart w:id="436" w:name="_Ref187760677"/>
            <w:bookmarkStart w:id="437" w:name="_Ref187760626"/>
            <w:bookmarkStart w:id="438" w:name="_Ref204164936"/>
            <w:r w:rsidRPr="00847613">
              <w:rPr>
                <w:rFonts w:eastAsia="Times New Roman" w:cs="Calibri"/>
                <w:b/>
                <w:color w:val="FFFFFF" w:themeColor="background1"/>
                <w:sz w:val="20"/>
                <w:szCs w:val="20"/>
              </w:rPr>
              <w:t>OPERATORI ECONOMICI</w:t>
            </w:r>
          </w:p>
        </w:tc>
        <w:tc>
          <w:tcPr>
            <w:tcW w:w="650" w:type="pct"/>
            <w:vMerge w:val="restart"/>
            <w:shd w:val="clear" w:color="auto" w:fill="EE3438"/>
            <w:vAlign w:val="center"/>
            <w:hideMark/>
          </w:tcPr>
          <w:p w14:paraId="7DE603B3" w14:textId="77777777" w:rsidR="00FD2CBB" w:rsidRPr="00847613" w:rsidRDefault="00FD2CBB" w:rsidP="00990212">
            <w:pPr>
              <w:spacing w:after="0" w:line="240" w:lineRule="auto"/>
              <w:jc w:val="center"/>
              <w:rPr>
                <w:rFonts w:eastAsia="Times New Roman" w:cs="Calibri"/>
                <w:b/>
                <w:color w:val="FFFFFF" w:themeColor="background1"/>
                <w:sz w:val="20"/>
                <w:szCs w:val="20"/>
              </w:rPr>
            </w:pPr>
            <w:r w:rsidRPr="00847613">
              <w:rPr>
                <w:rFonts w:eastAsia="Times New Roman" w:cs="Calibri"/>
                <w:b/>
                <w:color w:val="FFFFFF" w:themeColor="background1"/>
                <w:sz w:val="20"/>
                <w:szCs w:val="20"/>
              </w:rPr>
              <w:t>N° incontri</w:t>
            </w:r>
          </w:p>
        </w:tc>
        <w:tc>
          <w:tcPr>
            <w:tcW w:w="822" w:type="pct"/>
            <w:vMerge w:val="restart"/>
            <w:shd w:val="clear" w:color="auto" w:fill="EE3438"/>
            <w:vAlign w:val="center"/>
            <w:hideMark/>
          </w:tcPr>
          <w:p w14:paraId="7C28D5D9" w14:textId="77777777" w:rsidR="00FD2CBB" w:rsidRPr="00847613" w:rsidRDefault="00FD2CBB" w:rsidP="00990212">
            <w:pPr>
              <w:spacing w:after="0" w:line="240" w:lineRule="auto"/>
              <w:jc w:val="center"/>
              <w:rPr>
                <w:rFonts w:eastAsia="Times New Roman" w:cs="Calibri"/>
                <w:b/>
                <w:color w:val="FFFFFF" w:themeColor="background1"/>
                <w:sz w:val="20"/>
                <w:szCs w:val="20"/>
              </w:rPr>
            </w:pPr>
            <w:r w:rsidRPr="00847613">
              <w:rPr>
                <w:rFonts w:eastAsia="Times New Roman" w:cs="Calibri"/>
                <w:b/>
                <w:color w:val="FFFFFF" w:themeColor="background1"/>
                <w:sz w:val="20"/>
                <w:szCs w:val="20"/>
              </w:rPr>
              <w:t>Tipologia servizi erogati</w:t>
            </w:r>
          </w:p>
        </w:tc>
        <w:tc>
          <w:tcPr>
            <w:tcW w:w="796" w:type="pct"/>
            <w:vMerge w:val="restart"/>
            <w:shd w:val="clear" w:color="auto" w:fill="EE3438"/>
            <w:vAlign w:val="center"/>
            <w:hideMark/>
          </w:tcPr>
          <w:p w14:paraId="45A0CE5B" w14:textId="77777777" w:rsidR="00FD2CBB" w:rsidRPr="00847613" w:rsidRDefault="00FD2CBB" w:rsidP="00990212">
            <w:pPr>
              <w:spacing w:after="0" w:line="240" w:lineRule="auto"/>
              <w:jc w:val="center"/>
              <w:rPr>
                <w:rFonts w:eastAsia="Times New Roman" w:cs="Calibri"/>
                <w:b/>
                <w:color w:val="FFFFFF" w:themeColor="background1"/>
                <w:sz w:val="20"/>
                <w:szCs w:val="20"/>
              </w:rPr>
            </w:pPr>
            <w:r w:rsidRPr="00847613">
              <w:rPr>
                <w:rFonts w:eastAsia="Times New Roman" w:cs="Calibri"/>
                <w:b/>
                <w:color w:val="FFFFFF" w:themeColor="background1"/>
                <w:sz w:val="20"/>
                <w:szCs w:val="20"/>
              </w:rPr>
              <w:t>Operanti in Piemonte</w:t>
            </w:r>
          </w:p>
        </w:tc>
        <w:tc>
          <w:tcPr>
            <w:tcW w:w="813" w:type="pct"/>
            <w:vMerge w:val="restart"/>
            <w:shd w:val="clear" w:color="auto" w:fill="EE3438"/>
            <w:vAlign w:val="center"/>
            <w:hideMark/>
          </w:tcPr>
          <w:p w14:paraId="451961E2" w14:textId="77777777" w:rsidR="00FD2CBB" w:rsidRPr="00847613" w:rsidRDefault="00FD2CBB" w:rsidP="00990212">
            <w:pPr>
              <w:spacing w:after="0" w:line="240" w:lineRule="auto"/>
              <w:jc w:val="center"/>
              <w:rPr>
                <w:rFonts w:eastAsia="Times New Roman" w:cs="Calibri"/>
                <w:b/>
                <w:color w:val="FFFFFF" w:themeColor="background1"/>
                <w:sz w:val="20"/>
                <w:szCs w:val="20"/>
              </w:rPr>
            </w:pPr>
            <w:r w:rsidRPr="00847613">
              <w:rPr>
                <w:rFonts w:eastAsia="Times New Roman" w:cs="Calibri"/>
                <w:b/>
                <w:color w:val="FFFFFF" w:themeColor="background1"/>
                <w:sz w:val="20"/>
                <w:szCs w:val="20"/>
              </w:rPr>
              <w:t>Sistema di qualificazione</w:t>
            </w:r>
          </w:p>
        </w:tc>
        <w:tc>
          <w:tcPr>
            <w:tcW w:w="517" w:type="pct"/>
            <w:vMerge w:val="restart"/>
            <w:shd w:val="clear" w:color="auto" w:fill="EE3438"/>
            <w:vAlign w:val="center"/>
            <w:hideMark/>
          </w:tcPr>
          <w:p w14:paraId="79CCF95C" w14:textId="77777777" w:rsidR="00FD2CBB" w:rsidRPr="00847613" w:rsidRDefault="00FD2CBB" w:rsidP="00990212">
            <w:pPr>
              <w:spacing w:after="0" w:line="240" w:lineRule="auto"/>
              <w:jc w:val="center"/>
              <w:rPr>
                <w:rFonts w:eastAsia="Times New Roman" w:cs="Calibri"/>
                <w:b/>
                <w:color w:val="FFFFFF" w:themeColor="background1"/>
                <w:sz w:val="20"/>
                <w:szCs w:val="20"/>
              </w:rPr>
            </w:pPr>
            <w:r w:rsidRPr="00847613">
              <w:rPr>
                <w:rFonts w:eastAsia="Times New Roman" w:cs="Calibri"/>
                <w:b/>
                <w:color w:val="FFFFFF" w:themeColor="background1"/>
                <w:sz w:val="20"/>
                <w:szCs w:val="20"/>
              </w:rPr>
              <w:t>Categoria Classe</w:t>
            </w:r>
          </w:p>
        </w:tc>
      </w:tr>
      <w:tr w:rsidR="00FD2CBB" w:rsidRPr="000F3591" w14:paraId="65E2DE37" w14:textId="77777777" w:rsidTr="00990212">
        <w:trPr>
          <w:trHeight w:val="450"/>
        </w:trPr>
        <w:tc>
          <w:tcPr>
            <w:tcW w:w="1402" w:type="pct"/>
            <w:vMerge/>
            <w:shd w:val="clear" w:color="auto" w:fill="EE3438"/>
            <w:vAlign w:val="center"/>
            <w:hideMark/>
          </w:tcPr>
          <w:p w14:paraId="27A032B9" w14:textId="77777777" w:rsidR="00FD2CBB" w:rsidRPr="000F3591" w:rsidRDefault="00FD2CBB" w:rsidP="00990212">
            <w:pPr>
              <w:spacing w:after="0" w:line="240" w:lineRule="auto"/>
              <w:jc w:val="center"/>
              <w:rPr>
                <w:rFonts w:eastAsia="Times New Roman" w:cs="Calibri"/>
                <w:b/>
                <w:color w:val="000000"/>
                <w:sz w:val="20"/>
                <w:szCs w:val="20"/>
              </w:rPr>
            </w:pPr>
          </w:p>
        </w:tc>
        <w:tc>
          <w:tcPr>
            <w:tcW w:w="650" w:type="pct"/>
            <w:vMerge/>
            <w:shd w:val="clear" w:color="auto" w:fill="EE3438"/>
            <w:vAlign w:val="center"/>
            <w:hideMark/>
          </w:tcPr>
          <w:p w14:paraId="47C6A824" w14:textId="77777777" w:rsidR="00FD2CBB" w:rsidRPr="000F3591" w:rsidRDefault="00FD2CBB" w:rsidP="00990212">
            <w:pPr>
              <w:spacing w:after="0" w:line="240" w:lineRule="auto"/>
              <w:jc w:val="center"/>
              <w:rPr>
                <w:rFonts w:eastAsia="Times New Roman" w:cs="Calibri"/>
                <w:b/>
                <w:color w:val="000000"/>
                <w:sz w:val="20"/>
                <w:szCs w:val="20"/>
              </w:rPr>
            </w:pPr>
          </w:p>
        </w:tc>
        <w:tc>
          <w:tcPr>
            <w:tcW w:w="822" w:type="pct"/>
            <w:vMerge/>
            <w:shd w:val="clear" w:color="auto" w:fill="EE3438"/>
            <w:vAlign w:val="center"/>
            <w:hideMark/>
          </w:tcPr>
          <w:p w14:paraId="2B2D4B1D" w14:textId="77777777" w:rsidR="00FD2CBB" w:rsidRPr="000F3591" w:rsidRDefault="00FD2CBB" w:rsidP="00990212">
            <w:pPr>
              <w:spacing w:after="0" w:line="240" w:lineRule="auto"/>
              <w:jc w:val="center"/>
              <w:rPr>
                <w:rFonts w:eastAsia="Times New Roman" w:cs="Calibri"/>
                <w:b/>
                <w:color w:val="000000"/>
                <w:sz w:val="20"/>
                <w:szCs w:val="20"/>
              </w:rPr>
            </w:pPr>
          </w:p>
        </w:tc>
        <w:tc>
          <w:tcPr>
            <w:tcW w:w="796" w:type="pct"/>
            <w:vMerge/>
            <w:shd w:val="clear" w:color="auto" w:fill="EE3438"/>
            <w:vAlign w:val="center"/>
            <w:hideMark/>
          </w:tcPr>
          <w:p w14:paraId="03A76FCE" w14:textId="77777777" w:rsidR="00FD2CBB" w:rsidRPr="000F3591" w:rsidRDefault="00FD2CBB" w:rsidP="00990212">
            <w:pPr>
              <w:spacing w:after="0" w:line="240" w:lineRule="auto"/>
              <w:jc w:val="center"/>
              <w:rPr>
                <w:rFonts w:eastAsia="Times New Roman" w:cs="Calibri"/>
                <w:b/>
                <w:color w:val="000000"/>
                <w:sz w:val="20"/>
                <w:szCs w:val="20"/>
              </w:rPr>
            </w:pPr>
          </w:p>
        </w:tc>
        <w:tc>
          <w:tcPr>
            <w:tcW w:w="813" w:type="pct"/>
            <w:vMerge/>
            <w:shd w:val="clear" w:color="auto" w:fill="EE3438"/>
            <w:vAlign w:val="center"/>
            <w:hideMark/>
          </w:tcPr>
          <w:p w14:paraId="4978E443" w14:textId="77777777" w:rsidR="00FD2CBB" w:rsidRPr="000F3591" w:rsidRDefault="00FD2CBB" w:rsidP="00990212">
            <w:pPr>
              <w:spacing w:after="0" w:line="240" w:lineRule="auto"/>
              <w:jc w:val="center"/>
              <w:rPr>
                <w:rFonts w:eastAsia="Times New Roman" w:cs="Calibri"/>
                <w:b/>
                <w:color w:val="000000"/>
                <w:sz w:val="20"/>
                <w:szCs w:val="20"/>
              </w:rPr>
            </w:pPr>
          </w:p>
        </w:tc>
        <w:tc>
          <w:tcPr>
            <w:tcW w:w="517" w:type="pct"/>
            <w:vMerge/>
            <w:shd w:val="clear" w:color="auto" w:fill="EE3438"/>
            <w:vAlign w:val="center"/>
            <w:hideMark/>
          </w:tcPr>
          <w:p w14:paraId="3DD9C18C" w14:textId="77777777" w:rsidR="00FD2CBB" w:rsidRPr="000F3591" w:rsidRDefault="00FD2CBB" w:rsidP="00990212">
            <w:pPr>
              <w:spacing w:after="0" w:line="240" w:lineRule="auto"/>
              <w:jc w:val="center"/>
              <w:rPr>
                <w:rFonts w:eastAsia="Times New Roman" w:cs="Calibri"/>
                <w:b/>
                <w:color w:val="000000"/>
                <w:sz w:val="20"/>
                <w:szCs w:val="20"/>
              </w:rPr>
            </w:pPr>
          </w:p>
        </w:tc>
      </w:tr>
      <w:tr w:rsidR="00FD2CBB" w:rsidRPr="000F3591" w14:paraId="06B89E16" w14:textId="77777777" w:rsidTr="00990212">
        <w:trPr>
          <w:trHeight w:val="303"/>
        </w:trPr>
        <w:tc>
          <w:tcPr>
            <w:tcW w:w="1402" w:type="pct"/>
            <w:shd w:val="clear" w:color="000000" w:fill="FFFFFF"/>
            <w:vAlign w:val="center"/>
            <w:hideMark/>
          </w:tcPr>
          <w:p w14:paraId="4B73D353" w14:textId="77777777" w:rsidR="00FD2CBB" w:rsidRPr="000F3591" w:rsidRDefault="00FD2CBB" w:rsidP="00990212">
            <w:pPr>
              <w:spacing w:after="0" w:line="240" w:lineRule="auto"/>
              <w:jc w:val="center"/>
              <w:rPr>
                <w:rFonts w:eastAsia="Times New Roman" w:cs="Calibri"/>
                <w:color w:val="000000"/>
                <w:sz w:val="20"/>
                <w:szCs w:val="20"/>
              </w:rPr>
            </w:pPr>
            <w:r w:rsidRPr="000F3591">
              <w:rPr>
                <w:rFonts w:eastAsia="Times New Roman" w:cs="Calibri"/>
                <w:color w:val="000000"/>
                <w:sz w:val="20"/>
                <w:szCs w:val="20"/>
              </w:rPr>
              <w:t>AIR PULLMAN SPA</w:t>
            </w:r>
          </w:p>
        </w:tc>
        <w:tc>
          <w:tcPr>
            <w:tcW w:w="650" w:type="pct"/>
            <w:vAlign w:val="center"/>
            <w:hideMark/>
          </w:tcPr>
          <w:p w14:paraId="357EEDD8" w14:textId="77777777" w:rsidR="00FD2CBB" w:rsidRPr="000F3591" w:rsidRDefault="00FD2CBB" w:rsidP="00990212">
            <w:pPr>
              <w:spacing w:after="0" w:line="240" w:lineRule="auto"/>
              <w:jc w:val="center"/>
              <w:rPr>
                <w:rFonts w:eastAsia="Times New Roman" w:cs="Calibri"/>
                <w:color w:val="000000"/>
                <w:sz w:val="20"/>
                <w:szCs w:val="20"/>
              </w:rPr>
            </w:pPr>
            <w:r w:rsidRPr="000F3591">
              <w:rPr>
                <w:rFonts w:eastAsia="Times New Roman" w:cs="Calibri"/>
                <w:color w:val="000000"/>
                <w:sz w:val="20"/>
                <w:szCs w:val="20"/>
              </w:rPr>
              <w:t>9</w:t>
            </w:r>
          </w:p>
        </w:tc>
        <w:tc>
          <w:tcPr>
            <w:tcW w:w="822" w:type="pct"/>
            <w:vAlign w:val="center"/>
            <w:hideMark/>
          </w:tcPr>
          <w:p w14:paraId="61775760" w14:textId="77777777" w:rsidR="00FD2CBB" w:rsidRPr="000F3591" w:rsidRDefault="00FD2CBB" w:rsidP="00990212">
            <w:pPr>
              <w:spacing w:after="0" w:line="240" w:lineRule="auto"/>
              <w:jc w:val="center"/>
              <w:rPr>
                <w:rFonts w:eastAsia="Times New Roman" w:cs="Calibri"/>
                <w:color w:val="000000"/>
                <w:sz w:val="20"/>
                <w:szCs w:val="20"/>
              </w:rPr>
            </w:pPr>
            <w:r w:rsidRPr="000F3591">
              <w:rPr>
                <w:rFonts w:eastAsia="Times New Roman" w:cs="Calibri"/>
                <w:color w:val="000000"/>
                <w:sz w:val="20"/>
                <w:szCs w:val="20"/>
              </w:rPr>
              <w:t>Extraurbano</w:t>
            </w:r>
          </w:p>
        </w:tc>
        <w:tc>
          <w:tcPr>
            <w:tcW w:w="796" w:type="pct"/>
            <w:vAlign w:val="center"/>
            <w:hideMark/>
          </w:tcPr>
          <w:p w14:paraId="3A5FEAE5" w14:textId="77777777" w:rsidR="00FD2CBB" w:rsidRPr="000F3591" w:rsidRDefault="00FD2CBB" w:rsidP="00990212">
            <w:pPr>
              <w:spacing w:after="0" w:line="240" w:lineRule="auto"/>
              <w:jc w:val="center"/>
              <w:rPr>
                <w:rFonts w:eastAsia="Times New Roman" w:cs="Calibri"/>
                <w:color w:val="000000"/>
                <w:sz w:val="20"/>
                <w:szCs w:val="20"/>
              </w:rPr>
            </w:pPr>
            <w:r w:rsidRPr="000F3591">
              <w:rPr>
                <w:rFonts w:eastAsia="Times New Roman" w:cs="Calibri"/>
                <w:color w:val="000000"/>
                <w:sz w:val="20"/>
                <w:szCs w:val="20"/>
              </w:rPr>
              <w:t>no</w:t>
            </w:r>
          </w:p>
        </w:tc>
        <w:tc>
          <w:tcPr>
            <w:tcW w:w="813" w:type="pct"/>
            <w:vAlign w:val="center"/>
            <w:hideMark/>
          </w:tcPr>
          <w:p w14:paraId="0CC3380C" w14:textId="77777777" w:rsidR="00FD2CBB" w:rsidRPr="000F3591" w:rsidRDefault="00FD2CBB" w:rsidP="00990212">
            <w:pPr>
              <w:spacing w:after="0" w:line="240" w:lineRule="auto"/>
              <w:jc w:val="center"/>
              <w:rPr>
                <w:rFonts w:eastAsia="Times New Roman" w:cs="Calibri"/>
                <w:color w:val="000000"/>
                <w:sz w:val="20"/>
                <w:szCs w:val="20"/>
              </w:rPr>
            </w:pPr>
            <w:r w:rsidRPr="000F3591">
              <w:rPr>
                <w:rFonts w:eastAsia="Times New Roman" w:cs="Calibri"/>
                <w:color w:val="000000"/>
                <w:sz w:val="20"/>
                <w:szCs w:val="20"/>
              </w:rPr>
              <w:t>X in RTI</w:t>
            </w:r>
          </w:p>
        </w:tc>
        <w:tc>
          <w:tcPr>
            <w:tcW w:w="517" w:type="pct"/>
            <w:vAlign w:val="center"/>
            <w:hideMark/>
          </w:tcPr>
          <w:p w14:paraId="3849EA91" w14:textId="77777777" w:rsidR="00FD2CBB" w:rsidRPr="000F3591" w:rsidRDefault="00FD2CBB" w:rsidP="00990212">
            <w:pPr>
              <w:spacing w:after="0" w:line="240" w:lineRule="auto"/>
              <w:jc w:val="center"/>
              <w:rPr>
                <w:rFonts w:eastAsia="Times New Roman" w:cs="Calibri"/>
                <w:color w:val="000000"/>
                <w:sz w:val="20"/>
                <w:szCs w:val="20"/>
              </w:rPr>
            </w:pPr>
            <w:r w:rsidRPr="000F3591">
              <w:rPr>
                <w:rFonts w:eastAsia="Times New Roman" w:cs="Calibri"/>
                <w:color w:val="000000"/>
                <w:sz w:val="20"/>
                <w:szCs w:val="20"/>
              </w:rPr>
              <w:t>A4</w:t>
            </w:r>
          </w:p>
        </w:tc>
      </w:tr>
      <w:tr w:rsidR="00FD2CBB" w:rsidRPr="000F3591" w14:paraId="6DFB0A13" w14:textId="77777777" w:rsidTr="00990212">
        <w:trPr>
          <w:trHeight w:val="516"/>
        </w:trPr>
        <w:tc>
          <w:tcPr>
            <w:tcW w:w="1402" w:type="pct"/>
            <w:shd w:val="clear" w:color="000000" w:fill="FFFFFF"/>
            <w:vAlign w:val="center"/>
            <w:hideMark/>
          </w:tcPr>
          <w:p w14:paraId="73956A8F" w14:textId="77777777" w:rsidR="00FD2CBB" w:rsidRPr="000F3591" w:rsidRDefault="00FD2CBB" w:rsidP="00990212">
            <w:pPr>
              <w:spacing w:after="0" w:line="240" w:lineRule="auto"/>
              <w:jc w:val="center"/>
              <w:rPr>
                <w:rFonts w:eastAsia="Times New Roman" w:cs="Calibri"/>
                <w:color w:val="000000"/>
                <w:sz w:val="20"/>
                <w:szCs w:val="20"/>
              </w:rPr>
            </w:pPr>
            <w:r w:rsidRPr="000F3591">
              <w:rPr>
                <w:rFonts w:eastAsia="Times New Roman" w:cs="Calibri"/>
                <w:color w:val="000000"/>
                <w:sz w:val="20"/>
                <w:szCs w:val="20"/>
              </w:rPr>
              <w:t>ARRIVA ITALIA SRL</w:t>
            </w:r>
          </w:p>
        </w:tc>
        <w:tc>
          <w:tcPr>
            <w:tcW w:w="650" w:type="pct"/>
            <w:vAlign w:val="center"/>
            <w:hideMark/>
          </w:tcPr>
          <w:p w14:paraId="4625F579" w14:textId="77777777" w:rsidR="00FD2CBB" w:rsidRPr="000F3591" w:rsidRDefault="00FD2CBB" w:rsidP="00990212">
            <w:pPr>
              <w:spacing w:after="0" w:line="240" w:lineRule="auto"/>
              <w:jc w:val="center"/>
              <w:rPr>
                <w:rFonts w:eastAsia="Times New Roman" w:cs="Calibri"/>
                <w:color w:val="000000"/>
                <w:sz w:val="20"/>
                <w:szCs w:val="20"/>
              </w:rPr>
            </w:pPr>
            <w:r w:rsidRPr="000F3591">
              <w:rPr>
                <w:rFonts w:eastAsia="Times New Roman" w:cs="Calibri"/>
                <w:color w:val="000000"/>
                <w:sz w:val="20"/>
                <w:szCs w:val="20"/>
              </w:rPr>
              <w:t>7</w:t>
            </w:r>
          </w:p>
        </w:tc>
        <w:tc>
          <w:tcPr>
            <w:tcW w:w="822" w:type="pct"/>
            <w:vAlign w:val="center"/>
            <w:hideMark/>
          </w:tcPr>
          <w:p w14:paraId="3946F0CF" w14:textId="77777777" w:rsidR="00FD2CBB" w:rsidRPr="000F3591" w:rsidRDefault="00FD2CBB" w:rsidP="00990212">
            <w:pPr>
              <w:spacing w:after="0" w:line="240" w:lineRule="auto"/>
              <w:jc w:val="center"/>
              <w:rPr>
                <w:rFonts w:eastAsia="Times New Roman" w:cs="Calibri"/>
                <w:color w:val="000000"/>
                <w:sz w:val="20"/>
                <w:szCs w:val="20"/>
              </w:rPr>
            </w:pPr>
            <w:r w:rsidRPr="000F3591">
              <w:rPr>
                <w:rFonts w:eastAsia="Times New Roman" w:cs="Calibri"/>
                <w:color w:val="000000"/>
                <w:sz w:val="20"/>
                <w:szCs w:val="20"/>
              </w:rPr>
              <w:t>Urbano ed extraurbano</w:t>
            </w:r>
          </w:p>
        </w:tc>
        <w:tc>
          <w:tcPr>
            <w:tcW w:w="796" w:type="pct"/>
            <w:vAlign w:val="center"/>
            <w:hideMark/>
          </w:tcPr>
          <w:p w14:paraId="71910478" w14:textId="77777777" w:rsidR="00FD2CBB" w:rsidRPr="000F3591" w:rsidRDefault="00FD2CBB" w:rsidP="00990212">
            <w:pPr>
              <w:spacing w:after="0" w:line="240" w:lineRule="auto"/>
              <w:jc w:val="center"/>
              <w:rPr>
                <w:rFonts w:eastAsia="Times New Roman" w:cs="Calibri"/>
                <w:color w:val="000000"/>
                <w:sz w:val="20"/>
                <w:szCs w:val="20"/>
              </w:rPr>
            </w:pPr>
            <w:r w:rsidRPr="000F3591">
              <w:rPr>
                <w:rFonts w:eastAsia="Times New Roman" w:cs="Calibri"/>
                <w:color w:val="000000"/>
                <w:sz w:val="20"/>
                <w:szCs w:val="20"/>
              </w:rPr>
              <w:t>si</w:t>
            </w:r>
          </w:p>
        </w:tc>
        <w:tc>
          <w:tcPr>
            <w:tcW w:w="813" w:type="pct"/>
            <w:vAlign w:val="center"/>
            <w:hideMark/>
          </w:tcPr>
          <w:p w14:paraId="6365768A" w14:textId="77777777" w:rsidR="00FD2CBB" w:rsidRPr="000F3591" w:rsidRDefault="00FD2CBB" w:rsidP="00990212">
            <w:pPr>
              <w:spacing w:after="0" w:line="240" w:lineRule="auto"/>
              <w:jc w:val="center"/>
              <w:rPr>
                <w:rFonts w:eastAsia="Times New Roman" w:cs="Calibri"/>
                <w:color w:val="000000"/>
                <w:sz w:val="20"/>
                <w:szCs w:val="20"/>
              </w:rPr>
            </w:pPr>
            <w:r w:rsidRPr="000F3591">
              <w:rPr>
                <w:rFonts w:eastAsia="Times New Roman" w:cs="Calibri"/>
                <w:color w:val="000000"/>
                <w:sz w:val="20"/>
                <w:szCs w:val="20"/>
              </w:rPr>
              <w:t>X</w:t>
            </w:r>
          </w:p>
        </w:tc>
        <w:tc>
          <w:tcPr>
            <w:tcW w:w="517" w:type="pct"/>
            <w:vAlign w:val="center"/>
            <w:hideMark/>
          </w:tcPr>
          <w:p w14:paraId="46816B37" w14:textId="77777777" w:rsidR="00FD2CBB" w:rsidRPr="000F3591" w:rsidRDefault="00FD2CBB" w:rsidP="00990212">
            <w:pPr>
              <w:spacing w:after="0" w:line="240" w:lineRule="auto"/>
              <w:jc w:val="center"/>
              <w:rPr>
                <w:rFonts w:eastAsia="Times New Roman" w:cs="Calibri"/>
                <w:color w:val="000000"/>
                <w:sz w:val="20"/>
                <w:szCs w:val="20"/>
              </w:rPr>
            </w:pPr>
            <w:r w:rsidRPr="000F3591">
              <w:rPr>
                <w:rFonts w:eastAsia="Times New Roman" w:cs="Calibri"/>
                <w:color w:val="000000"/>
                <w:sz w:val="20"/>
                <w:szCs w:val="20"/>
              </w:rPr>
              <w:t>A4</w:t>
            </w:r>
          </w:p>
        </w:tc>
      </w:tr>
      <w:tr w:rsidR="00FD2CBB" w:rsidRPr="000F3591" w14:paraId="067276ED" w14:textId="77777777" w:rsidTr="00990212">
        <w:trPr>
          <w:trHeight w:val="516"/>
        </w:trPr>
        <w:tc>
          <w:tcPr>
            <w:tcW w:w="1402" w:type="pct"/>
            <w:shd w:val="clear" w:color="000000" w:fill="FFFFFF"/>
            <w:vAlign w:val="center"/>
            <w:hideMark/>
          </w:tcPr>
          <w:p w14:paraId="52BE66B9" w14:textId="77777777" w:rsidR="00FD2CBB" w:rsidRPr="000F3591" w:rsidRDefault="00FD2CBB" w:rsidP="00990212">
            <w:pPr>
              <w:spacing w:after="0" w:line="240" w:lineRule="auto"/>
              <w:jc w:val="center"/>
              <w:rPr>
                <w:rFonts w:eastAsia="Times New Roman" w:cs="Calibri"/>
                <w:color w:val="000000"/>
                <w:sz w:val="20"/>
                <w:szCs w:val="20"/>
              </w:rPr>
            </w:pPr>
            <w:r w:rsidRPr="000F3591">
              <w:rPr>
                <w:rFonts w:eastAsia="Times New Roman" w:cs="Calibri"/>
                <w:color w:val="000000"/>
                <w:sz w:val="20"/>
                <w:szCs w:val="20"/>
              </w:rPr>
              <w:t>AUTOGUIDOVIE SPA</w:t>
            </w:r>
          </w:p>
        </w:tc>
        <w:tc>
          <w:tcPr>
            <w:tcW w:w="650" w:type="pct"/>
            <w:vAlign w:val="center"/>
            <w:hideMark/>
          </w:tcPr>
          <w:p w14:paraId="6D77AFBB" w14:textId="77777777" w:rsidR="00FD2CBB" w:rsidRPr="000F3591" w:rsidRDefault="00FD2CBB" w:rsidP="00990212">
            <w:pPr>
              <w:spacing w:after="0" w:line="240" w:lineRule="auto"/>
              <w:jc w:val="center"/>
              <w:rPr>
                <w:rFonts w:eastAsia="Times New Roman" w:cs="Calibri"/>
                <w:color w:val="000000"/>
                <w:sz w:val="20"/>
                <w:szCs w:val="20"/>
              </w:rPr>
            </w:pPr>
            <w:r w:rsidRPr="000F3591">
              <w:rPr>
                <w:rFonts w:eastAsia="Times New Roman" w:cs="Calibri"/>
                <w:color w:val="000000"/>
                <w:sz w:val="20"/>
                <w:szCs w:val="20"/>
              </w:rPr>
              <w:t>7</w:t>
            </w:r>
          </w:p>
        </w:tc>
        <w:tc>
          <w:tcPr>
            <w:tcW w:w="822" w:type="pct"/>
            <w:vAlign w:val="center"/>
            <w:hideMark/>
          </w:tcPr>
          <w:p w14:paraId="239D81AF" w14:textId="77777777" w:rsidR="00FD2CBB" w:rsidRPr="000F3591" w:rsidRDefault="00FD2CBB" w:rsidP="00990212">
            <w:pPr>
              <w:spacing w:after="0" w:line="240" w:lineRule="auto"/>
              <w:jc w:val="center"/>
              <w:rPr>
                <w:rFonts w:eastAsia="Times New Roman" w:cs="Calibri"/>
                <w:color w:val="000000"/>
                <w:sz w:val="20"/>
                <w:szCs w:val="20"/>
              </w:rPr>
            </w:pPr>
            <w:r w:rsidRPr="000F3591">
              <w:rPr>
                <w:rFonts w:eastAsia="Times New Roman" w:cs="Calibri"/>
                <w:color w:val="000000"/>
                <w:sz w:val="20"/>
                <w:szCs w:val="20"/>
              </w:rPr>
              <w:t>Urbano ed extraurbano</w:t>
            </w:r>
          </w:p>
        </w:tc>
        <w:tc>
          <w:tcPr>
            <w:tcW w:w="796" w:type="pct"/>
            <w:shd w:val="clear" w:color="000000" w:fill="FFFFFF"/>
            <w:vAlign w:val="center"/>
            <w:hideMark/>
          </w:tcPr>
          <w:p w14:paraId="6C84EE03" w14:textId="77777777" w:rsidR="00FD2CBB" w:rsidRPr="000F3591" w:rsidRDefault="00FD2CBB" w:rsidP="00990212">
            <w:pPr>
              <w:spacing w:after="0" w:line="240" w:lineRule="auto"/>
              <w:jc w:val="center"/>
              <w:rPr>
                <w:rFonts w:eastAsia="Times New Roman" w:cs="Calibri"/>
                <w:color w:val="000000"/>
                <w:sz w:val="20"/>
                <w:szCs w:val="20"/>
              </w:rPr>
            </w:pPr>
            <w:r w:rsidRPr="000F3591">
              <w:rPr>
                <w:rFonts w:eastAsia="Times New Roman" w:cs="Calibri"/>
                <w:color w:val="000000"/>
                <w:sz w:val="20"/>
                <w:szCs w:val="20"/>
              </w:rPr>
              <w:t>si</w:t>
            </w:r>
          </w:p>
        </w:tc>
        <w:tc>
          <w:tcPr>
            <w:tcW w:w="813" w:type="pct"/>
            <w:vAlign w:val="center"/>
            <w:hideMark/>
          </w:tcPr>
          <w:p w14:paraId="42ABE851" w14:textId="77777777" w:rsidR="00FD2CBB" w:rsidRPr="000F3591" w:rsidRDefault="00FD2CBB" w:rsidP="00990212">
            <w:pPr>
              <w:spacing w:after="0" w:line="240" w:lineRule="auto"/>
              <w:jc w:val="center"/>
              <w:rPr>
                <w:rFonts w:eastAsia="Times New Roman" w:cs="Calibri"/>
                <w:color w:val="000000"/>
                <w:sz w:val="20"/>
                <w:szCs w:val="20"/>
              </w:rPr>
            </w:pPr>
            <w:r w:rsidRPr="000F3591">
              <w:rPr>
                <w:rFonts w:eastAsia="Times New Roman" w:cs="Calibri"/>
                <w:color w:val="000000"/>
                <w:sz w:val="20"/>
                <w:szCs w:val="20"/>
              </w:rPr>
              <w:t>X</w:t>
            </w:r>
          </w:p>
        </w:tc>
        <w:tc>
          <w:tcPr>
            <w:tcW w:w="517" w:type="pct"/>
            <w:vAlign w:val="center"/>
            <w:hideMark/>
          </w:tcPr>
          <w:p w14:paraId="57FC55BF" w14:textId="77777777" w:rsidR="00FD2CBB" w:rsidRPr="000F3591" w:rsidRDefault="00FD2CBB" w:rsidP="00990212">
            <w:pPr>
              <w:spacing w:after="0" w:line="240" w:lineRule="auto"/>
              <w:jc w:val="center"/>
              <w:rPr>
                <w:rFonts w:eastAsia="Times New Roman" w:cs="Calibri"/>
                <w:color w:val="000000"/>
                <w:sz w:val="20"/>
                <w:szCs w:val="20"/>
              </w:rPr>
            </w:pPr>
            <w:r w:rsidRPr="000F3591">
              <w:rPr>
                <w:rFonts w:eastAsia="Times New Roman" w:cs="Calibri"/>
                <w:color w:val="000000"/>
                <w:sz w:val="20"/>
                <w:szCs w:val="20"/>
              </w:rPr>
              <w:t>A4</w:t>
            </w:r>
          </w:p>
        </w:tc>
      </w:tr>
      <w:tr w:rsidR="00FD2CBB" w:rsidRPr="000F3591" w14:paraId="5E9D2FB6" w14:textId="77777777" w:rsidTr="00990212">
        <w:trPr>
          <w:trHeight w:val="303"/>
        </w:trPr>
        <w:tc>
          <w:tcPr>
            <w:tcW w:w="1402" w:type="pct"/>
            <w:shd w:val="clear" w:color="000000" w:fill="FFFFFF"/>
            <w:vAlign w:val="center"/>
            <w:hideMark/>
          </w:tcPr>
          <w:p w14:paraId="70492335" w14:textId="77777777" w:rsidR="00FD2CBB" w:rsidRPr="000F3591" w:rsidRDefault="00FD2CBB" w:rsidP="00990212">
            <w:pPr>
              <w:spacing w:after="0" w:line="240" w:lineRule="auto"/>
              <w:jc w:val="center"/>
              <w:rPr>
                <w:rFonts w:eastAsia="Times New Roman" w:cs="Calibri"/>
                <w:color w:val="000000"/>
                <w:sz w:val="20"/>
                <w:szCs w:val="20"/>
              </w:rPr>
            </w:pPr>
            <w:r w:rsidRPr="000F3591">
              <w:rPr>
                <w:rFonts w:eastAsia="Times New Roman" w:cs="Calibri"/>
                <w:color w:val="000000"/>
                <w:sz w:val="20"/>
                <w:szCs w:val="20"/>
              </w:rPr>
              <w:t>AUTOLINEE GIACHINO S.R.L.</w:t>
            </w:r>
          </w:p>
        </w:tc>
        <w:tc>
          <w:tcPr>
            <w:tcW w:w="650" w:type="pct"/>
            <w:vAlign w:val="center"/>
            <w:hideMark/>
          </w:tcPr>
          <w:p w14:paraId="40D8A28A" w14:textId="77777777" w:rsidR="00FD2CBB" w:rsidRPr="000F3591" w:rsidRDefault="00FD2CBB" w:rsidP="00990212">
            <w:pPr>
              <w:spacing w:after="0" w:line="240" w:lineRule="auto"/>
              <w:jc w:val="center"/>
              <w:rPr>
                <w:rFonts w:eastAsia="Times New Roman" w:cs="Calibri"/>
                <w:color w:val="000000"/>
                <w:sz w:val="20"/>
                <w:szCs w:val="20"/>
              </w:rPr>
            </w:pPr>
            <w:r w:rsidRPr="000F3591">
              <w:rPr>
                <w:rFonts w:eastAsia="Times New Roman" w:cs="Calibri"/>
                <w:color w:val="000000"/>
                <w:sz w:val="20"/>
                <w:szCs w:val="20"/>
              </w:rPr>
              <w:t>9</w:t>
            </w:r>
          </w:p>
        </w:tc>
        <w:tc>
          <w:tcPr>
            <w:tcW w:w="822" w:type="pct"/>
            <w:vAlign w:val="center"/>
            <w:hideMark/>
          </w:tcPr>
          <w:p w14:paraId="51E04C64" w14:textId="77777777" w:rsidR="00FD2CBB" w:rsidRPr="000F3591" w:rsidRDefault="00FD2CBB" w:rsidP="00990212">
            <w:pPr>
              <w:spacing w:after="0" w:line="240" w:lineRule="auto"/>
              <w:jc w:val="center"/>
              <w:rPr>
                <w:rFonts w:eastAsia="Times New Roman" w:cs="Calibri"/>
                <w:color w:val="000000"/>
                <w:sz w:val="20"/>
                <w:szCs w:val="20"/>
              </w:rPr>
            </w:pPr>
            <w:r w:rsidRPr="000F3591">
              <w:rPr>
                <w:rFonts w:eastAsia="Times New Roman" w:cs="Calibri"/>
                <w:color w:val="000000"/>
                <w:sz w:val="20"/>
                <w:szCs w:val="20"/>
              </w:rPr>
              <w:t>Extraurbano</w:t>
            </w:r>
          </w:p>
        </w:tc>
        <w:tc>
          <w:tcPr>
            <w:tcW w:w="796" w:type="pct"/>
            <w:vAlign w:val="center"/>
            <w:hideMark/>
          </w:tcPr>
          <w:p w14:paraId="24DF8460" w14:textId="77777777" w:rsidR="00FD2CBB" w:rsidRPr="000F3591" w:rsidRDefault="00FD2CBB" w:rsidP="00990212">
            <w:pPr>
              <w:spacing w:after="0" w:line="240" w:lineRule="auto"/>
              <w:jc w:val="center"/>
              <w:rPr>
                <w:rFonts w:eastAsia="Times New Roman" w:cs="Calibri"/>
                <w:color w:val="000000"/>
                <w:sz w:val="20"/>
                <w:szCs w:val="20"/>
              </w:rPr>
            </w:pPr>
            <w:r w:rsidRPr="000F3591">
              <w:rPr>
                <w:rFonts w:eastAsia="Times New Roman" w:cs="Calibri"/>
                <w:color w:val="000000"/>
                <w:sz w:val="20"/>
                <w:szCs w:val="20"/>
              </w:rPr>
              <w:t>si</w:t>
            </w:r>
          </w:p>
        </w:tc>
        <w:tc>
          <w:tcPr>
            <w:tcW w:w="813" w:type="pct"/>
            <w:vAlign w:val="center"/>
            <w:hideMark/>
          </w:tcPr>
          <w:p w14:paraId="2DE62DDE" w14:textId="77777777" w:rsidR="00FD2CBB" w:rsidRPr="000F3591" w:rsidRDefault="00FD2CBB" w:rsidP="00990212">
            <w:pPr>
              <w:spacing w:after="0" w:line="240" w:lineRule="auto"/>
              <w:jc w:val="center"/>
              <w:rPr>
                <w:rFonts w:eastAsia="Times New Roman" w:cs="Calibri"/>
                <w:color w:val="000000"/>
                <w:sz w:val="20"/>
                <w:szCs w:val="20"/>
              </w:rPr>
            </w:pPr>
            <w:r w:rsidRPr="000F3591">
              <w:rPr>
                <w:rFonts w:eastAsia="Times New Roman" w:cs="Calibri"/>
                <w:color w:val="000000"/>
                <w:sz w:val="20"/>
                <w:szCs w:val="20"/>
              </w:rPr>
              <w:t>X</w:t>
            </w:r>
          </w:p>
        </w:tc>
        <w:tc>
          <w:tcPr>
            <w:tcW w:w="517" w:type="pct"/>
            <w:vAlign w:val="center"/>
            <w:hideMark/>
          </w:tcPr>
          <w:p w14:paraId="727A7310" w14:textId="77777777" w:rsidR="00FD2CBB" w:rsidRPr="000F3591" w:rsidRDefault="00FD2CBB" w:rsidP="00990212">
            <w:pPr>
              <w:spacing w:after="0" w:line="240" w:lineRule="auto"/>
              <w:jc w:val="center"/>
              <w:rPr>
                <w:rFonts w:eastAsia="Times New Roman" w:cs="Calibri"/>
                <w:color w:val="000000"/>
                <w:sz w:val="20"/>
                <w:szCs w:val="20"/>
              </w:rPr>
            </w:pPr>
            <w:r w:rsidRPr="000F3591">
              <w:rPr>
                <w:rFonts w:eastAsia="Times New Roman" w:cs="Calibri"/>
                <w:color w:val="000000"/>
                <w:sz w:val="20"/>
                <w:szCs w:val="20"/>
              </w:rPr>
              <w:t>A2</w:t>
            </w:r>
          </w:p>
        </w:tc>
      </w:tr>
      <w:tr w:rsidR="00FD2CBB" w:rsidRPr="000F3591" w14:paraId="4D022C1F" w14:textId="77777777" w:rsidTr="00990212">
        <w:trPr>
          <w:trHeight w:val="516"/>
        </w:trPr>
        <w:tc>
          <w:tcPr>
            <w:tcW w:w="1402" w:type="pct"/>
            <w:shd w:val="clear" w:color="000000" w:fill="FFFFFF"/>
            <w:vAlign w:val="center"/>
            <w:hideMark/>
          </w:tcPr>
          <w:p w14:paraId="4F3C3F8B" w14:textId="77777777" w:rsidR="00FD2CBB" w:rsidRPr="000F3591" w:rsidRDefault="00FD2CBB" w:rsidP="00990212">
            <w:pPr>
              <w:spacing w:after="0" w:line="240" w:lineRule="auto"/>
              <w:jc w:val="center"/>
              <w:rPr>
                <w:rFonts w:eastAsia="Times New Roman" w:cs="Calibri"/>
                <w:color w:val="000000"/>
                <w:sz w:val="20"/>
                <w:szCs w:val="20"/>
              </w:rPr>
            </w:pPr>
            <w:r w:rsidRPr="000F3591">
              <w:rPr>
                <w:rFonts w:eastAsia="Times New Roman" w:cs="Calibri"/>
                <w:color w:val="000000"/>
                <w:sz w:val="20"/>
                <w:szCs w:val="20"/>
              </w:rPr>
              <w:t>AUTOLINEE NUOVA BENESE SRL</w:t>
            </w:r>
          </w:p>
        </w:tc>
        <w:tc>
          <w:tcPr>
            <w:tcW w:w="650" w:type="pct"/>
            <w:vAlign w:val="center"/>
            <w:hideMark/>
          </w:tcPr>
          <w:p w14:paraId="555E9CF3" w14:textId="77777777" w:rsidR="00FD2CBB" w:rsidRPr="000F3591" w:rsidRDefault="00FD2CBB" w:rsidP="00990212">
            <w:pPr>
              <w:spacing w:after="0" w:line="240" w:lineRule="auto"/>
              <w:jc w:val="center"/>
              <w:rPr>
                <w:rFonts w:eastAsia="Times New Roman" w:cs="Calibri"/>
                <w:color w:val="000000"/>
                <w:sz w:val="20"/>
                <w:szCs w:val="20"/>
              </w:rPr>
            </w:pPr>
            <w:r w:rsidRPr="000F3591">
              <w:rPr>
                <w:rFonts w:eastAsia="Times New Roman" w:cs="Calibri"/>
                <w:color w:val="000000"/>
                <w:sz w:val="20"/>
                <w:szCs w:val="20"/>
              </w:rPr>
              <w:t>3</w:t>
            </w:r>
          </w:p>
        </w:tc>
        <w:tc>
          <w:tcPr>
            <w:tcW w:w="822" w:type="pct"/>
            <w:vAlign w:val="center"/>
            <w:hideMark/>
          </w:tcPr>
          <w:p w14:paraId="29B7EDDF" w14:textId="77777777" w:rsidR="00FD2CBB" w:rsidRPr="000F3591" w:rsidRDefault="00FD2CBB" w:rsidP="00990212">
            <w:pPr>
              <w:spacing w:after="0" w:line="240" w:lineRule="auto"/>
              <w:jc w:val="center"/>
              <w:rPr>
                <w:rFonts w:eastAsia="Times New Roman" w:cs="Calibri"/>
                <w:color w:val="000000"/>
                <w:sz w:val="20"/>
                <w:szCs w:val="20"/>
              </w:rPr>
            </w:pPr>
            <w:r w:rsidRPr="000F3591">
              <w:rPr>
                <w:rFonts w:eastAsia="Times New Roman" w:cs="Calibri"/>
                <w:color w:val="000000"/>
                <w:sz w:val="20"/>
                <w:szCs w:val="20"/>
              </w:rPr>
              <w:t>Urbano ed extraurbano</w:t>
            </w:r>
          </w:p>
        </w:tc>
        <w:tc>
          <w:tcPr>
            <w:tcW w:w="796" w:type="pct"/>
            <w:vAlign w:val="center"/>
            <w:hideMark/>
          </w:tcPr>
          <w:p w14:paraId="102D4474" w14:textId="77777777" w:rsidR="00FD2CBB" w:rsidRPr="000F3591" w:rsidRDefault="00FD2CBB" w:rsidP="00990212">
            <w:pPr>
              <w:spacing w:after="0" w:line="240" w:lineRule="auto"/>
              <w:jc w:val="center"/>
              <w:rPr>
                <w:rFonts w:eastAsia="Times New Roman" w:cs="Calibri"/>
                <w:color w:val="000000"/>
                <w:sz w:val="20"/>
                <w:szCs w:val="20"/>
              </w:rPr>
            </w:pPr>
            <w:r w:rsidRPr="000F3591">
              <w:rPr>
                <w:rFonts w:eastAsia="Times New Roman" w:cs="Calibri"/>
                <w:color w:val="000000"/>
                <w:sz w:val="20"/>
                <w:szCs w:val="20"/>
              </w:rPr>
              <w:t>si</w:t>
            </w:r>
          </w:p>
        </w:tc>
        <w:tc>
          <w:tcPr>
            <w:tcW w:w="813" w:type="pct"/>
            <w:vAlign w:val="center"/>
            <w:hideMark/>
          </w:tcPr>
          <w:p w14:paraId="33A7D1B6" w14:textId="14F20C28" w:rsidR="00FD2CBB" w:rsidRPr="000F3591" w:rsidRDefault="00FD2CBB" w:rsidP="00990212">
            <w:pPr>
              <w:spacing w:after="0" w:line="240" w:lineRule="auto"/>
              <w:jc w:val="center"/>
              <w:rPr>
                <w:rFonts w:eastAsia="Times New Roman" w:cs="Calibri"/>
                <w:color w:val="000000"/>
                <w:sz w:val="20"/>
                <w:szCs w:val="20"/>
              </w:rPr>
            </w:pPr>
          </w:p>
        </w:tc>
        <w:tc>
          <w:tcPr>
            <w:tcW w:w="517" w:type="pct"/>
            <w:vAlign w:val="center"/>
            <w:hideMark/>
          </w:tcPr>
          <w:p w14:paraId="4824F61A" w14:textId="24C90910" w:rsidR="00FD2CBB" w:rsidRPr="000F3591" w:rsidRDefault="00FD2CBB" w:rsidP="00990212">
            <w:pPr>
              <w:spacing w:after="0" w:line="240" w:lineRule="auto"/>
              <w:jc w:val="center"/>
              <w:rPr>
                <w:rFonts w:eastAsia="Times New Roman" w:cs="Calibri"/>
                <w:color w:val="000000"/>
                <w:sz w:val="20"/>
                <w:szCs w:val="20"/>
              </w:rPr>
            </w:pPr>
          </w:p>
        </w:tc>
      </w:tr>
      <w:tr w:rsidR="00FD2CBB" w:rsidRPr="000F3591" w14:paraId="3C5E7A93" w14:textId="77777777" w:rsidTr="00990212">
        <w:trPr>
          <w:trHeight w:val="516"/>
        </w:trPr>
        <w:tc>
          <w:tcPr>
            <w:tcW w:w="1402" w:type="pct"/>
            <w:shd w:val="clear" w:color="000000" w:fill="FFFFFF"/>
            <w:vAlign w:val="center"/>
            <w:hideMark/>
          </w:tcPr>
          <w:p w14:paraId="67637195" w14:textId="77777777" w:rsidR="00FD2CBB" w:rsidRPr="000F3591" w:rsidRDefault="00FD2CBB" w:rsidP="00990212">
            <w:pPr>
              <w:spacing w:after="0" w:line="240" w:lineRule="auto"/>
              <w:jc w:val="center"/>
              <w:rPr>
                <w:rFonts w:eastAsia="Times New Roman" w:cs="Calibri"/>
                <w:color w:val="000000"/>
                <w:sz w:val="20"/>
                <w:szCs w:val="20"/>
              </w:rPr>
            </w:pPr>
            <w:r w:rsidRPr="000F3591">
              <w:rPr>
                <w:rFonts w:eastAsia="Times New Roman" w:cs="Calibri"/>
                <w:color w:val="000000"/>
                <w:sz w:val="20"/>
                <w:szCs w:val="20"/>
              </w:rPr>
              <w:t>AZIENDA TRASPORTI MILANESI SPA</w:t>
            </w:r>
          </w:p>
        </w:tc>
        <w:tc>
          <w:tcPr>
            <w:tcW w:w="650" w:type="pct"/>
            <w:vAlign w:val="center"/>
            <w:hideMark/>
          </w:tcPr>
          <w:p w14:paraId="6D09568A" w14:textId="77777777" w:rsidR="00FD2CBB" w:rsidRPr="000F3591" w:rsidRDefault="00FD2CBB" w:rsidP="00990212">
            <w:pPr>
              <w:spacing w:after="0" w:line="240" w:lineRule="auto"/>
              <w:jc w:val="center"/>
              <w:rPr>
                <w:rFonts w:eastAsia="Times New Roman" w:cs="Calibri"/>
                <w:color w:val="000000"/>
                <w:sz w:val="20"/>
                <w:szCs w:val="20"/>
              </w:rPr>
            </w:pPr>
            <w:r w:rsidRPr="000F3591">
              <w:rPr>
                <w:rFonts w:eastAsia="Times New Roman" w:cs="Calibri"/>
                <w:color w:val="000000"/>
                <w:sz w:val="20"/>
                <w:szCs w:val="20"/>
              </w:rPr>
              <w:t>7</w:t>
            </w:r>
          </w:p>
        </w:tc>
        <w:tc>
          <w:tcPr>
            <w:tcW w:w="822" w:type="pct"/>
            <w:vAlign w:val="center"/>
            <w:hideMark/>
          </w:tcPr>
          <w:p w14:paraId="1A49DE2D" w14:textId="77777777" w:rsidR="00FD2CBB" w:rsidRPr="000F3591" w:rsidRDefault="00FD2CBB" w:rsidP="00990212">
            <w:pPr>
              <w:spacing w:after="0" w:line="240" w:lineRule="auto"/>
              <w:jc w:val="center"/>
              <w:rPr>
                <w:rFonts w:eastAsia="Times New Roman" w:cs="Calibri"/>
                <w:color w:val="000000"/>
                <w:sz w:val="20"/>
                <w:szCs w:val="20"/>
              </w:rPr>
            </w:pPr>
            <w:r w:rsidRPr="000F3591">
              <w:rPr>
                <w:rFonts w:eastAsia="Times New Roman" w:cs="Calibri"/>
                <w:color w:val="000000"/>
                <w:sz w:val="20"/>
                <w:szCs w:val="20"/>
              </w:rPr>
              <w:t>Urbano ed extraurbano</w:t>
            </w:r>
          </w:p>
        </w:tc>
        <w:tc>
          <w:tcPr>
            <w:tcW w:w="796" w:type="pct"/>
            <w:vAlign w:val="center"/>
            <w:hideMark/>
          </w:tcPr>
          <w:p w14:paraId="1EDD2982" w14:textId="77777777" w:rsidR="00FD2CBB" w:rsidRPr="000F3591" w:rsidRDefault="00FD2CBB" w:rsidP="00990212">
            <w:pPr>
              <w:spacing w:after="0" w:line="240" w:lineRule="auto"/>
              <w:jc w:val="center"/>
              <w:rPr>
                <w:rFonts w:eastAsia="Times New Roman" w:cs="Calibri"/>
                <w:color w:val="000000"/>
                <w:sz w:val="20"/>
                <w:szCs w:val="20"/>
              </w:rPr>
            </w:pPr>
            <w:r w:rsidRPr="000F3591">
              <w:rPr>
                <w:rFonts w:eastAsia="Times New Roman" w:cs="Calibri"/>
                <w:color w:val="000000"/>
                <w:sz w:val="20"/>
                <w:szCs w:val="20"/>
              </w:rPr>
              <w:t>si</w:t>
            </w:r>
          </w:p>
        </w:tc>
        <w:tc>
          <w:tcPr>
            <w:tcW w:w="813" w:type="pct"/>
            <w:vAlign w:val="center"/>
            <w:hideMark/>
          </w:tcPr>
          <w:p w14:paraId="258E2CCE" w14:textId="77777777" w:rsidR="00FD2CBB" w:rsidRPr="000F3591" w:rsidRDefault="00FD2CBB" w:rsidP="00990212">
            <w:pPr>
              <w:spacing w:after="0" w:line="240" w:lineRule="auto"/>
              <w:jc w:val="center"/>
              <w:rPr>
                <w:rFonts w:eastAsia="Times New Roman" w:cs="Calibri"/>
                <w:color w:val="000000"/>
                <w:sz w:val="20"/>
                <w:szCs w:val="20"/>
              </w:rPr>
            </w:pPr>
            <w:r w:rsidRPr="000F3591">
              <w:rPr>
                <w:rFonts w:eastAsia="Times New Roman" w:cs="Calibri"/>
                <w:color w:val="000000"/>
                <w:sz w:val="20"/>
                <w:szCs w:val="20"/>
              </w:rPr>
              <w:t>X</w:t>
            </w:r>
          </w:p>
        </w:tc>
        <w:tc>
          <w:tcPr>
            <w:tcW w:w="517" w:type="pct"/>
            <w:vAlign w:val="center"/>
            <w:hideMark/>
          </w:tcPr>
          <w:p w14:paraId="5A59A6BD" w14:textId="77777777" w:rsidR="00FD2CBB" w:rsidRPr="000F3591" w:rsidRDefault="00FD2CBB" w:rsidP="00990212">
            <w:pPr>
              <w:spacing w:after="0" w:line="240" w:lineRule="auto"/>
              <w:jc w:val="center"/>
              <w:rPr>
                <w:rFonts w:eastAsia="Times New Roman" w:cs="Calibri"/>
                <w:color w:val="000000"/>
                <w:sz w:val="20"/>
                <w:szCs w:val="20"/>
              </w:rPr>
            </w:pPr>
            <w:r w:rsidRPr="000F3591">
              <w:rPr>
                <w:rFonts w:eastAsia="Times New Roman" w:cs="Calibri"/>
                <w:color w:val="000000"/>
                <w:sz w:val="20"/>
                <w:szCs w:val="20"/>
              </w:rPr>
              <w:t>A4</w:t>
            </w:r>
          </w:p>
        </w:tc>
      </w:tr>
      <w:tr w:rsidR="00FD2CBB" w:rsidRPr="000F3591" w14:paraId="008D66D5" w14:textId="77777777" w:rsidTr="00990212">
        <w:trPr>
          <w:trHeight w:val="303"/>
        </w:trPr>
        <w:tc>
          <w:tcPr>
            <w:tcW w:w="1402" w:type="pct"/>
            <w:shd w:val="clear" w:color="000000" w:fill="FFFFFF"/>
            <w:vAlign w:val="center"/>
            <w:hideMark/>
          </w:tcPr>
          <w:p w14:paraId="0F91320C" w14:textId="77777777" w:rsidR="00FD2CBB" w:rsidRPr="000F3591" w:rsidRDefault="00FD2CBB" w:rsidP="00990212">
            <w:pPr>
              <w:spacing w:after="0" w:line="240" w:lineRule="auto"/>
              <w:jc w:val="center"/>
              <w:rPr>
                <w:rFonts w:eastAsia="Times New Roman" w:cs="Calibri"/>
                <w:color w:val="000000"/>
                <w:sz w:val="20"/>
                <w:szCs w:val="20"/>
              </w:rPr>
            </w:pPr>
            <w:r w:rsidRPr="000F3591">
              <w:rPr>
                <w:rFonts w:eastAsia="Times New Roman" w:cs="Calibri"/>
                <w:color w:val="000000"/>
                <w:sz w:val="20"/>
                <w:szCs w:val="20"/>
              </w:rPr>
              <w:t>BELLANDO TOURS SRL</w:t>
            </w:r>
          </w:p>
        </w:tc>
        <w:tc>
          <w:tcPr>
            <w:tcW w:w="650" w:type="pct"/>
            <w:vAlign w:val="center"/>
            <w:hideMark/>
          </w:tcPr>
          <w:p w14:paraId="5039A544" w14:textId="77777777" w:rsidR="00FD2CBB" w:rsidRPr="000F3591" w:rsidRDefault="00FD2CBB" w:rsidP="00990212">
            <w:pPr>
              <w:spacing w:after="0" w:line="240" w:lineRule="auto"/>
              <w:jc w:val="center"/>
              <w:rPr>
                <w:rFonts w:eastAsia="Times New Roman" w:cs="Calibri"/>
                <w:color w:val="000000"/>
                <w:sz w:val="20"/>
                <w:szCs w:val="20"/>
              </w:rPr>
            </w:pPr>
            <w:r w:rsidRPr="000F3591">
              <w:rPr>
                <w:rFonts w:eastAsia="Times New Roman" w:cs="Calibri"/>
                <w:color w:val="000000"/>
                <w:sz w:val="20"/>
                <w:szCs w:val="20"/>
              </w:rPr>
              <w:t>5</w:t>
            </w:r>
          </w:p>
        </w:tc>
        <w:tc>
          <w:tcPr>
            <w:tcW w:w="822" w:type="pct"/>
            <w:vAlign w:val="center"/>
            <w:hideMark/>
          </w:tcPr>
          <w:p w14:paraId="4E85F04D" w14:textId="77777777" w:rsidR="00FD2CBB" w:rsidRPr="000F3591" w:rsidRDefault="00FD2CBB" w:rsidP="00990212">
            <w:pPr>
              <w:spacing w:after="0" w:line="240" w:lineRule="auto"/>
              <w:jc w:val="center"/>
              <w:rPr>
                <w:rFonts w:eastAsia="Times New Roman" w:cs="Calibri"/>
                <w:color w:val="000000"/>
                <w:sz w:val="20"/>
                <w:szCs w:val="20"/>
              </w:rPr>
            </w:pPr>
            <w:r>
              <w:rPr>
                <w:rFonts w:eastAsia="Times New Roman" w:cs="Calibri"/>
                <w:color w:val="000000"/>
                <w:sz w:val="20"/>
                <w:szCs w:val="20"/>
              </w:rPr>
              <w:t>Extraurbano</w:t>
            </w:r>
          </w:p>
        </w:tc>
        <w:tc>
          <w:tcPr>
            <w:tcW w:w="796" w:type="pct"/>
            <w:vAlign w:val="center"/>
            <w:hideMark/>
          </w:tcPr>
          <w:p w14:paraId="0360A892" w14:textId="77777777" w:rsidR="00FD2CBB" w:rsidRPr="000F3591" w:rsidRDefault="00FD2CBB" w:rsidP="00990212">
            <w:pPr>
              <w:spacing w:after="0" w:line="240" w:lineRule="auto"/>
              <w:jc w:val="center"/>
              <w:rPr>
                <w:rFonts w:eastAsia="Times New Roman" w:cs="Calibri"/>
                <w:color w:val="000000"/>
                <w:sz w:val="20"/>
                <w:szCs w:val="20"/>
              </w:rPr>
            </w:pPr>
            <w:r w:rsidRPr="000F3591">
              <w:rPr>
                <w:rFonts w:eastAsia="Times New Roman" w:cs="Calibri"/>
                <w:color w:val="000000"/>
                <w:sz w:val="20"/>
                <w:szCs w:val="20"/>
              </w:rPr>
              <w:t>si</w:t>
            </w:r>
          </w:p>
        </w:tc>
        <w:tc>
          <w:tcPr>
            <w:tcW w:w="813" w:type="pct"/>
            <w:noWrap/>
            <w:vAlign w:val="center"/>
            <w:hideMark/>
          </w:tcPr>
          <w:p w14:paraId="2E2FA06A" w14:textId="4F6D7CEF" w:rsidR="00FD2CBB" w:rsidRPr="000F3591" w:rsidRDefault="00FD2CBB" w:rsidP="00990212">
            <w:pPr>
              <w:spacing w:after="0" w:line="240" w:lineRule="auto"/>
              <w:jc w:val="center"/>
              <w:rPr>
                <w:rFonts w:eastAsia="Times New Roman" w:cs="Calibri"/>
                <w:color w:val="000000"/>
                <w:sz w:val="20"/>
                <w:szCs w:val="20"/>
              </w:rPr>
            </w:pPr>
          </w:p>
        </w:tc>
        <w:tc>
          <w:tcPr>
            <w:tcW w:w="517" w:type="pct"/>
            <w:noWrap/>
            <w:vAlign w:val="center"/>
            <w:hideMark/>
          </w:tcPr>
          <w:p w14:paraId="7429BEE6" w14:textId="365EB9A9" w:rsidR="00FD2CBB" w:rsidRPr="000F3591" w:rsidRDefault="00FD2CBB" w:rsidP="00990212">
            <w:pPr>
              <w:spacing w:after="0" w:line="240" w:lineRule="auto"/>
              <w:jc w:val="center"/>
              <w:rPr>
                <w:rFonts w:eastAsia="Times New Roman" w:cs="Calibri"/>
                <w:color w:val="000000"/>
                <w:sz w:val="20"/>
                <w:szCs w:val="20"/>
              </w:rPr>
            </w:pPr>
          </w:p>
        </w:tc>
      </w:tr>
      <w:tr w:rsidR="00FD2CBB" w:rsidRPr="000F3591" w14:paraId="3AD32176" w14:textId="77777777" w:rsidTr="00990212">
        <w:trPr>
          <w:trHeight w:val="516"/>
        </w:trPr>
        <w:tc>
          <w:tcPr>
            <w:tcW w:w="1402" w:type="pct"/>
            <w:shd w:val="clear" w:color="000000" w:fill="FFFFFF"/>
            <w:vAlign w:val="center"/>
            <w:hideMark/>
          </w:tcPr>
          <w:p w14:paraId="4BAEB4CC" w14:textId="77777777" w:rsidR="00FD2CBB" w:rsidRPr="000F3591" w:rsidRDefault="00FD2CBB" w:rsidP="00990212">
            <w:pPr>
              <w:spacing w:after="0" w:line="240" w:lineRule="auto"/>
              <w:jc w:val="center"/>
              <w:rPr>
                <w:rFonts w:eastAsia="Times New Roman" w:cs="Calibri"/>
                <w:color w:val="000000"/>
                <w:sz w:val="20"/>
                <w:szCs w:val="20"/>
                <w:lang w:val="en-GB"/>
              </w:rPr>
            </w:pPr>
            <w:r w:rsidRPr="000F3591">
              <w:rPr>
                <w:rFonts w:eastAsia="Times New Roman" w:cs="Calibri"/>
                <w:color w:val="000000"/>
                <w:sz w:val="20"/>
                <w:szCs w:val="20"/>
                <w:lang w:val="en-GB"/>
              </w:rPr>
              <w:t>BUS COMPANY S.R.L.</w:t>
            </w:r>
          </w:p>
        </w:tc>
        <w:tc>
          <w:tcPr>
            <w:tcW w:w="650" w:type="pct"/>
            <w:vAlign w:val="center"/>
            <w:hideMark/>
          </w:tcPr>
          <w:p w14:paraId="085AD187" w14:textId="77777777" w:rsidR="00FD2CBB" w:rsidRPr="000F3591" w:rsidRDefault="00FD2CBB" w:rsidP="00990212">
            <w:pPr>
              <w:spacing w:after="0" w:line="240" w:lineRule="auto"/>
              <w:jc w:val="center"/>
              <w:rPr>
                <w:rFonts w:eastAsia="Times New Roman" w:cs="Calibri"/>
                <w:color w:val="000000"/>
                <w:sz w:val="20"/>
                <w:szCs w:val="20"/>
              </w:rPr>
            </w:pPr>
            <w:r w:rsidRPr="000F3591">
              <w:rPr>
                <w:rFonts w:eastAsia="Times New Roman" w:cs="Calibri"/>
                <w:color w:val="000000"/>
                <w:sz w:val="20"/>
                <w:szCs w:val="20"/>
              </w:rPr>
              <w:t>10</w:t>
            </w:r>
          </w:p>
        </w:tc>
        <w:tc>
          <w:tcPr>
            <w:tcW w:w="822" w:type="pct"/>
            <w:vAlign w:val="center"/>
            <w:hideMark/>
          </w:tcPr>
          <w:p w14:paraId="1F24D7B3" w14:textId="77777777" w:rsidR="00FD2CBB" w:rsidRPr="000F3591" w:rsidRDefault="00FD2CBB" w:rsidP="00990212">
            <w:pPr>
              <w:spacing w:after="0" w:line="240" w:lineRule="auto"/>
              <w:jc w:val="center"/>
              <w:rPr>
                <w:rFonts w:eastAsia="Times New Roman" w:cs="Calibri"/>
                <w:color w:val="000000"/>
                <w:sz w:val="20"/>
                <w:szCs w:val="20"/>
              </w:rPr>
            </w:pPr>
            <w:r w:rsidRPr="000F3591">
              <w:rPr>
                <w:rFonts w:eastAsia="Times New Roman" w:cs="Calibri"/>
                <w:color w:val="000000"/>
                <w:sz w:val="20"/>
                <w:szCs w:val="20"/>
              </w:rPr>
              <w:t>Urbano ed extraurbano</w:t>
            </w:r>
          </w:p>
        </w:tc>
        <w:tc>
          <w:tcPr>
            <w:tcW w:w="796" w:type="pct"/>
            <w:vAlign w:val="center"/>
            <w:hideMark/>
          </w:tcPr>
          <w:p w14:paraId="6373B595" w14:textId="77777777" w:rsidR="00FD2CBB" w:rsidRPr="000F3591" w:rsidRDefault="00FD2CBB" w:rsidP="00990212">
            <w:pPr>
              <w:spacing w:after="0" w:line="240" w:lineRule="auto"/>
              <w:jc w:val="center"/>
              <w:rPr>
                <w:rFonts w:eastAsia="Times New Roman" w:cs="Calibri"/>
                <w:color w:val="000000"/>
                <w:sz w:val="20"/>
                <w:szCs w:val="20"/>
              </w:rPr>
            </w:pPr>
            <w:r w:rsidRPr="000F3591">
              <w:rPr>
                <w:rFonts w:eastAsia="Times New Roman" w:cs="Calibri"/>
                <w:color w:val="000000"/>
                <w:sz w:val="20"/>
                <w:szCs w:val="20"/>
              </w:rPr>
              <w:t>si</w:t>
            </w:r>
          </w:p>
        </w:tc>
        <w:tc>
          <w:tcPr>
            <w:tcW w:w="813" w:type="pct"/>
            <w:vAlign w:val="center"/>
            <w:hideMark/>
          </w:tcPr>
          <w:p w14:paraId="690A00E0" w14:textId="77777777" w:rsidR="00FD2CBB" w:rsidRPr="000F3591" w:rsidRDefault="00FD2CBB" w:rsidP="00990212">
            <w:pPr>
              <w:spacing w:after="0" w:line="240" w:lineRule="auto"/>
              <w:jc w:val="center"/>
              <w:rPr>
                <w:rFonts w:eastAsia="Times New Roman" w:cs="Calibri"/>
                <w:color w:val="000000"/>
                <w:sz w:val="20"/>
                <w:szCs w:val="20"/>
              </w:rPr>
            </w:pPr>
            <w:r w:rsidRPr="000F3591">
              <w:rPr>
                <w:rFonts w:eastAsia="Times New Roman" w:cs="Calibri"/>
                <w:color w:val="000000"/>
                <w:sz w:val="20"/>
                <w:szCs w:val="20"/>
              </w:rPr>
              <w:t>X</w:t>
            </w:r>
          </w:p>
        </w:tc>
        <w:tc>
          <w:tcPr>
            <w:tcW w:w="517" w:type="pct"/>
            <w:vAlign w:val="center"/>
            <w:hideMark/>
          </w:tcPr>
          <w:p w14:paraId="3FD072DB" w14:textId="77777777" w:rsidR="00FD2CBB" w:rsidRPr="000F3591" w:rsidRDefault="00FD2CBB" w:rsidP="00990212">
            <w:pPr>
              <w:spacing w:after="0" w:line="240" w:lineRule="auto"/>
              <w:jc w:val="center"/>
              <w:rPr>
                <w:rFonts w:eastAsia="Times New Roman" w:cs="Calibri"/>
                <w:color w:val="000000"/>
                <w:sz w:val="20"/>
                <w:szCs w:val="20"/>
              </w:rPr>
            </w:pPr>
            <w:r w:rsidRPr="000F3591">
              <w:rPr>
                <w:rFonts w:eastAsia="Times New Roman" w:cs="Calibri"/>
                <w:color w:val="000000"/>
                <w:sz w:val="20"/>
                <w:szCs w:val="20"/>
              </w:rPr>
              <w:t>A4</w:t>
            </w:r>
          </w:p>
        </w:tc>
      </w:tr>
      <w:tr w:rsidR="00FD2CBB" w:rsidRPr="000F3591" w14:paraId="0EB72965" w14:textId="77777777" w:rsidTr="00990212">
        <w:trPr>
          <w:trHeight w:val="516"/>
        </w:trPr>
        <w:tc>
          <w:tcPr>
            <w:tcW w:w="1402" w:type="pct"/>
            <w:shd w:val="clear" w:color="000000" w:fill="FFFFFF"/>
            <w:vAlign w:val="center"/>
            <w:hideMark/>
          </w:tcPr>
          <w:p w14:paraId="50B786E8" w14:textId="77777777" w:rsidR="00FD2CBB" w:rsidRPr="000F3591" w:rsidRDefault="00FD2CBB" w:rsidP="00990212">
            <w:pPr>
              <w:spacing w:after="0" w:line="240" w:lineRule="auto"/>
              <w:jc w:val="center"/>
              <w:rPr>
                <w:rFonts w:eastAsia="Times New Roman" w:cs="Calibri"/>
                <w:color w:val="000000"/>
                <w:sz w:val="20"/>
                <w:szCs w:val="20"/>
              </w:rPr>
            </w:pPr>
            <w:r w:rsidRPr="000F3591">
              <w:rPr>
                <w:rFonts w:eastAsia="Times New Roman" w:cs="Calibri"/>
                <w:color w:val="000000"/>
                <w:sz w:val="20"/>
                <w:szCs w:val="20"/>
              </w:rPr>
              <w:t>BUSITALIA -SITA NORD SRL</w:t>
            </w:r>
          </w:p>
        </w:tc>
        <w:tc>
          <w:tcPr>
            <w:tcW w:w="650" w:type="pct"/>
            <w:vAlign w:val="center"/>
            <w:hideMark/>
          </w:tcPr>
          <w:p w14:paraId="2BBF405C" w14:textId="77777777" w:rsidR="00FD2CBB" w:rsidRPr="000F3591" w:rsidRDefault="00FD2CBB" w:rsidP="00990212">
            <w:pPr>
              <w:spacing w:after="0" w:line="240" w:lineRule="auto"/>
              <w:jc w:val="center"/>
              <w:rPr>
                <w:rFonts w:eastAsia="Times New Roman" w:cs="Calibri"/>
                <w:color w:val="000000"/>
                <w:sz w:val="20"/>
                <w:szCs w:val="20"/>
              </w:rPr>
            </w:pPr>
            <w:r w:rsidRPr="000F3591">
              <w:rPr>
                <w:rFonts w:eastAsia="Times New Roman" w:cs="Calibri"/>
                <w:color w:val="000000"/>
                <w:sz w:val="20"/>
                <w:szCs w:val="20"/>
              </w:rPr>
              <w:t>2</w:t>
            </w:r>
          </w:p>
        </w:tc>
        <w:tc>
          <w:tcPr>
            <w:tcW w:w="822" w:type="pct"/>
            <w:vAlign w:val="center"/>
            <w:hideMark/>
          </w:tcPr>
          <w:p w14:paraId="6314C73C" w14:textId="77777777" w:rsidR="00FD2CBB" w:rsidRPr="000F3591" w:rsidRDefault="00FD2CBB" w:rsidP="00990212">
            <w:pPr>
              <w:spacing w:after="0" w:line="240" w:lineRule="auto"/>
              <w:jc w:val="center"/>
              <w:rPr>
                <w:rFonts w:eastAsia="Times New Roman" w:cs="Calibri"/>
                <w:color w:val="000000"/>
                <w:sz w:val="20"/>
                <w:szCs w:val="20"/>
              </w:rPr>
            </w:pPr>
            <w:r w:rsidRPr="000F3591">
              <w:rPr>
                <w:rFonts w:eastAsia="Times New Roman" w:cs="Calibri"/>
                <w:color w:val="000000"/>
                <w:sz w:val="20"/>
                <w:szCs w:val="20"/>
              </w:rPr>
              <w:t>Urbano ed extraurbano</w:t>
            </w:r>
          </w:p>
        </w:tc>
        <w:tc>
          <w:tcPr>
            <w:tcW w:w="796" w:type="pct"/>
            <w:vAlign w:val="center"/>
            <w:hideMark/>
          </w:tcPr>
          <w:p w14:paraId="2F2C4362" w14:textId="77777777" w:rsidR="00FD2CBB" w:rsidRPr="000F3591" w:rsidRDefault="00FD2CBB" w:rsidP="00990212">
            <w:pPr>
              <w:spacing w:after="0" w:line="240" w:lineRule="auto"/>
              <w:jc w:val="center"/>
              <w:rPr>
                <w:rFonts w:eastAsia="Times New Roman" w:cs="Calibri"/>
                <w:color w:val="000000"/>
                <w:sz w:val="20"/>
                <w:szCs w:val="20"/>
              </w:rPr>
            </w:pPr>
            <w:r w:rsidRPr="000F3591">
              <w:rPr>
                <w:rFonts w:eastAsia="Times New Roman" w:cs="Calibri"/>
                <w:color w:val="000000"/>
                <w:sz w:val="20"/>
                <w:szCs w:val="20"/>
              </w:rPr>
              <w:t>no</w:t>
            </w:r>
          </w:p>
        </w:tc>
        <w:tc>
          <w:tcPr>
            <w:tcW w:w="813" w:type="pct"/>
            <w:vAlign w:val="center"/>
            <w:hideMark/>
          </w:tcPr>
          <w:p w14:paraId="5021C05F" w14:textId="77777777" w:rsidR="00FD2CBB" w:rsidRPr="000F3591" w:rsidRDefault="00FD2CBB" w:rsidP="00990212">
            <w:pPr>
              <w:spacing w:after="0" w:line="240" w:lineRule="auto"/>
              <w:jc w:val="center"/>
              <w:rPr>
                <w:rFonts w:eastAsia="Times New Roman" w:cs="Calibri"/>
                <w:color w:val="000000"/>
                <w:sz w:val="20"/>
                <w:szCs w:val="20"/>
              </w:rPr>
            </w:pPr>
            <w:r w:rsidRPr="000F3591">
              <w:rPr>
                <w:rFonts w:eastAsia="Times New Roman" w:cs="Calibri"/>
                <w:color w:val="000000"/>
                <w:sz w:val="20"/>
                <w:szCs w:val="20"/>
              </w:rPr>
              <w:t>X</w:t>
            </w:r>
          </w:p>
        </w:tc>
        <w:tc>
          <w:tcPr>
            <w:tcW w:w="517" w:type="pct"/>
            <w:vAlign w:val="center"/>
            <w:hideMark/>
          </w:tcPr>
          <w:p w14:paraId="39DDD813" w14:textId="77777777" w:rsidR="00FD2CBB" w:rsidRPr="000F3591" w:rsidRDefault="00FD2CBB" w:rsidP="00990212">
            <w:pPr>
              <w:spacing w:after="0" w:line="240" w:lineRule="auto"/>
              <w:jc w:val="center"/>
              <w:rPr>
                <w:rFonts w:eastAsia="Times New Roman" w:cs="Calibri"/>
                <w:color w:val="000000"/>
                <w:sz w:val="20"/>
                <w:szCs w:val="20"/>
              </w:rPr>
            </w:pPr>
            <w:r w:rsidRPr="000F3591">
              <w:rPr>
                <w:rFonts w:eastAsia="Times New Roman" w:cs="Calibri"/>
                <w:color w:val="000000"/>
                <w:sz w:val="20"/>
                <w:szCs w:val="20"/>
              </w:rPr>
              <w:t>A4</w:t>
            </w:r>
          </w:p>
        </w:tc>
      </w:tr>
      <w:tr w:rsidR="00FD2CBB" w:rsidRPr="000F3591" w14:paraId="21A5C8C9" w14:textId="77777777" w:rsidTr="00990212">
        <w:trPr>
          <w:trHeight w:val="516"/>
        </w:trPr>
        <w:tc>
          <w:tcPr>
            <w:tcW w:w="1402" w:type="pct"/>
            <w:shd w:val="clear" w:color="000000" w:fill="FFFFFF"/>
            <w:vAlign w:val="center"/>
            <w:hideMark/>
          </w:tcPr>
          <w:p w14:paraId="23BBCF06" w14:textId="77777777" w:rsidR="00FD2CBB" w:rsidRPr="000F3591" w:rsidRDefault="00FD2CBB" w:rsidP="00990212">
            <w:pPr>
              <w:spacing w:after="0" w:line="240" w:lineRule="auto"/>
              <w:jc w:val="center"/>
              <w:rPr>
                <w:rFonts w:eastAsia="Times New Roman" w:cs="Calibri"/>
                <w:color w:val="000000"/>
                <w:sz w:val="20"/>
                <w:szCs w:val="20"/>
              </w:rPr>
            </w:pPr>
            <w:r w:rsidRPr="000F3591">
              <w:rPr>
                <w:rFonts w:eastAsia="Times New Roman" w:cs="Calibri"/>
                <w:color w:val="000000"/>
                <w:sz w:val="20"/>
                <w:szCs w:val="20"/>
              </w:rPr>
              <w:t>CAVOURESE SPA</w:t>
            </w:r>
          </w:p>
        </w:tc>
        <w:tc>
          <w:tcPr>
            <w:tcW w:w="650" w:type="pct"/>
            <w:vAlign w:val="center"/>
            <w:hideMark/>
          </w:tcPr>
          <w:p w14:paraId="7701F005" w14:textId="77777777" w:rsidR="00FD2CBB" w:rsidRPr="000F3591" w:rsidRDefault="00FD2CBB" w:rsidP="00990212">
            <w:pPr>
              <w:spacing w:after="0" w:line="240" w:lineRule="auto"/>
              <w:jc w:val="center"/>
              <w:rPr>
                <w:rFonts w:eastAsia="Times New Roman" w:cs="Calibri"/>
                <w:color w:val="000000"/>
                <w:sz w:val="20"/>
                <w:szCs w:val="20"/>
              </w:rPr>
            </w:pPr>
            <w:r w:rsidRPr="000F3591">
              <w:rPr>
                <w:rFonts w:eastAsia="Times New Roman" w:cs="Calibri"/>
                <w:color w:val="000000"/>
                <w:sz w:val="20"/>
                <w:szCs w:val="20"/>
              </w:rPr>
              <w:t>1</w:t>
            </w:r>
          </w:p>
        </w:tc>
        <w:tc>
          <w:tcPr>
            <w:tcW w:w="822" w:type="pct"/>
            <w:vAlign w:val="center"/>
            <w:hideMark/>
          </w:tcPr>
          <w:p w14:paraId="2061DDAA" w14:textId="77777777" w:rsidR="00FD2CBB" w:rsidRPr="000F3591" w:rsidRDefault="00FD2CBB" w:rsidP="00990212">
            <w:pPr>
              <w:spacing w:after="0" w:line="240" w:lineRule="auto"/>
              <w:jc w:val="center"/>
              <w:rPr>
                <w:rFonts w:eastAsia="Times New Roman" w:cs="Calibri"/>
                <w:color w:val="000000"/>
                <w:sz w:val="20"/>
                <w:szCs w:val="20"/>
              </w:rPr>
            </w:pPr>
            <w:r w:rsidRPr="000F3591">
              <w:rPr>
                <w:rFonts w:eastAsia="Times New Roman" w:cs="Calibri"/>
                <w:color w:val="000000"/>
                <w:sz w:val="20"/>
                <w:szCs w:val="20"/>
              </w:rPr>
              <w:t>Urbano ed extraurbano</w:t>
            </w:r>
          </w:p>
        </w:tc>
        <w:tc>
          <w:tcPr>
            <w:tcW w:w="796" w:type="pct"/>
            <w:vAlign w:val="center"/>
            <w:hideMark/>
          </w:tcPr>
          <w:p w14:paraId="65818152" w14:textId="77777777" w:rsidR="00FD2CBB" w:rsidRPr="000F3591" w:rsidRDefault="00FD2CBB" w:rsidP="00990212">
            <w:pPr>
              <w:spacing w:after="0" w:line="240" w:lineRule="auto"/>
              <w:jc w:val="center"/>
              <w:rPr>
                <w:rFonts w:eastAsia="Times New Roman" w:cs="Calibri"/>
                <w:color w:val="000000"/>
                <w:sz w:val="20"/>
                <w:szCs w:val="20"/>
              </w:rPr>
            </w:pPr>
            <w:r w:rsidRPr="000F3591">
              <w:rPr>
                <w:rFonts w:eastAsia="Times New Roman" w:cs="Calibri"/>
                <w:color w:val="000000"/>
                <w:sz w:val="20"/>
                <w:szCs w:val="20"/>
              </w:rPr>
              <w:t>si</w:t>
            </w:r>
          </w:p>
        </w:tc>
        <w:tc>
          <w:tcPr>
            <w:tcW w:w="813" w:type="pct"/>
            <w:vAlign w:val="center"/>
            <w:hideMark/>
          </w:tcPr>
          <w:p w14:paraId="344B1A54" w14:textId="77777777" w:rsidR="00FD2CBB" w:rsidRPr="000F3591" w:rsidRDefault="00FD2CBB" w:rsidP="00990212">
            <w:pPr>
              <w:spacing w:after="0" w:line="240" w:lineRule="auto"/>
              <w:jc w:val="center"/>
              <w:rPr>
                <w:rFonts w:eastAsia="Times New Roman" w:cs="Calibri"/>
                <w:color w:val="000000"/>
                <w:sz w:val="20"/>
                <w:szCs w:val="20"/>
              </w:rPr>
            </w:pPr>
            <w:r w:rsidRPr="000F3591">
              <w:rPr>
                <w:rFonts w:eastAsia="Times New Roman" w:cs="Calibri"/>
                <w:color w:val="000000"/>
                <w:sz w:val="20"/>
                <w:szCs w:val="20"/>
              </w:rPr>
              <w:t>X</w:t>
            </w:r>
          </w:p>
        </w:tc>
        <w:tc>
          <w:tcPr>
            <w:tcW w:w="517" w:type="pct"/>
            <w:vAlign w:val="center"/>
            <w:hideMark/>
          </w:tcPr>
          <w:p w14:paraId="403DE5CD" w14:textId="77777777" w:rsidR="00FD2CBB" w:rsidRPr="000F3591" w:rsidRDefault="00FD2CBB" w:rsidP="00990212">
            <w:pPr>
              <w:spacing w:after="0" w:line="240" w:lineRule="auto"/>
              <w:jc w:val="center"/>
              <w:rPr>
                <w:rFonts w:eastAsia="Times New Roman" w:cs="Calibri"/>
                <w:color w:val="000000"/>
                <w:sz w:val="20"/>
                <w:szCs w:val="20"/>
              </w:rPr>
            </w:pPr>
            <w:r w:rsidRPr="000F3591">
              <w:rPr>
                <w:rFonts w:eastAsia="Times New Roman" w:cs="Calibri"/>
                <w:color w:val="000000"/>
                <w:sz w:val="20"/>
                <w:szCs w:val="20"/>
              </w:rPr>
              <w:t>A2</w:t>
            </w:r>
          </w:p>
        </w:tc>
      </w:tr>
      <w:tr w:rsidR="00FD2CBB" w:rsidRPr="000F3591" w14:paraId="3088E118" w14:textId="77777777" w:rsidTr="00990212">
        <w:trPr>
          <w:trHeight w:val="516"/>
        </w:trPr>
        <w:tc>
          <w:tcPr>
            <w:tcW w:w="1402" w:type="pct"/>
            <w:shd w:val="clear" w:color="000000" w:fill="FFFFFF"/>
            <w:vAlign w:val="center"/>
            <w:hideMark/>
          </w:tcPr>
          <w:p w14:paraId="70147C4A" w14:textId="77777777" w:rsidR="00FD2CBB" w:rsidRPr="000F3591" w:rsidRDefault="00FD2CBB" w:rsidP="00990212">
            <w:pPr>
              <w:spacing w:after="0" w:line="240" w:lineRule="auto"/>
              <w:jc w:val="center"/>
              <w:rPr>
                <w:rFonts w:eastAsia="Times New Roman" w:cs="Calibri"/>
                <w:color w:val="000000"/>
                <w:sz w:val="20"/>
                <w:szCs w:val="20"/>
              </w:rPr>
            </w:pPr>
            <w:r w:rsidRPr="000F3591">
              <w:rPr>
                <w:rFonts w:eastAsia="Times New Roman" w:cs="Calibri"/>
                <w:color w:val="000000"/>
                <w:sz w:val="20"/>
                <w:szCs w:val="20"/>
              </w:rPr>
              <w:t>CHIESA SRL</w:t>
            </w:r>
          </w:p>
        </w:tc>
        <w:tc>
          <w:tcPr>
            <w:tcW w:w="650" w:type="pct"/>
            <w:vAlign w:val="center"/>
            <w:hideMark/>
          </w:tcPr>
          <w:p w14:paraId="5CF128B4" w14:textId="77777777" w:rsidR="00FD2CBB" w:rsidRPr="000F3591" w:rsidRDefault="00FD2CBB" w:rsidP="00990212">
            <w:pPr>
              <w:spacing w:after="0" w:line="240" w:lineRule="auto"/>
              <w:jc w:val="center"/>
              <w:rPr>
                <w:rFonts w:eastAsia="Times New Roman" w:cs="Calibri"/>
                <w:color w:val="000000"/>
                <w:sz w:val="20"/>
                <w:szCs w:val="20"/>
              </w:rPr>
            </w:pPr>
            <w:r w:rsidRPr="000F3591">
              <w:rPr>
                <w:rFonts w:eastAsia="Times New Roman" w:cs="Calibri"/>
                <w:color w:val="000000"/>
                <w:sz w:val="20"/>
                <w:szCs w:val="20"/>
              </w:rPr>
              <w:t>4</w:t>
            </w:r>
          </w:p>
        </w:tc>
        <w:tc>
          <w:tcPr>
            <w:tcW w:w="822" w:type="pct"/>
            <w:vAlign w:val="center"/>
            <w:hideMark/>
          </w:tcPr>
          <w:p w14:paraId="2AB36B1E" w14:textId="77777777" w:rsidR="00FD2CBB" w:rsidRPr="000F3591" w:rsidRDefault="00FD2CBB" w:rsidP="00990212">
            <w:pPr>
              <w:spacing w:after="0" w:line="240" w:lineRule="auto"/>
              <w:jc w:val="center"/>
              <w:rPr>
                <w:rFonts w:eastAsia="Times New Roman" w:cs="Calibri"/>
                <w:color w:val="000000"/>
                <w:sz w:val="20"/>
                <w:szCs w:val="20"/>
              </w:rPr>
            </w:pPr>
            <w:r w:rsidRPr="000F3591">
              <w:rPr>
                <w:rFonts w:eastAsia="Times New Roman" w:cs="Calibri"/>
                <w:color w:val="000000"/>
                <w:sz w:val="20"/>
                <w:szCs w:val="20"/>
              </w:rPr>
              <w:t>Urbano ed extraurbano</w:t>
            </w:r>
          </w:p>
        </w:tc>
        <w:tc>
          <w:tcPr>
            <w:tcW w:w="796" w:type="pct"/>
            <w:vAlign w:val="center"/>
            <w:hideMark/>
          </w:tcPr>
          <w:p w14:paraId="40211CB0" w14:textId="77777777" w:rsidR="00FD2CBB" w:rsidRPr="000F3591" w:rsidRDefault="00FD2CBB" w:rsidP="00990212">
            <w:pPr>
              <w:spacing w:after="0" w:line="240" w:lineRule="auto"/>
              <w:jc w:val="center"/>
              <w:rPr>
                <w:rFonts w:eastAsia="Times New Roman" w:cs="Calibri"/>
                <w:color w:val="000000"/>
                <w:sz w:val="20"/>
                <w:szCs w:val="20"/>
              </w:rPr>
            </w:pPr>
            <w:r w:rsidRPr="000F3591">
              <w:rPr>
                <w:rFonts w:eastAsia="Times New Roman" w:cs="Calibri"/>
                <w:color w:val="000000"/>
                <w:sz w:val="20"/>
                <w:szCs w:val="20"/>
              </w:rPr>
              <w:t>si</w:t>
            </w:r>
          </w:p>
        </w:tc>
        <w:tc>
          <w:tcPr>
            <w:tcW w:w="813" w:type="pct"/>
            <w:vAlign w:val="center"/>
            <w:hideMark/>
          </w:tcPr>
          <w:p w14:paraId="51566E05" w14:textId="77777777" w:rsidR="00FD2CBB" w:rsidRPr="000F3591" w:rsidRDefault="00FD2CBB" w:rsidP="00990212">
            <w:pPr>
              <w:spacing w:after="0" w:line="240" w:lineRule="auto"/>
              <w:jc w:val="center"/>
              <w:rPr>
                <w:rFonts w:eastAsia="Times New Roman" w:cs="Calibri"/>
                <w:color w:val="000000"/>
                <w:sz w:val="20"/>
                <w:szCs w:val="20"/>
              </w:rPr>
            </w:pPr>
            <w:r w:rsidRPr="000F3591">
              <w:rPr>
                <w:rFonts w:eastAsia="Times New Roman" w:cs="Calibri"/>
                <w:color w:val="000000"/>
                <w:sz w:val="20"/>
                <w:szCs w:val="20"/>
              </w:rPr>
              <w:t>X</w:t>
            </w:r>
          </w:p>
        </w:tc>
        <w:tc>
          <w:tcPr>
            <w:tcW w:w="517" w:type="pct"/>
            <w:vAlign w:val="center"/>
            <w:hideMark/>
          </w:tcPr>
          <w:p w14:paraId="7BC786BC" w14:textId="77777777" w:rsidR="00FD2CBB" w:rsidRPr="000F3591" w:rsidRDefault="00FD2CBB" w:rsidP="00990212">
            <w:pPr>
              <w:spacing w:after="0" w:line="240" w:lineRule="auto"/>
              <w:jc w:val="center"/>
              <w:rPr>
                <w:rFonts w:eastAsia="Times New Roman" w:cs="Calibri"/>
                <w:color w:val="000000"/>
                <w:sz w:val="20"/>
                <w:szCs w:val="20"/>
              </w:rPr>
            </w:pPr>
            <w:r w:rsidRPr="000F3591">
              <w:rPr>
                <w:rFonts w:eastAsia="Times New Roman" w:cs="Calibri"/>
                <w:color w:val="000000"/>
                <w:sz w:val="20"/>
                <w:szCs w:val="20"/>
              </w:rPr>
              <w:t>A1</w:t>
            </w:r>
          </w:p>
        </w:tc>
      </w:tr>
      <w:tr w:rsidR="00FD2CBB" w:rsidRPr="000F3591" w14:paraId="190FCB4C" w14:textId="77777777" w:rsidTr="00990212">
        <w:trPr>
          <w:trHeight w:val="516"/>
        </w:trPr>
        <w:tc>
          <w:tcPr>
            <w:tcW w:w="1402" w:type="pct"/>
            <w:shd w:val="clear" w:color="000000" w:fill="FFFFFF"/>
            <w:vAlign w:val="center"/>
            <w:hideMark/>
          </w:tcPr>
          <w:p w14:paraId="0E3026DF" w14:textId="77777777" w:rsidR="00FD2CBB" w:rsidRPr="000F3591" w:rsidRDefault="00FD2CBB" w:rsidP="00990212">
            <w:pPr>
              <w:spacing w:after="0" w:line="240" w:lineRule="auto"/>
              <w:jc w:val="center"/>
              <w:rPr>
                <w:rFonts w:eastAsia="Times New Roman" w:cs="Calibri"/>
                <w:color w:val="000000"/>
                <w:sz w:val="20"/>
                <w:szCs w:val="20"/>
              </w:rPr>
            </w:pPr>
            <w:r w:rsidRPr="000F3591">
              <w:rPr>
                <w:rFonts w:eastAsia="Times New Roman" w:cs="Calibri"/>
                <w:color w:val="000000"/>
                <w:sz w:val="20"/>
                <w:szCs w:val="20"/>
              </w:rPr>
              <w:t>FNM SPA</w:t>
            </w:r>
          </w:p>
        </w:tc>
        <w:tc>
          <w:tcPr>
            <w:tcW w:w="650" w:type="pct"/>
            <w:vAlign w:val="center"/>
            <w:hideMark/>
          </w:tcPr>
          <w:p w14:paraId="684FE19F" w14:textId="77777777" w:rsidR="00FD2CBB" w:rsidRPr="000F3591" w:rsidRDefault="00FD2CBB" w:rsidP="00990212">
            <w:pPr>
              <w:spacing w:after="0" w:line="240" w:lineRule="auto"/>
              <w:jc w:val="center"/>
              <w:rPr>
                <w:rFonts w:eastAsia="Times New Roman" w:cs="Calibri"/>
                <w:color w:val="000000"/>
                <w:sz w:val="20"/>
                <w:szCs w:val="20"/>
              </w:rPr>
            </w:pPr>
            <w:r w:rsidRPr="000F3591">
              <w:rPr>
                <w:rFonts w:eastAsia="Times New Roman" w:cs="Calibri"/>
                <w:color w:val="000000"/>
                <w:sz w:val="20"/>
                <w:szCs w:val="20"/>
              </w:rPr>
              <w:t>2</w:t>
            </w:r>
          </w:p>
        </w:tc>
        <w:tc>
          <w:tcPr>
            <w:tcW w:w="822" w:type="pct"/>
            <w:vAlign w:val="center"/>
            <w:hideMark/>
          </w:tcPr>
          <w:p w14:paraId="5B8F7BD5" w14:textId="77777777" w:rsidR="00FD2CBB" w:rsidRPr="000F3591" w:rsidRDefault="00FD2CBB" w:rsidP="00990212">
            <w:pPr>
              <w:spacing w:after="0" w:line="240" w:lineRule="auto"/>
              <w:jc w:val="center"/>
              <w:rPr>
                <w:rFonts w:eastAsia="Times New Roman" w:cs="Calibri"/>
                <w:color w:val="000000"/>
                <w:sz w:val="20"/>
                <w:szCs w:val="20"/>
              </w:rPr>
            </w:pPr>
            <w:r w:rsidRPr="000F3591">
              <w:rPr>
                <w:rFonts w:eastAsia="Times New Roman" w:cs="Calibri"/>
                <w:color w:val="000000"/>
                <w:sz w:val="20"/>
                <w:szCs w:val="20"/>
              </w:rPr>
              <w:t>Urbano ed extraurbano</w:t>
            </w:r>
          </w:p>
        </w:tc>
        <w:tc>
          <w:tcPr>
            <w:tcW w:w="796" w:type="pct"/>
            <w:vAlign w:val="center"/>
            <w:hideMark/>
          </w:tcPr>
          <w:p w14:paraId="2A8E89E0" w14:textId="77777777" w:rsidR="00FD2CBB" w:rsidRPr="000F3591" w:rsidRDefault="00FD2CBB" w:rsidP="00990212">
            <w:pPr>
              <w:spacing w:after="0" w:line="240" w:lineRule="auto"/>
              <w:jc w:val="center"/>
              <w:rPr>
                <w:rFonts w:eastAsia="Times New Roman" w:cs="Calibri"/>
                <w:color w:val="000000"/>
                <w:sz w:val="20"/>
                <w:szCs w:val="20"/>
              </w:rPr>
            </w:pPr>
            <w:r w:rsidRPr="000F3591">
              <w:rPr>
                <w:rFonts w:eastAsia="Times New Roman" w:cs="Calibri"/>
                <w:color w:val="000000"/>
                <w:sz w:val="20"/>
                <w:szCs w:val="20"/>
              </w:rPr>
              <w:t>no</w:t>
            </w:r>
          </w:p>
        </w:tc>
        <w:tc>
          <w:tcPr>
            <w:tcW w:w="813" w:type="pct"/>
            <w:vAlign w:val="center"/>
            <w:hideMark/>
          </w:tcPr>
          <w:p w14:paraId="394C14A4" w14:textId="6B056441" w:rsidR="00FD2CBB" w:rsidRPr="000F3591" w:rsidRDefault="00FD2CBB" w:rsidP="00990212">
            <w:pPr>
              <w:spacing w:after="0" w:line="240" w:lineRule="auto"/>
              <w:jc w:val="center"/>
              <w:rPr>
                <w:rFonts w:eastAsia="Times New Roman" w:cs="Calibri"/>
                <w:color w:val="000000"/>
                <w:sz w:val="20"/>
                <w:szCs w:val="20"/>
              </w:rPr>
            </w:pPr>
          </w:p>
        </w:tc>
        <w:tc>
          <w:tcPr>
            <w:tcW w:w="517" w:type="pct"/>
            <w:vAlign w:val="center"/>
            <w:hideMark/>
          </w:tcPr>
          <w:p w14:paraId="36C0AF3F" w14:textId="48E405FA" w:rsidR="00FD2CBB" w:rsidRPr="000F3591" w:rsidRDefault="00FD2CBB" w:rsidP="00990212">
            <w:pPr>
              <w:spacing w:after="0" w:line="240" w:lineRule="auto"/>
              <w:jc w:val="center"/>
              <w:rPr>
                <w:rFonts w:eastAsia="Times New Roman" w:cs="Calibri"/>
                <w:color w:val="000000"/>
                <w:sz w:val="20"/>
                <w:szCs w:val="20"/>
              </w:rPr>
            </w:pPr>
          </w:p>
        </w:tc>
      </w:tr>
      <w:tr w:rsidR="00FD2CBB" w:rsidRPr="000F3591" w14:paraId="53999894" w14:textId="77777777" w:rsidTr="00990212">
        <w:trPr>
          <w:trHeight w:val="303"/>
        </w:trPr>
        <w:tc>
          <w:tcPr>
            <w:tcW w:w="1402" w:type="pct"/>
            <w:shd w:val="clear" w:color="000000" w:fill="FFFFFF"/>
            <w:vAlign w:val="center"/>
            <w:hideMark/>
          </w:tcPr>
          <w:p w14:paraId="0DF6DA0F" w14:textId="77777777" w:rsidR="00FD2CBB" w:rsidRPr="000F3591" w:rsidRDefault="00FD2CBB" w:rsidP="00990212">
            <w:pPr>
              <w:spacing w:after="0" w:line="240" w:lineRule="auto"/>
              <w:jc w:val="center"/>
              <w:rPr>
                <w:rFonts w:eastAsia="Times New Roman" w:cs="Calibri"/>
                <w:color w:val="000000"/>
                <w:sz w:val="20"/>
                <w:szCs w:val="20"/>
              </w:rPr>
            </w:pPr>
            <w:r w:rsidRPr="000F3591">
              <w:rPr>
                <w:rFonts w:eastAsia="Times New Roman" w:cs="Calibri"/>
                <w:color w:val="000000"/>
                <w:sz w:val="20"/>
                <w:szCs w:val="20"/>
              </w:rPr>
              <w:t>FRATELLI BOGGETTO SRL</w:t>
            </w:r>
          </w:p>
        </w:tc>
        <w:tc>
          <w:tcPr>
            <w:tcW w:w="650" w:type="pct"/>
            <w:vAlign w:val="center"/>
            <w:hideMark/>
          </w:tcPr>
          <w:p w14:paraId="521834CF" w14:textId="77777777" w:rsidR="00FD2CBB" w:rsidRPr="000F3591" w:rsidRDefault="00FD2CBB" w:rsidP="00990212">
            <w:pPr>
              <w:spacing w:after="0" w:line="240" w:lineRule="auto"/>
              <w:jc w:val="center"/>
              <w:rPr>
                <w:rFonts w:eastAsia="Times New Roman" w:cs="Calibri"/>
                <w:color w:val="000000"/>
                <w:sz w:val="20"/>
                <w:szCs w:val="20"/>
              </w:rPr>
            </w:pPr>
            <w:r w:rsidRPr="000F3591">
              <w:rPr>
                <w:rFonts w:eastAsia="Times New Roman" w:cs="Calibri"/>
                <w:color w:val="000000"/>
                <w:sz w:val="20"/>
                <w:szCs w:val="20"/>
              </w:rPr>
              <w:t>2</w:t>
            </w:r>
          </w:p>
        </w:tc>
        <w:tc>
          <w:tcPr>
            <w:tcW w:w="822" w:type="pct"/>
            <w:vAlign w:val="center"/>
            <w:hideMark/>
          </w:tcPr>
          <w:p w14:paraId="05AECE5B" w14:textId="77777777" w:rsidR="00FD2CBB" w:rsidRPr="000F3591" w:rsidRDefault="00FD2CBB" w:rsidP="00990212">
            <w:pPr>
              <w:spacing w:after="0" w:line="240" w:lineRule="auto"/>
              <w:jc w:val="center"/>
              <w:rPr>
                <w:rFonts w:eastAsia="Times New Roman" w:cs="Calibri"/>
                <w:color w:val="000000"/>
                <w:sz w:val="20"/>
                <w:szCs w:val="20"/>
              </w:rPr>
            </w:pPr>
            <w:r>
              <w:rPr>
                <w:rFonts w:eastAsia="Times New Roman" w:cs="Calibri"/>
                <w:color w:val="000000"/>
                <w:sz w:val="20"/>
                <w:szCs w:val="20"/>
              </w:rPr>
              <w:t>Autonoleggio</w:t>
            </w:r>
          </w:p>
        </w:tc>
        <w:tc>
          <w:tcPr>
            <w:tcW w:w="796" w:type="pct"/>
            <w:vAlign w:val="center"/>
            <w:hideMark/>
          </w:tcPr>
          <w:p w14:paraId="1E2F34C7" w14:textId="77777777" w:rsidR="00FD2CBB" w:rsidRPr="000F3591" w:rsidRDefault="00FD2CBB" w:rsidP="00990212">
            <w:pPr>
              <w:spacing w:after="0" w:line="240" w:lineRule="auto"/>
              <w:jc w:val="center"/>
              <w:rPr>
                <w:rFonts w:eastAsia="Times New Roman" w:cs="Calibri"/>
                <w:color w:val="000000"/>
                <w:sz w:val="20"/>
                <w:szCs w:val="20"/>
              </w:rPr>
            </w:pPr>
          </w:p>
        </w:tc>
        <w:tc>
          <w:tcPr>
            <w:tcW w:w="813" w:type="pct"/>
            <w:vAlign w:val="center"/>
            <w:hideMark/>
          </w:tcPr>
          <w:p w14:paraId="14088738" w14:textId="6EC6251A" w:rsidR="00FD2CBB" w:rsidRPr="000F3591" w:rsidRDefault="00FD2CBB" w:rsidP="00990212">
            <w:pPr>
              <w:spacing w:after="0" w:line="240" w:lineRule="auto"/>
              <w:jc w:val="center"/>
              <w:rPr>
                <w:rFonts w:eastAsia="Times New Roman" w:cs="Calibri"/>
                <w:color w:val="000000"/>
                <w:sz w:val="20"/>
                <w:szCs w:val="20"/>
              </w:rPr>
            </w:pPr>
          </w:p>
        </w:tc>
        <w:tc>
          <w:tcPr>
            <w:tcW w:w="517" w:type="pct"/>
            <w:vAlign w:val="center"/>
            <w:hideMark/>
          </w:tcPr>
          <w:p w14:paraId="2638296A" w14:textId="428A5C1E" w:rsidR="00FD2CBB" w:rsidRPr="000F3591" w:rsidRDefault="00FD2CBB" w:rsidP="00990212">
            <w:pPr>
              <w:spacing w:after="0" w:line="240" w:lineRule="auto"/>
              <w:jc w:val="center"/>
              <w:rPr>
                <w:rFonts w:eastAsia="Times New Roman" w:cs="Calibri"/>
                <w:color w:val="000000"/>
                <w:sz w:val="20"/>
                <w:szCs w:val="20"/>
              </w:rPr>
            </w:pPr>
          </w:p>
        </w:tc>
      </w:tr>
      <w:tr w:rsidR="00FD2CBB" w:rsidRPr="000F3591" w14:paraId="3DAAD8B4" w14:textId="77777777" w:rsidTr="00990212">
        <w:trPr>
          <w:trHeight w:val="303"/>
        </w:trPr>
        <w:tc>
          <w:tcPr>
            <w:tcW w:w="1402" w:type="pct"/>
            <w:shd w:val="clear" w:color="000000" w:fill="FFFFFF"/>
            <w:vAlign w:val="center"/>
            <w:hideMark/>
          </w:tcPr>
          <w:p w14:paraId="467F5423" w14:textId="77777777" w:rsidR="00FD2CBB" w:rsidRPr="000F3591" w:rsidRDefault="00FD2CBB" w:rsidP="00990212">
            <w:pPr>
              <w:spacing w:after="0" w:line="240" w:lineRule="auto"/>
              <w:jc w:val="center"/>
              <w:rPr>
                <w:rFonts w:eastAsia="Times New Roman" w:cs="Calibri"/>
                <w:color w:val="000000"/>
                <w:sz w:val="20"/>
                <w:szCs w:val="20"/>
              </w:rPr>
            </w:pPr>
            <w:r w:rsidRPr="000F3591">
              <w:rPr>
                <w:rFonts w:eastAsia="Times New Roman" w:cs="Calibri"/>
                <w:color w:val="000000"/>
                <w:sz w:val="20"/>
                <w:szCs w:val="20"/>
              </w:rPr>
              <w:t>GHERRA SRL</w:t>
            </w:r>
          </w:p>
        </w:tc>
        <w:tc>
          <w:tcPr>
            <w:tcW w:w="650" w:type="pct"/>
            <w:vAlign w:val="center"/>
            <w:hideMark/>
          </w:tcPr>
          <w:p w14:paraId="1DCB8B8C" w14:textId="77777777" w:rsidR="00FD2CBB" w:rsidRPr="000F3591" w:rsidRDefault="00FD2CBB" w:rsidP="00990212">
            <w:pPr>
              <w:spacing w:after="0" w:line="240" w:lineRule="auto"/>
              <w:jc w:val="center"/>
              <w:rPr>
                <w:rFonts w:eastAsia="Times New Roman" w:cs="Calibri"/>
                <w:color w:val="000000"/>
                <w:sz w:val="20"/>
                <w:szCs w:val="20"/>
              </w:rPr>
            </w:pPr>
            <w:r w:rsidRPr="000F3591">
              <w:rPr>
                <w:rFonts w:eastAsia="Times New Roman" w:cs="Calibri"/>
                <w:color w:val="000000"/>
                <w:sz w:val="20"/>
                <w:szCs w:val="20"/>
              </w:rPr>
              <w:t>2</w:t>
            </w:r>
          </w:p>
        </w:tc>
        <w:tc>
          <w:tcPr>
            <w:tcW w:w="822" w:type="pct"/>
            <w:vAlign w:val="center"/>
            <w:hideMark/>
          </w:tcPr>
          <w:p w14:paraId="24B5429E" w14:textId="77777777" w:rsidR="00FD2CBB" w:rsidRPr="000F3591" w:rsidRDefault="00FD2CBB" w:rsidP="00990212">
            <w:pPr>
              <w:spacing w:after="0" w:line="240" w:lineRule="auto"/>
              <w:jc w:val="center"/>
              <w:rPr>
                <w:rFonts w:eastAsia="Times New Roman" w:cs="Calibri"/>
                <w:color w:val="000000"/>
                <w:sz w:val="20"/>
                <w:szCs w:val="20"/>
              </w:rPr>
            </w:pPr>
            <w:r w:rsidRPr="000F3591">
              <w:rPr>
                <w:rFonts w:eastAsia="Times New Roman" w:cs="Calibri"/>
                <w:color w:val="000000"/>
                <w:sz w:val="20"/>
                <w:szCs w:val="20"/>
              </w:rPr>
              <w:t>Extraurbano</w:t>
            </w:r>
          </w:p>
        </w:tc>
        <w:tc>
          <w:tcPr>
            <w:tcW w:w="796" w:type="pct"/>
            <w:vAlign w:val="center"/>
            <w:hideMark/>
          </w:tcPr>
          <w:p w14:paraId="58C9692F" w14:textId="77777777" w:rsidR="00FD2CBB" w:rsidRPr="000F3591" w:rsidRDefault="00FD2CBB" w:rsidP="00990212">
            <w:pPr>
              <w:spacing w:after="0" w:line="240" w:lineRule="auto"/>
              <w:jc w:val="center"/>
              <w:rPr>
                <w:rFonts w:eastAsia="Times New Roman" w:cs="Calibri"/>
                <w:color w:val="000000"/>
                <w:sz w:val="20"/>
                <w:szCs w:val="20"/>
              </w:rPr>
            </w:pPr>
            <w:r w:rsidRPr="000F3591">
              <w:rPr>
                <w:rFonts w:eastAsia="Times New Roman" w:cs="Calibri"/>
                <w:color w:val="000000"/>
                <w:sz w:val="20"/>
                <w:szCs w:val="20"/>
              </w:rPr>
              <w:t>si</w:t>
            </w:r>
          </w:p>
        </w:tc>
        <w:tc>
          <w:tcPr>
            <w:tcW w:w="813" w:type="pct"/>
            <w:shd w:val="clear" w:color="000000" w:fill="FFFFFF"/>
            <w:vAlign w:val="center"/>
            <w:hideMark/>
          </w:tcPr>
          <w:p w14:paraId="41D51C59" w14:textId="50FCC689" w:rsidR="00FD2CBB" w:rsidRPr="000F3591" w:rsidRDefault="00FD2CBB" w:rsidP="00990212">
            <w:pPr>
              <w:spacing w:after="0" w:line="240" w:lineRule="auto"/>
              <w:jc w:val="center"/>
              <w:rPr>
                <w:rFonts w:eastAsia="Times New Roman" w:cs="Calibri"/>
                <w:color w:val="000000"/>
                <w:sz w:val="20"/>
                <w:szCs w:val="20"/>
              </w:rPr>
            </w:pPr>
          </w:p>
        </w:tc>
        <w:tc>
          <w:tcPr>
            <w:tcW w:w="517" w:type="pct"/>
            <w:shd w:val="clear" w:color="000000" w:fill="FFFFFF"/>
            <w:vAlign w:val="center"/>
            <w:hideMark/>
          </w:tcPr>
          <w:p w14:paraId="27AD47DE" w14:textId="0C59553B" w:rsidR="00FD2CBB" w:rsidRPr="000F3591" w:rsidRDefault="00FD2CBB" w:rsidP="00990212">
            <w:pPr>
              <w:spacing w:after="0" w:line="240" w:lineRule="auto"/>
              <w:jc w:val="center"/>
              <w:rPr>
                <w:rFonts w:eastAsia="Times New Roman" w:cs="Calibri"/>
                <w:color w:val="000000"/>
                <w:sz w:val="20"/>
                <w:szCs w:val="20"/>
              </w:rPr>
            </w:pPr>
          </w:p>
        </w:tc>
      </w:tr>
      <w:tr w:rsidR="00FD2CBB" w:rsidRPr="000F3591" w14:paraId="2B1202C7" w14:textId="77777777" w:rsidTr="00990212">
        <w:trPr>
          <w:trHeight w:val="516"/>
        </w:trPr>
        <w:tc>
          <w:tcPr>
            <w:tcW w:w="1402" w:type="pct"/>
            <w:shd w:val="clear" w:color="000000" w:fill="FFFFFF"/>
            <w:vAlign w:val="center"/>
            <w:hideMark/>
          </w:tcPr>
          <w:p w14:paraId="5E484F0D" w14:textId="77777777" w:rsidR="00FD2CBB" w:rsidRPr="000F3591" w:rsidRDefault="00FD2CBB" w:rsidP="00990212">
            <w:pPr>
              <w:spacing w:after="0" w:line="240" w:lineRule="auto"/>
              <w:jc w:val="center"/>
              <w:rPr>
                <w:rFonts w:eastAsia="Times New Roman" w:cs="Calibri"/>
                <w:color w:val="000000"/>
                <w:sz w:val="20"/>
                <w:szCs w:val="20"/>
              </w:rPr>
            </w:pPr>
            <w:r w:rsidRPr="000F3591">
              <w:rPr>
                <w:rFonts w:eastAsia="Times New Roman" w:cs="Calibri"/>
                <w:color w:val="000000"/>
                <w:sz w:val="20"/>
                <w:szCs w:val="20"/>
              </w:rPr>
              <w:t>GTT S.P.A.</w:t>
            </w:r>
          </w:p>
        </w:tc>
        <w:tc>
          <w:tcPr>
            <w:tcW w:w="650" w:type="pct"/>
            <w:vAlign w:val="center"/>
            <w:hideMark/>
          </w:tcPr>
          <w:p w14:paraId="170D8183" w14:textId="77777777" w:rsidR="00FD2CBB" w:rsidRPr="000F3591" w:rsidRDefault="00FD2CBB" w:rsidP="00990212">
            <w:pPr>
              <w:spacing w:after="0" w:line="240" w:lineRule="auto"/>
              <w:jc w:val="center"/>
              <w:rPr>
                <w:rFonts w:eastAsia="Times New Roman" w:cs="Calibri"/>
                <w:color w:val="000000"/>
                <w:sz w:val="20"/>
                <w:szCs w:val="20"/>
              </w:rPr>
            </w:pPr>
            <w:r w:rsidRPr="000F3591">
              <w:rPr>
                <w:rFonts w:eastAsia="Times New Roman" w:cs="Calibri"/>
                <w:color w:val="000000"/>
                <w:sz w:val="20"/>
                <w:szCs w:val="20"/>
              </w:rPr>
              <w:t>9</w:t>
            </w:r>
          </w:p>
        </w:tc>
        <w:tc>
          <w:tcPr>
            <w:tcW w:w="822" w:type="pct"/>
            <w:vAlign w:val="center"/>
            <w:hideMark/>
          </w:tcPr>
          <w:p w14:paraId="7C2E459E" w14:textId="77777777" w:rsidR="00FD2CBB" w:rsidRPr="000F3591" w:rsidRDefault="00FD2CBB" w:rsidP="00990212">
            <w:pPr>
              <w:spacing w:after="0" w:line="240" w:lineRule="auto"/>
              <w:jc w:val="center"/>
              <w:rPr>
                <w:rFonts w:eastAsia="Times New Roman" w:cs="Calibri"/>
                <w:color w:val="000000"/>
                <w:sz w:val="20"/>
                <w:szCs w:val="20"/>
              </w:rPr>
            </w:pPr>
            <w:r w:rsidRPr="000F3591">
              <w:rPr>
                <w:rFonts w:eastAsia="Times New Roman" w:cs="Calibri"/>
                <w:color w:val="000000"/>
                <w:sz w:val="20"/>
                <w:szCs w:val="20"/>
              </w:rPr>
              <w:t>Urbano ed extraurbano</w:t>
            </w:r>
          </w:p>
        </w:tc>
        <w:tc>
          <w:tcPr>
            <w:tcW w:w="796" w:type="pct"/>
            <w:vAlign w:val="center"/>
            <w:hideMark/>
          </w:tcPr>
          <w:p w14:paraId="1631C619" w14:textId="77777777" w:rsidR="00FD2CBB" w:rsidRPr="000F3591" w:rsidRDefault="00FD2CBB" w:rsidP="00990212">
            <w:pPr>
              <w:spacing w:after="0" w:line="240" w:lineRule="auto"/>
              <w:jc w:val="center"/>
              <w:rPr>
                <w:rFonts w:eastAsia="Times New Roman" w:cs="Calibri"/>
                <w:color w:val="000000"/>
                <w:sz w:val="20"/>
                <w:szCs w:val="20"/>
              </w:rPr>
            </w:pPr>
            <w:r w:rsidRPr="000F3591">
              <w:rPr>
                <w:rFonts w:eastAsia="Times New Roman" w:cs="Calibri"/>
                <w:color w:val="000000"/>
                <w:sz w:val="20"/>
                <w:szCs w:val="20"/>
              </w:rPr>
              <w:t>si</w:t>
            </w:r>
          </w:p>
        </w:tc>
        <w:tc>
          <w:tcPr>
            <w:tcW w:w="813" w:type="pct"/>
            <w:vAlign w:val="center"/>
            <w:hideMark/>
          </w:tcPr>
          <w:p w14:paraId="0E895EC3" w14:textId="77777777" w:rsidR="00FD2CBB" w:rsidRPr="000F3591" w:rsidRDefault="00FD2CBB" w:rsidP="00990212">
            <w:pPr>
              <w:spacing w:after="0" w:line="240" w:lineRule="auto"/>
              <w:jc w:val="center"/>
              <w:rPr>
                <w:rFonts w:eastAsia="Times New Roman" w:cs="Calibri"/>
                <w:color w:val="000000"/>
                <w:sz w:val="20"/>
                <w:szCs w:val="20"/>
              </w:rPr>
            </w:pPr>
            <w:r w:rsidRPr="000F3591">
              <w:rPr>
                <w:rFonts w:eastAsia="Times New Roman" w:cs="Calibri"/>
                <w:color w:val="000000"/>
                <w:sz w:val="20"/>
                <w:szCs w:val="20"/>
              </w:rPr>
              <w:t>X</w:t>
            </w:r>
          </w:p>
        </w:tc>
        <w:tc>
          <w:tcPr>
            <w:tcW w:w="517" w:type="pct"/>
            <w:vAlign w:val="center"/>
            <w:hideMark/>
          </w:tcPr>
          <w:p w14:paraId="470522BA" w14:textId="77777777" w:rsidR="00FD2CBB" w:rsidRPr="000F3591" w:rsidRDefault="00FD2CBB" w:rsidP="00990212">
            <w:pPr>
              <w:spacing w:after="0" w:line="240" w:lineRule="auto"/>
              <w:jc w:val="center"/>
              <w:rPr>
                <w:rFonts w:eastAsia="Times New Roman" w:cs="Calibri"/>
                <w:color w:val="000000"/>
                <w:sz w:val="20"/>
                <w:szCs w:val="20"/>
              </w:rPr>
            </w:pPr>
            <w:r w:rsidRPr="000F3591">
              <w:rPr>
                <w:rFonts w:eastAsia="Times New Roman" w:cs="Calibri"/>
                <w:color w:val="000000"/>
                <w:sz w:val="20"/>
                <w:szCs w:val="20"/>
              </w:rPr>
              <w:t>A4</w:t>
            </w:r>
          </w:p>
        </w:tc>
      </w:tr>
      <w:tr w:rsidR="00FD2CBB" w:rsidRPr="000F3591" w14:paraId="6AF20E76" w14:textId="77777777" w:rsidTr="00990212">
        <w:trPr>
          <w:trHeight w:val="516"/>
        </w:trPr>
        <w:tc>
          <w:tcPr>
            <w:tcW w:w="1402" w:type="pct"/>
            <w:shd w:val="clear" w:color="000000" w:fill="FFFFFF"/>
            <w:vAlign w:val="center"/>
            <w:hideMark/>
          </w:tcPr>
          <w:p w14:paraId="6D015186" w14:textId="77777777" w:rsidR="00FD2CBB" w:rsidRPr="000F3591" w:rsidRDefault="00FD2CBB" w:rsidP="00990212">
            <w:pPr>
              <w:spacing w:after="0" w:line="240" w:lineRule="auto"/>
              <w:jc w:val="center"/>
              <w:rPr>
                <w:rFonts w:eastAsia="Times New Roman" w:cs="Calibri"/>
                <w:color w:val="000000"/>
                <w:sz w:val="20"/>
                <w:szCs w:val="20"/>
                <w:lang w:val="en-GB"/>
              </w:rPr>
            </w:pPr>
            <w:r w:rsidRPr="000F3591">
              <w:rPr>
                <w:rFonts w:eastAsia="Times New Roman" w:cs="Calibri"/>
                <w:color w:val="000000"/>
                <w:sz w:val="20"/>
                <w:szCs w:val="20"/>
                <w:lang w:val="en-GB"/>
              </w:rPr>
              <w:t>STAR MOBILITY S.P.A.</w:t>
            </w:r>
          </w:p>
        </w:tc>
        <w:tc>
          <w:tcPr>
            <w:tcW w:w="650" w:type="pct"/>
            <w:vAlign w:val="center"/>
            <w:hideMark/>
          </w:tcPr>
          <w:p w14:paraId="66A17B96" w14:textId="77777777" w:rsidR="00FD2CBB" w:rsidRPr="000F3591" w:rsidRDefault="00FD2CBB" w:rsidP="00990212">
            <w:pPr>
              <w:spacing w:after="0" w:line="240" w:lineRule="auto"/>
              <w:jc w:val="center"/>
              <w:rPr>
                <w:rFonts w:eastAsia="Times New Roman" w:cs="Calibri"/>
                <w:color w:val="000000"/>
                <w:sz w:val="20"/>
                <w:szCs w:val="20"/>
              </w:rPr>
            </w:pPr>
            <w:r w:rsidRPr="000F3591">
              <w:rPr>
                <w:rFonts w:eastAsia="Times New Roman" w:cs="Calibri"/>
                <w:color w:val="000000"/>
                <w:sz w:val="20"/>
                <w:szCs w:val="20"/>
              </w:rPr>
              <w:t>3</w:t>
            </w:r>
          </w:p>
        </w:tc>
        <w:tc>
          <w:tcPr>
            <w:tcW w:w="822" w:type="pct"/>
            <w:vAlign w:val="center"/>
            <w:hideMark/>
          </w:tcPr>
          <w:p w14:paraId="5C0F17B6" w14:textId="77777777" w:rsidR="00FD2CBB" w:rsidRPr="000F3591" w:rsidRDefault="00FD2CBB" w:rsidP="00990212">
            <w:pPr>
              <w:spacing w:after="0" w:line="240" w:lineRule="auto"/>
              <w:jc w:val="center"/>
              <w:rPr>
                <w:rFonts w:eastAsia="Times New Roman" w:cs="Calibri"/>
                <w:color w:val="000000"/>
                <w:sz w:val="20"/>
                <w:szCs w:val="20"/>
              </w:rPr>
            </w:pPr>
            <w:r w:rsidRPr="000F3591">
              <w:rPr>
                <w:rFonts w:eastAsia="Times New Roman" w:cs="Calibri"/>
                <w:color w:val="000000"/>
                <w:sz w:val="20"/>
                <w:szCs w:val="20"/>
              </w:rPr>
              <w:t>Urbano ed extraurbano</w:t>
            </w:r>
          </w:p>
        </w:tc>
        <w:tc>
          <w:tcPr>
            <w:tcW w:w="796" w:type="pct"/>
            <w:vAlign w:val="center"/>
            <w:hideMark/>
          </w:tcPr>
          <w:p w14:paraId="4A0D8260" w14:textId="77777777" w:rsidR="00FD2CBB" w:rsidRPr="000F3591" w:rsidRDefault="00FD2CBB" w:rsidP="00990212">
            <w:pPr>
              <w:spacing w:after="0" w:line="240" w:lineRule="auto"/>
              <w:jc w:val="center"/>
              <w:rPr>
                <w:rFonts w:eastAsia="Times New Roman" w:cs="Calibri"/>
                <w:color w:val="000000"/>
                <w:sz w:val="20"/>
                <w:szCs w:val="20"/>
              </w:rPr>
            </w:pPr>
            <w:r w:rsidRPr="000F3591">
              <w:rPr>
                <w:rFonts w:eastAsia="Times New Roman" w:cs="Calibri"/>
                <w:color w:val="000000"/>
                <w:sz w:val="20"/>
                <w:szCs w:val="20"/>
              </w:rPr>
              <w:t>no</w:t>
            </w:r>
          </w:p>
        </w:tc>
        <w:tc>
          <w:tcPr>
            <w:tcW w:w="813" w:type="pct"/>
            <w:vAlign w:val="center"/>
            <w:hideMark/>
          </w:tcPr>
          <w:p w14:paraId="034F6DE0" w14:textId="77777777" w:rsidR="00FD2CBB" w:rsidRPr="000F3591" w:rsidRDefault="00FD2CBB" w:rsidP="00990212">
            <w:pPr>
              <w:spacing w:after="0" w:line="240" w:lineRule="auto"/>
              <w:jc w:val="center"/>
              <w:rPr>
                <w:rFonts w:eastAsia="Times New Roman" w:cs="Calibri"/>
                <w:color w:val="000000"/>
                <w:sz w:val="20"/>
                <w:szCs w:val="20"/>
              </w:rPr>
            </w:pPr>
            <w:r w:rsidRPr="000F3591">
              <w:rPr>
                <w:rFonts w:eastAsia="Times New Roman" w:cs="Calibri"/>
                <w:color w:val="000000"/>
                <w:sz w:val="20"/>
                <w:szCs w:val="20"/>
              </w:rPr>
              <w:t>X</w:t>
            </w:r>
          </w:p>
        </w:tc>
        <w:tc>
          <w:tcPr>
            <w:tcW w:w="517" w:type="pct"/>
            <w:vAlign w:val="center"/>
            <w:hideMark/>
          </w:tcPr>
          <w:p w14:paraId="1936EB6A" w14:textId="77777777" w:rsidR="00FD2CBB" w:rsidRPr="000F3591" w:rsidRDefault="00FD2CBB" w:rsidP="00990212">
            <w:pPr>
              <w:spacing w:after="0" w:line="240" w:lineRule="auto"/>
              <w:jc w:val="center"/>
              <w:rPr>
                <w:rFonts w:eastAsia="Times New Roman" w:cs="Calibri"/>
                <w:color w:val="000000"/>
                <w:sz w:val="20"/>
                <w:szCs w:val="20"/>
              </w:rPr>
            </w:pPr>
            <w:r w:rsidRPr="000F3591">
              <w:rPr>
                <w:rFonts w:eastAsia="Times New Roman" w:cs="Calibri"/>
                <w:color w:val="000000"/>
                <w:sz w:val="20"/>
                <w:szCs w:val="20"/>
              </w:rPr>
              <w:t>A4</w:t>
            </w:r>
          </w:p>
        </w:tc>
      </w:tr>
      <w:tr w:rsidR="00FD2CBB" w:rsidRPr="000F3591" w14:paraId="377D6642" w14:textId="77777777" w:rsidTr="00990212">
        <w:trPr>
          <w:trHeight w:val="303"/>
        </w:trPr>
        <w:tc>
          <w:tcPr>
            <w:tcW w:w="1402" w:type="pct"/>
            <w:shd w:val="clear" w:color="000000" w:fill="FFFFFF"/>
            <w:vAlign w:val="center"/>
            <w:hideMark/>
          </w:tcPr>
          <w:p w14:paraId="6321A440" w14:textId="77777777" w:rsidR="00FD2CBB" w:rsidRPr="000F3591" w:rsidRDefault="00FD2CBB" w:rsidP="00990212">
            <w:pPr>
              <w:spacing w:after="0" w:line="240" w:lineRule="auto"/>
              <w:jc w:val="center"/>
              <w:rPr>
                <w:rFonts w:eastAsia="Times New Roman" w:cs="Calibri"/>
                <w:color w:val="000000"/>
                <w:sz w:val="20"/>
                <w:szCs w:val="20"/>
              </w:rPr>
            </w:pPr>
            <w:r w:rsidRPr="000F3591">
              <w:rPr>
                <w:rFonts w:eastAsia="Times New Roman" w:cs="Calibri"/>
                <w:color w:val="000000"/>
                <w:sz w:val="20"/>
                <w:szCs w:val="20"/>
              </w:rPr>
              <w:t>STAV SPA</w:t>
            </w:r>
          </w:p>
        </w:tc>
        <w:tc>
          <w:tcPr>
            <w:tcW w:w="650" w:type="pct"/>
            <w:vAlign w:val="center"/>
            <w:hideMark/>
          </w:tcPr>
          <w:p w14:paraId="1CA70DEF" w14:textId="77777777" w:rsidR="00FD2CBB" w:rsidRPr="000F3591" w:rsidRDefault="00FD2CBB" w:rsidP="00990212">
            <w:pPr>
              <w:spacing w:after="0" w:line="240" w:lineRule="auto"/>
              <w:jc w:val="center"/>
              <w:rPr>
                <w:rFonts w:eastAsia="Times New Roman" w:cs="Calibri"/>
                <w:color w:val="000000"/>
                <w:sz w:val="20"/>
                <w:szCs w:val="20"/>
              </w:rPr>
            </w:pPr>
            <w:r w:rsidRPr="000F3591">
              <w:rPr>
                <w:rFonts w:eastAsia="Times New Roman" w:cs="Calibri"/>
                <w:color w:val="000000"/>
                <w:sz w:val="20"/>
                <w:szCs w:val="20"/>
              </w:rPr>
              <w:t>3</w:t>
            </w:r>
          </w:p>
        </w:tc>
        <w:tc>
          <w:tcPr>
            <w:tcW w:w="822" w:type="pct"/>
            <w:vAlign w:val="center"/>
            <w:hideMark/>
          </w:tcPr>
          <w:p w14:paraId="4FCE45C4" w14:textId="77777777" w:rsidR="00FD2CBB" w:rsidRPr="000F3591" w:rsidRDefault="00FD2CBB" w:rsidP="00990212">
            <w:pPr>
              <w:spacing w:after="0" w:line="240" w:lineRule="auto"/>
              <w:jc w:val="center"/>
              <w:rPr>
                <w:rFonts w:eastAsia="Times New Roman" w:cs="Calibri"/>
                <w:color w:val="000000"/>
                <w:sz w:val="20"/>
                <w:szCs w:val="20"/>
              </w:rPr>
            </w:pPr>
            <w:r w:rsidRPr="000F3591">
              <w:rPr>
                <w:rFonts w:eastAsia="Times New Roman" w:cs="Calibri"/>
                <w:color w:val="000000"/>
                <w:sz w:val="20"/>
                <w:szCs w:val="20"/>
              </w:rPr>
              <w:t>Extraurbano</w:t>
            </w:r>
          </w:p>
        </w:tc>
        <w:tc>
          <w:tcPr>
            <w:tcW w:w="796" w:type="pct"/>
            <w:shd w:val="clear" w:color="000000" w:fill="FFFFFF"/>
            <w:vAlign w:val="center"/>
            <w:hideMark/>
          </w:tcPr>
          <w:p w14:paraId="37575608" w14:textId="77777777" w:rsidR="00FD2CBB" w:rsidRPr="000F3591" w:rsidRDefault="00FD2CBB" w:rsidP="00990212">
            <w:pPr>
              <w:spacing w:after="0" w:line="240" w:lineRule="auto"/>
              <w:jc w:val="center"/>
              <w:rPr>
                <w:rFonts w:eastAsia="Times New Roman" w:cs="Calibri"/>
                <w:color w:val="000000"/>
                <w:sz w:val="20"/>
                <w:szCs w:val="20"/>
              </w:rPr>
            </w:pPr>
            <w:r w:rsidRPr="000F3591">
              <w:rPr>
                <w:rFonts w:eastAsia="Times New Roman" w:cs="Calibri"/>
                <w:color w:val="000000"/>
                <w:sz w:val="20"/>
                <w:szCs w:val="20"/>
              </w:rPr>
              <w:t>no</w:t>
            </w:r>
          </w:p>
        </w:tc>
        <w:tc>
          <w:tcPr>
            <w:tcW w:w="813" w:type="pct"/>
            <w:vAlign w:val="center"/>
            <w:hideMark/>
          </w:tcPr>
          <w:p w14:paraId="2C8C44FA" w14:textId="77777777" w:rsidR="00FD2CBB" w:rsidRPr="000F3591" w:rsidRDefault="00FD2CBB" w:rsidP="00990212">
            <w:pPr>
              <w:spacing w:after="0" w:line="240" w:lineRule="auto"/>
              <w:jc w:val="center"/>
              <w:rPr>
                <w:rFonts w:eastAsia="Times New Roman" w:cs="Calibri"/>
                <w:color w:val="000000"/>
                <w:sz w:val="20"/>
                <w:szCs w:val="20"/>
              </w:rPr>
            </w:pPr>
            <w:r w:rsidRPr="000F3591">
              <w:rPr>
                <w:rFonts w:eastAsia="Times New Roman" w:cs="Calibri"/>
                <w:color w:val="000000"/>
                <w:sz w:val="20"/>
                <w:szCs w:val="20"/>
              </w:rPr>
              <w:t>X</w:t>
            </w:r>
          </w:p>
        </w:tc>
        <w:tc>
          <w:tcPr>
            <w:tcW w:w="517" w:type="pct"/>
            <w:vAlign w:val="center"/>
            <w:hideMark/>
          </w:tcPr>
          <w:p w14:paraId="1C3EFD05" w14:textId="77777777" w:rsidR="00FD2CBB" w:rsidRPr="000F3591" w:rsidRDefault="00FD2CBB" w:rsidP="00990212">
            <w:pPr>
              <w:spacing w:after="0" w:line="240" w:lineRule="auto"/>
              <w:jc w:val="center"/>
              <w:rPr>
                <w:rFonts w:eastAsia="Times New Roman" w:cs="Calibri"/>
                <w:color w:val="000000"/>
                <w:sz w:val="20"/>
                <w:szCs w:val="20"/>
              </w:rPr>
            </w:pPr>
            <w:r w:rsidRPr="000F3591">
              <w:rPr>
                <w:rFonts w:eastAsia="Times New Roman" w:cs="Calibri"/>
                <w:color w:val="000000"/>
                <w:sz w:val="20"/>
                <w:szCs w:val="20"/>
              </w:rPr>
              <w:t>A4</w:t>
            </w:r>
          </w:p>
        </w:tc>
      </w:tr>
      <w:tr w:rsidR="00FD2CBB" w:rsidRPr="000F3591" w14:paraId="3E58BB55" w14:textId="77777777" w:rsidTr="00990212">
        <w:trPr>
          <w:trHeight w:val="303"/>
        </w:trPr>
        <w:tc>
          <w:tcPr>
            <w:tcW w:w="1402" w:type="pct"/>
            <w:shd w:val="clear" w:color="000000" w:fill="FFFFFF"/>
            <w:vAlign w:val="center"/>
            <w:hideMark/>
          </w:tcPr>
          <w:p w14:paraId="60C8C9B7" w14:textId="77777777" w:rsidR="00FD2CBB" w:rsidRPr="000F3591" w:rsidRDefault="00FD2CBB" w:rsidP="00990212">
            <w:pPr>
              <w:spacing w:after="0" w:line="240" w:lineRule="auto"/>
              <w:jc w:val="center"/>
              <w:rPr>
                <w:rFonts w:eastAsia="Times New Roman" w:cs="Calibri"/>
                <w:color w:val="000000"/>
                <w:sz w:val="20"/>
                <w:szCs w:val="20"/>
              </w:rPr>
            </w:pPr>
            <w:r w:rsidRPr="000F3591">
              <w:rPr>
                <w:rFonts w:eastAsia="Times New Roman" w:cs="Calibri"/>
                <w:color w:val="000000"/>
                <w:sz w:val="20"/>
                <w:szCs w:val="20"/>
              </w:rPr>
              <w:t>STN SRL</w:t>
            </w:r>
          </w:p>
        </w:tc>
        <w:tc>
          <w:tcPr>
            <w:tcW w:w="650" w:type="pct"/>
            <w:vAlign w:val="center"/>
            <w:hideMark/>
          </w:tcPr>
          <w:p w14:paraId="11EF6639" w14:textId="77777777" w:rsidR="00FD2CBB" w:rsidRPr="000F3591" w:rsidRDefault="00FD2CBB" w:rsidP="00990212">
            <w:pPr>
              <w:spacing w:after="0" w:line="240" w:lineRule="auto"/>
              <w:jc w:val="center"/>
              <w:rPr>
                <w:rFonts w:eastAsia="Times New Roman" w:cs="Calibri"/>
                <w:color w:val="000000"/>
                <w:sz w:val="20"/>
                <w:szCs w:val="20"/>
              </w:rPr>
            </w:pPr>
            <w:r w:rsidRPr="000F3591">
              <w:rPr>
                <w:rFonts w:eastAsia="Times New Roman" w:cs="Calibri"/>
                <w:color w:val="000000"/>
                <w:sz w:val="20"/>
                <w:szCs w:val="20"/>
              </w:rPr>
              <w:t>1</w:t>
            </w:r>
          </w:p>
        </w:tc>
        <w:tc>
          <w:tcPr>
            <w:tcW w:w="822" w:type="pct"/>
            <w:vAlign w:val="center"/>
            <w:hideMark/>
          </w:tcPr>
          <w:p w14:paraId="28314C09" w14:textId="77777777" w:rsidR="00FD2CBB" w:rsidRPr="000F3591" w:rsidRDefault="00FD2CBB" w:rsidP="00990212">
            <w:pPr>
              <w:spacing w:after="0" w:line="240" w:lineRule="auto"/>
              <w:jc w:val="center"/>
              <w:rPr>
                <w:rFonts w:eastAsia="Times New Roman" w:cs="Calibri"/>
                <w:color w:val="000000"/>
                <w:sz w:val="20"/>
                <w:szCs w:val="20"/>
              </w:rPr>
            </w:pPr>
            <w:r w:rsidRPr="000F3591">
              <w:rPr>
                <w:rFonts w:eastAsia="Times New Roman" w:cs="Calibri"/>
                <w:color w:val="000000"/>
                <w:sz w:val="20"/>
                <w:szCs w:val="20"/>
              </w:rPr>
              <w:t>Extraurbano</w:t>
            </w:r>
          </w:p>
        </w:tc>
        <w:tc>
          <w:tcPr>
            <w:tcW w:w="796" w:type="pct"/>
            <w:vAlign w:val="center"/>
            <w:hideMark/>
          </w:tcPr>
          <w:p w14:paraId="063EB902" w14:textId="77777777" w:rsidR="00FD2CBB" w:rsidRPr="000F3591" w:rsidRDefault="00FD2CBB" w:rsidP="00990212">
            <w:pPr>
              <w:spacing w:after="0" w:line="240" w:lineRule="auto"/>
              <w:jc w:val="center"/>
              <w:rPr>
                <w:rFonts w:eastAsia="Times New Roman" w:cs="Calibri"/>
                <w:color w:val="000000"/>
                <w:sz w:val="20"/>
                <w:szCs w:val="20"/>
              </w:rPr>
            </w:pPr>
            <w:r w:rsidRPr="000F3591">
              <w:rPr>
                <w:rFonts w:eastAsia="Times New Roman" w:cs="Calibri"/>
                <w:color w:val="000000"/>
                <w:sz w:val="20"/>
                <w:szCs w:val="20"/>
              </w:rPr>
              <w:t>si</w:t>
            </w:r>
          </w:p>
        </w:tc>
        <w:tc>
          <w:tcPr>
            <w:tcW w:w="813" w:type="pct"/>
            <w:vAlign w:val="center"/>
            <w:hideMark/>
          </w:tcPr>
          <w:p w14:paraId="2F4C3CFF" w14:textId="77777777" w:rsidR="00FD2CBB" w:rsidRPr="000F3591" w:rsidRDefault="00FD2CBB" w:rsidP="00990212">
            <w:pPr>
              <w:spacing w:after="0" w:line="240" w:lineRule="auto"/>
              <w:jc w:val="center"/>
              <w:rPr>
                <w:rFonts w:eastAsia="Times New Roman" w:cs="Calibri"/>
                <w:color w:val="000000"/>
                <w:sz w:val="20"/>
                <w:szCs w:val="20"/>
              </w:rPr>
            </w:pPr>
            <w:r w:rsidRPr="000F3591">
              <w:rPr>
                <w:rFonts w:eastAsia="Times New Roman" w:cs="Calibri"/>
                <w:color w:val="000000"/>
                <w:sz w:val="20"/>
                <w:szCs w:val="20"/>
              </w:rPr>
              <w:t>X</w:t>
            </w:r>
          </w:p>
        </w:tc>
        <w:tc>
          <w:tcPr>
            <w:tcW w:w="517" w:type="pct"/>
            <w:vAlign w:val="center"/>
            <w:hideMark/>
          </w:tcPr>
          <w:p w14:paraId="1ACCD01D" w14:textId="77777777" w:rsidR="00FD2CBB" w:rsidRPr="000F3591" w:rsidRDefault="00FD2CBB" w:rsidP="00990212">
            <w:pPr>
              <w:spacing w:after="0" w:line="240" w:lineRule="auto"/>
              <w:jc w:val="center"/>
              <w:rPr>
                <w:rFonts w:eastAsia="Times New Roman" w:cs="Calibri"/>
                <w:color w:val="000000"/>
                <w:sz w:val="20"/>
                <w:szCs w:val="20"/>
              </w:rPr>
            </w:pPr>
            <w:r w:rsidRPr="000F3591">
              <w:rPr>
                <w:rFonts w:eastAsia="Times New Roman" w:cs="Calibri"/>
                <w:color w:val="000000"/>
                <w:sz w:val="20"/>
                <w:szCs w:val="20"/>
              </w:rPr>
              <w:t>A1</w:t>
            </w:r>
          </w:p>
        </w:tc>
      </w:tr>
    </w:tbl>
    <w:p w14:paraId="6D177AB3" w14:textId="6C9A5953" w:rsidR="00FD2CBB" w:rsidRPr="00AD01C5" w:rsidRDefault="00FA5F66" w:rsidP="00F13F46">
      <w:pPr>
        <w:spacing w:after="200" w:line="240" w:lineRule="auto"/>
        <w:jc w:val="center"/>
        <w:rPr>
          <w:rFonts w:eastAsia="Calibri"/>
          <w:i/>
          <w:color w:val="17406D"/>
          <w:sz w:val="18"/>
          <w:szCs w:val="18"/>
        </w:rPr>
      </w:pPr>
      <w:bookmarkStart w:id="439" w:name="_Ref212926835"/>
      <w:bookmarkStart w:id="440" w:name="_Ref212926824"/>
      <w:bookmarkEnd w:id="436"/>
      <w:r w:rsidRPr="00BF35BC">
        <w:rPr>
          <w:rFonts w:eastAsia="Calibri"/>
          <w:i/>
          <w:color w:val="003366"/>
          <w:sz w:val="18"/>
          <w:szCs w:val="18"/>
        </w:rPr>
        <w:t xml:space="preserve">Tabella </w:t>
      </w:r>
      <w:r w:rsidRPr="00BF35BC">
        <w:rPr>
          <w:rFonts w:cstheme="minorHAnsi"/>
          <w:i/>
          <w:color w:val="003366"/>
          <w:sz w:val="18"/>
          <w:szCs w:val="18"/>
        </w:rPr>
        <w:fldChar w:fldCharType="begin"/>
      </w:r>
      <w:r w:rsidRPr="71EE7570">
        <w:rPr>
          <w:rFonts w:eastAsia="Calibri"/>
          <w:i/>
          <w:color w:val="17406D" w:themeColor="text2"/>
          <w:sz w:val="18"/>
          <w:szCs w:val="18"/>
        </w:rPr>
        <w:instrText xml:space="preserve"> SEQ Tabella \* ARABIC </w:instrText>
      </w:r>
      <w:r w:rsidRPr="00BF35BC">
        <w:rPr>
          <w:rFonts w:cstheme="minorHAnsi"/>
          <w:i/>
          <w:color w:val="003366"/>
          <w:sz w:val="18"/>
          <w:szCs w:val="18"/>
        </w:rPr>
        <w:fldChar w:fldCharType="separate"/>
      </w:r>
      <w:r w:rsidR="00073B6D">
        <w:rPr>
          <w:rFonts w:eastAsia="Calibri"/>
          <w:i/>
          <w:noProof/>
          <w:color w:val="17406D" w:themeColor="text2"/>
          <w:sz w:val="18"/>
          <w:szCs w:val="18"/>
        </w:rPr>
        <w:t>61</w:t>
      </w:r>
      <w:r w:rsidRPr="00BF35BC">
        <w:rPr>
          <w:rFonts w:cstheme="minorHAnsi"/>
          <w:i/>
          <w:color w:val="003366"/>
          <w:sz w:val="18"/>
          <w:szCs w:val="18"/>
        </w:rPr>
        <w:fldChar w:fldCharType="end"/>
      </w:r>
      <w:bookmarkEnd w:id="439"/>
      <w:r w:rsidRPr="00BF35BC">
        <w:rPr>
          <w:rFonts w:cstheme="minorHAnsi"/>
          <w:i/>
          <w:color w:val="003366"/>
          <w:sz w:val="18"/>
          <w:szCs w:val="18"/>
        </w:rPr>
        <w:t xml:space="preserve"> </w:t>
      </w:r>
      <w:r w:rsidR="00FD2CBB" w:rsidRPr="00BF35BC">
        <w:rPr>
          <w:rFonts w:eastAsia="Calibri"/>
          <w:color w:val="003366"/>
          <w:sz w:val="18"/>
          <w:szCs w:val="18"/>
        </w:rPr>
        <w:t xml:space="preserve">– </w:t>
      </w:r>
      <w:r w:rsidR="00FD2CBB" w:rsidRPr="00AD01C5">
        <w:rPr>
          <w:rFonts w:eastAsia="Calibri"/>
          <w:i/>
          <w:color w:val="17406D"/>
          <w:sz w:val="18"/>
          <w:szCs w:val="18"/>
        </w:rPr>
        <w:t>Elenco operatori potenzialmente interessati</w:t>
      </w:r>
      <w:bookmarkEnd w:id="437"/>
      <w:bookmarkEnd w:id="438"/>
      <w:bookmarkEnd w:id="440"/>
    </w:p>
    <w:p w14:paraId="38CB2887" w14:textId="7C33EC8F" w:rsidR="00FD2CBB" w:rsidRDefault="00FD2CBB" w:rsidP="00777778">
      <w:pPr>
        <w:spacing w:before="120" w:after="0" w:line="240" w:lineRule="auto"/>
        <w:rPr>
          <w:rFonts w:eastAsia="Calibri"/>
        </w:rPr>
      </w:pPr>
      <w:r w:rsidRPr="00CA3906">
        <w:rPr>
          <w:rFonts w:eastAsia="Calibri"/>
        </w:rPr>
        <w:t>Alcune delle suddette aziende</w:t>
      </w:r>
      <w:r>
        <w:rPr>
          <w:rFonts w:eastAsia="Calibri"/>
        </w:rPr>
        <w:t xml:space="preserve">, come si evince dalla </w:t>
      </w:r>
      <w:r w:rsidR="00B7743E" w:rsidRPr="008C0FBC">
        <w:rPr>
          <w:rFonts w:eastAsia="Calibri"/>
        </w:rPr>
        <w:fldChar w:fldCharType="begin"/>
      </w:r>
      <w:r w:rsidR="00B7743E" w:rsidRPr="008C0FBC">
        <w:rPr>
          <w:rFonts w:eastAsia="Calibri"/>
        </w:rPr>
        <w:instrText xml:space="preserve"> REF _Ref212926835 \h </w:instrText>
      </w:r>
      <w:r w:rsidR="008C0FBC" w:rsidRPr="008C0FBC">
        <w:rPr>
          <w:rFonts w:eastAsia="Calibri"/>
        </w:rPr>
        <w:instrText xml:space="preserve"> \* MERGEFORMAT </w:instrText>
      </w:r>
      <w:r w:rsidR="00B7743E" w:rsidRPr="008C0FBC">
        <w:rPr>
          <w:rFonts w:eastAsia="Calibri"/>
        </w:rPr>
      </w:r>
      <w:r w:rsidR="00B7743E" w:rsidRPr="008C0FBC">
        <w:rPr>
          <w:rFonts w:eastAsia="Calibri"/>
        </w:rPr>
        <w:fldChar w:fldCharType="separate"/>
      </w:r>
      <w:r w:rsidR="00073B6D" w:rsidRPr="00073B6D">
        <w:rPr>
          <w:rFonts w:eastAsia="Calibri"/>
        </w:rPr>
        <w:t xml:space="preserve">Tabella </w:t>
      </w:r>
      <w:r w:rsidR="00073B6D" w:rsidRPr="00073B6D">
        <w:rPr>
          <w:rFonts w:cstheme="minorHAnsi"/>
          <w:noProof/>
        </w:rPr>
        <w:t>61</w:t>
      </w:r>
      <w:r w:rsidR="00B7743E" w:rsidRPr="008C0FBC">
        <w:rPr>
          <w:rFonts w:eastAsia="Calibri"/>
        </w:rPr>
        <w:fldChar w:fldCharType="end"/>
      </w:r>
      <w:r>
        <w:rPr>
          <w:rFonts w:eastAsia="Calibri"/>
        </w:rPr>
        <w:t xml:space="preserve">, </w:t>
      </w:r>
      <w:r w:rsidRPr="00CA3906">
        <w:rPr>
          <w:rFonts w:eastAsia="Calibri"/>
        </w:rPr>
        <w:t xml:space="preserve">sono già registrate nel sistema di qualificazione </w:t>
      </w:r>
      <w:r w:rsidRPr="00CA3906">
        <w:rPr>
          <w:rFonts w:eastAsia="Calibri" w:cs="Times New Roman"/>
        </w:rPr>
        <w:t>dei concessionari dei servizi di trasporto pubblico locale</w:t>
      </w:r>
      <w:r w:rsidRPr="00CA3906">
        <w:rPr>
          <w:rFonts w:eastAsia="Calibri"/>
        </w:rPr>
        <w:t xml:space="preserve"> istituito dall’Agenzia con Deliberazione del Consiglio di amministrazione n. 10 del 30/05/2016.</w:t>
      </w:r>
    </w:p>
    <w:p w14:paraId="64DE947D" w14:textId="77777777" w:rsidR="00FD2CBB" w:rsidRPr="00CA3906" w:rsidRDefault="00FD2CBB" w:rsidP="00777778">
      <w:pPr>
        <w:spacing w:before="120" w:after="0" w:line="240" w:lineRule="auto"/>
        <w:rPr>
          <w:rFonts w:eastAsia="Calibri"/>
        </w:rPr>
      </w:pPr>
      <w:r w:rsidRPr="00CA3906">
        <w:rPr>
          <w:rFonts w:eastAsia="Calibri" w:cs="Times New Roman"/>
        </w:rPr>
        <w:t>Il Sistema ha lo scopo di definire elenchi di operatori di servizi pubblici (operatori economici) dotati di specifici requisiti morali, tecnici e finanziari interessati a partecipare alle procedure di individuazione dei concessionari dei servizi di Trasporto Pubblico Locale (TPL) di persone, ai sensi del Regolamento (CE) n. 1370/2007 del Parlamento Europeo e del Consiglio del 23 ottobre 2007 relativo ai servizi pubblici di trasporto di passeggeri su strada e per ferrovia e che abroga i regolamenti del Consiglio (CEE) n. 1191/69 e (CEE) n. 1107/70, maggiori dettagli sono consultabili sul sito istituzionale dell’Ente</w:t>
      </w:r>
      <w:r w:rsidRPr="00CA3906">
        <w:rPr>
          <w:rStyle w:val="Rimandonotaapidipagina"/>
          <w:rFonts w:eastAsia="Calibri" w:cs="Times New Roman"/>
        </w:rPr>
        <w:footnoteReference w:id="52"/>
      </w:r>
      <w:r w:rsidRPr="00CA3906">
        <w:rPr>
          <w:rFonts w:eastAsia="Calibri" w:cs="Times New Roman"/>
        </w:rPr>
        <w:t>.</w:t>
      </w:r>
    </w:p>
    <w:p w14:paraId="49F36A42" w14:textId="77777777" w:rsidR="00FD2CBB" w:rsidRPr="00AD01C5" w:rsidRDefault="00FD2CBB" w:rsidP="00777778">
      <w:pPr>
        <w:spacing w:before="120" w:after="0" w:line="240" w:lineRule="auto"/>
        <w:rPr>
          <w:rFonts w:eastAsia="Calibri" w:cs="Times New Roman"/>
        </w:rPr>
      </w:pPr>
      <w:r w:rsidRPr="00AD01C5">
        <w:rPr>
          <w:rFonts w:eastAsia="Calibri" w:cs="Times New Roman"/>
        </w:rPr>
        <w:lastRenderedPageBreak/>
        <w:t>Le categorie individuate nel Sistema di Qualificazione dell’Agenzia sono descritte nella tabella seguente:</w:t>
      </w:r>
    </w:p>
    <w:p w14:paraId="20A5D886" w14:textId="77777777" w:rsidR="00BD47C7" w:rsidRPr="00AD01C5" w:rsidRDefault="00BD47C7" w:rsidP="00777778">
      <w:pPr>
        <w:spacing w:before="120" w:after="0" w:line="240" w:lineRule="auto"/>
        <w:rPr>
          <w:rFonts w:eastAsia="Calibri" w:cs="Times New Roman"/>
        </w:rPr>
      </w:pPr>
    </w:p>
    <w:p w14:paraId="1A404091" w14:textId="77777777" w:rsidR="00FD2CBB" w:rsidRPr="00AD01C5" w:rsidRDefault="00FD2CBB" w:rsidP="00F13F46">
      <w:pPr>
        <w:spacing w:before="120" w:after="0" w:line="240" w:lineRule="auto"/>
        <w:jc w:val="center"/>
        <w:rPr>
          <w:rFonts w:eastAsia="Calibri" w:cs="Times New Roman"/>
        </w:rPr>
      </w:pPr>
      <w:r w:rsidRPr="00AD01C5">
        <w:rPr>
          <w:rFonts w:eastAsia="Calibri" w:cs="Times New Roman"/>
          <w:noProof/>
        </w:rPr>
        <w:drawing>
          <wp:inline distT="0" distB="0" distL="0" distR="0" wp14:anchorId="416B9A5B" wp14:editId="580D7A23">
            <wp:extent cx="5760000" cy="3082513"/>
            <wp:effectExtent l="19050" t="19050" r="12700" b="22860"/>
            <wp:docPr id="59060490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1"/>
                    <pic:cNvPicPr>
                      <a:picLocks noChangeAspect="1"/>
                    </pic:cNvPicPr>
                  </pic:nvPicPr>
                  <pic:blipFill rotWithShape="1">
                    <a:blip r:embed="rId97"/>
                    <a:srcRect l="654" b="5637"/>
                    <a:stretch/>
                  </pic:blipFill>
                  <pic:spPr>
                    <a:xfrm>
                      <a:off x="0" y="0"/>
                      <a:ext cx="5760000" cy="3082513"/>
                    </a:xfrm>
                    <a:prstGeom prst="rect">
                      <a:avLst/>
                    </a:prstGeom>
                    <a:solidFill>
                      <a:sysClr val="window" lastClr="FFFFFF"/>
                    </a:solidFill>
                    <a:ln w="12700">
                      <a:solidFill>
                        <a:sysClr val="window" lastClr="FFFFFF">
                          <a:lumMod val="65000"/>
                        </a:sysClr>
                      </a:solidFill>
                    </a:ln>
                  </pic:spPr>
                </pic:pic>
              </a:graphicData>
            </a:graphic>
          </wp:inline>
        </w:drawing>
      </w:r>
    </w:p>
    <w:p w14:paraId="621317E0" w14:textId="4799C326" w:rsidR="00FD2CBB" w:rsidRPr="0013703C" w:rsidRDefault="00FA5F66" w:rsidP="00BD47C7">
      <w:pPr>
        <w:spacing w:after="240" w:line="240" w:lineRule="auto"/>
        <w:jc w:val="center"/>
        <w:rPr>
          <w:rFonts w:eastAsia="Calibri"/>
          <w:i/>
          <w:color w:val="003366"/>
          <w:sz w:val="18"/>
          <w:szCs w:val="18"/>
        </w:rPr>
      </w:pPr>
      <w:r w:rsidRPr="00BF35BC">
        <w:rPr>
          <w:rFonts w:eastAsia="Calibri"/>
          <w:i/>
          <w:color w:val="003366"/>
          <w:sz w:val="18"/>
          <w:szCs w:val="18"/>
        </w:rPr>
        <w:t xml:space="preserve">Tabella </w:t>
      </w:r>
      <w:r w:rsidRPr="00BF35BC">
        <w:rPr>
          <w:rFonts w:cstheme="minorHAnsi"/>
          <w:i/>
          <w:color w:val="003366"/>
          <w:sz w:val="18"/>
          <w:szCs w:val="18"/>
        </w:rPr>
        <w:fldChar w:fldCharType="begin"/>
      </w:r>
      <w:r w:rsidRPr="71EE7570">
        <w:rPr>
          <w:rFonts w:eastAsia="Calibri"/>
          <w:i/>
          <w:color w:val="17406D" w:themeColor="text2"/>
          <w:sz w:val="18"/>
          <w:szCs w:val="18"/>
        </w:rPr>
        <w:instrText xml:space="preserve"> SEQ Tabella \* ARABIC </w:instrText>
      </w:r>
      <w:r w:rsidRPr="00BF35BC">
        <w:rPr>
          <w:rFonts w:cstheme="minorHAnsi"/>
          <w:i/>
          <w:color w:val="003366"/>
          <w:sz w:val="18"/>
          <w:szCs w:val="18"/>
        </w:rPr>
        <w:fldChar w:fldCharType="separate"/>
      </w:r>
      <w:r w:rsidR="00073B6D">
        <w:rPr>
          <w:rFonts w:eastAsia="Calibri"/>
          <w:i/>
          <w:noProof/>
          <w:color w:val="17406D" w:themeColor="text2"/>
          <w:sz w:val="18"/>
          <w:szCs w:val="18"/>
        </w:rPr>
        <w:t>62</w:t>
      </w:r>
      <w:r w:rsidRPr="00BF35BC">
        <w:rPr>
          <w:rFonts w:cstheme="minorHAnsi"/>
          <w:i/>
          <w:color w:val="003366"/>
          <w:sz w:val="18"/>
          <w:szCs w:val="18"/>
        </w:rPr>
        <w:fldChar w:fldCharType="end"/>
      </w:r>
      <w:r w:rsidRPr="00BF35BC">
        <w:rPr>
          <w:rFonts w:cstheme="minorHAnsi"/>
          <w:i/>
          <w:color w:val="003366"/>
          <w:sz w:val="18"/>
          <w:szCs w:val="18"/>
        </w:rPr>
        <w:t xml:space="preserve"> </w:t>
      </w:r>
      <w:r w:rsidRPr="00BF35BC">
        <w:rPr>
          <w:rFonts w:eastAsia="Calibri"/>
          <w:color w:val="003366"/>
          <w:sz w:val="18"/>
          <w:szCs w:val="18"/>
        </w:rPr>
        <w:t xml:space="preserve">– </w:t>
      </w:r>
      <w:r w:rsidR="00FD2CBB" w:rsidRPr="00AD01C5">
        <w:rPr>
          <w:rFonts w:eastAsia="Calibri"/>
          <w:i/>
          <w:color w:val="003366"/>
          <w:sz w:val="18"/>
          <w:szCs w:val="18"/>
        </w:rPr>
        <w:t>Categorie di qualificazione degli Operatori TPL nel Sistema di Qualificazione</w:t>
      </w:r>
    </w:p>
    <w:p w14:paraId="1187E4B7" w14:textId="77777777" w:rsidR="00FD2CBB" w:rsidRPr="00AD01C5" w:rsidRDefault="00FD2CBB" w:rsidP="00A72023">
      <w:pPr>
        <w:spacing w:before="120" w:after="0" w:line="240" w:lineRule="auto"/>
        <w:rPr>
          <w:rFonts w:eastAsia="Calibri"/>
        </w:rPr>
      </w:pPr>
      <w:r w:rsidRPr="00474DBC">
        <w:rPr>
          <w:rFonts w:eastAsia="Calibri"/>
        </w:rPr>
        <w:t>Alla data del 26 settembre 2025 erano ufficialmente registrati 24 soggetti in una o più categorie, in particolare per la categoria A inerente i servizi su strada si hanno 21 iscritti:</w:t>
      </w:r>
    </w:p>
    <w:p w14:paraId="255DE905" w14:textId="0C8F08B5" w:rsidR="00FD2CBB" w:rsidRPr="00AD01C5" w:rsidRDefault="00FD2CBB" w:rsidP="00A72023">
      <w:pPr>
        <w:tabs>
          <w:tab w:val="left" w:pos="1418"/>
        </w:tabs>
        <w:spacing w:before="120" w:after="0" w:line="240" w:lineRule="auto"/>
        <w:ind w:left="720"/>
        <w:rPr>
          <w:rFonts w:eastAsia="Calibri" w:cs="Times New Roman"/>
          <w:color w:val="000000"/>
        </w:rPr>
      </w:pPr>
      <w:r w:rsidRPr="00AD01C5">
        <w:rPr>
          <w:rFonts w:eastAsia="Calibri" w:cs="Times New Roman"/>
          <w:color w:val="000000"/>
        </w:rPr>
        <w:t>2</w:t>
      </w:r>
      <w:r w:rsidR="008C3BF4">
        <w:rPr>
          <w:rFonts w:eastAsia="Calibri" w:cs="Times New Roman"/>
          <w:color w:val="000000"/>
        </w:rPr>
        <w:tab/>
      </w:r>
      <w:r w:rsidR="008C3BF4">
        <w:rPr>
          <w:rFonts w:eastAsia="Calibri" w:cs="Times New Roman"/>
          <w:color w:val="000000"/>
        </w:rPr>
        <w:tab/>
      </w:r>
      <w:r w:rsidR="0041356E">
        <w:rPr>
          <w:rFonts w:eastAsia="Calibri" w:cs="Times New Roman"/>
          <w:color w:val="000000"/>
        </w:rPr>
        <w:tab/>
      </w:r>
      <w:r w:rsidR="0041356E">
        <w:rPr>
          <w:rFonts w:eastAsia="Calibri" w:cs="Times New Roman"/>
          <w:color w:val="000000"/>
        </w:rPr>
        <w:tab/>
      </w:r>
      <w:r w:rsidR="0041356E">
        <w:rPr>
          <w:rFonts w:eastAsia="Calibri" w:cs="Times New Roman"/>
          <w:color w:val="000000"/>
        </w:rPr>
        <w:tab/>
      </w:r>
      <w:r w:rsidRPr="00AD01C5">
        <w:rPr>
          <w:rFonts w:eastAsia="Calibri" w:cs="Times New Roman"/>
          <w:color w:val="000000"/>
        </w:rPr>
        <w:t>Operatori Economici iscritti esclusivamente per la categoria A classe i</w:t>
      </w:r>
    </w:p>
    <w:p w14:paraId="1EC1228F" w14:textId="22B094B4" w:rsidR="00FD2CBB" w:rsidRPr="00AD01C5" w:rsidRDefault="00FD2CBB" w:rsidP="00A72023">
      <w:pPr>
        <w:tabs>
          <w:tab w:val="left" w:pos="1418"/>
        </w:tabs>
        <w:spacing w:before="120" w:after="0" w:line="240" w:lineRule="auto"/>
        <w:ind w:left="720"/>
        <w:rPr>
          <w:rFonts w:eastAsia="Calibri" w:cs="Times New Roman"/>
          <w:color w:val="000000"/>
        </w:rPr>
      </w:pPr>
      <w:r w:rsidRPr="00AD01C5">
        <w:rPr>
          <w:rFonts w:eastAsia="Calibri" w:cs="Times New Roman"/>
          <w:color w:val="000000"/>
        </w:rPr>
        <w:t>5</w:t>
      </w:r>
      <w:r w:rsidR="0041356E">
        <w:rPr>
          <w:rFonts w:eastAsia="Calibri" w:cs="Times New Roman"/>
          <w:color w:val="000000"/>
        </w:rPr>
        <w:tab/>
      </w:r>
      <w:r w:rsidR="0041356E">
        <w:rPr>
          <w:rFonts w:eastAsia="Calibri" w:cs="Times New Roman"/>
          <w:color w:val="000000"/>
        </w:rPr>
        <w:tab/>
      </w:r>
      <w:r w:rsidRPr="00AD01C5">
        <w:rPr>
          <w:rFonts w:eastAsia="Calibri" w:cs="Times New Roman"/>
          <w:color w:val="000000"/>
        </w:rPr>
        <w:t xml:space="preserve"> Operatori Economici iscritti per la categoria A classe 1 e classi inferiori</w:t>
      </w:r>
    </w:p>
    <w:p w14:paraId="72579533" w14:textId="1ACF44F1" w:rsidR="00FD2CBB" w:rsidRPr="00AD01C5" w:rsidRDefault="00FD2CBB" w:rsidP="00A72023">
      <w:pPr>
        <w:tabs>
          <w:tab w:val="left" w:pos="1418"/>
        </w:tabs>
        <w:spacing w:before="120" w:after="0" w:line="240" w:lineRule="auto"/>
        <w:ind w:left="720"/>
        <w:rPr>
          <w:rFonts w:eastAsia="Calibri" w:cs="Times New Roman"/>
          <w:color w:val="000000"/>
        </w:rPr>
      </w:pPr>
      <w:r w:rsidRPr="00AD01C5">
        <w:rPr>
          <w:rFonts w:eastAsia="Calibri" w:cs="Times New Roman"/>
          <w:color w:val="000000"/>
        </w:rPr>
        <w:t>4</w:t>
      </w:r>
      <w:r w:rsidR="0041356E">
        <w:rPr>
          <w:rFonts w:eastAsia="Calibri" w:cs="Times New Roman"/>
          <w:color w:val="000000"/>
        </w:rPr>
        <w:tab/>
      </w:r>
      <w:r w:rsidRPr="00AD01C5">
        <w:rPr>
          <w:rFonts w:eastAsia="Calibri" w:cs="Times New Roman"/>
          <w:color w:val="000000"/>
        </w:rPr>
        <w:t xml:space="preserve">Operatori Economici iscritti per la categoria A classe 2 e classi inferiori </w:t>
      </w:r>
    </w:p>
    <w:p w14:paraId="2503A9C9" w14:textId="07F9D824" w:rsidR="00FD2CBB" w:rsidRPr="00AD01C5" w:rsidRDefault="00FD2CBB" w:rsidP="00A72023">
      <w:pPr>
        <w:tabs>
          <w:tab w:val="left" w:pos="1418"/>
        </w:tabs>
        <w:spacing w:before="120" w:after="0" w:line="240" w:lineRule="auto"/>
        <w:ind w:left="720"/>
        <w:rPr>
          <w:rFonts w:eastAsia="Calibri" w:cs="Times New Roman"/>
          <w:color w:val="000000"/>
        </w:rPr>
      </w:pPr>
      <w:r>
        <w:rPr>
          <w:rFonts w:eastAsia="Calibri" w:cs="Times New Roman"/>
          <w:color w:val="000000"/>
        </w:rPr>
        <w:t>1</w:t>
      </w:r>
      <w:r w:rsidR="0041356E">
        <w:rPr>
          <w:rFonts w:eastAsia="Calibri" w:cs="Times New Roman"/>
          <w:color w:val="000000"/>
        </w:rPr>
        <w:tab/>
      </w:r>
      <w:r w:rsidRPr="00AD01C5">
        <w:rPr>
          <w:rFonts w:eastAsia="Calibri" w:cs="Times New Roman"/>
          <w:color w:val="000000"/>
        </w:rPr>
        <w:t>Operator</w:t>
      </w:r>
      <w:r>
        <w:rPr>
          <w:rFonts w:eastAsia="Calibri" w:cs="Times New Roman"/>
          <w:color w:val="000000"/>
        </w:rPr>
        <w:t>e</w:t>
      </w:r>
      <w:r w:rsidRPr="00AD01C5">
        <w:rPr>
          <w:rFonts w:eastAsia="Calibri" w:cs="Times New Roman"/>
          <w:color w:val="000000"/>
        </w:rPr>
        <w:t xml:space="preserve"> Economic</w:t>
      </w:r>
      <w:r>
        <w:rPr>
          <w:rFonts w:eastAsia="Calibri" w:cs="Times New Roman"/>
          <w:color w:val="000000"/>
        </w:rPr>
        <w:t>o</w:t>
      </w:r>
      <w:r w:rsidRPr="00AD01C5">
        <w:rPr>
          <w:rFonts w:eastAsia="Calibri" w:cs="Times New Roman"/>
          <w:color w:val="000000"/>
        </w:rPr>
        <w:t xml:space="preserve"> iscritt</w:t>
      </w:r>
      <w:r>
        <w:rPr>
          <w:rFonts w:eastAsia="Calibri" w:cs="Times New Roman"/>
          <w:color w:val="000000"/>
        </w:rPr>
        <w:t>o</w:t>
      </w:r>
      <w:r w:rsidRPr="00AD01C5">
        <w:rPr>
          <w:rFonts w:eastAsia="Calibri" w:cs="Times New Roman"/>
          <w:color w:val="000000"/>
        </w:rPr>
        <w:t xml:space="preserve"> per la categoria A classe 3 </w:t>
      </w:r>
      <w:r>
        <w:rPr>
          <w:rFonts w:eastAsia="Calibri" w:cs="Times New Roman"/>
          <w:color w:val="000000"/>
        </w:rPr>
        <w:t>e classi inferiori</w:t>
      </w:r>
    </w:p>
    <w:p w14:paraId="189538FF" w14:textId="788C0095" w:rsidR="00FD2CBB" w:rsidRPr="00AD01C5" w:rsidRDefault="00FD2CBB" w:rsidP="00A72023">
      <w:pPr>
        <w:tabs>
          <w:tab w:val="left" w:pos="1418"/>
        </w:tabs>
        <w:spacing w:before="120" w:after="0" w:line="240" w:lineRule="auto"/>
        <w:ind w:left="720"/>
        <w:rPr>
          <w:rFonts w:eastAsia="Calibri" w:cs="Times New Roman"/>
          <w:color w:val="000000"/>
        </w:rPr>
      </w:pPr>
      <w:r>
        <w:rPr>
          <w:rFonts w:eastAsia="Calibri" w:cs="Times New Roman"/>
          <w:color w:val="000000"/>
        </w:rPr>
        <w:t>9</w:t>
      </w:r>
      <w:r w:rsidR="008B3ADC">
        <w:rPr>
          <w:rFonts w:eastAsia="Calibri" w:cs="Times New Roman"/>
          <w:color w:val="000000"/>
        </w:rPr>
        <w:tab/>
      </w:r>
      <w:r w:rsidRPr="00AD01C5">
        <w:rPr>
          <w:rFonts w:eastAsia="Calibri" w:cs="Times New Roman"/>
          <w:color w:val="000000"/>
        </w:rPr>
        <w:t>Operatori Economici iscritti per la categoria A classe 4 e classi inferiori</w:t>
      </w:r>
    </w:p>
    <w:p w14:paraId="2FB85239" w14:textId="77777777" w:rsidR="00FD2CBB" w:rsidRPr="00AD01C5" w:rsidRDefault="00FD2CBB" w:rsidP="00A72023">
      <w:pPr>
        <w:spacing w:before="120" w:after="0" w:line="240" w:lineRule="auto"/>
        <w:rPr>
          <w:rFonts w:eastAsia="Calibri"/>
        </w:rPr>
      </w:pPr>
      <w:r w:rsidRPr="00AD01C5">
        <w:rPr>
          <w:rFonts w:eastAsia="Calibri"/>
        </w:rPr>
        <w:t xml:space="preserve">La scelta di individuare lotti da 4 milioni di veicoli-km /anno avrebbe già potenzialmente </w:t>
      </w:r>
      <w:r>
        <w:rPr>
          <w:rFonts w:eastAsia="Calibri"/>
        </w:rPr>
        <w:t xml:space="preserve">14 </w:t>
      </w:r>
      <w:r w:rsidRPr="00AD01C5">
        <w:rPr>
          <w:rFonts w:eastAsia="Calibri"/>
        </w:rPr>
        <w:t>operatori con le caratteristiche di idoneità per la partecipazione alle gare in quanto iscritti nelle categorie A2 e superiori.</w:t>
      </w:r>
    </w:p>
    <w:p w14:paraId="4D372867" w14:textId="77777777" w:rsidR="00FD2CBB" w:rsidRPr="00AD01C5" w:rsidRDefault="00FD2CBB" w:rsidP="00A72023">
      <w:pPr>
        <w:spacing w:before="120" w:after="0" w:line="240" w:lineRule="auto"/>
        <w:rPr>
          <w:rFonts w:eastAsia="Calibri"/>
        </w:rPr>
      </w:pPr>
      <w:r w:rsidRPr="00AD01C5">
        <w:rPr>
          <w:rFonts w:eastAsia="Calibri"/>
        </w:rPr>
        <w:t>Tra i partecipanti agli incontri di consultazione quelli iscritti al Sistema di Qualificazione risultano appartenenti alle categorie Ai, A2 e A4 come meglio specificato di seguito:</w:t>
      </w:r>
    </w:p>
    <w:p w14:paraId="5815CD23" w14:textId="360B615F" w:rsidR="00FD2CBB" w:rsidRPr="00AD01C5" w:rsidRDefault="00FD2CBB" w:rsidP="00A72023">
      <w:pPr>
        <w:tabs>
          <w:tab w:val="left" w:pos="1418"/>
        </w:tabs>
        <w:spacing w:before="120" w:after="0" w:line="240" w:lineRule="auto"/>
        <w:ind w:left="720"/>
        <w:rPr>
          <w:rFonts w:eastAsia="Calibri" w:cs="Times New Roman"/>
          <w:color w:val="000000"/>
        </w:rPr>
      </w:pPr>
      <w:r w:rsidRPr="00777778">
        <w:rPr>
          <w:rFonts w:eastAsia="Calibri" w:cs="Times New Roman"/>
          <w:color w:val="000000"/>
        </w:rPr>
        <w:t>0</w:t>
      </w:r>
      <w:r w:rsidR="008B3ADC">
        <w:rPr>
          <w:rFonts w:eastAsia="Calibri" w:cs="Times New Roman"/>
          <w:color w:val="000000"/>
        </w:rPr>
        <w:tab/>
      </w:r>
      <w:r w:rsidRPr="00AD01C5">
        <w:rPr>
          <w:rFonts w:eastAsia="Calibri" w:cs="Times New Roman"/>
          <w:color w:val="000000"/>
        </w:rPr>
        <w:t>Operatori Economici iscritti esclusivamente per la categoria A classe i</w:t>
      </w:r>
    </w:p>
    <w:p w14:paraId="576B89C3" w14:textId="2A65FC0A" w:rsidR="00FD2CBB" w:rsidRPr="00AD01C5" w:rsidRDefault="00FD2CBB" w:rsidP="00A72023">
      <w:pPr>
        <w:tabs>
          <w:tab w:val="left" w:pos="1418"/>
        </w:tabs>
        <w:spacing w:before="120" w:after="0" w:line="240" w:lineRule="auto"/>
        <w:ind w:left="720"/>
        <w:rPr>
          <w:rFonts w:eastAsia="Calibri" w:cs="Times New Roman"/>
          <w:color w:val="000000"/>
        </w:rPr>
      </w:pPr>
      <w:r>
        <w:rPr>
          <w:rFonts w:eastAsia="Calibri" w:cs="Times New Roman"/>
          <w:color w:val="000000"/>
        </w:rPr>
        <w:t>2</w:t>
      </w:r>
      <w:r w:rsidR="008B3ADC">
        <w:rPr>
          <w:rFonts w:eastAsia="Calibri" w:cs="Times New Roman"/>
          <w:color w:val="000000"/>
        </w:rPr>
        <w:tab/>
      </w:r>
      <w:r w:rsidRPr="00AD01C5">
        <w:rPr>
          <w:rFonts w:eastAsia="Calibri" w:cs="Times New Roman"/>
          <w:color w:val="000000"/>
        </w:rPr>
        <w:t>Operatori Economici iscritti per la categoria A classe 1 e classi inferiori</w:t>
      </w:r>
    </w:p>
    <w:p w14:paraId="5390D3B5" w14:textId="248B5F9A" w:rsidR="00FD2CBB" w:rsidRPr="00AD01C5" w:rsidRDefault="00FD2CBB" w:rsidP="00A72023">
      <w:pPr>
        <w:tabs>
          <w:tab w:val="left" w:pos="1418"/>
        </w:tabs>
        <w:spacing w:before="120" w:after="0" w:line="240" w:lineRule="auto"/>
        <w:ind w:left="720"/>
        <w:rPr>
          <w:rFonts w:eastAsia="Calibri" w:cs="Times New Roman"/>
          <w:color w:val="000000"/>
        </w:rPr>
      </w:pPr>
      <w:r w:rsidRPr="00AD01C5">
        <w:rPr>
          <w:rFonts w:eastAsia="Calibri" w:cs="Times New Roman"/>
          <w:color w:val="000000"/>
        </w:rPr>
        <w:t>2</w:t>
      </w:r>
      <w:r w:rsidR="008B3ADC">
        <w:rPr>
          <w:rFonts w:eastAsia="Calibri" w:cs="Times New Roman"/>
          <w:color w:val="000000"/>
        </w:rPr>
        <w:tab/>
      </w:r>
      <w:r w:rsidRPr="00AD01C5">
        <w:rPr>
          <w:rFonts w:eastAsia="Calibri" w:cs="Times New Roman"/>
          <w:color w:val="000000"/>
        </w:rPr>
        <w:t xml:space="preserve">Operatori Economici iscritti per la categoria A classe 2 e classi inferiori </w:t>
      </w:r>
    </w:p>
    <w:p w14:paraId="7616A6BC" w14:textId="43CE6281" w:rsidR="00FD2CBB" w:rsidRPr="00AD01C5" w:rsidRDefault="00FD2CBB" w:rsidP="00A72023">
      <w:pPr>
        <w:tabs>
          <w:tab w:val="left" w:pos="1418"/>
        </w:tabs>
        <w:spacing w:before="120" w:after="0" w:line="240" w:lineRule="auto"/>
        <w:ind w:left="720"/>
        <w:rPr>
          <w:rFonts w:eastAsia="Calibri" w:cs="Times New Roman"/>
          <w:color w:val="000000"/>
        </w:rPr>
      </w:pPr>
      <w:r w:rsidRPr="00AD01C5">
        <w:rPr>
          <w:rFonts w:eastAsia="Calibri" w:cs="Times New Roman"/>
          <w:color w:val="000000"/>
        </w:rPr>
        <w:t>0</w:t>
      </w:r>
      <w:r w:rsidR="008B3ADC">
        <w:rPr>
          <w:rFonts w:eastAsia="Calibri" w:cs="Times New Roman"/>
          <w:color w:val="000000"/>
        </w:rPr>
        <w:tab/>
      </w:r>
      <w:r w:rsidRPr="00AD01C5">
        <w:rPr>
          <w:rFonts w:eastAsia="Calibri" w:cs="Times New Roman"/>
          <w:color w:val="000000"/>
        </w:rPr>
        <w:t xml:space="preserve">Operatori Economici iscritti esclusivamente per la categoria A classe 3 </w:t>
      </w:r>
    </w:p>
    <w:p w14:paraId="5E076E49" w14:textId="732614AF" w:rsidR="00FD2CBB" w:rsidRPr="00AD01C5" w:rsidRDefault="00FD2CBB" w:rsidP="00A72023">
      <w:pPr>
        <w:tabs>
          <w:tab w:val="left" w:pos="1418"/>
        </w:tabs>
        <w:spacing w:before="120" w:after="0" w:line="240" w:lineRule="auto"/>
        <w:ind w:left="720"/>
        <w:rPr>
          <w:rFonts w:eastAsia="Calibri" w:cs="Times New Roman"/>
          <w:color w:val="000000"/>
        </w:rPr>
      </w:pPr>
      <w:r>
        <w:rPr>
          <w:rFonts w:eastAsia="Calibri" w:cs="Times New Roman"/>
          <w:color w:val="000000"/>
        </w:rPr>
        <w:t>9</w:t>
      </w:r>
      <w:r w:rsidR="008B3ADC">
        <w:rPr>
          <w:rFonts w:eastAsia="Calibri" w:cs="Times New Roman"/>
          <w:color w:val="000000"/>
        </w:rPr>
        <w:tab/>
      </w:r>
      <w:r w:rsidRPr="00AD01C5">
        <w:rPr>
          <w:rFonts w:eastAsia="Calibri" w:cs="Times New Roman"/>
          <w:color w:val="000000"/>
        </w:rPr>
        <w:t>Operatori Economici iscritti per la categoria A classe 4 e classi inferiori</w:t>
      </w:r>
    </w:p>
    <w:p w14:paraId="5E1EC740" w14:textId="5C914D91" w:rsidR="00FD2CBB" w:rsidRPr="00E862E0" w:rsidRDefault="00FD2CBB" w:rsidP="00A72023">
      <w:pPr>
        <w:spacing w:before="120" w:after="0" w:line="240" w:lineRule="auto"/>
        <w:rPr>
          <w:rFonts w:eastAsia="Calibri"/>
        </w:rPr>
      </w:pPr>
      <w:r w:rsidRPr="00E862E0">
        <w:rPr>
          <w:rFonts w:eastAsia="Calibri"/>
        </w:rPr>
        <w:t xml:space="preserve">Tra partecipanti agli incontri di consultazione </w:t>
      </w:r>
      <w:r w:rsidR="00047AF5">
        <w:rPr>
          <w:rFonts w:eastAsia="Calibri"/>
        </w:rPr>
        <w:t xml:space="preserve">le aziende </w:t>
      </w:r>
      <w:r w:rsidRPr="00E862E0">
        <w:rPr>
          <w:rFonts w:eastAsia="Calibri"/>
        </w:rPr>
        <w:t>Chiesa Srl e STN Srl risultano essere iscritt</w:t>
      </w:r>
      <w:r w:rsidR="003F179A">
        <w:rPr>
          <w:rFonts w:eastAsia="Calibri"/>
        </w:rPr>
        <w:t>e</w:t>
      </w:r>
      <w:r w:rsidRPr="00E862E0">
        <w:rPr>
          <w:rFonts w:eastAsia="Calibri"/>
        </w:rPr>
        <w:t xml:space="preserve"> al sistema nella categoria A1, mentre</w:t>
      </w:r>
      <w:r w:rsidR="003F179A">
        <w:rPr>
          <w:rFonts w:eastAsia="Calibri"/>
        </w:rPr>
        <w:t xml:space="preserve"> le aziende</w:t>
      </w:r>
      <w:r w:rsidRPr="00E862E0">
        <w:rPr>
          <w:rFonts w:eastAsia="Calibri"/>
        </w:rPr>
        <w:t xml:space="preserve"> Autolinee Giachino spa e Cavourese spa risultano essere iscritt</w:t>
      </w:r>
      <w:r w:rsidR="003F179A">
        <w:rPr>
          <w:rFonts w:eastAsia="Calibri"/>
        </w:rPr>
        <w:t>e</w:t>
      </w:r>
      <w:r w:rsidRPr="00E862E0">
        <w:rPr>
          <w:rFonts w:eastAsia="Calibri"/>
        </w:rPr>
        <w:t xml:space="preserve"> alle categorie A2. Tali categorie identificano soggetti che possono potenzialmente concorrere per lotti di gara fino a 600.000 veicoli-km/anno (A1) e fino a 5 milioni di veicoli-km/anno (A2). </w:t>
      </w:r>
    </w:p>
    <w:p w14:paraId="5DCECF32" w14:textId="77777777" w:rsidR="00FD2CBB" w:rsidRPr="00AD01C5" w:rsidRDefault="00FD2CBB" w:rsidP="00A72023">
      <w:pPr>
        <w:spacing w:before="120" w:after="0" w:line="240" w:lineRule="auto"/>
        <w:rPr>
          <w:rFonts w:eastAsia="Calibri"/>
        </w:rPr>
      </w:pPr>
      <w:r w:rsidRPr="00E862E0">
        <w:rPr>
          <w:rFonts w:eastAsia="Calibri"/>
        </w:rPr>
        <w:lastRenderedPageBreak/>
        <w:t xml:space="preserve">Occorre evidenziare che STN </w:t>
      </w:r>
      <w:r>
        <w:rPr>
          <w:rFonts w:eastAsia="Calibri"/>
        </w:rPr>
        <w:t xml:space="preserve">e Cavourese </w:t>
      </w:r>
      <w:r w:rsidRPr="00E862E0">
        <w:rPr>
          <w:rFonts w:eastAsia="Calibri"/>
        </w:rPr>
        <w:t>fa</w:t>
      </w:r>
      <w:r>
        <w:rPr>
          <w:rFonts w:eastAsia="Calibri"/>
        </w:rPr>
        <w:t>nno</w:t>
      </w:r>
      <w:r w:rsidRPr="00E862E0">
        <w:rPr>
          <w:rFonts w:eastAsia="Calibri"/>
        </w:rPr>
        <w:t xml:space="preserve"> parte del gruppo Autoguidovie spa, già qualificato nella categoria A4 per tanto con accesso anche a gare di lotti più grandi. Al contrario</w:t>
      </w:r>
      <w:r>
        <w:rPr>
          <w:rFonts w:eastAsia="Calibri"/>
        </w:rPr>
        <w:t xml:space="preserve">, le aziende </w:t>
      </w:r>
      <w:r w:rsidRPr="00E862E0">
        <w:rPr>
          <w:rFonts w:eastAsia="Calibri"/>
        </w:rPr>
        <w:t>Chiesa</w:t>
      </w:r>
      <w:r>
        <w:rPr>
          <w:rFonts w:eastAsia="Calibri"/>
        </w:rPr>
        <w:t xml:space="preserve"> e</w:t>
      </w:r>
      <w:r w:rsidRPr="00E862E0">
        <w:rPr>
          <w:rFonts w:eastAsia="Calibri"/>
        </w:rPr>
        <w:t xml:space="preserve"> Autolinee Giachino</w:t>
      </w:r>
      <w:r>
        <w:rPr>
          <w:rFonts w:eastAsia="Calibri"/>
        </w:rPr>
        <w:t xml:space="preserve">, </w:t>
      </w:r>
      <w:r w:rsidRPr="00E862E0">
        <w:rPr>
          <w:rFonts w:eastAsia="Calibri"/>
        </w:rPr>
        <w:t xml:space="preserve">qualora non si avvalessero della collaborazione di altri operatori, non avrebbero accesso a gare per lotti </w:t>
      </w:r>
      <w:r>
        <w:rPr>
          <w:rFonts w:eastAsia="Calibri"/>
        </w:rPr>
        <w:t>superiori rispetto alla</w:t>
      </w:r>
      <w:r w:rsidRPr="00E862E0">
        <w:rPr>
          <w:rFonts w:eastAsia="Calibri"/>
        </w:rPr>
        <w:t xml:space="preserve"> categoria </w:t>
      </w:r>
      <w:r>
        <w:rPr>
          <w:rFonts w:eastAsia="Calibri"/>
        </w:rPr>
        <w:t>attualmente attribuita.</w:t>
      </w:r>
      <w:r w:rsidRPr="00E862E0">
        <w:rPr>
          <w:rFonts w:eastAsia="Calibri"/>
        </w:rPr>
        <w:t xml:space="preserve"> </w:t>
      </w:r>
    </w:p>
    <w:p w14:paraId="61EF8F0C" w14:textId="77777777" w:rsidR="00FD2CBB" w:rsidRPr="00AD01C5" w:rsidRDefault="00FD2CBB" w:rsidP="00A72023">
      <w:pPr>
        <w:spacing w:before="120" w:after="0" w:line="240" w:lineRule="auto"/>
        <w:rPr>
          <w:rFonts w:eastAsia="Calibri"/>
        </w:rPr>
      </w:pPr>
      <w:r w:rsidRPr="00AD01C5">
        <w:rPr>
          <w:rFonts w:eastAsia="Calibri"/>
        </w:rPr>
        <w:t>Il quadro attuale delle aziende presenti sul territorio, il numero di operatori iscritti per ciascuna classe nonché i risultati di partecipazione alla consultazione fanno presumere una buona partecipazione alla gara di più operatori indipendentemente dalla scelta dalla dimensione dei lotti.</w:t>
      </w:r>
    </w:p>
    <w:p w14:paraId="3E4FB00D" w14:textId="77777777" w:rsidR="00FD2CBB" w:rsidRPr="00590E0D" w:rsidRDefault="00FD2CBB" w:rsidP="00D352FC">
      <w:pPr>
        <w:pStyle w:val="Titolo3"/>
        <w:ind w:left="720"/>
      </w:pPr>
      <w:bookmarkStart w:id="441" w:name="_Toc193195798"/>
      <w:bookmarkStart w:id="442" w:name="_Toc1406758886"/>
      <w:bookmarkStart w:id="443" w:name="_Ref193814593"/>
      <w:bookmarkStart w:id="444" w:name="_Toc197695726"/>
      <w:bookmarkStart w:id="445" w:name="_Ref204245530"/>
      <w:bookmarkStart w:id="446" w:name="_Toc204328766"/>
      <w:bookmarkStart w:id="447" w:name="_Toc213078411"/>
      <w:r w:rsidRPr="00590E0D">
        <w:t>Processo di consultazione - indicazioni sulla dimensione dei lotti</w:t>
      </w:r>
      <w:bookmarkEnd w:id="441"/>
      <w:bookmarkEnd w:id="442"/>
      <w:bookmarkEnd w:id="443"/>
      <w:bookmarkEnd w:id="444"/>
      <w:bookmarkEnd w:id="445"/>
      <w:bookmarkEnd w:id="446"/>
      <w:bookmarkEnd w:id="447"/>
    </w:p>
    <w:p w14:paraId="1221C3C2" w14:textId="77777777" w:rsidR="00FD2CBB" w:rsidRDefault="00FD2CBB" w:rsidP="00E93470">
      <w:pPr>
        <w:spacing w:before="120" w:after="0" w:line="240" w:lineRule="auto"/>
        <w:rPr>
          <w:rFonts w:eastAsia="Calibri"/>
        </w:rPr>
      </w:pPr>
      <w:r w:rsidRPr="00590E0D">
        <w:rPr>
          <w:rFonts w:eastAsia="Calibri"/>
        </w:rPr>
        <w:t xml:space="preserve">Durante il processo di consultazione (si veda allegato 2) è stato diffuso un questionario </w:t>
      </w:r>
      <w:r>
        <w:rPr>
          <w:rFonts w:eastAsia="Calibri"/>
        </w:rPr>
        <w:t>dedicato in modo specifico</w:t>
      </w:r>
      <w:r w:rsidRPr="00590E0D">
        <w:rPr>
          <w:rFonts w:eastAsia="Calibri"/>
        </w:rPr>
        <w:t xml:space="preserve"> al</w:t>
      </w:r>
      <w:r>
        <w:rPr>
          <w:rFonts w:eastAsia="Calibri"/>
        </w:rPr>
        <w:t xml:space="preserve">la </w:t>
      </w:r>
      <w:r w:rsidRPr="00590E0D">
        <w:rPr>
          <w:rFonts w:eastAsia="Calibri"/>
        </w:rPr>
        <w:t xml:space="preserve">definizione dei lotti. </w:t>
      </w:r>
    </w:p>
    <w:p w14:paraId="345FA592" w14:textId="77777777" w:rsidR="00FD2CBB" w:rsidRPr="00590E0D" w:rsidRDefault="00FD2CBB" w:rsidP="00E93470">
      <w:pPr>
        <w:spacing w:before="120" w:after="0" w:line="240" w:lineRule="auto"/>
        <w:rPr>
          <w:rFonts w:eastAsia="Calibri"/>
        </w:rPr>
      </w:pPr>
      <w:r>
        <w:rPr>
          <w:rFonts w:eastAsia="Calibri"/>
        </w:rPr>
        <w:t xml:space="preserve">Le risposte pervenute dagli Enti locali hanno evidenziato con chiarezza </w:t>
      </w:r>
      <w:r w:rsidRPr="00590E0D">
        <w:rPr>
          <w:rFonts w:eastAsia="Calibri"/>
        </w:rPr>
        <w:t>l</w:t>
      </w:r>
      <w:r>
        <w:rPr>
          <w:rFonts w:eastAsia="Calibri"/>
        </w:rPr>
        <w:t>’esigenza prioritaria</w:t>
      </w:r>
      <w:r w:rsidRPr="00590E0D">
        <w:rPr>
          <w:rFonts w:eastAsia="Calibri"/>
        </w:rPr>
        <w:t xml:space="preserve"> di configurare lotti </w:t>
      </w:r>
      <w:r w:rsidRPr="00826DE1">
        <w:rPr>
          <w:rFonts w:eastAsia="Calibri"/>
        </w:rPr>
        <w:t xml:space="preserve">che includano, al loro interno, sia poli di istruzione sia strutture sanitarie. Dalle indicazioni raccolte è emerso che il dimensionamento ottimale di un lotto potrebbe </w:t>
      </w:r>
      <w:r>
        <w:rPr>
          <w:rFonts w:eastAsia="Calibri"/>
        </w:rPr>
        <w:t>coincidere con il territorio delle</w:t>
      </w:r>
      <w:r w:rsidRPr="00826DE1">
        <w:rPr>
          <w:rFonts w:eastAsia="Calibri"/>
        </w:rPr>
        <w:t xml:space="preserve"> Valli di Susa e Sangone</w:t>
      </w:r>
      <w:r>
        <w:rPr>
          <w:rFonts w:eastAsia="Calibri"/>
        </w:rPr>
        <w:t xml:space="preserve">, un altro lotto invece dovrebbe coincidere con la zona del Chierese e della collina torinese. In generale, è stato sottolineato come la definizione dei lotti dovrebbe basarsi su ambiti territoriali omogenei. </w:t>
      </w:r>
      <w:r w:rsidRPr="00826DE1">
        <w:rPr>
          <w:rFonts w:eastAsia="Calibri"/>
        </w:rPr>
        <w:t xml:space="preserve">Alcuni contributi hanno </w:t>
      </w:r>
      <w:r>
        <w:rPr>
          <w:rFonts w:eastAsia="Calibri"/>
        </w:rPr>
        <w:t>invece</w:t>
      </w:r>
      <w:r w:rsidRPr="00826DE1">
        <w:rPr>
          <w:rFonts w:eastAsia="Calibri"/>
        </w:rPr>
        <w:t xml:space="preserve"> suggerito un’estensione più ampia, </w:t>
      </w:r>
      <w:r>
        <w:rPr>
          <w:rFonts w:eastAsia="Calibri"/>
        </w:rPr>
        <w:t>corrispondente al</w:t>
      </w:r>
      <w:r w:rsidRPr="00826DE1">
        <w:rPr>
          <w:rFonts w:eastAsia="Calibri"/>
        </w:rPr>
        <w:t xml:space="preserve">l’intera area metropolitana e </w:t>
      </w:r>
      <w:r>
        <w:rPr>
          <w:rFonts w:eastAsia="Calibri"/>
        </w:rPr>
        <w:t>al</w:t>
      </w:r>
      <w:r w:rsidRPr="00826DE1">
        <w:rPr>
          <w:rFonts w:eastAsia="Calibri"/>
        </w:rPr>
        <w:t>le valli limitrofe.</w:t>
      </w:r>
    </w:p>
    <w:p w14:paraId="545F9F70" w14:textId="77777777" w:rsidR="00FD2CBB" w:rsidRPr="00590E0D" w:rsidRDefault="00FD2CBB" w:rsidP="00E93470">
      <w:pPr>
        <w:spacing w:before="120" w:after="0" w:line="240" w:lineRule="auto"/>
        <w:rPr>
          <w:rFonts w:eastAsia="Calibri" w:cs="Calibri"/>
        </w:rPr>
      </w:pPr>
      <w:r>
        <w:rPr>
          <w:rFonts w:eastAsia="Calibri"/>
        </w:rPr>
        <w:t>Le risposte degli</w:t>
      </w:r>
      <w:r w:rsidRPr="00590E0D">
        <w:rPr>
          <w:rFonts w:eastAsia="Calibri"/>
        </w:rPr>
        <w:t xml:space="preserve"> operatori di TPL </w:t>
      </w:r>
      <w:r>
        <w:rPr>
          <w:rFonts w:eastAsia="Calibri"/>
        </w:rPr>
        <w:t xml:space="preserve">che </w:t>
      </w:r>
      <w:r w:rsidRPr="00590E0D">
        <w:rPr>
          <w:rFonts w:eastAsia="Calibri"/>
        </w:rPr>
        <w:t>hanno partecipato alla consultazione anche attraverso la compilazione dei questionari</w:t>
      </w:r>
      <w:r>
        <w:rPr>
          <w:rFonts w:eastAsia="Calibri"/>
        </w:rPr>
        <w:t>, hanno evidenziato come</w:t>
      </w:r>
      <w:r w:rsidRPr="00590E0D">
        <w:rPr>
          <w:rFonts w:eastAsia="Calibri"/>
        </w:rPr>
        <w:t xml:space="preserve"> il </w:t>
      </w:r>
      <w:r w:rsidRPr="00590E0D">
        <w:rPr>
          <w:rFonts w:eastAsia="Calibri" w:cs="Calibri"/>
        </w:rPr>
        <w:t xml:space="preserve">criterio più rilevante </w:t>
      </w:r>
      <w:r>
        <w:rPr>
          <w:rFonts w:eastAsia="Calibri" w:cs="Calibri"/>
        </w:rPr>
        <w:t>per l’individuazione dei lotti sia</w:t>
      </w:r>
      <w:r w:rsidRPr="00590E0D">
        <w:rPr>
          <w:rFonts w:eastAsia="Calibri" w:cs="Calibri"/>
        </w:rPr>
        <w:t xml:space="preserve"> rappresentato da un rapporto ricavi/costi superiore del 35%, rispetto agli altri parametri proposti (produzione chilometrica e dimensione dei fattori della produzione).</w:t>
      </w:r>
    </w:p>
    <w:p w14:paraId="73747DE0" w14:textId="77777777" w:rsidR="00FD2CBB" w:rsidRPr="00590E0D" w:rsidRDefault="00FD2CBB" w:rsidP="00E93470">
      <w:pPr>
        <w:spacing w:before="120" w:after="0" w:line="240" w:lineRule="auto"/>
        <w:rPr>
          <w:rFonts w:eastAsia="Calibri" w:cs="Calibri"/>
        </w:rPr>
      </w:pPr>
      <w:r w:rsidRPr="00590E0D">
        <w:rPr>
          <w:rFonts w:eastAsia="Calibri" w:cs="Calibri"/>
        </w:rPr>
        <w:t>Sono stati inoltre indicati ulteriori criteri da prendere in considerazione per la definizione dei lotti:</w:t>
      </w:r>
    </w:p>
    <w:p w14:paraId="570DF3AF" w14:textId="77777777" w:rsidR="00FD2CBB" w:rsidRPr="00590E0D" w:rsidRDefault="00FD2CBB" w:rsidP="004B0DBE">
      <w:pPr>
        <w:numPr>
          <w:ilvl w:val="0"/>
          <w:numId w:val="66"/>
        </w:numPr>
        <w:suppressAutoHyphens/>
        <w:spacing w:before="120" w:after="0" w:line="240" w:lineRule="auto"/>
        <w:rPr>
          <w:rFonts w:eastAsia="Calibri" w:cs="Calibri"/>
        </w:rPr>
      </w:pPr>
      <w:r w:rsidRPr="00590E0D">
        <w:rPr>
          <w:rFonts w:eastAsia="Calibri" w:cs="Calibri"/>
        </w:rPr>
        <w:t xml:space="preserve">geomorfologia e complessità del territorio, densità della popolazione </w:t>
      </w:r>
    </w:p>
    <w:p w14:paraId="4D4A5D69" w14:textId="77777777" w:rsidR="00FD2CBB" w:rsidRPr="00590E0D" w:rsidRDefault="00FD2CBB" w:rsidP="004B0DBE">
      <w:pPr>
        <w:numPr>
          <w:ilvl w:val="0"/>
          <w:numId w:val="66"/>
        </w:numPr>
        <w:suppressAutoHyphens/>
        <w:spacing w:before="120" w:after="0" w:line="240" w:lineRule="auto"/>
        <w:rPr>
          <w:rFonts w:eastAsia="Calibri" w:cs="Calibri"/>
        </w:rPr>
      </w:pPr>
      <w:r w:rsidRPr="00590E0D">
        <w:rPr>
          <w:rFonts w:eastAsia="Calibri" w:cs="Calibri"/>
        </w:rPr>
        <w:t>ubicazione dei beni strumentali</w:t>
      </w:r>
    </w:p>
    <w:p w14:paraId="38EE6102" w14:textId="77777777" w:rsidR="00FD2CBB" w:rsidRPr="00590E0D" w:rsidRDefault="00FD2CBB" w:rsidP="004B0DBE">
      <w:pPr>
        <w:numPr>
          <w:ilvl w:val="0"/>
          <w:numId w:val="66"/>
        </w:numPr>
        <w:suppressAutoHyphens/>
        <w:spacing w:before="120" w:after="0" w:line="240" w:lineRule="auto"/>
        <w:rPr>
          <w:rFonts w:eastAsia="Calibri" w:cs="Calibri"/>
        </w:rPr>
      </w:pPr>
      <w:r w:rsidRPr="00590E0D">
        <w:rPr>
          <w:rFonts w:eastAsia="Calibri" w:cs="Calibri"/>
        </w:rPr>
        <w:t>presenza bilanciata all’interno del lotto di linee di forza – primarie/secondarie – a domanda debole</w:t>
      </w:r>
    </w:p>
    <w:p w14:paraId="2C0C57BA" w14:textId="77777777" w:rsidR="00FD2CBB" w:rsidRPr="00590E0D" w:rsidRDefault="00FD2CBB" w:rsidP="00E93470">
      <w:pPr>
        <w:spacing w:before="120" w:after="0" w:line="240" w:lineRule="auto"/>
        <w:rPr>
          <w:rFonts w:eastAsia="Calibri" w:cs="Calibri"/>
        </w:rPr>
      </w:pPr>
      <w:r w:rsidRPr="00590E0D">
        <w:rPr>
          <w:rFonts w:eastAsia="Calibri" w:cs="Calibri"/>
        </w:rPr>
        <w:t>Dalle risposte fornite</w:t>
      </w:r>
      <w:r>
        <w:rPr>
          <w:rFonts w:eastAsia="Calibri" w:cs="Calibri"/>
        </w:rPr>
        <w:t>,</w:t>
      </w:r>
      <w:r w:rsidRPr="00590E0D">
        <w:rPr>
          <w:rFonts w:eastAsia="Calibri" w:cs="Calibri"/>
        </w:rPr>
        <w:t xml:space="preserve"> gli operatori hanno evidenziato che:</w:t>
      </w:r>
    </w:p>
    <w:p w14:paraId="708E57C7" w14:textId="77777777" w:rsidR="00FD2CBB" w:rsidRPr="00590E0D" w:rsidRDefault="00FD2CBB" w:rsidP="004B0DBE">
      <w:pPr>
        <w:numPr>
          <w:ilvl w:val="0"/>
          <w:numId w:val="66"/>
        </w:numPr>
        <w:suppressAutoHyphens/>
        <w:spacing w:before="120" w:after="0" w:line="240" w:lineRule="auto"/>
        <w:rPr>
          <w:rFonts w:eastAsia="Calibri" w:cs="Calibri"/>
        </w:rPr>
      </w:pPr>
      <w:r w:rsidRPr="00590E0D">
        <w:rPr>
          <w:rFonts w:eastAsia="Calibri" w:cs="Calibri"/>
        </w:rPr>
        <w:t>sia più importante assegnare un lotto di servizio in base all’organizzazione dei servizi rispetto al programma di esercizio piuttosto che all’omogeneità del materiale rotabile e delle officine di manutenzione.</w:t>
      </w:r>
    </w:p>
    <w:p w14:paraId="1FCA6C00" w14:textId="77777777" w:rsidR="00FD2CBB" w:rsidRPr="00590E0D" w:rsidRDefault="00FD2CBB" w:rsidP="004B0DBE">
      <w:pPr>
        <w:numPr>
          <w:ilvl w:val="0"/>
          <w:numId w:val="66"/>
        </w:numPr>
        <w:suppressAutoHyphens/>
        <w:spacing w:before="120" w:after="0" w:line="240" w:lineRule="auto"/>
        <w:rPr>
          <w:rFonts w:eastAsia="Calibri" w:cs="Calibri"/>
        </w:rPr>
      </w:pPr>
      <w:r w:rsidRPr="00590E0D">
        <w:rPr>
          <w:rFonts w:eastAsia="Calibri" w:cs="Calibri"/>
        </w:rPr>
        <w:t>la riduzione delle percorrenze a vuoto è il parametro che più di altri genera maggiore efficienza.</w:t>
      </w:r>
    </w:p>
    <w:p w14:paraId="339DF579" w14:textId="77777777" w:rsidR="00FD2CBB" w:rsidRPr="00590E0D" w:rsidRDefault="00FD2CBB" w:rsidP="004B0DBE">
      <w:pPr>
        <w:numPr>
          <w:ilvl w:val="0"/>
          <w:numId w:val="66"/>
        </w:numPr>
        <w:suppressAutoHyphens/>
        <w:spacing w:before="120" w:after="0" w:line="240" w:lineRule="auto"/>
        <w:rPr>
          <w:rFonts w:eastAsia="Calibri" w:cs="Calibri"/>
        </w:rPr>
      </w:pPr>
      <w:r w:rsidRPr="00590E0D">
        <w:rPr>
          <w:rFonts w:eastAsia="Calibri" w:cs="Calibri"/>
        </w:rPr>
        <w:t>l’organizzazione del servizio generando efficienza rende maggiormente contendibile un lotto.</w:t>
      </w:r>
    </w:p>
    <w:p w14:paraId="4DDEE2A5" w14:textId="77777777" w:rsidR="00FD2CBB" w:rsidRPr="00590E0D" w:rsidRDefault="00FD2CBB" w:rsidP="00E93470">
      <w:pPr>
        <w:spacing w:before="120" w:after="0" w:line="240" w:lineRule="auto"/>
        <w:rPr>
          <w:rFonts w:eastAsia="Calibri" w:cs="Calibri"/>
        </w:rPr>
      </w:pPr>
      <w:r w:rsidRPr="00590E0D">
        <w:rPr>
          <w:rFonts w:eastAsia="Calibri" w:cs="Calibri"/>
        </w:rPr>
        <w:t xml:space="preserve">Sulla dimensione ottimale dei lotti le aziende di TPL si sono così espresse: </w:t>
      </w:r>
    </w:p>
    <w:p w14:paraId="7AA9BCEA" w14:textId="77777777" w:rsidR="00FD2CBB" w:rsidRPr="00590E0D" w:rsidRDefault="00FD2CBB" w:rsidP="004B0DBE">
      <w:pPr>
        <w:numPr>
          <w:ilvl w:val="0"/>
          <w:numId w:val="66"/>
        </w:numPr>
        <w:suppressAutoHyphens/>
        <w:spacing w:before="120" w:after="0" w:line="240" w:lineRule="auto"/>
        <w:rPr>
          <w:rFonts w:eastAsia="Calibri" w:cs="Calibri"/>
        </w:rPr>
      </w:pPr>
      <w:r w:rsidRPr="00590E0D">
        <w:rPr>
          <w:rFonts w:eastAsia="Calibri" w:cs="Calibri"/>
        </w:rPr>
        <w:t>lotti con una produzione di servizi tra 4 e 6 mil. di km/anno – indicazione pervenuta da aziende di TPL di medie-piccole dimensioni</w:t>
      </w:r>
    </w:p>
    <w:p w14:paraId="5CC14934" w14:textId="77777777" w:rsidR="00FD2CBB" w:rsidRPr="00590E0D" w:rsidRDefault="00FD2CBB" w:rsidP="004B0DBE">
      <w:pPr>
        <w:numPr>
          <w:ilvl w:val="0"/>
          <w:numId w:val="66"/>
        </w:numPr>
        <w:suppressAutoHyphens/>
        <w:spacing w:before="120" w:after="0" w:line="240" w:lineRule="auto"/>
        <w:rPr>
          <w:rFonts w:eastAsia="Calibri" w:cs="Calibri"/>
        </w:rPr>
      </w:pPr>
      <w:r w:rsidRPr="00590E0D">
        <w:rPr>
          <w:rFonts w:eastAsia="Calibri" w:cs="Calibri"/>
        </w:rPr>
        <w:t>lotti con una produzione di servizi superiore ai 10 mil. di km/anno – indicazione pervenuta da aziende di grandi dimensioni</w:t>
      </w:r>
    </w:p>
    <w:p w14:paraId="7E2234D1" w14:textId="77777777" w:rsidR="00FD2CBB" w:rsidRDefault="00FD2CBB" w:rsidP="00E93470">
      <w:pPr>
        <w:spacing w:before="120" w:after="0" w:line="240" w:lineRule="auto"/>
        <w:rPr>
          <w:rFonts w:eastAsia="Calibri"/>
        </w:rPr>
      </w:pPr>
      <w:r w:rsidRPr="00590E0D">
        <w:rPr>
          <w:rFonts w:eastAsia="Calibri"/>
        </w:rPr>
        <w:t>Infine, gli operatori ritengono che dimensioni maggiori dei lotti e l’omogeneità dei servizi svolti influiscano positivamente nell’ottimizzazione dell’uso del materiale rotabile.</w:t>
      </w:r>
    </w:p>
    <w:p w14:paraId="01512978" w14:textId="23C246A9" w:rsidR="00FD2CBB" w:rsidRDefault="00FD2CBB" w:rsidP="00E93470">
      <w:pPr>
        <w:spacing w:before="120" w:after="0" w:line="240" w:lineRule="auto"/>
        <w:rPr>
          <w:rFonts w:eastAsia="Calibri"/>
        </w:rPr>
      </w:pPr>
      <w:r w:rsidRPr="00AF0018">
        <w:rPr>
          <w:rFonts w:eastAsia="Calibri"/>
        </w:rPr>
        <w:lastRenderedPageBreak/>
        <w:t>Durante gli incontri</w:t>
      </w:r>
      <w:r>
        <w:rPr>
          <w:rFonts w:eastAsia="Calibri"/>
        </w:rPr>
        <w:t xml:space="preserve"> dedicati al Bacino Metropolitano, oltre alla già citata richiesta della Città di Torino,</w:t>
      </w:r>
      <w:r w:rsidRPr="00AF0018">
        <w:rPr>
          <w:rFonts w:eastAsia="Calibri"/>
        </w:rPr>
        <w:t xml:space="preserve"> è emersa da parte dell’Unione Montana Val Chisone e Germanasca</w:t>
      </w:r>
      <w:r w:rsidR="00740ABB">
        <w:rPr>
          <w:rStyle w:val="Rimandonotaapidipagina"/>
          <w:rFonts w:eastAsia="Calibri"/>
        </w:rPr>
        <w:footnoteReference w:id="53"/>
      </w:r>
      <w:r w:rsidRPr="00AF0018">
        <w:rPr>
          <w:rFonts w:eastAsia="Calibri"/>
        </w:rPr>
        <w:t xml:space="preserve"> la richiesta di mantenere i propri servizi all’interno di uno specifico accordo di programma con la definizione di un </w:t>
      </w:r>
      <w:r w:rsidRPr="00AF0018">
        <w:rPr>
          <w:rFonts w:eastAsia="Calibri"/>
          <w:b/>
        </w:rPr>
        <w:t>lotto a domanda debole</w:t>
      </w:r>
      <w:r w:rsidRPr="00AF0018">
        <w:rPr>
          <w:rFonts w:eastAsia="Calibri"/>
        </w:rPr>
        <w:t xml:space="preserve"> a servizio dei comuni</w:t>
      </w:r>
      <w:r>
        <w:rPr>
          <w:rFonts w:eastAsia="Calibri"/>
        </w:rPr>
        <w:t xml:space="preserve"> dell’Unione.</w:t>
      </w:r>
    </w:p>
    <w:p w14:paraId="21B097AB" w14:textId="77777777" w:rsidR="00FD2CBB" w:rsidRPr="00590E0D" w:rsidRDefault="00FD2CBB" w:rsidP="00E93470">
      <w:pPr>
        <w:spacing w:before="120" w:after="0" w:line="240" w:lineRule="auto"/>
        <w:rPr>
          <w:rFonts w:eastAsia="Calibri"/>
        </w:rPr>
      </w:pPr>
      <w:r w:rsidRPr="00590E0D">
        <w:rPr>
          <w:rFonts w:eastAsia="Calibri"/>
        </w:rPr>
        <w:t xml:space="preserve">Durante la consultazione si è richiesto inoltre alle aziende se e quali degli attuali </w:t>
      </w:r>
      <w:r>
        <w:rPr>
          <w:rFonts w:eastAsia="Calibri"/>
        </w:rPr>
        <w:t>51</w:t>
      </w:r>
      <w:r w:rsidRPr="00590E0D">
        <w:rPr>
          <w:rFonts w:eastAsia="Calibri"/>
        </w:rPr>
        <w:t xml:space="preserve"> depositi utilizzati per l’erogazione dei servizi nel Bacino </w:t>
      </w:r>
      <w:r>
        <w:rPr>
          <w:rFonts w:eastAsia="Calibri"/>
        </w:rPr>
        <w:t>Metropolitano</w:t>
      </w:r>
      <w:r w:rsidRPr="00590E0D">
        <w:rPr>
          <w:rFonts w:eastAsia="Calibri"/>
        </w:rPr>
        <w:t>, potranno essere messi a disposizione degli operatori economici che partecipano alla procedura di gara; si tratta di elementi essenziali per una corretta impostazione dei Piani economico-finanziari e dei Piani di mobilitazione dei fattori della produzione</w:t>
      </w:r>
      <w:r w:rsidRPr="00590E0D">
        <w:rPr>
          <w:rFonts w:eastAsia="Calibri"/>
          <w:vertAlign w:val="superscript"/>
        </w:rPr>
        <w:footnoteReference w:id="54"/>
      </w:r>
      <w:r w:rsidRPr="00590E0D">
        <w:rPr>
          <w:rFonts w:eastAsia="Calibri"/>
        </w:rPr>
        <w:t>.</w:t>
      </w:r>
    </w:p>
    <w:p w14:paraId="0EB74202" w14:textId="77777777" w:rsidR="00FD2CBB" w:rsidRDefault="00FD2CBB" w:rsidP="00E93470">
      <w:pPr>
        <w:spacing w:before="120" w:after="0" w:line="240" w:lineRule="auto"/>
        <w:rPr>
          <w:rFonts w:eastAsia="Calibri"/>
        </w:rPr>
      </w:pPr>
      <w:r w:rsidRPr="00590E0D">
        <w:rPr>
          <w:rFonts w:eastAsia="Calibri"/>
        </w:rPr>
        <w:t>A seguito di specifica richiesta da parte di Agenzia agli operatori di TPL, i depositi messi a disposizione dalle aziende sono elencati nella tabella sottostante. Per ulteriori dettagli tecnico-funzionali si rimanda all'allegato 7 della relazione.</w:t>
      </w:r>
    </w:p>
    <w:p w14:paraId="0FCBED01" w14:textId="77777777" w:rsidR="00E93470" w:rsidRPr="00590E0D" w:rsidRDefault="00E93470" w:rsidP="00E93470">
      <w:pPr>
        <w:spacing w:before="120" w:after="0" w:line="240" w:lineRule="auto"/>
        <w:jc w:val="left"/>
        <w:rPr>
          <w:rFonts w:eastAsia="Calibri"/>
        </w:rPr>
      </w:pP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70" w:type="dxa"/>
          <w:right w:w="70" w:type="dxa"/>
        </w:tblCellMar>
        <w:tblLook w:val="04A0" w:firstRow="1" w:lastRow="0" w:firstColumn="1" w:lastColumn="0" w:noHBand="0" w:noVBand="1"/>
      </w:tblPr>
      <w:tblGrid>
        <w:gridCol w:w="1129"/>
        <w:gridCol w:w="2010"/>
        <w:gridCol w:w="2243"/>
        <w:gridCol w:w="2628"/>
        <w:gridCol w:w="1050"/>
      </w:tblGrid>
      <w:tr w:rsidR="00FD2CBB" w:rsidRPr="00912A4D" w14:paraId="27C90A2B" w14:textId="77777777" w:rsidTr="00123D8B">
        <w:trPr>
          <w:trHeight w:val="454"/>
          <w:jc w:val="center"/>
        </w:trPr>
        <w:tc>
          <w:tcPr>
            <w:tcW w:w="1129" w:type="dxa"/>
            <w:shd w:val="clear" w:color="auto" w:fill="EE3438"/>
            <w:vAlign w:val="center"/>
            <w:hideMark/>
          </w:tcPr>
          <w:p w14:paraId="276BFF43" w14:textId="77777777" w:rsidR="00FD2CBB" w:rsidRPr="00847613" w:rsidRDefault="00FD2CBB">
            <w:pPr>
              <w:spacing w:after="0" w:line="240" w:lineRule="auto"/>
              <w:jc w:val="center"/>
              <w:rPr>
                <w:rFonts w:eastAsia="Times New Roman" w:cs="Calibri"/>
                <w:b/>
                <w:color w:val="FFFFFF" w:themeColor="background1"/>
              </w:rPr>
            </w:pPr>
            <w:r w:rsidRPr="00847613">
              <w:rPr>
                <w:rFonts w:eastAsia="Times New Roman" w:cs="Calibri"/>
                <w:b/>
                <w:color w:val="FFFFFF" w:themeColor="background1"/>
              </w:rPr>
              <w:t>Codice Deposito</w:t>
            </w:r>
          </w:p>
        </w:tc>
        <w:tc>
          <w:tcPr>
            <w:tcW w:w="2010" w:type="dxa"/>
            <w:shd w:val="clear" w:color="auto" w:fill="EE3438"/>
            <w:vAlign w:val="center"/>
            <w:hideMark/>
          </w:tcPr>
          <w:p w14:paraId="752C75D4" w14:textId="77777777" w:rsidR="00FD2CBB" w:rsidRPr="00847613" w:rsidRDefault="00FD2CBB">
            <w:pPr>
              <w:spacing w:after="0" w:line="240" w:lineRule="auto"/>
              <w:jc w:val="center"/>
              <w:rPr>
                <w:rFonts w:eastAsia="Times New Roman" w:cs="Calibri"/>
                <w:b/>
                <w:color w:val="FFFFFF" w:themeColor="background1"/>
              </w:rPr>
            </w:pPr>
            <w:r w:rsidRPr="00847613">
              <w:rPr>
                <w:rFonts w:eastAsia="Times New Roman" w:cs="Calibri"/>
                <w:b/>
                <w:color w:val="FFFFFF" w:themeColor="background1"/>
              </w:rPr>
              <w:t>Localizzazione</w:t>
            </w:r>
          </w:p>
        </w:tc>
        <w:tc>
          <w:tcPr>
            <w:tcW w:w="2243" w:type="dxa"/>
            <w:shd w:val="clear" w:color="auto" w:fill="EE3438"/>
            <w:vAlign w:val="center"/>
            <w:hideMark/>
          </w:tcPr>
          <w:p w14:paraId="45B14F52" w14:textId="77777777" w:rsidR="00FD2CBB" w:rsidRPr="00847613" w:rsidRDefault="00FD2CBB">
            <w:pPr>
              <w:spacing w:after="0" w:line="240" w:lineRule="auto"/>
              <w:jc w:val="center"/>
              <w:rPr>
                <w:rFonts w:eastAsia="Times New Roman" w:cs="Calibri"/>
                <w:b/>
                <w:color w:val="FFFFFF" w:themeColor="background1"/>
              </w:rPr>
            </w:pPr>
            <w:r w:rsidRPr="00847613">
              <w:rPr>
                <w:rFonts w:eastAsia="Times New Roman" w:cs="Calibri"/>
                <w:b/>
                <w:color w:val="FFFFFF" w:themeColor="background1"/>
              </w:rPr>
              <w:t>Indirizzo</w:t>
            </w:r>
          </w:p>
        </w:tc>
        <w:tc>
          <w:tcPr>
            <w:tcW w:w="2628" w:type="dxa"/>
            <w:shd w:val="clear" w:color="auto" w:fill="EE3438"/>
            <w:vAlign w:val="center"/>
            <w:hideMark/>
          </w:tcPr>
          <w:p w14:paraId="3E3CE46A" w14:textId="77777777" w:rsidR="00FD2CBB" w:rsidRPr="00847613" w:rsidRDefault="00FD2CBB">
            <w:pPr>
              <w:spacing w:after="0" w:line="240" w:lineRule="auto"/>
              <w:jc w:val="center"/>
              <w:rPr>
                <w:rFonts w:eastAsia="Times New Roman" w:cs="Calibri"/>
                <w:b/>
                <w:color w:val="FFFFFF" w:themeColor="background1"/>
              </w:rPr>
            </w:pPr>
            <w:r w:rsidRPr="00847613">
              <w:rPr>
                <w:rFonts w:eastAsia="Times New Roman" w:cs="Calibri"/>
                <w:b/>
                <w:color w:val="FFFFFF" w:themeColor="background1"/>
              </w:rPr>
              <w:t>Impianti</w:t>
            </w:r>
          </w:p>
        </w:tc>
        <w:tc>
          <w:tcPr>
            <w:tcW w:w="1050" w:type="dxa"/>
            <w:shd w:val="clear" w:color="auto" w:fill="EE3438"/>
            <w:vAlign w:val="center"/>
            <w:hideMark/>
          </w:tcPr>
          <w:p w14:paraId="4113985D" w14:textId="77777777" w:rsidR="00FD2CBB" w:rsidRPr="00847613" w:rsidRDefault="00FD2CBB">
            <w:pPr>
              <w:spacing w:after="0" w:line="240" w:lineRule="auto"/>
              <w:jc w:val="center"/>
              <w:rPr>
                <w:rFonts w:eastAsia="Times New Roman" w:cs="Calibri"/>
                <w:b/>
                <w:color w:val="FFFFFF" w:themeColor="background1"/>
              </w:rPr>
            </w:pPr>
            <w:r w:rsidRPr="00847613">
              <w:rPr>
                <w:rFonts w:eastAsia="Times New Roman" w:cs="Calibri"/>
                <w:b/>
                <w:color w:val="FFFFFF" w:themeColor="background1"/>
              </w:rPr>
              <w:t>Superficie totale</w:t>
            </w:r>
          </w:p>
        </w:tc>
      </w:tr>
      <w:tr w:rsidR="00FD2CBB" w:rsidRPr="00912A4D" w14:paraId="0726A26E" w14:textId="77777777" w:rsidTr="00123D8B">
        <w:trPr>
          <w:trHeight w:val="454"/>
          <w:jc w:val="center"/>
        </w:trPr>
        <w:tc>
          <w:tcPr>
            <w:tcW w:w="1129" w:type="dxa"/>
            <w:shd w:val="clear" w:color="000000" w:fill="FFFFFF"/>
            <w:noWrap/>
            <w:vAlign w:val="center"/>
            <w:hideMark/>
          </w:tcPr>
          <w:p w14:paraId="6697DA0D" w14:textId="77777777" w:rsidR="00FD2CBB" w:rsidRPr="00912A4D" w:rsidRDefault="00FD2CBB">
            <w:pPr>
              <w:spacing w:after="0" w:line="240" w:lineRule="auto"/>
              <w:jc w:val="center"/>
              <w:rPr>
                <w:rFonts w:eastAsia="Times New Roman" w:cs="Calibri"/>
              </w:rPr>
            </w:pPr>
            <w:r w:rsidRPr="00912A4D">
              <w:rPr>
                <w:rFonts w:eastAsia="Times New Roman" w:cs="Calibri"/>
              </w:rPr>
              <w:t>TO_022</w:t>
            </w:r>
          </w:p>
        </w:tc>
        <w:tc>
          <w:tcPr>
            <w:tcW w:w="2010" w:type="dxa"/>
            <w:vAlign w:val="center"/>
            <w:hideMark/>
          </w:tcPr>
          <w:p w14:paraId="6A951B08" w14:textId="77777777" w:rsidR="00FD2CBB" w:rsidRPr="00912A4D" w:rsidRDefault="00FD2CBB">
            <w:pPr>
              <w:spacing w:after="0" w:line="240" w:lineRule="auto"/>
              <w:jc w:val="left"/>
              <w:rPr>
                <w:rFonts w:eastAsia="Times New Roman" w:cs="Calibri"/>
                <w:color w:val="000000"/>
              </w:rPr>
            </w:pPr>
            <w:r w:rsidRPr="00912A4D">
              <w:rPr>
                <w:rFonts w:eastAsia="Times New Roman" w:cs="Calibri"/>
                <w:color w:val="000000"/>
              </w:rPr>
              <w:t xml:space="preserve"> Castellamonte (TO)</w:t>
            </w:r>
          </w:p>
        </w:tc>
        <w:tc>
          <w:tcPr>
            <w:tcW w:w="2243" w:type="dxa"/>
            <w:vAlign w:val="center"/>
            <w:hideMark/>
          </w:tcPr>
          <w:p w14:paraId="753AFAD6" w14:textId="77777777" w:rsidR="00FD2CBB" w:rsidRPr="00912A4D" w:rsidRDefault="00FD2CBB">
            <w:pPr>
              <w:spacing w:after="0" w:line="240" w:lineRule="auto"/>
              <w:jc w:val="left"/>
              <w:rPr>
                <w:rFonts w:eastAsia="Times New Roman" w:cs="Calibri"/>
                <w:color w:val="000000"/>
              </w:rPr>
            </w:pPr>
            <w:r w:rsidRPr="00912A4D">
              <w:rPr>
                <w:rFonts w:eastAsia="Times New Roman" w:cs="Calibri"/>
                <w:color w:val="000000"/>
              </w:rPr>
              <w:t>Str. Cuorgnè 42 CMT</w:t>
            </w:r>
          </w:p>
        </w:tc>
        <w:tc>
          <w:tcPr>
            <w:tcW w:w="2628" w:type="dxa"/>
            <w:vAlign w:val="center"/>
            <w:hideMark/>
          </w:tcPr>
          <w:p w14:paraId="72B5EA63" w14:textId="77777777" w:rsidR="00FD2CBB" w:rsidRPr="00912A4D" w:rsidRDefault="00FD2CBB">
            <w:pPr>
              <w:spacing w:after="0" w:line="240" w:lineRule="auto"/>
              <w:jc w:val="left"/>
              <w:rPr>
                <w:rFonts w:eastAsia="Times New Roman" w:cs="Calibri"/>
                <w:color w:val="000000"/>
              </w:rPr>
            </w:pPr>
            <w:r w:rsidRPr="00912A4D">
              <w:rPr>
                <w:rFonts w:eastAsia="Times New Roman" w:cs="Calibri"/>
                <w:color w:val="000000"/>
              </w:rPr>
              <w:t>erogazione carburante, lavaggio</w:t>
            </w:r>
          </w:p>
        </w:tc>
        <w:tc>
          <w:tcPr>
            <w:tcW w:w="1050" w:type="dxa"/>
            <w:shd w:val="clear" w:color="000000" w:fill="FFFFFF"/>
            <w:noWrap/>
            <w:vAlign w:val="center"/>
            <w:hideMark/>
          </w:tcPr>
          <w:p w14:paraId="47EDC18A" w14:textId="77777777" w:rsidR="00FD2CBB" w:rsidRPr="00912A4D" w:rsidRDefault="00FD2CBB" w:rsidP="008B2D4F">
            <w:pPr>
              <w:spacing w:after="0" w:line="240" w:lineRule="auto"/>
              <w:jc w:val="right"/>
              <w:rPr>
                <w:rFonts w:eastAsia="Times New Roman" w:cs="Calibri"/>
              </w:rPr>
            </w:pPr>
            <w:r w:rsidRPr="00912A4D">
              <w:rPr>
                <w:rFonts w:eastAsia="Times New Roman" w:cs="Calibri"/>
              </w:rPr>
              <w:t>2.432</w:t>
            </w:r>
          </w:p>
        </w:tc>
      </w:tr>
      <w:tr w:rsidR="00FD2CBB" w:rsidRPr="00912A4D" w14:paraId="108B3F84" w14:textId="77777777" w:rsidTr="00123D8B">
        <w:trPr>
          <w:trHeight w:val="454"/>
          <w:jc w:val="center"/>
        </w:trPr>
        <w:tc>
          <w:tcPr>
            <w:tcW w:w="1129" w:type="dxa"/>
            <w:shd w:val="clear" w:color="000000" w:fill="FFFFFF"/>
            <w:noWrap/>
            <w:vAlign w:val="center"/>
            <w:hideMark/>
          </w:tcPr>
          <w:p w14:paraId="7031FA86" w14:textId="77777777" w:rsidR="00FD2CBB" w:rsidRPr="00912A4D" w:rsidRDefault="00FD2CBB">
            <w:pPr>
              <w:spacing w:after="0" w:line="240" w:lineRule="auto"/>
              <w:jc w:val="center"/>
              <w:rPr>
                <w:rFonts w:eastAsia="Times New Roman" w:cs="Calibri"/>
              </w:rPr>
            </w:pPr>
            <w:r w:rsidRPr="00912A4D">
              <w:rPr>
                <w:rFonts w:eastAsia="Times New Roman" w:cs="Calibri"/>
              </w:rPr>
              <w:t>TO_024</w:t>
            </w:r>
          </w:p>
        </w:tc>
        <w:tc>
          <w:tcPr>
            <w:tcW w:w="2010" w:type="dxa"/>
            <w:vAlign w:val="center"/>
            <w:hideMark/>
          </w:tcPr>
          <w:p w14:paraId="4864D918" w14:textId="77777777" w:rsidR="00FD2CBB" w:rsidRPr="00912A4D" w:rsidRDefault="00FD2CBB">
            <w:pPr>
              <w:spacing w:after="0" w:line="240" w:lineRule="auto"/>
              <w:jc w:val="left"/>
              <w:rPr>
                <w:rFonts w:eastAsia="Times New Roman" w:cs="Calibri"/>
                <w:color w:val="000000"/>
              </w:rPr>
            </w:pPr>
            <w:r w:rsidRPr="00912A4D">
              <w:rPr>
                <w:rFonts w:eastAsia="Times New Roman" w:cs="Calibri"/>
                <w:color w:val="000000"/>
              </w:rPr>
              <w:t>Salassa (TO)</w:t>
            </w:r>
          </w:p>
        </w:tc>
        <w:tc>
          <w:tcPr>
            <w:tcW w:w="2243" w:type="dxa"/>
            <w:vAlign w:val="center"/>
            <w:hideMark/>
          </w:tcPr>
          <w:p w14:paraId="5FE955A5" w14:textId="77777777" w:rsidR="00FD2CBB" w:rsidRPr="00912A4D" w:rsidRDefault="00FD2CBB">
            <w:pPr>
              <w:spacing w:after="0" w:line="240" w:lineRule="auto"/>
              <w:jc w:val="left"/>
              <w:rPr>
                <w:rFonts w:eastAsia="Times New Roman" w:cs="Calibri"/>
                <w:color w:val="000000"/>
              </w:rPr>
            </w:pPr>
            <w:r w:rsidRPr="00912A4D">
              <w:rPr>
                <w:rFonts w:eastAsia="Times New Roman" w:cs="Calibri"/>
                <w:color w:val="000000"/>
              </w:rPr>
              <w:t>Via Stazione 12bis</w:t>
            </w:r>
          </w:p>
        </w:tc>
        <w:tc>
          <w:tcPr>
            <w:tcW w:w="2628" w:type="dxa"/>
            <w:vAlign w:val="center"/>
            <w:hideMark/>
          </w:tcPr>
          <w:p w14:paraId="15877250" w14:textId="77777777" w:rsidR="00FD2CBB" w:rsidRPr="00912A4D" w:rsidRDefault="00FD2CBB">
            <w:pPr>
              <w:spacing w:after="0" w:line="240" w:lineRule="auto"/>
              <w:jc w:val="left"/>
              <w:rPr>
                <w:rFonts w:eastAsia="Times New Roman" w:cs="Calibri"/>
                <w:color w:val="000000"/>
              </w:rPr>
            </w:pPr>
            <w:r w:rsidRPr="00912A4D">
              <w:rPr>
                <w:rFonts w:eastAsia="Times New Roman" w:cs="Calibri"/>
                <w:color w:val="000000"/>
              </w:rPr>
              <w:t>lavaggio</w:t>
            </w:r>
          </w:p>
        </w:tc>
        <w:tc>
          <w:tcPr>
            <w:tcW w:w="1050" w:type="dxa"/>
            <w:shd w:val="clear" w:color="000000" w:fill="FFFFFF"/>
            <w:noWrap/>
            <w:vAlign w:val="center"/>
            <w:hideMark/>
          </w:tcPr>
          <w:p w14:paraId="08391299" w14:textId="77777777" w:rsidR="00FD2CBB" w:rsidRPr="00912A4D" w:rsidRDefault="00FD2CBB" w:rsidP="008B2D4F">
            <w:pPr>
              <w:spacing w:after="0" w:line="240" w:lineRule="auto"/>
              <w:jc w:val="right"/>
              <w:rPr>
                <w:rFonts w:eastAsia="Times New Roman" w:cs="Calibri"/>
              </w:rPr>
            </w:pPr>
            <w:r w:rsidRPr="00912A4D">
              <w:rPr>
                <w:rFonts w:eastAsia="Times New Roman" w:cs="Calibri"/>
              </w:rPr>
              <w:t>1.829</w:t>
            </w:r>
          </w:p>
        </w:tc>
      </w:tr>
      <w:tr w:rsidR="00FD2CBB" w:rsidRPr="00912A4D" w14:paraId="705256E0" w14:textId="77777777" w:rsidTr="00123D8B">
        <w:trPr>
          <w:trHeight w:val="454"/>
          <w:jc w:val="center"/>
        </w:trPr>
        <w:tc>
          <w:tcPr>
            <w:tcW w:w="1129" w:type="dxa"/>
            <w:shd w:val="clear" w:color="000000" w:fill="FFFFFF"/>
            <w:noWrap/>
            <w:vAlign w:val="center"/>
            <w:hideMark/>
          </w:tcPr>
          <w:p w14:paraId="49106CD1" w14:textId="77777777" w:rsidR="00FD2CBB" w:rsidRPr="00912A4D" w:rsidRDefault="00FD2CBB">
            <w:pPr>
              <w:spacing w:after="0" w:line="240" w:lineRule="auto"/>
              <w:jc w:val="center"/>
              <w:rPr>
                <w:rFonts w:eastAsia="Times New Roman" w:cs="Calibri"/>
              </w:rPr>
            </w:pPr>
            <w:r w:rsidRPr="00912A4D">
              <w:rPr>
                <w:rFonts w:eastAsia="Times New Roman" w:cs="Calibri"/>
              </w:rPr>
              <w:t>TO_025</w:t>
            </w:r>
          </w:p>
        </w:tc>
        <w:tc>
          <w:tcPr>
            <w:tcW w:w="2010" w:type="dxa"/>
            <w:vAlign w:val="center"/>
            <w:hideMark/>
          </w:tcPr>
          <w:p w14:paraId="162B5ACE" w14:textId="77777777" w:rsidR="00FD2CBB" w:rsidRPr="00912A4D" w:rsidRDefault="00FD2CBB">
            <w:pPr>
              <w:spacing w:after="0" w:line="240" w:lineRule="auto"/>
              <w:jc w:val="left"/>
              <w:rPr>
                <w:rFonts w:eastAsia="Times New Roman" w:cs="Calibri"/>
                <w:color w:val="000000"/>
              </w:rPr>
            </w:pPr>
            <w:r w:rsidRPr="00912A4D">
              <w:rPr>
                <w:rFonts w:eastAsia="Times New Roman" w:cs="Calibri"/>
                <w:color w:val="000000"/>
              </w:rPr>
              <w:t>Alpette (TO)</w:t>
            </w:r>
          </w:p>
        </w:tc>
        <w:tc>
          <w:tcPr>
            <w:tcW w:w="2243" w:type="dxa"/>
            <w:vAlign w:val="center"/>
            <w:hideMark/>
          </w:tcPr>
          <w:p w14:paraId="18475240" w14:textId="77777777" w:rsidR="00FD2CBB" w:rsidRPr="00912A4D" w:rsidRDefault="00FD2CBB">
            <w:pPr>
              <w:spacing w:after="0" w:line="240" w:lineRule="auto"/>
              <w:jc w:val="left"/>
              <w:rPr>
                <w:rFonts w:eastAsia="Times New Roman" w:cs="Calibri"/>
                <w:color w:val="000000"/>
              </w:rPr>
            </w:pPr>
            <w:r w:rsidRPr="00912A4D">
              <w:rPr>
                <w:rFonts w:eastAsia="Times New Roman" w:cs="Calibri"/>
                <w:color w:val="000000"/>
              </w:rPr>
              <w:t>Strada Provinciale Snc</w:t>
            </w:r>
          </w:p>
        </w:tc>
        <w:tc>
          <w:tcPr>
            <w:tcW w:w="2628" w:type="dxa"/>
            <w:vAlign w:val="center"/>
            <w:hideMark/>
          </w:tcPr>
          <w:p w14:paraId="032B2AAF" w14:textId="77777777" w:rsidR="00FD2CBB" w:rsidRPr="00912A4D" w:rsidRDefault="00FD2CBB">
            <w:pPr>
              <w:spacing w:after="0" w:line="240" w:lineRule="auto"/>
              <w:jc w:val="left"/>
              <w:rPr>
                <w:rFonts w:eastAsia="Times New Roman" w:cs="Calibri"/>
                <w:color w:val="000000"/>
              </w:rPr>
            </w:pPr>
            <w:r w:rsidRPr="00912A4D">
              <w:rPr>
                <w:rFonts w:eastAsia="Times New Roman" w:cs="Calibri"/>
                <w:color w:val="000000"/>
              </w:rPr>
              <w:t> </w:t>
            </w:r>
          </w:p>
        </w:tc>
        <w:tc>
          <w:tcPr>
            <w:tcW w:w="1050" w:type="dxa"/>
            <w:shd w:val="clear" w:color="000000" w:fill="FFFFFF"/>
            <w:noWrap/>
            <w:vAlign w:val="center"/>
            <w:hideMark/>
          </w:tcPr>
          <w:p w14:paraId="2A112F5A" w14:textId="77777777" w:rsidR="00FD2CBB" w:rsidRPr="00912A4D" w:rsidRDefault="00FD2CBB" w:rsidP="008B2D4F">
            <w:pPr>
              <w:spacing w:after="0" w:line="240" w:lineRule="auto"/>
              <w:jc w:val="right"/>
              <w:rPr>
                <w:rFonts w:eastAsia="Times New Roman" w:cs="Calibri"/>
              </w:rPr>
            </w:pPr>
            <w:r w:rsidRPr="00912A4D">
              <w:rPr>
                <w:rFonts w:eastAsia="Times New Roman" w:cs="Calibri"/>
              </w:rPr>
              <w:t>1.890</w:t>
            </w:r>
          </w:p>
        </w:tc>
      </w:tr>
      <w:tr w:rsidR="00FD2CBB" w:rsidRPr="00912A4D" w14:paraId="353EFC71" w14:textId="77777777" w:rsidTr="00123D8B">
        <w:trPr>
          <w:trHeight w:val="454"/>
          <w:jc w:val="center"/>
        </w:trPr>
        <w:tc>
          <w:tcPr>
            <w:tcW w:w="1129" w:type="dxa"/>
            <w:shd w:val="clear" w:color="000000" w:fill="FFFFFF"/>
            <w:noWrap/>
            <w:vAlign w:val="center"/>
            <w:hideMark/>
          </w:tcPr>
          <w:p w14:paraId="21DBD5A6" w14:textId="77777777" w:rsidR="00FD2CBB" w:rsidRPr="00912A4D" w:rsidRDefault="00FD2CBB">
            <w:pPr>
              <w:spacing w:after="0" w:line="240" w:lineRule="auto"/>
              <w:jc w:val="center"/>
              <w:rPr>
                <w:rFonts w:eastAsia="Times New Roman" w:cs="Calibri"/>
              </w:rPr>
            </w:pPr>
            <w:r w:rsidRPr="00912A4D">
              <w:rPr>
                <w:rFonts w:eastAsia="Times New Roman" w:cs="Calibri"/>
              </w:rPr>
              <w:t>TO_028</w:t>
            </w:r>
          </w:p>
        </w:tc>
        <w:tc>
          <w:tcPr>
            <w:tcW w:w="2010" w:type="dxa"/>
            <w:vAlign w:val="center"/>
            <w:hideMark/>
          </w:tcPr>
          <w:p w14:paraId="09A007F7" w14:textId="77777777" w:rsidR="00FD2CBB" w:rsidRPr="00912A4D" w:rsidRDefault="00FD2CBB">
            <w:pPr>
              <w:spacing w:after="0" w:line="240" w:lineRule="auto"/>
              <w:jc w:val="left"/>
              <w:rPr>
                <w:rFonts w:eastAsia="Times New Roman" w:cs="Calibri"/>
                <w:color w:val="000000"/>
              </w:rPr>
            </w:pPr>
            <w:r w:rsidRPr="00912A4D">
              <w:rPr>
                <w:rFonts w:eastAsia="Times New Roman" w:cs="Calibri"/>
                <w:color w:val="000000"/>
              </w:rPr>
              <w:t>Germagnano (TO)</w:t>
            </w:r>
          </w:p>
        </w:tc>
        <w:tc>
          <w:tcPr>
            <w:tcW w:w="2243" w:type="dxa"/>
            <w:vAlign w:val="center"/>
            <w:hideMark/>
          </w:tcPr>
          <w:p w14:paraId="5B5E4D38" w14:textId="77777777" w:rsidR="00FD2CBB" w:rsidRPr="00912A4D" w:rsidRDefault="00FD2CBB">
            <w:pPr>
              <w:spacing w:after="0" w:line="240" w:lineRule="auto"/>
              <w:jc w:val="left"/>
              <w:rPr>
                <w:rFonts w:eastAsia="Times New Roman" w:cs="Calibri"/>
                <w:color w:val="000000"/>
              </w:rPr>
            </w:pPr>
            <w:r w:rsidRPr="00912A4D">
              <w:rPr>
                <w:rFonts w:eastAsia="Times New Roman" w:cs="Calibri"/>
                <w:color w:val="000000"/>
              </w:rPr>
              <w:t>Via Roma 148</w:t>
            </w:r>
          </w:p>
        </w:tc>
        <w:tc>
          <w:tcPr>
            <w:tcW w:w="2628" w:type="dxa"/>
            <w:vAlign w:val="center"/>
            <w:hideMark/>
          </w:tcPr>
          <w:p w14:paraId="4BC549EA" w14:textId="77777777" w:rsidR="00FD2CBB" w:rsidRPr="00912A4D" w:rsidRDefault="00FD2CBB">
            <w:pPr>
              <w:spacing w:after="0" w:line="240" w:lineRule="auto"/>
              <w:jc w:val="left"/>
              <w:rPr>
                <w:rFonts w:eastAsia="Times New Roman" w:cs="Calibri"/>
                <w:color w:val="000000"/>
              </w:rPr>
            </w:pPr>
            <w:r w:rsidRPr="00912A4D">
              <w:rPr>
                <w:rFonts w:eastAsia="Times New Roman" w:cs="Calibri"/>
                <w:color w:val="000000"/>
              </w:rPr>
              <w:t> </w:t>
            </w:r>
          </w:p>
        </w:tc>
        <w:tc>
          <w:tcPr>
            <w:tcW w:w="1050" w:type="dxa"/>
            <w:shd w:val="clear" w:color="000000" w:fill="FFFFFF"/>
            <w:noWrap/>
            <w:vAlign w:val="center"/>
            <w:hideMark/>
          </w:tcPr>
          <w:p w14:paraId="6AB1776A" w14:textId="77777777" w:rsidR="00FD2CBB" w:rsidRPr="00912A4D" w:rsidRDefault="00FD2CBB" w:rsidP="008B2D4F">
            <w:pPr>
              <w:spacing w:after="0" w:line="240" w:lineRule="auto"/>
              <w:jc w:val="right"/>
              <w:rPr>
                <w:rFonts w:eastAsia="Times New Roman" w:cs="Calibri"/>
              </w:rPr>
            </w:pPr>
            <w:r w:rsidRPr="00912A4D">
              <w:rPr>
                <w:rFonts w:eastAsia="Times New Roman" w:cs="Calibri"/>
              </w:rPr>
              <w:t>300</w:t>
            </w:r>
          </w:p>
        </w:tc>
      </w:tr>
      <w:tr w:rsidR="00FD2CBB" w:rsidRPr="00912A4D" w14:paraId="26B46A50" w14:textId="77777777" w:rsidTr="00123D8B">
        <w:trPr>
          <w:trHeight w:val="454"/>
          <w:jc w:val="center"/>
        </w:trPr>
        <w:tc>
          <w:tcPr>
            <w:tcW w:w="1129" w:type="dxa"/>
            <w:shd w:val="clear" w:color="000000" w:fill="FFFFFF"/>
            <w:noWrap/>
            <w:vAlign w:val="center"/>
            <w:hideMark/>
          </w:tcPr>
          <w:p w14:paraId="4C675A36" w14:textId="77777777" w:rsidR="00FD2CBB" w:rsidRPr="00912A4D" w:rsidRDefault="00FD2CBB">
            <w:pPr>
              <w:spacing w:after="0" w:line="240" w:lineRule="auto"/>
              <w:jc w:val="center"/>
              <w:rPr>
                <w:rFonts w:eastAsia="Times New Roman" w:cs="Calibri"/>
              </w:rPr>
            </w:pPr>
            <w:r w:rsidRPr="00912A4D">
              <w:rPr>
                <w:rFonts w:eastAsia="Times New Roman" w:cs="Calibri"/>
              </w:rPr>
              <w:t>TO_045</w:t>
            </w:r>
          </w:p>
        </w:tc>
        <w:tc>
          <w:tcPr>
            <w:tcW w:w="2010" w:type="dxa"/>
            <w:shd w:val="clear" w:color="000000" w:fill="FFFFFF"/>
            <w:vAlign w:val="center"/>
            <w:hideMark/>
          </w:tcPr>
          <w:p w14:paraId="33FC9752" w14:textId="77777777" w:rsidR="00FD2CBB" w:rsidRPr="00912A4D" w:rsidRDefault="00FD2CBB">
            <w:pPr>
              <w:spacing w:after="0" w:line="240" w:lineRule="auto"/>
              <w:jc w:val="left"/>
              <w:rPr>
                <w:rFonts w:eastAsia="Times New Roman" w:cs="Calibri"/>
              </w:rPr>
            </w:pPr>
            <w:r w:rsidRPr="00912A4D">
              <w:rPr>
                <w:rFonts w:eastAsia="Times New Roman" w:cs="Calibri"/>
              </w:rPr>
              <w:t>Pont Canavese (TO)</w:t>
            </w:r>
          </w:p>
        </w:tc>
        <w:tc>
          <w:tcPr>
            <w:tcW w:w="2243" w:type="dxa"/>
            <w:shd w:val="clear" w:color="000000" w:fill="FFFFFF"/>
            <w:vAlign w:val="center"/>
            <w:hideMark/>
          </w:tcPr>
          <w:p w14:paraId="7C45E620" w14:textId="77777777" w:rsidR="00FD2CBB" w:rsidRPr="00912A4D" w:rsidRDefault="00FD2CBB">
            <w:pPr>
              <w:spacing w:after="0" w:line="240" w:lineRule="auto"/>
              <w:jc w:val="left"/>
              <w:rPr>
                <w:rFonts w:eastAsia="Times New Roman" w:cs="Calibri"/>
              </w:rPr>
            </w:pPr>
            <w:r w:rsidRPr="00912A4D">
              <w:rPr>
                <w:rFonts w:eastAsia="Times New Roman" w:cs="Calibri"/>
              </w:rPr>
              <w:t>Stazione</w:t>
            </w:r>
          </w:p>
        </w:tc>
        <w:tc>
          <w:tcPr>
            <w:tcW w:w="2628" w:type="dxa"/>
            <w:vAlign w:val="center"/>
            <w:hideMark/>
          </w:tcPr>
          <w:p w14:paraId="209A4274" w14:textId="77777777" w:rsidR="00FD2CBB" w:rsidRPr="00912A4D" w:rsidRDefault="00FD2CBB">
            <w:pPr>
              <w:spacing w:after="0" w:line="240" w:lineRule="auto"/>
              <w:jc w:val="left"/>
              <w:rPr>
                <w:rFonts w:eastAsia="Times New Roman" w:cs="Calibri"/>
                <w:color w:val="000000"/>
              </w:rPr>
            </w:pPr>
            <w:r w:rsidRPr="00912A4D">
              <w:rPr>
                <w:rFonts w:eastAsia="Times New Roman" w:cs="Calibri"/>
                <w:color w:val="000000"/>
              </w:rPr>
              <w:t> </w:t>
            </w:r>
          </w:p>
        </w:tc>
        <w:tc>
          <w:tcPr>
            <w:tcW w:w="1050" w:type="dxa"/>
            <w:shd w:val="clear" w:color="000000" w:fill="FFFFFF"/>
            <w:noWrap/>
            <w:vAlign w:val="center"/>
            <w:hideMark/>
          </w:tcPr>
          <w:p w14:paraId="58F4141C" w14:textId="77777777" w:rsidR="00FD2CBB" w:rsidRPr="00912A4D" w:rsidRDefault="00FD2CBB" w:rsidP="008B2D4F">
            <w:pPr>
              <w:spacing w:after="0" w:line="240" w:lineRule="auto"/>
              <w:jc w:val="right"/>
              <w:rPr>
                <w:rFonts w:eastAsia="Times New Roman" w:cs="Calibri"/>
              </w:rPr>
            </w:pPr>
            <w:r w:rsidRPr="00912A4D">
              <w:rPr>
                <w:rFonts w:eastAsia="Times New Roman" w:cs="Calibri"/>
              </w:rPr>
              <w:t>4.500</w:t>
            </w:r>
          </w:p>
        </w:tc>
      </w:tr>
    </w:tbl>
    <w:p w14:paraId="725F475E" w14:textId="76D49A84" w:rsidR="00FD2CBB" w:rsidRPr="00AD01C5" w:rsidRDefault="00FA5F66" w:rsidP="00B4294E">
      <w:pPr>
        <w:spacing w:after="240" w:line="240" w:lineRule="auto"/>
        <w:jc w:val="center"/>
        <w:rPr>
          <w:rFonts w:eastAsia="Calibri"/>
          <w:i/>
          <w:color w:val="003366"/>
          <w:sz w:val="18"/>
          <w:szCs w:val="18"/>
        </w:rPr>
      </w:pPr>
      <w:bookmarkStart w:id="450" w:name="_Toc193195799"/>
      <w:bookmarkStart w:id="451" w:name="_Toc2038700622"/>
      <w:bookmarkStart w:id="452" w:name="_Toc197695727"/>
      <w:bookmarkStart w:id="453" w:name="_Toc204616536"/>
      <w:r w:rsidRPr="00BF35BC">
        <w:rPr>
          <w:rFonts w:eastAsia="Calibri"/>
          <w:i/>
          <w:color w:val="003366"/>
          <w:sz w:val="18"/>
          <w:szCs w:val="18"/>
        </w:rPr>
        <w:t xml:space="preserve">Tabella </w:t>
      </w:r>
      <w:r w:rsidRPr="00BF35BC">
        <w:rPr>
          <w:rFonts w:cstheme="minorHAnsi"/>
          <w:i/>
          <w:color w:val="003366"/>
          <w:sz w:val="18"/>
          <w:szCs w:val="18"/>
        </w:rPr>
        <w:fldChar w:fldCharType="begin"/>
      </w:r>
      <w:r w:rsidRPr="71EE7570">
        <w:rPr>
          <w:rFonts w:eastAsia="Calibri"/>
          <w:i/>
          <w:color w:val="17406D" w:themeColor="text2"/>
          <w:sz w:val="18"/>
          <w:szCs w:val="18"/>
        </w:rPr>
        <w:instrText xml:space="preserve"> SEQ Tabella \* ARABIC </w:instrText>
      </w:r>
      <w:r w:rsidRPr="00BF35BC">
        <w:rPr>
          <w:rFonts w:cstheme="minorHAnsi"/>
          <w:i/>
          <w:color w:val="003366"/>
          <w:sz w:val="18"/>
          <w:szCs w:val="18"/>
        </w:rPr>
        <w:fldChar w:fldCharType="separate"/>
      </w:r>
      <w:r w:rsidR="00073B6D">
        <w:rPr>
          <w:rFonts w:eastAsia="Calibri"/>
          <w:i/>
          <w:noProof/>
          <w:color w:val="17406D" w:themeColor="text2"/>
          <w:sz w:val="18"/>
          <w:szCs w:val="18"/>
        </w:rPr>
        <w:t>63</w:t>
      </w:r>
      <w:r w:rsidRPr="00BF35BC">
        <w:rPr>
          <w:rFonts w:cstheme="minorHAnsi"/>
          <w:i/>
          <w:color w:val="003366"/>
          <w:sz w:val="18"/>
          <w:szCs w:val="18"/>
        </w:rPr>
        <w:fldChar w:fldCharType="end"/>
      </w:r>
      <w:r w:rsidRPr="00BF35BC">
        <w:rPr>
          <w:rFonts w:cstheme="minorHAnsi"/>
          <w:i/>
          <w:color w:val="003366"/>
          <w:sz w:val="18"/>
          <w:szCs w:val="18"/>
        </w:rPr>
        <w:t xml:space="preserve"> </w:t>
      </w:r>
      <w:r w:rsidRPr="00BF35BC">
        <w:rPr>
          <w:rFonts w:eastAsia="Calibri"/>
          <w:color w:val="003366"/>
          <w:sz w:val="18"/>
          <w:szCs w:val="18"/>
        </w:rPr>
        <w:t xml:space="preserve">– </w:t>
      </w:r>
      <w:r w:rsidR="00FD2CBB">
        <w:rPr>
          <w:rFonts w:eastAsia="Calibri"/>
          <w:i/>
          <w:color w:val="003366"/>
          <w:sz w:val="18"/>
          <w:szCs w:val="18"/>
        </w:rPr>
        <w:t>Depositi messi in disponibilità per le procedure di affidamento</w:t>
      </w:r>
    </w:p>
    <w:p w14:paraId="4C41C5DA" w14:textId="55D79103" w:rsidR="00FD2CBB" w:rsidRPr="00AD01C5" w:rsidRDefault="00FD2CBB" w:rsidP="00A92460">
      <w:pPr>
        <w:spacing w:before="120" w:after="0" w:line="240" w:lineRule="auto"/>
        <w:rPr>
          <w:rFonts w:eastAsia="Calibri"/>
        </w:rPr>
      </w:pPr>
      <w:r w:rsidRPr="00AD01C5">
        <w:rPr>
          <w:rFonts w:eastAsia="Calibri"/>
        </w:rPr>
        <w:t>La Regione Piemonte, con una specifica nota</w:t>
      </w:r>
      <w:r w:rsidRPr="00AD01C5">
        <w:rPr>
          <w:rFonts w:eastAsia="Calibri"/>
          <w:vertAlign w:val="superscript"/>
        </w:rPr>
        <w:footnoteReference w:id="55"/>
      </w:r>
      <w:r w:rsidRPr="00AD01C5">
        <w:rPr>
          <w:rFonts w:eastAsia="Calibri"/>
        </w:rPr>
        <w:t xml:space="preserve"> per l’Agenzia, ha fornito indirizzi interpretativi a valle degli esiti di consultazione. In sintesi</w:t>
      </w:r>
      <w:r w:rsidR="006E4FFB" w:rsidRPr="00AD01C5">
        <w:rPr>
          <w:rFonts w:eastAsia="Calibri"/>
        </w:rPr>
        <w:t>,</w:t>
      </w:r>
      <w:r w:rsidRPr="00AD01C5">
        <w:rPr>
          <w:rFonts w:eastAsia="Calibri"/>
        </w:rPr>
        <w:t xml:space="preserve"> gli indirizzi della Regione prevedono che:</w:t>
      </w:r>
    </w:p>
    <w:p w14:paraId="12501AD5" w14:textId="77777777" w:rsidR="00FD2CBB" w:rsidRPr="00AD01C5" w:rsidRDefault="00FD2CBB" w:rsidP="004B0DBE">
      <w:pPr>
        <w:numPr>
          <w:ilvl w:val="0"/>
          <w:numId w:val="67"/>
        </w:numPr>
        <w:spacing w:before="120" w:after="0" w:line="240" w:lineRule="auto"/>
        <w:rPr>
          <w:rFonts w:eastAsia="Calibri"/>
        </w:rPr>
      </w:pPr>
      <w:r w:rsidRPr="00AD01C5">
        <w:rPr>
          <w:rFonts w:eastAsia="Calibri"/>
          <w:b/>
        </w:rPr>
        <w:t>i bacini di mobilità</w:t>
      </w:r>
      <w:r w:rsidRPr="00AD01C5">
        <w:rPr>
          <w:rFonts w:eastAsia="Calibri"/>
        </w:rPr>
        <w:t xml:space="preserve"> vengono </w:t>
      </w:r>
      <w:r w:rsidRPr="00AD01C5">
        <w:rPr>
          <w:rFonts w:eastAsia="Calibri"/>
          <w:b/>
        </w:rPr>
        <w:t>suddivisi in lotti</w:t>
      </w:r>
      <w:r w:rsidRPr="00AD01C5">
        <w:rPr>
          <w:rFonts w:eastAsia="Calibri"/>
        </w:rPr>
        <w:t xml:space="preserve"> per favorire la partecipazione alle gare;</w:t>
      </w:r>
    </w:p>
    <w:p w14:paraId="262220AB" w14:textId="77777777" w:rsidR="00FD2CBB" w:rsidRPr="00AD01C5" w:rsidRDefault="00FD2CBB" w:rsidP="004B0DBE">
      <w:pPr>
        <w:numPr>
          <w:ilvl w:val="0"/>
          <w:numId w:val="67"/>
        </w:numPr>
        <w:spacing w:before="120" w:after="0" w:line="240" w:lineRule="auto"/>
        <w:rPr>
          <w:rFonts w:eastAsia="Calibri"/>
        </w:rPr>
      </w:pPr>
      <w:r w:rsidRPr="00AD01C5">
        <w:rPr>
          <w:rFonts w:eastAsia="Calibri"/>
        </w:rPr>
        <w:t xml:space="preserve">la </w:t>
      </w:r>
      <w:r w:rsidRPr="00AD01C5">
        <w:rPr>
          <w:rFonts w:eastAsia="Calibri"/>
          <w:b/>
        </w:rPr>
        <w:t>dimensione ottimale</w:t>
      </w:r>
      <w:r w:rsidRPr="00AD01C5">
        <w:rPr>
          <w:rFonts w:eastAsia="Calibri"/>
        </w:rPr>
        <w:t xml:space="preserve"> dei lotti è di circa </w:t>
      </w:r>
      <w:r w:rsidRPr="00AD01C5">
        <w:rPr>
          <w:rFonts w:eastAsia="Calibri"/>
          <w:b/>
        </w:rPr>
        <w:t>4 milioni di bus*km/anno</w:t>
      </w:r>
      <w:r w:rsidRPr="00AD01C5">
        <w:rPr>
          <w:rFonts w:eastAsia="Calibri"/>
        </w:rPr>
        <w:t>, tenendo conto anche dell'organizzazione provinciale dei servizi. Inoltre, tale valore di produzione (4 mln bus*km) dovrà essere considerato da AMP come valore di riferimento minimo (massimo 10 mln bus*km) per la perimetrazione dei lotti di affidamento anche in funzione della dimensione complessiva di produzione, in termini di bus*km, dell’intero bacino a cui il lotto si riferisce.</w:t>
      </w:r>
    </w:p>
    <w:p w14:paraId="064BF7F2" w14:textId="77777777" w:rsidR="00FD2CBB" w:rsidRPr="00AD01C5" w:rsidRDefault="00FD2CBB" w:rsidP="004B0DBE">
      <w:pPr>
        <w:numPr>
          <w:ilvl w:val="0"/>
          <w:numId w:val="67"/>
        </w:numPr>
        <w:spacing w:before="120" w:after="0" w:line="240" w:lineRule="auto"/>
        <w:rPr>
          <w:rFonts w:eastAsia="Calibri"/>
        </w:rPr>
      </w:pPr>
      <w:r w:rsidRPr="00AD01C5">
        <w:rPr>
          <w:rFonts w:eastAsia="Calibri"/>
        </w:rPr>
        <w:t>deve essere prevista la possibilità di aggiudicazione contemporanea ad un unico operatore di tutti i lotti di una Bacino; tuttavia sono posti limiti all’aggiudicazione di lotti in più bacini.</w:t>
      </w:r>
    </w:p>
    <w:p w14:paraId="2B73BEC1" w14:textId="77777777" w:rsidR="00FD2CBB" w:rsidRPr="005724D3" w:rsidRDefault="00FD2CBB" w:rsidP="0069016E">
      <w:pPr>
        <w:pStyle w:val="Titolo3"/>
        <w:ind w:left="720"/>
      </w:pPr>
      <w:bookmarkStart w:id="454" w:name="_Toc204328767"/>
      <w:bookmarkStart w:id="455" w:name="_Toc213078412"/>
      <w:bookmarkEnd w:id="450"/>
      <w:bookmarkEnd w:id="451"/>
      <w:bookmarkEnd w:id="452"/>
      <w:bookmarkEnd w:id="453"/>
      <w:r w:rsidRPr="005724D3">
        <w:lastRenderedPageBreak/>
        <w:t>Barriere alla contendibilità dei lotti</w:t>
      </w:r>
      <w:bookmarkEnd w:id="454"/>
      <w:bookmarkEnd w:id="455"/>
    </w:p>
    <w:p w14:paraId="1269C2AA" w14:textId="1F0D8EE8" w:rsidR="00FD2CBB" w:rsidRPr="00AD01C5" w:rsidRDefault="00FD2CBB" w:rsidP="0069016E">
      <w:pPr>
        <w:spacing w:before="120" w:after="0" w:line="240" w:lineRule="auto"/>
        <w:rPr>
          <w:rFonts w:eastAsia="Calibri"/>
        </w:rPr>
      </w:pPr>
      <w:bookmarkStart w:id="456" w:name="_Ref191651866"/>
      <w:bookmarkStart w:id="457" w:name="_Toc193195800"/>
      <w:bookmarkStart w:id="458" w:name="_Toc564998794"/>
      <w:bookmarkStart w:id="459" w:name="_Toc197695728"/>
      <w:bookmarkStart w:id="460" w:name="_Toc204616537"/>
      <w:r w:rsidRPr="00AD01C5">
        <w:rPr>
          <w:rFonts w:eastAsia="Calibri"/>
        </w:rPr>
        <w:t xml:space="preserve">A seguito della predetta consultazione, i cui esiti sono riportati nell’allegato 3 e consultabili sulla piattaforma dedicata </w:t>
      </w:r>
      <w:hyperlink r:id="rId98" w:history="1">
        <w:r w:rsidRPr="00AD01C5">
          <w:rPr>
            <w:rFonts w:eastAsia="Calibri"/>
            <w:u w:val="single"/>
          </w:rPr>
          <w:t>https://ampartecipa.mtm.torino.it/</w:t>
        </w:r>
      </w:hyperlink>
      <w:r w:rsidRPr="00AD01C5">
        <w:rPr>
          <w:rFonts w:eastAsia="Calibri"/>
        </w:rPr>
        <w:t>, in merito alla contendibilità dei lotti è emerso che:</w:t>
      </w:r>
    </w:p>
    <w:p w14:paraId="7E5DB158" w14:textId="2572697F" w:rsidR="00FD2CBB" w:rsidRPr="00AD01C5" w:rsidRDefault="00FD2CBB" w:rsidP="004B0DBE">
      <w:pPr>
        <w:numPr>
          <w:ilvl w:val="0"/>
          <w:numId w:val="64"/>
        </w:numPr>
        <w:spacing w:before="120" w:after="0" w:line="240" w:lineRule="auto"/>
        <w:rPr>
          <w:rFonts w:eastAsia="Calibri"/>
        </w:rPr>
      </w:pPr>
      <w:r w:rsidRPr="00AD01C5">
        <w:rPr>
          <w:rFonts w:eastAsia="Calibri"/>
        </w:rPr>
        <w:t xml:space="preserve">la riduzione del numero di depositi rispetto alle condizioni attuali rappresenta un elemento fondamentale per la concorrenza </w:t>
      </w:r>
      <w:r w:rsidR="00802522">
        <w:rPr>
          <w:rFonts w:eastAsia="Calibri"/>
        </w:rPr>
        <w:t>per il</w:t>
      </w:r>
      <w:r w:rsidRPr="00AD01C5">
        <w:rPr>
          <w:rFonts w:eastAsia="Calibri"/>
        </w:rPr>
        <w:t xml:space="preserve"> mercato, poiché diminuisce le barriere strutturali che ostacolano l'efficienza gestionale. Inoltre, questa riduzione può stimolare l'innovazione, portando allo sviluppo di nuovi assetti organizzativi che rispondono meglio alle esigenze del servizio e quindi degli utenti, migliorando così l'efficienza allocativa delle risorse;</w:t>
      </w:r>
    </w:p>
    <w:p w14:paraId="6B698902" w14:textId="77777777" w:rsidR="00FD2CBB" w:rsidRPr="007A6175" w:rsidRDefault="00FD2CBB" w:rsidP="004B0DBE">
      <w:pPr>
        <w:numPr>
          <w:ilvl w:val="0"/>
          <w:numId w:val="64"/>
        </w:numPr>
        <w:spacing w:before="120" w:after="0" w:line="240" w:lineRule="auto"/>
        <w:rPr>
          <w:rFonts w:eastAsia="Calibri"/>
        </w:rPr>
      </w:pPr>
      <w:r w:rsidRPr="00AD01C5">
        <w:rPr>
          <w:rFonts w:eastAsia="Calibri"/>
        </w:rPr>
        <w:t xml:space="preserve">l'individuazione di un numero ridotto di depositi, rispetto alle condizioni attuali, consentirà </w:t>
      </w:r>
      <w:r w:rsidRPr="007A6175">
        <w:rPr>
          <w:rFonts w:eastAsia="Calibri"/>
        </w:rPr>
        <w:t>una maggiore flessibilità progettuale e ridurrà i rischi di contenzioso al termine della procedura;</w:t>
      </w:r>
    </w:p>
    <w:p w14:paraId="4AB9FE4C" w14:textId="38E4736C" w:rsidR="00FD2CBB" w:rsidRPr="007A6175" w:rsidRDefault="00FD2CBB" w:rsidP="004B0DBE">
      <w:pPr>
        <w:numPr>
          <w:ilvl w:val="0"/>
          <w:numId w:val="64"/>
        </w:numPr>
        <w:spacing w:before="120" w:after="0" w:line="240" w:lineRule="auto"/>
        <w:rPr>
          <w:rFonts w:eastAsia="Calibri"/>
        </w:rPr>
      </w:pPr>
      <w:r w:rsidRPr="007A6175">
        <w:rPr>
          <w:rFonts w:eastAsia="Calibri"/>
        </w:rPr>
        <w:t>considerato che le imprese incumbent</w:t>
      </w:r>
      <w:r w:rsidRPr="007A6175">
        <w:rPr>
          <w:rFonts w:eastAsia="Calibri"/>
          <w:vertAlign w:val="superscript"/>
        </w:rPr>
        <w:footnoteReference w:id="56"/>
      </w:r>
      <w:r w:rsidRPr="007A6175">
        <w:rPr>
          <w:rFonts w:eastAsia="Calibri"/>
        </w:rPr>
        <w:t xml:space="preserve"> hanno fornito </w:t>
      </w:r>
      <w:r w:rsidRPr="00832D7F">
        <w:rPr>
          <w:rFonts w:eastAsia="Calibri"/>
        </w:rPr>
        <w:t>solo una disponibilità limitata dei depositi, AMP prevederà che la disponibilità sia garantita solo per un ragionevole periodo di subentro, con un canone di locazione definito dall'Agenzia in quanto autorità competente. Questa scelta procedurale faciliterà la ricerca di soluzioni innovative, più efficienti e sostenibili da parte dei partecipanti alla procedura</w:t>
      </w:r>
      <w:r>
        <w:rPr>
          <w:rFonts w:eastAsia="Calibri"/>
        </w:rPr>
        <w:t>;</w:t>
      </w:r>
    </w:p>
    <w:p w14:paraId="7C2629D7" w14:textId="735B6141" w:rsidR="00FD2CBB" w:rsidRPr="001162C4" w:rsidRDefault="00B86DE8" w:rsidP="004B0DBE">
      <w:pPr>
        <w:numPr>
          <w:ilvl w:val="0"/>
          <w:numId w:val="64"/>
        </w:numPr>
        <w:spacing w:before="120" w:after="0" w:line="240" w:lineRule="auto"/>
        <w:rPr>
          <w:rFonts w:eastAsia="Calibri"/>
        </w:rPr>
      </w:pPr>
      <w:r w:rsidRPr="001162C4">
        <w:rPr>
          <w:rFonts w:eastAsia="Calibri"/>
        </w:rPr>
        <w:t xml:space="preserve">con riferimento al </w:t>
      </w:r>
      <w:r w:rsidR="00FD2CBB" w:rsidRPr="001162C4">
        <w:rPr>
          <w:rFonts w:eastAsia="Calibri"/>
        </w:rPr>
        <w:t>materiale rotabile</w:t>
      </w:r>
      <w:r w:rsidRPr="001162C4">
        <w:rPr>
          <w:rFonts w:eastAsia="Calibri"/>
        </w:rPr>
        <w:t xml:space="preserve"> relativo ai lotti</w:t>
      </w:r>
      <w:r w:rsidR="00FD2CBB" w:rsidRPr="001162C4">
        <w:rPr>
          <w:rFonts w:eastAsia="Calibri"/>
        </w:rPr>
        <w:t xml:space="preserve"> che </w:t>
      </w:r>
      <w:r w:rsidRPr="001162C4">
        <w:rPr>
          <w:rFonts w:eastAsia="Calibri"/>
        </w:rPr>
        <w:t>saranno oggetto di gara, si evidenzia che nel Lotto Nord il 41</w:t>
      </w:r>
      <w:r w:rsidR="00FD2CBB" w:rsidRPr="001162C4">
        <w:rPr>
          <w:rFonts w:eastAsia="Calibri"/>
        </w:rPr>
        <w:t>% dell'attuale parco autobus sarà trasferito dal gestore uscente al gestore entrante, essendo mezzi acquisiti con contributo pubblico e quindi soggetti al vincolo di destinazione d'uso</w:t>
      </w:r>
      <w:r w:rsidR="00DF14AB" w:rsidRPr="001162C4">
        <w:rPr>
          <w:rFonts w:eastAsia="Calibri"/>
        </w:rPr>
        <w:t>, p</w:t>
      </w:r>
      <w:r w:rsidR="0054568C" w:rsidRPr="001162C4">
        <w:rPr>
          <w:rFonts w:eastAsia="Calibri"/>
        </w:rPr>
        <w:t xml:space="preserve">er il </w:t>
      </w:r>
      <w:r w:rsidR="00133862" w:rsidRPr="001162C4">
        <w:rPr>
          <w:rFonts w:eastAsia="Calibri"/>
        </w:rPr>
        <w:t>L</w:t>
      </w:r>
      <w:r w:rsidR="0054568C" w:rsidRPr="001162C4">
        <w:rPr>
          <w:rFonts w:eastAsia="Calibri"/>
        </w:rPr>
        <w:t xml:space="preserve">otto Sud </w:t>
      </w:r>
      <w:r w:rsidRPr="001162C4">
        <w:rPr>
          <w:rFonts w:eastAsia="Calibri"/>
        </w:rPr>
        <w:t xml:space="preserve">la percentuale di </w:t>
      </w:r>
      <w:r w:rsidR="002C605A" w:rsidRPr="001162C4">
        <w:rPr>
          <w:rFonts w:eastAsia="Calibri"/>
        </w:rPr>
        <w:t xml:space="preserve">tali </w:t>
      </w:r>
      <w:r w:rsidRPr="001162C4">
        <w:rPr>
          <w:rFonts w:eastAsia="Calibri"/>
        </w:rPr>
        <w:t xml:space="preserve">autobus sarà pari al </w:t>
      </w:r>
      <w:r w:rsidR="0054568C" w:rsidRPr="001162C4">
        <w:rPr>
          <w:rFonts w:eastAsia="Calibri"/>
        </w:rPr>
        <w:t>69</w:t>
      </w:r>
      <w:r w:rsidRPr="001162C4">
        <w:rPr>
          <w:rFonts w:eastAsia="Calibri"/>
        </w:rPr>
        <w:t>%. Alla luce di tali dati,</w:t>
      </w:r>
      <w:r w:rsidR="0054568C" w:rsidRPr="001162C4">
        <w:rPr>
          <w:rFonts w:eastAsia="Calibri"/>
        </w:rPr>
        <w:t xml:space="preserve"> per il </w:t>
      </w:r>
      <w:r w:rsidR="00133862" w:rsidRPr="001162C4">
        <w:rPr>
          <w:rFonts w:eastAsia="Calibri"/>
        </w:rPr>
        <w:t>L</w:t>
      </w:r>
      <w:r w:rsidR="0054568C" w:rsidRPr="001162C4">
        <w:rPr>
          <w:rFonts w:eastAsia="Calibri"/>
        </w:rPr>
        <w:t xml:space="preserve">otto Sud non </w:t>
      </w:r>
      <w:r w:rsidR="0054568C" w:rsidRPr="00BF6211">
        <w:rPr>
          <w:rFonts w:eastAsia="Calibri"/>
        </w:rPr>
        <w:t>s</w:t>
      </w:r>
      <w:r w:rsidR="00163F2D" w:rsidRPr="00BF6211">
        <w:rPr>
          <w:rFonts w:eastAsia="Calibri"/>
        </w:rPr>
        <w:t xml:space="preserve">i ravvisano </w:t>
      </w:r>
      <w:r w:rsidR="0054568C" w:rsidRPr="00BF6211">
        <w:rPr>
          <w:rFonts w:eastAsia="Calibri"/>
        </w:rPr>
        <w:t>barriere all’ingresso</w:t>
      </w:r>
      <w:r w:rsidR="00133862" w:rsidRPr="00BF6211">
        <w:rPr>
          <w:rFonts w:eastAsia="Calibri"/>
        </w:rPr>
        <w:t xml:space="preserve"> legate al parco veicolare</w:t>
      </w:r>
      <w:r w:rsidR="0020798E" w:rsidRPr="00BF6211">
        <w:rPr>
          <w:rFonts w:eastAsia="Calibri"/>
        </w:rPr>
        <w:t>.</w:t>
      </w:r>
      <w:r w:rsidR="0020798E" w:rsidRPr="001162C4">
        <w:rPr>
          <w:rFonts w:eastAsia="Calibri"/>
        </w:rPr>
        <w:t xml:space="preserve"> </w:t>
      </w:r>
      <w:r w:rsidR="0020798E" w:rsidRPr="0040615A">
        <w:rPr>
          <w:rFonts w:eastAsia="Calibri"/>
        </w:rPr>
        <w:t>Per</w:t>
      </w:r>
      <w:r w:rsidR="00133862" w:rsidRPr="0040615A">
        <w:rPr>
          <w:rFonts w:eastAsia="Calibri"/>
        </w:rPr>
        <w:t xml:space="preserve"> il Lotto Nord</w:t>
      </w:r>
      <w:r w:rsidR="00BB1F1C" w:rsidRPr="0040615A">
        <w:rPr>
          <w:rFonts w:eastAsia="Calibri"/>
        </w:rPr>
        <w:t xml:space="preserve"> </w:t>
      </w:r>
      <w:r w:rsidR="00E11AA4" w:rsidRPr="0040615A">
        <w:rPr>
          <w:rFonts w:eastAsia="Calibri"/>
        </w:rPr>
        <w:t>il numero</w:t>
      </w:r>
      <w:r w:rsidR="005B7356" w:rsidRPr="0040615A">
        <w:rPr>
          <w:rFonts w:eastAsia="Calibri"/>
        </w:rPr>
        <w:t xml:space="preserve"> degli autobus </w:t>
      </w:r>
      <w:r w:rsidR="00DD6D56" w:rsidRPr="0040615A">
        <w:rPr>
          <w:rFonts w:eastAsia="Calibri"/>
        </w:rPr>
        <w:t>non contribuiti</w:t>
      </w:r>
      <w:r w:rsidR="005B7356" w:rsidRPr="0040615A">
        <w:rPr>
          <w:rFonts w:eastAsia="Calibri"/>
        </w:rPr>
        <w:t xml:space="preserve"> necessario a coprire il fabbisogno </w:t>
      </w:r>
      <w:r w:rsidR="00666F43" w:rsidRPr="0040615A">
        <w:rPr>
          <w:rFonts w:eastAsia="Calibri"/>
        </w:rPr>
        <w:t>risulta in valore assoluto non trascurabile (145 mezzi)</w:t>
      </w:r>
      <w:r w:rsidR="00CA743B" w:rsidRPr="0040615A">
        <w:rPr>
          <w:rFonts w:eastAsia="Calibri"/>
        </w:rPr>
        <w:t xml:space="preserve">, </w:t>
      </w:r>
      <w:r w:rsidR="00E11AA4" w:rsidRPr="0040615A">
        <w:rPr>
          <w:rFonts w:eastAsia="Calibri"/>
        </w:rPr>
        <w:t xml:space="preserve">ma </w:t>
      </w:r>
      <w:r w:rsidR="00CA743B" w:rsidRPr="0040615A">
        <w:rPr>
          <w:rFonts w:eastAsia="Calibri"/>
        </w:rPr>
        <w:t xml:space="preserve">occorre tenere presente che l’attuale parco non contribuito e quindi non obbligatoriamente trasferibile </w:t>
      </w:r>
      <w:r w:rsidR="006D07F5" w:rsidRPr="0040615A">
        <w:rPr>
          <w:rFonts w:eastAsia="Calibri"/>
        </w:rPr>
        <w:t xml:space="preserve">presenta un numero consistente di autobus </w:t>
      </w:r>
      <w:r w:rsidR="00AD33FC" w:rsidRPr="0040615A">
        <w:rPr>
          <w:rFonts w:eastAsia="Calibri"/>
        </w:rPr>
        <w:t xml:space="preserve">che </w:t>
      </w:r>
      <w:r w:rsidRPr="0040615A">
        <w:rPr>
          <w:rFonts w:eastAsia="Calibri"/>
        </w:rPr>
        <w:t xml:space="preserve">nel </w:t>
      </w:r>
      <w:r w:rsidR="00A63245" w:rsidRPr="0040615A">
        <w:rPr>
          <w:rFonts w:eastAsia="Calibri"/>
        </w:rPr>
        <w:t xml:space="preserve">primo anno di esercizio </w:t>
      </w:r>
      <w:r w:rsidR="009A1161" w:rsidRPr="0040615A">
        <w:rPr>
          <w:rFonts w:eastAsia="Calibri"/>
        </w:rPr>
        <w:t xml:space="preserve">avrà </w:t>
      </w:r>
      <w:r w:rsidR="00A63245" w:rsidRPr="0040615A">
        <w:rPr>
          <w:rFonts w:eastAsia="Calibri"/>
        </w:rPr>
        <w:t>più di 15 anni</w:t>
      </w:r>
      <w:r w:rsidR="0019473E" w:rsidRPr="0040615A">
        <w:rPr>
          <w:rFonts w:eastAsia="Calibri"/>
        </w:rPr>
        <w:t xml:space="preserve"> </w:t>
      </w:r>
      <w:r w:rsidR="00B93E43" w:rsidRPr="0040615A">
        <w:rPr>
          <w:rFonts w:eastAsia="Calibri"/>
        </w:rPr>
        <w:t xml:space="preserve">tra cui </w:t>
      </w:r>
      <w:r w:rsidR="00456BED" w:rsidRPr="0040615A">
        <w:rPr>
          <w:rFonts w:eastAsia="Calibri"/>
        </w:rPr>
        <w:t>una quota</w:t>
      </w:r>
      <w:r w:rsidR="0019473E" w:rsidRPr="0040615A">
        <w:rPr>
          <w:rFonts w:eastAsia="Calibri"/>
        </w:rPr>
        <w:t xml:space="preserve"> </w:t>
      </w:r>
      <w:r w:rsidR="00870CC9" w:rsidRPr="0040615A">
        <w:rPr>
          <w:rFonts w:eastAsia="Calibri"/>
        </w:rPr>
        <w:t xml:space="preserve">significativa </w:t>
      </w:r>
      <w:r w:rsidR="009E1E13" w:rsidRPr="0040615A">
        <w:rPr>
          <w:rFonts w:eastAsia="Calibri"/>
        </w:rPr>
        <w:t xml:space="preserve">con omologazioni </w:t>
      </w:r>
      <w:r w:rsidR="0086436A" w:rsidRPr="0040615A">
        <w:rPr>
          <w:rFonts w:eastAsia="Calibri"/>
        </w:rPr>
        <w:t>pari o inferiori all’Euro 3. Pertanto</w:t>
      </w:r>
      <w:r w:rsidR="000138BB" w:rsidRPr="0040615A">
        <w:rPr>
          <w:rFonts w:eastAsia="Calibri"/>
        </w:rPr>
        <w:t>,</w:t>
      </w:r>
      <w:r w:rsidR="0086436A" w:rsidRPr="0040615A">
        <w:rPr>
          <w:rFonts w:eastAsia="Calibri"/>
        </w:rPr>
        <w:t xml:space="preserve"> tale situazione </w:t>
      </w:r>
      <w:r w:rsidR="00563A78" w:rsidRPr="0040615A">
        <w:rPr>
          <w:rFonts w:eastAsia="Calibri"/>
        </w:rPr>
        <w:t>comporta la previsione di investimenti sia da parte dell’incumbent sia dei potenziali nuovi operatori</w:t>
      </w:r>
      <w:r w:rsidR="00FD2CBB" w:rsidRPr="001162C4">
        <w:rPr>
          <w:rFonts w:eastAsia="Calibri"/>
        </w:rPr>
        <w:t>;</w:t>
      </w:r>
    </w:p>
    <w:p w14:paraId="0BADD743" w14:textId="75ACB0AC" w:rsidR="00FD2CBB" w:rsidRPr="00AD01C5" w:rsidRDefault="00FD2CBB" w:rsidP="004B0DBE">
      <w:pPr>
        <w:numPr>
          <w:ilvl w:val="0"/>
          <w:numId w:val="64"/>
        </w:numPr>
        <w:spacing w:before="120" w:after="0" w:line="240" w:lineRule="auto"/>
        <w:rPr>
          <w:rFonts w:eastAsia="Calibri"/>
        </w:rPr>
      </w:pPr>
      <w:r w:rsidRPr="00AD01C5">
        <w:rPr>
          <w:rFonts w:eastAsia="Calibri"/>
        </w:rPr>
        <w:t>le strutture strumentali essenziali per il servizio sono esclusivamente i nodi d'interscambio di primo livello, identificabili con le principali stazioni ferroviarie</w:t>
      </w:r>
      <w:r w:rsidR="002A5B64">
        <w:rPr>
          <w:rFonts w:eastAsia="Calibri"/>
        </w:rPr>
        <w:t xml:space="preserve"> ed i movicentro</w:t>
      </w:r>
      <w:r w:rsidRPr="00AD01C5">
        <w:rPr>
          <w:rFonts w:eastAsia="Calibri"/>
        </w:rPr>
        <w:t>. Le strutture immobiliari a servizio dell'interscambio, qualora presenti, sono di proprietà di enti pubblici o soggette a vincolo di destinazione d'uso, garantendo così la loro disponibilità al gestore entrante e non costituendo una barriera alla partecipazione e contendibilità dei lotti;</w:t>
      </w:r>
    </w:p>
    <w:p w14:paraId="2727DA04" w14:textId="77777777" w:rsidR="00FD2CBB" w:rsidRPr="00AD01C5" w:rsidRDefault="00FD2CBB" w:rsidP="004B0DBE">
      <w:pPr>
        <w:numPr>
          <w:ilvl w:val="0"/>
          <w:numId w:val="64"/>
        </w:numPr>
        <w:spacing w:before="120" w:after="0" w:line="240" w:lineRule="auto"/>
        <w:rPr>
          <w:rFonts w:eastAsia="Calibri"/>
        </w:rPr>
      </w:pPr>
      <w:r w:rsidRPr="00AD01C5">
        <w:rPr>
          <w:rFonts w:eastAsia="Calibri"/>
        </w:rPr>
        <w:t>anche le dotazioni tecnologiche non costituiscono una barriera all'entrata, poiché l'obiettivo primario che le imprese dovranno perseguire e dimostrare in sede di gara è la digitalizzazione completa dell'organizzazione aziendale.</w:t>
      </w:r>
    </w:p>
    <w:p w14:paraId="3EE39987" w14:textId="77777777" w:rsidR="00FD2CBB" w:rsidRPr="005941C1" w:rsidRDefault="00FD2CBB" w:rsidP="00712252">
      <w:pPr>
        <w:pStyle w:val="Titolo2"/>
        <w:spacing w:after="240"/>
        <w:ind w:left="567" w:hanging="578"/>
      </w:pPr>
      <w:bookmarkStart w:id="461" w:name="_Toc204328768"/>
      <w:bookmarkStart w:id="462" w:name="_Ref212731265"/>
      <w:bookmarkStart w:id="463" w:name="_Ref212733755"/>
      <w:bookmarkStart w:id="464" w:name="_Toc213078413"/>
      <w:bookmarkEnd w:id="456"/>
      <w:bookmarkEnd w:id="457"/>
      <w:bookmarkEnd w:id="458"/>
      <w:bookmarkEnd w:id="459"/>
      <w:bookmarkEnd w:id="460"/>
      <w:r w:rsidRPr="005941C1">
        <w:lastRenderedPageBreak/>
        <w:t>Configurazione dei lotti</w:t>
      </w:r>
      <w:bookmarkEnd w:id="461"/>
      <w:bookmarkEnd w:id="462"/>
      <w:bookmarkEnd w:id="463"/>
      <w:bookmarkEnd w:id="464"/>
      <w:r w:rsidRPr="005941C1">
        <w:t xml:space="preserve"> </w:t>
      </w:r>
    </w:p>
    <w:p w14:paraId="3C85B439" w14:textId="77777777" w:rsidR="00FD2CBB" w:rsidRPr="00AD01C5" w:rsidRDefault="00FD2CBB" w:rsidP="00FD2CBB">
      <w:pPr>
        <w:pStyle w:val="Titolo3"/>
        <w:ind w:left="720"/>
      </w:pPr>
      <w:bookmarkStart w:id="465" w:name="_Toc193195801"/>
      <w:bookmarkStart w:id="466" w:name="_Toc463761301"/>
      <w:bookmarkStart w:id="467" w:name="_Toc197695729"/>
      <w:bookmarkStart w:id="468" w:name="_Ref204090267"/>
      <w:bookmarkStart w:id="469" w:name="_Toc204328769"/>
      <w:bookmarkStart w:id="470" w:name="_Toc213078414"/>
      <w:r w:rsidRPr="00AD01C5">
        <w:t>Alternative prese in considerazione</w:t>
      </w:r>
      <w:bookmarkEnd w:id="465"/>
      <w:bookmarkEnd w:id="466"/>
      <w:bookmarkEnd w:id="467"/>
      <w:bookmarkEnd w:id="468"/>
      <w:bookmarkEnd w:id="469"/>
      <w:bookmarkEnd w:id="470"/>
    </w:p>
    <w:p w14:paraId="705FC2EC" w14:textId="0C992F94" w:rsidR="00FD2CBB" w:rsidRPr="00AD01C5" w:rsidRDefault="00FD2CBB" w:rsidP="00FD2CBB">
      <w:pPr>
        <w:spacing w:before="120" w:after="0" w:line="240" w:lineRule="auto"/>
        <w:rPr>
          <w:rFonts w:eastAsia="Calibri"/>
        </w:rPr>
      </w:pPr>
      <w:r w:rsidRPr="00AD01C5">
        <w:rPr>
          <w:rFonts w:eastAsia="Calibri"/>
        </w:rPr>
        <w:t xml:space="preserve">La definizione delle unità di rete, come dettagliato nel paragrafo </w:t>
      </w:r>
      <w:r w:rsidRPr="00AD01C5">
        <w:rPr>
          <w:rFonts w:eastAsia="Calibri"/>
        </w:rPr>
        <w:fldChar w:fldCharType="begin"/>
      </w:r>
      <w:r w:rsidRPr="00AD01C5">
        <w:rPr>
          <w:rFonts w:eastAsia="Calibri"/>
        </w:rPr>
        <w:instrText xml:space="preserve"> REF _Ref193812689 \r \h  \* MERGEFORMAT </w:instrText>
      </w:r>
      <w:r w:rsidRPr="00AD01C5">
        <w:rPr>
          <w:rFonts w:eastAsia="Calibri"/>
        </w:rPr>
      </w:r>
      <w:r w:rsidRPr="00AD01C5">
        <w:rPr>
          <w:rFonts w:eastAsia="Calibri"/>
        </w:rPr>
        <w:fldChar w:fldCharType="separate"/>
      </w:r>
      <w:r w:rsidR="00073B6D">
        <w:rPr>
          <w:rFonts w:eastAsia="Calibri"/>
        </w:rPr>
        <w:t>7.3</w:t>
      </w:r>
      <w:r w:rsidRPr="00AD01C5">
        <w:rPr>
          <w:rFonts w:eastAsia="Calibri"/>
        </w:rPr>
        <w:fldChar w:fldCharType="end"/>
      </w:r>
      <w:r w:rsidRPr="00AD01C5">
        <w:rPr>
          <w:rFonts w:eastAsia="Calibri"/>
        </w:rPr>
        <w:t>, è conforme alla normativa vigente e agli indirizzi regionali e potrebbero esse stesse costituire un’ipotesi di configurazione di lotti di servizio da mettere a gara.</w:t>
      </w:r>
    </w:p>
    <w:p w14:paraId="24C5DE3C" w14:textId="77777777" w:rsidR="00FD2CBB" w:rsidRPr="00AD01C5" w:rsidRDefault="00FD2CBB" w:rsidP="00FD2CBB">
      <w:pPr>
        <w:spacing w:before="120" w:after="0" w:line="240" w:lineRule="auto"/>
        <w:rPr>
          <w:rFonts w:eastAsia="Calibri"/>
        </w:rPr>
      </w:pPr>
      <w:r w:rsidRPr="00AD01C5">
        <w:rPr>
          <w:rFonts w:eastAsia="Calibri"/>
        </w:rPr>
        <w:t>Occorre però evidenziare che oltre ai principi dimensionali e alla numerosità dei lotti per incentivare la partecipazione, l'Agenzia ha anche l'esigenza di limitare il numero di interlocutori a livello regionale. Questo approccio facilita la gestione amministrativa dei singoli contratti, riducendo i costi di transazione e migliorando l'efficienza operativa. Inoltre, mantenendo un numero limitato di operatori, si garantisce un significativo livello di benchmark, promuovendo il confronto competitivo e l'efficienza allocativa delle risorse.</w:t>
      </w:r>
    </w:p>
    <w:p w14:paraId="55EB5912" w14:textId="77777777" w:rsidR="00FD2CBB" w:rsidRPr="00AD01C5" w:rsidRDefault="00FD2CBB" w:rsidP="00FD2CBB">
      <w:pPr>
        <w:spacing w:before="120" w:after="0" w:line="240" w:lineRule="auto"/>
        <w:rPr>
          <w:rFonts w:eastAsia="Calibri"/>
        </w:rPr>
      </w:pPr>
      <w:r w:rsidRPr="00AD01C5">
        <w:rPr>
          <w:rFonts w:eastAsia="Calibri"/>
        </w:rPr>
        <w:t>Pertanto, partendo dalle unità di rete individuate si possono configurare più alternative di configurazione derivate dall’accorpamento di due o più unità di rete, fino ad arrivare ad un lotto unico. Pur considerando che il lotto unico appare non conforme al dettato normativo, si è proceduto a sviluppare una analisi SWOT</w:t>
      </w:r>
      <w:r w:rsidRPr="00AD01C5">
        <w:rPr>
          <w:rFonts w:eastAsia="Calibri"/>
          <w:vertAlign w:val="superscript"/>
        </w:rPr>
        <w:footnoteReference w:id="57"/>
      </w:r>
      <w:r w:rsidRPr="00AD01C5">
        <w:rPr>
          <w:rFonts w:eastAsia="Calibri"/>
        </w:rPr>
        <w:t xml:space="preserve"> rispetto alla scelta di un lotto unico oppure più lotti.</w:t>
      </w:r>
    </w:p>
    <w:p w14:paraId="140F4110" w14:textId="77777777" w:rsidR="00712252" w:rsidRPr="00AD01C5" w:rsidRDefault="00712252" w:rsidP="005941C1">
      <w:pPr>
        <w:spacing w:before="120" w:after="0" w:line="240" w:lineRule="auto"/>
        <w:rPr>
          <w:rFonts w:eastAsia="Calibri"/>
        </w:rPr>
      </w:pPr>
    </w:p>
    <w:p w14:paraId="40C4E6FF" w14:textId="77777777" w:rsidR="00FD2CBB" w:rsidRPr="00AD01C5" w:rsidRDefault="00FD2CBB" w:rsidP="00FD2CBB">
      <w:pPr>
        <w:spacing w:before="120" w:after="0" w:line="240" w:lineRule="auto"/>
        <w:jc w:val="center"/>
        <w:rPr>
          <w:rFonts w:eastAsia="Calibri"/>
        </w:rPr>
      </w:pPr>
      <w:r>
        <w:rPr>
          <w:rFonts w:eastAsia="Calibri"/>
          <w:noProof/>
        </w:rPr>
        <w:drawing>
          <wp:inline distT="0" distB="0" distL="0" distR="0" wp14:anchorId="18136BD5" wp14:editId="3C1C790F">
            <wp:extent cx="5311775" cy="3822394"/>
            <wp:effectExtent l="0" t="0" r="3175" b="6985"/>
            <wp:docPr id="317562115" name="Immagine 14" descr="Immagine che contiene testo, schermata, Carattere, Pagina Web&#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562115" name="Immagine 14" descr="Immagine che contiene testo, schermata, Carattere, Pagina Web&#10;&#10;Descrizione generata automaticamente"/>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5324778" cy="3831751"/>
                    </a:xfrm>
                    <a:prstGeom prst="rect">
                      <a:avLst/>
                    </a:prstGeom>
                    <a:noFill/>
                  </pic:spPr>
                </pic:pic>
              </a:graphicData>
            </a:graphic>
          </wp:inline>
        </w:drawing>
      </w:r>
    </w:p>
    <w:p w14:paraId="5CDEAE36" w14:textId="16A6E2C4" w:rsidR="00FD2CBB" w:rsidRPr="00AD01C5" w:rsidRDefault="00FD2CBB" w:rsidP="005941C1">
      <w:pPr>
        <w:spacing w:after="240" w:line="240" w:lineRule="auto"/>
        <w:jc w:val="center"/>
        <w:rPr>
          <w:rFonts w:eastAsia="Calibri"/>
          <w:i/>
          <w:color w:val="17406D"/>
          <w:sz w:val="18"/>
          <w:szCs w:val="18"/>
        </w:rPr>
      </w:pPr>
      <w:r w:rsidRPr="00AD01C5">
        <w:rPr>
          <w:rFonts w:eastAsia="Calibri"/>
          <w:i/>
          <w:color w:val="003366"/>
          <w:sz w:val="18"/>
          <w:szCs w:val="18"/>
        </w:rPr>
        <w:t xml:space="preserve">Figura </w:t>
      </w:r>
      <w:r w:rsidRPr="00B50CF2">
        <w:rPr>
          <w:rFonts w:asciiTheme="minorHAnsi" w:hAnsiTheme="minorHAnsi" w:cstheme="minorHAnsi"/>
          <w:i/>
          <w:color w:val="003366"/>
          <w:sz w:val="18"/>
          <w:szCs w:val="18"/>
          <w14:textOutline w14:w="0" w14:cap="rnd" w14:cmpd="sng" w14:algn="ctr">
            <w14:solidFill>
              <w14:srgbClr w14:val="FF6C6C"/>
            </w14:solidFill>
            <w14:prstDash w14:val="solid"/>
            <w14:bevel/>
          </w14:textOutline>
        </w:rPr>
        <w:fldChar w:fldCharType="begin"/>
      </w:r>
      <w:r w:rsidRPr="00AD01C5">
        <w:rPr>
          <w:rFonts w:eastAsia="Calibri"/>
          <w:i/>
          <w:color w:val="17406D"/>
          <w:sz w:val="18"/>
          <w:szCs w:val="18"/>
        </w:rPr>
        <w:instrText xml:space="preserve"> SEQ Figura \* ARABIC </w:instrText>
      </w:r>
      <w:r w:rsidRPr="00B50CF2">
        <w:rPr>
          <w:rFonts w:asciiTheme="minorHAnsi" w:hAnsiTheme="minorHAnsi" w:cstheme="minorHAnsi"/>
          <w:i/>
          <w:color w:val="003366"/>
          <w:sz w:val="18"/>
          <w:szCs w:val="18"/>
          <w14:textOutline w14:w="0" w14:cap="rnd" w14:cmpd="sng" w14:algn="ctr">
            <w14:solidFill>
              <w14:srgbClr w14:val="FF6C6C"/>
            </w14:solidFill>
            <w14:prstDash w14:val="solid"/>
            <w14:bevel/>
          </w14:textOutline>
        </w:rPr>
        <w:fldChar w:fldCharType="separate"/>
      </w:r>
      <w:r w:rsidR="00073B6D">
        <w:rPr>
          <w:rFonts w:eastAsia="Calibri"/>
          <w:i/>
          <w:noProof/>
          <w:color w:val="17406D"/>
          <w:sz w:val="18"/>
          <w:szCs w:val="18"/>
        </w:rPr>
        <w:t>41</w:t>
      </w:r>
      <w:r w:rsidRPr="00B50CF2">
        <w:rPr>
          <w:rFonts w:asciiTheme="minorHAnsi" w:hAnsiTheme="minorHAnsi" w:cstheme="minorHAnsi"/>
          <w:i/>
          <w:color w:val="003366"/>
          <w:sz w:val="18"/>
          <w:szCs w:val="18"/>
          <w14:textOutline w14:w="0" w14:cap="rnd" w14:cmpd="sng" w14:algn="ctr">
            <w14:solidFill>
              <w14:srgbClr w14:val="FF6C6C"/>
            </w14:solidFill>
            <w14:prstDash w14:val="solid"/>
            <w14:bevel/>
          </w14:textOutline>
        </w:rPr>
        <w:fldChar w:fldCharType="end"/>
      </w:r>
      <w:r w:rsidRPr="00AD01C5">
        <w:rPr>
          <w:rFonts w:eastAsia="Calibri"/>
          <w:color w:val="003366"/>
          <w:sz w:val="18"/>
          <w:szCs w:val="18"/>
        </w:rPr>
        <w:t xml:space="preserve"> – </w:t>
      </w:r>
      <w:r w:rsidRPr="00AD01C5">
        <w:rPr>
          <w:rFonts w:eastAsia="Calibri"/>
          <w:i/>
          <w:color w:val="17406D"/>
          <w:sz w:val="18"/>
          <w:szCs w:val="18"/>
        </w:rPr>
        <w:t xml:space="preserve">Schema analisi SWOT Lotto Unico  </w:t>
      </w:r>
    </w:p>
    <w:p w14:paraId="7AE30290" w14:textId="77777777" w:rsidR="00712252" w:rsidRDefault="00712252" w:rsidP="00FD2CBB">
      <w:pPr>
        <w:spacing w:before="120" w:after="0" w:line="240" w:lineRule="auto"/>
        <w:jc w:val="center"/>
        <w:rPr>
          <w:rFonts w:eastAsia="Calibri"/>
          <w:noProof/>
        </w:rPr>
      </w:pPr>
    </w:p>
    <w:p w14:paraId="1C6157A6" w14:textId="77777777" w:rsidR="00712252" w:rsidRDefault="00712252" w:rsidP="00712252">
      <w:pPr>
        <w:spacing w:before="120" w:after="0" w:line="240" w:lineRule="auto"/>
        <w:jc w:val="center"/>
        <w:rPr>
          <w:rFonts w:eastAsia="Calibri"/>
          <w:noProof/>
        </w:rPr>
      </w:pPr>
    </w:p>
    <w:p w14:paraId="2AE35530" w14:textId="2D18682D" w:rsidR="00FD2CBB" w:rsidRPr="00AD01C5" w:rsidRDefault="00FD2CBB" w:rsidP="00FD2CBB">
      <w:pPr>
        <w:spacing w:before="120" w:after="0" w:line="240" w:lineRule="auto"/>
        <w:jc w:val="center"/>
        <w:rPr>
          <w:rFonts w:eastAsia="Calibri"/>
        </w:rPr>
      </w:pPr>
      <w:r>
        <w:rPr>
          <w:rFonts w:eastAsia="Calibri"/>
          <w:noProof/>
        </w:rPr>
        <w:drawing>
          <wp:inline distT="0" distB="0" distL="0" distR="0" wp14:anchorId="2B5D1482" wp14:editId="2CE893D2">
            <wp:extent cx="5238277" cy="3752760"/>
            <wp:effectExtent l="0" t="0" r="635" b="635"/>
            <wp:docPr id="1290865327" name="Immagine 15" descr="Immagine che contiene testo, schermata, Carattere, Pagina Web&#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865327" name="Immagine 15" descr="Immagine che contiene testo, schermata, Carattere, Pagina Web&#10;&#10;Descrizione generata automaticamente"/>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5253474" cy="3763648"/>
                    </a:xfrm>
                    <a:prstGeom prst="rect">
                      <a:avLst/>
                    </a:prstGeom>
                    <a:noFill/>
                  </pic:spPr>
                </pic:pic>
              </a:graphicData>
            </a:graphic>
          </wp:inline>
        </w:drawing>
      </w:r>
    </w:p>
    <w:p w14:paraId="3067E9B4" w14:textId="07EFEF8A" w:rsidR="00FD2CBB" w:rsidRPr="00AD01C5" w:rsidRDefault="00FD2CBB" w:rsidP="005941C1">
      <w:pPr>
        <w:spacing w:after="240" w:line="240" w:lineRule="auto"/>
        <w:jc w:val="center"/>
        <w:rPr>
          <w:rFonts w:eastAsia="Calibri" w:cs="Times New Roman"/>
          <w:i/>
          <w:color w:val="17406D"/>
          <w:sz w:val="18"/>
        </w:rPr>
      </w:pPr>
      <w:r w:rsidRPr="00AD01C5">
        <w:rPr>
          <w:rFonts w:eastAsia="Calibri"/>
          <w:i/>
          <w:color w:val="003366"/>
          <w:sz w:val="18"/>
          <w:szCs w:val="18"/>
        </w:rPr>
        <w:t xml:space="preserve">Figura </w:t>
      </w:r>
      <w:r w:rsidRPr="00B50CF2">
        <w:rPr>
          <w:rFonts w:asciiTheme="minorHAnsi" w:hAnsiTheme="minorHAnsi" w:cstheme="minorHAnsi"/>
          <w:i/>
          <w:color w:val="003366"/>
          <w:sz w:val="18"/>
          <w:szCs w:val="18"/>
          <w14:textOutline w14:w="0" w14:cap="rnd" w14:cmpd="sng" w14:algn="ctr">
            <w14:solidFill>
              <w14:srgbClr w14:val="FF6C6C"/>
            </w14:solidFill>
            <w14:prstDash w14:val="solid"/>
            <w14:bevel/>
          </w14:textOutline>
        </w:rPr>
        <w:fldChar w:fldCharType="begin"/>
      </w:r>
      <w:r w:rsidRPr="00AD01C5">
        <w:rPr>
          <w:rFonts w:eastAsia="Calibri"/>
          <w:i/>
          <w:color w:val="17406D"/>
          <w:sz w:val="18"/>
          <w:szCs w:val="18"/>
        </w:rPr>
        <w:instrText xml:space="preserve"> SEQ Figura \* ARABIC </w:instrText>
      </w:r>
      <w:r w:rsidRPr="00B50CF2">
        <w:rPr>
          <w:rFonts w:asciiTheme="minorHAnsi" w:hAnsiTheme="minorHAnsi" w:cstheme="minorHAnsi"/>
          <w:i/>
          <w:color w:val="003366"/>
          <w:sz w:val="18"/>
          <w:szCs w:val="18"/>
          <w14:textOutline w14:w="0" w14:cap="rnd" w14:cmpd="sng" w14:algn="ctr">
            <w14:solidFill>
              <w14:srgbClr w14:val="FF6C6C"/>
            </w14:solidFill>
            <w14:prstDash w14:val="solid"/>
            <w14:bevel/>
          </w14:textOutline>
        </w:rPr>
        <w:fldChar w:fldCharType="separate"/>
      </w:r>
      <w:r w:rsidR="00073B6D">
        <w:rPr>
          <w:rFonts w:eastAsia="Calibri"/>
          <w:i/>
          <w:noProof/>
          <w:color w:val="17406D"/>
          <w:sz w:val="18"/>
          <w:szCs w:val="18"/>
        </w:rPr>
        <w:t>42</w:t>
      </w:r>
      <w:r w:rsidRPr="00B50CF2">
        <w:rPr>
          <w:rFonts w:asciiTheme="minorHAnsi" w:hAnsiTheme="minorHAnsi" w:cstheme="minorHAnsi"/>
          <w:i/>
          <w:color w:val="003366"/>
          <w:sz w:val="18"/>
          <w:szCs w:val="18"/>
          <w14:textOutline w14:w="0" w14:cap="rnd" w14:cmpd="sng" w14:algn="ctr">
            <w14:solidFill>
              <w14:srgbClr w14:val="FF6C6C"/>
            </w14:solidFill>
            <w14:prstDash w14:val="solid"/>
            <w14:bevel/>
          </w14:textOutline>
        </w:rPr>
        <w:fldChar w:fldCharType="end"/>
      </w:r>
      <w:r w:rsidRPr="00AD01C5">
        <w:rPr>
          <w:rFonts w:eastAsia="Calibri"/>
          <w:color w:val="003366"/>
          <w:sz w:val="18"/>
          <w:szCs w:val="18"/>
        </w:rPr>
        <w:t xml:space="preserve"> – </w:t>
      </w:r>
      <w:r w:rsidRPr="00AD01C5">
        <w:rPr>
          <w:rFonts w:eastAsia="Calibri"/>
          <w:i/>
          <w:color w:val="17406D"/>
          <w:sz w:val="18"/>
          <w:szCs w:val="18"/>
        </w:rPr>
        <w:t xml:space="preserve">Schema analisi SWOT Più Lotti </w:t>
      </w:r>
    </w:p>
    <w:p w14:paraId="1D7D6E91" w14:textId="77777777" w:rsidR="00FD2CBB" w:rsidRPr="00AD01C5" w:rsidRDefault="00FD2CBB" w:rsidP="00FD2CBB">
      <w:pPr>
        <w:spacing w:before="120" w:after="0" w:line="240" w:lineRule="auto"/>
        <w:rPr>
          <w:rFonts w:eastAsia="Calibri"/>
        </w:rPr>
      </w:pPr>
      <w:r w:rsidRPr="00AD01C5">
        <w:rPr>
          <w:rFonts w:eastAsia="Calibri"/>
        </w:rPr>
        <w:t xml:space="preserve">Nel contesto Piemontese e del Bacino </w:t>
      </w:r>
      <w:r>
        <w:rPr>
          <w:rFonts w:eastAsia="Calibri"/>
        </w:rPr>
        <w:t>Metropolitano</w:t>
      </w:r>
      <w:r w:rsidRPr="00AD01C5">
        <w:rPr>
          <w:rFonts w:eastAsia="Calibri"/>
        </w:rPr>
        <w:t xml:space="preserve">, l'adozione di un lotto unico rispetto </w:t>
      </w:r>
      <w:r>
        <w:rPr>
          <w:rFonts w:eastAsia="Calibri"/>
        </w:rPr>
        <w:t>all’individuazione di più</w:t>
      </w:r>
      <w:r w:rsidRPr="00AD01C5">
        <w:rPr>
          <w:rFonts w:eastAsia="Calibri"/>
        </w:rPr>
        <w:t xml:space="preserve"> lotti per bacino presenta quindi diverse criticità in termini di efficienza gestionale, economicità ed efficacia:</w:t>
      </w:r>
    </w:p>
    <w:p w14:paraId="700771C9" w14:textId="77777777" w:rsidR="00FD2CBB" w:rsidRPr="00AD01C5" w:rsidRDefault="00FD2CBB" w:rsidP="004B0DBE">
      <w:pPr>
        <w:numPr>
          <w:ilvl w:val="0"/>
          <w:numId w:val="83"/>
        </w:numPr>
        <w:spacing w:before="120" w:after="0" w:line="240" w:lineRule="auto"/>
        <w:rPr>
          <w:rFonts w:eastAsia="Calibri"/>
        </w:rPr>
      </w:pPr>
      <w:r w:rsidRPr="00AD01C5">
        <w:rPr>
          <w:rFonts w:eastAsia="Calibri"/>
        </w:rPr>
        <w:t>efficienza gestionale: la gestione di un lotto unico potrebbe portare benefici organizzativi; tuttavia, in sede di consultazione è stata evidenziata come criticità dagli ee.ll.; la suddivisione in lotti permette una gestione più mirata e specifica delle risorse, facilitando il controllo e l'ottimizzazione dei processi organizzativi del servizio.</w:t>
      </w:r>
    </w:p>
    <w:p w14:paraId="68A5264D" w14:textId="77777777" w:rsidR="00FD2CBB" w:rsidRPr="00AD01C5" w:rsidRDefault="00FD2CBB" w:rsidP="004B0DBE">
      <w:pPr>
        <w:numPr>
          <w:ilvl w:val="0"/>
          <w:numId w:val="83"/>
        </w:numPr>
        <w:spacing w:before="120" w:after="0" w:line="240" w:lineRule="auto"/>
        <w:rPr>
          <w:rFonts w:eastAsia="Calibri"/>
        </w:rPr>
      </w:pPr>
      <w:r w:rsidRPr="00AD01C5">
        <w:rPr>
          <w:rFonts w:eastAsia="Calibri"/>
        </w:rPr>
        <w:t xml:space="preserve">economicità: la presenza di </w:t>
      </w:r>
      <w:r>
        <w:rPr>
          <w:rFonts w:eastAsia="Calibri"/>
        </w:rPr>
        <w:t>più</w:t>
      </w:r>
      <w:r w:rsidRPr="00AD01C5">
        <w:rPr>
          <w:rFonts w:eastAsia="Calibri"/>
        </w:rPr>
        <w:t xml:space="preserve"> lotti può favorire la concorrenza tra gli operatori, portando a offerte più competitive e, quindi, a una riduzione dei costi. Un lotto unico potrebbe limitare questa dinamica, riducendo le opportunità di risparmio economico.</w:t>
      </w:r>
    </w:p>
    <w:p w14:paraId="22BB4299" w14:textId="77777777" w:rsidR="00FD2CBB" w:rsidRPr="00AD01C5" w:rsidRDefault="00FD2CBB" w:rsidP="004B0DBE">
      <w:pPr>
        <w:numPr>
          <w:ilvl w:val="0"/>
          <w:numId w:val="83"/>
        </w:numPr>
        <w:spacing w:before="120" w:after="0" w:line="240" w:lineRule="auto"/>
        <w:rPr>
          <w:rFonts w:eastAsia="Calibri"/>
        </w:rPr>
      </w:pPr>
      <w:r w:rsidRPr="00AD01C5">
        <w:rPr>
          <w:rFonts w:eastAsia="Calibri"/>
        </w:rPr>
        <w:t xml:space="preserve">efficacia: la suddivisione in </w:t>
      </w:r>
      <w:r>
        <w:rPr>
          <w:rFonts w:eastAsia="Calibri"/>
        </w:rPr>
        <w:t>più</w:t>
      </w:r>
      <w:r w:rsidRPr="00AD01C5">
        <w:rPr>
          <w:rFonts w:eastAsia="Calibri"/>
        </w:rPr>
        <w:t xml:space="preserve"> lotti consente una maggiore flessibilità nella risposta alle esigenze locali e specifiche dei bacini di utenza. Un lotto unico potrebbe non essere in grado di adattarsi efficacemente alle diverse necessità, compromettendo la qualità del servizio offerto.</w:t>
      </w:r>
    </w:p>
    <w:p w14:paraId="04F6AD45" w14:textId="77777777" w:rsidR="00FD2CBB" w:rsidRPr="00AD01C5" w:rsidRDefault="00FD2CBB" w:rsidP="004B0DBE">
      <w:pPr>
        <w:numPr>
          <w:ilvl w:val="0"/>
          <w:numId w:val="83"/>
        </w:numPr>
        <w:spacing w:before="120" w:after="0" w:line="240" w:lineRule="auto"/>
        <w:rPr>
          <w:rFonts w:eastAsia="Calibri"/>
        </w:rPr>
      </w:pPr>
      <w:r w:rsidRPr="00AD01C5">
        <w:rPr>
          <w:rFonts w:eastAsia="Calibri"/>
        </w:rPr>
        <w:t>evoluzione dei sistemi di bigliettazione: oggi, l'evoluzione dei sistemi di bigliettazione elettronica ha eliminato molte delle barriere all'integrazione tariffaria. Tecnologie avanzate come le smart card, i pagamenti mobili e i sistemi EMV facilitano l'implementazione di tariffe integrate, migliorando l'accessibilità e la convenienza per i consumatori; la presenza di più operatori sul territorio Piemontese è pienamente coerente e favorisce le politiche regionali del MAAS Piemonte, del BIPxMAAS e dello Smart Bip.</w:t>
      </w:r>
    </w:p>
    <w:p w14:paraId="0661E0B3" w14:textId="77777777" w:rsidR="00FD2CBB" w:rsidRDefault="00FD2CBB" w:rsidP="00FD2CBB">
      <w:pPr>
        <w:spacing w:before="120" w:after="0" w:line="240" w:lineRule="auto"/>
        <w:rPr>
          <w:rFonts w:eastAsia="Calibri"/>
        </w:rPr>
      </w:pPr>
      <w:r w:rsidRPr="00AD01C5">
        <w:rPr>
          <w:rFonts w:eastAsia="Calibri"/>
        </w:rPr>
        <w:t>Le considerazioni sopra esposte confermano come il lotto unico non presenti elementi di preferibilità rispetto a due o più lotti.</w:t>
      </w:r>
    </w:p>
    <w:p w14:paraId="1AC15B07" w14:textId="77777777" w:rsidR="00712252" w:rsidRDefault="00712252" w:rsidP="00246B8F">
      <w:pPr>
        <w:spacing w:before="120" w:after="0" w:line="240" w:lineRule="auto"/>
        <w:rPr>
          <w:rFonts w:eastAsia="Calibri"/>
        </w:rPr>
      </w:pPr>
    </w:p>
    <w:p w14:paraId="02185DB0" w14:textId="77777777" w:rsidR="00FD2CBB" w:rsidRPr="00AD01C5" w:rsidRDefault="00FD2CBB" w:rsidP="00FD2CBB">
      <w:pPr>
        <w:spacing w:before="120" w:after="0" w:line="240" w:lineRule="auto"/>
        <w:rPr>
          <w:rFonts w:eastAsia="Calibri"/>
          <w:b/>
        </w:rPr>
      </w:pPr>
      <w:r w:rsidRPr="00AD01C5">
        <w:rPr>
          <w:rFonts w:eastAsia="Calibri"/>
          <w:b/>
        </w:rPr>
        <w:lastRenderedPageBreak/>
        <w:t>Lotti in Area a domanda debole</w:t>
      </w:r>
    </w:p>
    <w:p w14:paraId="7BCEE806" w14:textId="5A385436" w:rsidR="00FD2CBB" w:rsidRPr="00BE51EB" w:rsidRDefault="00FD2CBB" w:rsidP="00FD2CBB">
      <w:pPr>
        <w:spacing w:before="120" w:after="0" w:line="240" w:lineRule="auto"/>
        <w:rPr>
          <w:rFonts w:eastAsia="Calibri"/>
          <w:b/>
        </w:rPr>
      </w:pPr>
      <w:r w:rsidRPr="00BE51EB">
        <w:rPr>
          <w:rFonts w:eastAsia="Calibri"/>
        </w:rPr>
        <w:t>In generale durante il processo di consultazione avvenuto per tutti i Bacin</w:t>
      </w:r>
      <w:r w:rsidR="00246B8F">
        <w:rPr>
          <w:rFonts w:eastAsia="Calibri"/>
        </w:rPr>
        <w:t>i</w:t>
      </w:r>
      <w:r w:rsidRPr="00BE51EB">
        <w:rPr>
          <w:rFonts w:eastAsia="Calibri"/>
        </w:rPr>
        <w:t xml:space="preserve"> del Piemonte sono pervenute sia delle richieste da parte di alcuni Enti territoriali di valutare l’individuazione di piccoli lotti in area a domanda debole, sia istanze che manifestavano criticità ed esigenze di cambiamento rispetto </w:t>
      </w:r>
      <w:r w:rsidR="003E147D">
        <w:rPr>
          <w:rFonts w:eastAsia="Calibri"/>
        </w:rPr>
        <w:t>a</w:t>
      </w:r>
      <w:r w:rsidRPr="00BE51EB">
        <w:rPr>
          <w:rFonts w:eastAsia="Calibri"/>
        </w:rPr>
        <w:t>l servizio attuale con il proposito di includere gli attuali servizi afferenti agli Accordi di Programma all’interno dei nuovi affidamenti.</w:t>
      </w:r>
    </w:p>
    <w:p w14:paraId="4BA82C23" w14:textId="77777777" w:rsidR="00FD2CBB" w:rsidRPr="00BE51EB" w:rsidRDefault="00FD2CBB" w:rsidP="00FD2CBB">
      <w:pPr>
        <w:spacing w:before="120" w:after="0" w:line="240" w:lineRule="auto"/>
        <w:rPr>
          <w:rFonts w:eastAsia="Calibri"/>
        </w:rPr>
      </w:pPr>
      <w:r w:rsidRPr="00BE51EB">
        <w:rPr>
          <w:rFonts w:eastAsia="Calibri"/>
        </w:rPr>
        <w:t xml:space="preserve">Occorre sottolineare che le aree a domanda debole, caratterizzate da una bassa densità di popolazione e una ridotta richiesta di servizi di trasporto pubblico locale (TPL), richiedono </w:t>
      </w:r>
      <w:r w:rsidRPr="00BE51EB">
        <w:rPr>
          <w:rFonts w:eastAsia="Calibri"/>
          <w:b/>
        </w:rPr>
        <w:t>una gestione più mirata e personalizzata.</w:t>
      </w:r>
      <w:r w:rsidRPr="00BE51EB">
        <w:rPr>
          <w:rFonts w:eastAsia="Calibri"/>
        </w:rPr>
        <w:t xml:space="preserve"> I servizi in queste aree devono essere caratterizzati da una maggiore flessibilità per rispondere efficacemente alle esigenze specifiche della popolazione locale.</w:t>
      </w:r>
    </w:p>
    <w:p w14:paraId="0DB21229" w14:textId="77777777" w:rsidR="00FD2CBB" w:rsidRPr="00BE51EB" w:rsidRDefault="00FD2CBB" w:rsidP="00FD2CBB">
      <w:pPr>
        <w:spacing w:before="120" w:after="0" w:line="240" w:lineRule="auto"/>
        <w:rPr>
          <w:rFonts w:eastAsia="Calibri"/>
        </w:rPr>
      </w:pPr>
      <w:r w:rsidRPr="00BE51EB">
        <w:rPr>
          <w:rFonts w:eastAsia="Calibri"/>
        </w:rPr>
        <w:t>Affidare i servizi di TPL delle aree a domanda debole insieme al resto dei servizi di bacino o lotto potrebbe rendere più problematica e distante l'attenzione necessaria a tali realtà, in quanto le imprese sarebbero maggiormente focalizzate sulle aree a maggiore domanda. Queste aree, infatti, presentano maggiori problematiche gestionali e, al contempo, garantiscono il soddisfacimento delle esigenze della maggior parte della popolazione. Inoltre, esse assicurano i più importanti flussi economici in termini di ricavi da traffico.</w:t>
      </w:r>
    </w:p>
    <w:p w14:paraId="036F6166" w14:textId="77777777" w:rsidR="00FD2CBB" w:rsidRPr="00BE51EB" w:rsidRDefault="00FD2CBB" w:rsidP="00FD2CBB">
      <w:pPr>
        <w:spacing w:before="120" w:after="0" w:line="240" w:lineRule="auto"/>
        <w:rPr>
          <w:rFonts w:eastAsia="Calibri"/>
        </w:rPr>
      </w:pPr>
      <w:r w:rsidRPr="00BE51EB">
        <w:rPr>
          <w:rFonts w:eastAsia="Calibri"/>
        </w:rPr>
        <w:t xml:space="preserve">In termini di sostenibilità tecnica ed economica, </w:t>
      </w:r>
      <w:r w:rsidRPr="00BE51EB">
        <w:rPr>
          <w:rFonts w:eastAsia="Calibri"/>
          <w:b/>
        </w:rPr>
        <w:t>la presenza di piccole imprese locali</w:t>
      </w:r>
      <w:r w:rsidRPr="00BE51EB">
        <w:rPr>
          <w:rFonts w:eastAsia="Calibri"/>
        </w:rPr>
        <w:t xml:space="preserve"> che operano direttamente nel territorio è fondamentale. Queste imprese garantiscono una costante presenza sul territorio, essendo parte integrante della comunità locale. La loro vicinanza e conoscenza del contesto permettono di adattare i servizi alle specifiche esigenze della comunità, migliorando la qualità e l'efficienza del trasporto pubblico locale.</w:t>
      </w:r>
    </w:p>
    <w:p w14:paraId="62F849DD" w14:textId="77777777" w:rsidR="00FD2CBB" w:rsidRPr="00BE51EB" w:rsidRDefault="00FD2CBB" w:rsidP="00FD2CBB">
      <w:pPr>
        <w:spacing w:before="120" w:after="0" w:line="240" w:lineRule="auto"/>
        <w:rPr>
          <w:rFonts w:eastAsia="Calibri"/>
        </w:rPr>
      </w:pPr>
      <w:r w:rsidRPr="00BE51EB">
        <w:rPr>
          <w:rFonts w:eastAsia="Calibri"/>
        </w:rPr>
        <w:t>Le piccole imprese locali perseguono l'obiettivo di rispondere in modo più efficace alle necessità della popolazione, assicurando una maggiore attenzione e cura nella gestione dei servizi. La loro integrazione nella comunità consente una gestione più mirata e personalizzata, che si traduce in una maggiore soddisfazione degli utenti e in una migliore sostenibilità dei servizi offerti.</w:t>
      </w:r>
    </w:p>
    <w:p w14:paraId="6A368BE2" w14:textId="601E7DA7" w:rsidR="00FD2CBB" w:rsidRPr="00BE51EB" w:rsidRDefault="00FD2CBB" w:rsidP="00FD2CBB">
      <w:pPr>
        <w:spacing w:before="120" w:after="0" w:line="240" w:lineRule="auto"/>
        <w:rPr>
          <w:rFonts w:eastAsia="Calibri"/>
        </w:rPr>
      </w:pPr>
      <w:r w:rsidRPr="00BE51EB">
        <w:rPr>
          <w:rFonts w:eastAsia="Calibri"/>
        </w:rPr>
        <w:t xml:space="preserve">Pertanto, le condizioni necessarie per individuare un lotto in un'area a domanda debole sono due, ma strettamente connesse: </w:t>
      </w:r>
      <w:r w:rsidRPr="00BE51EB">
        <w:rPr>
          <w:rFonts w:eastAsia="Calibri"/>
          <w:b/>
        </w:rPr>
        <w:t>l'interesse della comunità locale</w:t>
      </w:r>
      <w:r w:rsidRPr="00BE51EB">
        <w:rPr>
          <w:rFonts w:eastAsia="Calibri"/>
        </w:rPr>
        <w:t xml:space="preserve"> e la contemporanea </w:t>
      </w:r>
      <w:r w:rsidRPr="00BE51EB">
        <w:rPr>
          <w:rFonts w:eastAsia="Calibri"/>
          <w:b/>
        </w:rPr>
        <w:t xml:space="preserve">presenza, in quell'ambito, di un'impresa </w:t>
      </w:r>
      <w:r w:rsidRPr="00BE51EB">
        <w:rPr>
          <w:rFonts w:eastAsia="Calibri"/>
        </w:rPr>
        <w:t>capace di sviluppare il servizio di trasporto pubblico locale (TPL). Quest'impresa deve essere in grado di offrire soluzioni flessibili e non convenzionali, come ad esempio l'utilizzo di autovetture da 9 posti</w:t>
      </w:r>
      <w:r>
        <w:rPr>
          <w:rFonts w:eastAsia="Calibri"/>
        </w:rPr>
        <w:t xml:space="preserve"> </w:t>
      </w:r>
      <w:r w:rsidR="00CE2BD6">
        <w:rPr>
          <w:rFonts w:eastAsia="Calibri"/>
        </w:rPr>
        <w:t>immatricolata come</w:t>
      </w:r>
      <w:r>
        <w:rPr>
          <w:rFonts w:eastAsia="Calibri"/>
        </w:rPr>
        <w:t xml:space="preserve"> noleggio</w:t>
      </w:r>
      <w:r w:rsidR="00CE2BD6">
        <w:rPr>
          <w:rFonts w:eastAsia="Calibri"/>
        </w:rPr>
        <w:t xml:space="preserve"> con conducente</w:t>
      </w:r>
      <w:r w:rsidRPr="00BE51EB">
        <w:rPr>
          <w:rFonts w:eastAsia="Calibri"/>
        </w:rPr>
        <w:t>, per rispondere efficacemente alle esigenze specifiche della popolazione locale.</w:t>
      </w:r>
    </w:p>
    <w:p w14:paraId="49A14CD2" w14:textId="183B7078" w:rsidR="00FD2CBB" w:rsidRPr="00D30925" w:rsidRDefault="00FD2CBB" w:rsidP="00FD2CBB">
      <w:pPr>
        <w:spacing w:before="120" w:after="0" w:line="240" w:lineRule="auto"/>
        <w:rPr>
          <w:rFonts w:eastAsia="Calibri"/>
        </w:rPr>
      </w:pPr>
      <w:r w:rsidRPr="00D30925">
        <w:rPr>
          <w:rFonts w:eastAsia="Calibri"/>
        </w:rPr>
        <w:t xml:space="preserve">Come meglio specificato nel paragrafo </w:t>
      </w:r>
      <w:r w:rsidRPr="00D30925">
        <w:rPr>
          <w:rFonts w:eastAsia="Calibri"/>
        </w:rPr>
        <w:fldChar w:fldCharType="begin"/>
      </w:r>
      <w:r w:rsidRPr="00D30925">
        <w:rPr>
          <w:rFonts w:eastAsia="Calibri"/>
        </w:rPr>
        <w:instrText xml:space="preserve"> REF _Ref193814903 \r \h  \* MERGEFORMAT </w:instrText>
      </w:r>
      <w:r w:rsidRPr="00D30925">
        <w:rPr>
          <w:rFonts w:eastAsia="Calibri"/>
        </w:rPr>
      </w:r>
      <w:r w:rsidRPr="00D30925">
        <w:rPr>
          <w:rFonts w:eastAsia="Calibri"/>
        </w:rPr>
        <w:fldChar w:fldCharType="separate"/>
      </w:r>
      <w:r w:rsidR="00073B6D">
        <w:rPr>
          <w:rFonts w:eastAsia="Calibri"/>
        </w:rPr>
        <w:t>2.2</w:t>
      </w:r>
      <w:r w:rsidRPr="00D30925">
        <w:rPr>
          <w:rFonts w:eastAsia="Calibri"/>
        </w:rPr>
        <w:fldChar w:fldCharType="end"/>
      </w:r>
      <w:r w:rsidRPr="00D30925">
        <w:rPr>
          <w:rFonts w:eastAsia="Calibri"/>
        </w:rPr>
        <w:t xml:space="preserve"> sul territorio </w:t>
      </w:r>
      <w:r w:rsidRPr="00ED355F">
        <w:rPr>
          <w:rFonts w:eastAsia="Calibri"/>
        </w:rPr>
        <w:t>del Bacino Metropolitano sono presenti 6 Accordi di Programma, i cui servizi a seguito di quanto emerso nelle consultazioni saranno inseriti nelle gare, ad eccezione dei servizi preseti nell’Accordo di Programma sottoscritto con l’</w:t>
      </w:r>
      <w:r w:rsidRPr="00D30925">
        <w:rPr>
          <w:rFonts w:eastAsia="Calibri"/>
        </w:rPr>
        <w:t xml:space="preserve">Unione montana dei comuni delle valli Chisone e Germanasca. </w:t>
      </w:r>
    </w:p>
    <w:p w14:paraId="4C0CE776" w14:textId="5463F53C" w:rsidR="00FD2CBB" w:rsidRPr="00D30925" w:rsidRDefault="00FD2CBB" w:rsidP="00FD2CBB">
      <w:pPr>
        <w:spacing w:before="120" w:after="0" w:line="240" w:lineRule="auto"/>
        <w:rPr>
          <w:rFonts w:eastAsia="Calibri"/>
        </w:rPr>
      </w:pPr>
      <w:r w:rsidRPr="00D30925">
        <w:rPr>
          <w:rFonts w:eastAsia="Calibri"/>
        </w:rPr>
        <w:t xml:space="preserve">Infatti tale Unione Montana ha espresso la volontà di mantenere una gestione </w:t>
      </w:r>
      <w:r w:rsidR="0042172C" w:rsidRPr="00D30925">
        <w:rPr>
          <w:rFonts w:eastAsia="Calibri"/>
        </w:rPr>
        <w:t>parzialmente in economia e parzialmente tramite affidamenti</w:t>
      </w:r>
      <w:r w:rsidRPr="00D30925">
        <w:rPr>
          <w:rFonts w:eastAsia="Calibri"/>
        </w:rPr>
        <w:t xml:space="preserve"> dirett</w:t>
      </w:r>
      <w:r w:rsidR="0042172C" w:rsidRPr="00D30925">
        <w:rPr>
          <w:rFonts w:eastAsia="Calibri"/>
        </w:rPr>
        <w:t>i ad operatori locali</w:t>
      </w:r>
      <w:r w:rsidRPr="00D30925">
        <w:rPr>
          <w:rFonts w:eastAsia="Calibri"/>
        </w:rPr>
        <w:t xml:space="preserve"> dei servizi.</w:t>
      </w:r>
    </w:p>
    <w:p w14:paraId="2618652C" w14:textId="77777777" w:rsidR="00FD2CBB" w:rsidRPr="00ED355F" w:rsidRDefault="00FD2CBB" w:rsidP="00FD2CBB">
      <w:pPr>
        <w:spacing w:before="120" w:after="0" w:line="240" w:lineRule="auto"/>
        <w:rPr>
          <w:rFonts w:eastAsia="Calibri"/>
        </w:rPr>
      </w:pPr>
      <w:r w:rsidRPr="00ED355F">
        <w:rPr>
          <w:rFonts w:eastAsia="Calibri"/>
        </w:rPr>
        <w:t>Pertanto, in una prima fase tutti i servizi oggi gestiti gli Accordi di Programma,</w:t>
      </w:r>
      <w:r>
        <w:rPr>
          <w:rFonts w:eastAsia="Calibri"/>
        </w:rPr>
        <w:t xml:space="preserve"> </w:t>
      </w:r>
      <w:r w:rsidRPr="00ED355F">
        <w:rPr>
          <w:rFonts w:eastAsia="Calibri"/>
        </w:rPr>
        <w:t xml:space="preserve">ad esclusione di quello precedentemente menzionato, saranno inseriti all’interno delle procedure di gara e sarà individuato un unico lotto in area a domanda debole come sub lotto di servizi afferenti al territorio delle Valli Chisone e Germanasca. </w:t>
      </w:r>
    </w:p>
    <w:p w14:paraId="10EE1185" w14:textId="6C736B01" w:rsidR="00FD2CBB" w:rsidRPr="00B913AE" w:rsidRDefault="00FD2CBB" w:rsidP="00FD2CBB">
      <w:pPr>
        <w:spacing w:before="120" w:after="0" w:line="240" w:lineRule="auto"/>
        <w:rPr>
          <w:rFonts w:eastAsia="Calibri"/>
        </w:rPr>
      </w:pPr>
      <w:r w:rsidRPr="00B913AE">
        <w:rPr>
          <w:rFonts w:eastAsia="Calibri"/>
        </w:rPr>
        <w:t>Resta fermo il principio per il quale qualora sia in fase di valutazione delle offerte sia in una successiva fase</w:t>
      </w:r>
      <w:r w:rsidR="00553D34">
        <w:rPr>
          <w:rFonts w:eastAsia="Calibri"/>
        </w:rPr>
        <w:t>,</w:t>
      </w:r>
      <w:r w:rsidRPr="00B913AE">
        <w:rPr>
          <w:rFonts w:eastAsia="Calibri"/>
        </w:rPr>
        <w:t xml:space="preserve"> ad affidamento avviato</w:t>
      </w:r>
      <w:r w:rsidR="00553D34">
        <w:rPr>
          <w:rFonts w:eastAsia="Calibri"/>
        </w:rPr>
        <w:t>,</w:t>
      </w:r>
      <w:r w:rsidRPr="00B913AE">
        <w:rPr>
          <w:rFonts w:eastAsia="Calibri"/>
        </w:rPr>
        <w:t xml:space="preserve"> i servizi offerti non rispondessero pienamente alle esigenze dei territori in area a domanda debole si proceder</w:t>
      </w:r>
      <w:r w:rsidR="000D551E">
        <w:rPr>
          <w:rFonts w:eastAsia="Calibri"/>
        </w:rPr>
        <w:t>à</w:t>
      </w:r>
      <w:r w:rsidRPr="00B913AE">
        <w:rPr>
          <w:rFonts w:eastAsia="Calibri"/>
        </w:rPr>
        <w:t xml:space="preserve"> con l’individuazione di altre soluzioni espletabili anche attraverso specifici accordi di programma con gli Enti territoriali o con altre tipologie di affidamento del servizio.</w:t>
      </w:r>
    </w:p>
    <w:p w14:paraId="1822C834" w14:textId="77777777" w:rsidR="00FD2CBB" w:rsidRPr="00AE3D3D" w:rsidRDefault="00FD2CBB" w:rsidP="00FD2CBB">
      <w:pPr>
        <w:spacing w:before="120" w:after="0" w:line="240" w:lineRule="auto"/>
        <w:rPr>
          <w:rFonts w:eastAsia="Calibri"/>
          <w:b/>
        </w:rPr>
      </w:pPr>
      <w:r w:rsidRPr="00AE3D3D">
        <w:rPr>
          <w:rFonts w:eastAsia="Calibri"/>
          <w:b/>
        </w:rPr>
        <w:lastRenderedPageBreak/>
        <w:t>Lotto in Area a domanda debole – Valli Chisone e Germanasca</w:t>
      </w:r>
    </w:p>
    <w:p w14:paraId="09671ECD" w14:textId="7F7DD9AF" w:rsidR="00FD2CBB" w:rsidRPr="004C75F8" w:rsidRDefault="00FD2CBB" w:rsidP="00FD2CBB">
      <w:pPr>
        <w:spacing w:before="120" w:after="0" w:line="240" w:lineRule="auto"/>
        <w:rPr>
          <w:rFonts w:eastAsia="Calibri"/>
        </w:rPr>
      </w:pPr>
      <w:r w:rsidRPr="004C75F8">
        <w:rPr>
          <w:rFonts w:eastAsia="Calibri"/>
        </w:rPr>
        <w:t xml:space="preserve">Si analizza la richiesta pervenuta e anticipata nel paragrafo </w:t>
      </w:r>
      <w:r w:rsidRPr="004C75F8">
        <w:rPr>
          <w:rFonts w:eastAsia="Calibri"/>
        </w:rPr>
        <w:fldChar w:fldCharType="begin"/>
      </w:r>
      <w:r w:rsidRPr="004C75F8">
        <w:rPr>
          <w:rFonts w:eastAsia="Calibri"/>
        </w:rPr>
        <w:instrText xml:space="preserve"> REF _Ref204245530 \r \h  \* MERGEFORMAT </w:instrText>
      </w:r>
      <w:r w:rsidRPr="004C75F8">
        <w:rPr>
          <w:rFonts w:eastAsia="Calibri"/>
        </w:rPr>
      </w:r>
      <w:r w:rsidRPr="004C75F8">
        <w:rPr>
          <w:rFonts w:eastAsia="Calibri"/>
        </w:rPr>
        <w:fldChar w:fldCharType="separate"/>
      </w:r>
      <w:r w:rsidR="00073B6D">
        <w:rPr>
          <w:rFonts w:eastAsia="Calibri"/>
        </w:rPr>
        <w:t>7.4.2</w:t>
      </w:r>
      <w:r w:rsidRPr="004C75F8">
        <w:rPr>
          <w:rFonts w:eastAsia="Calibri"/>
        </w:rPr>
        <w:fldChar w:fldCharType="end"/>
      </w:r>
      <w:r w:rsidRPr="004C75F8">
        <w:rPr>
          <w:rFonts w:eastAsia="Calibri"/>
        </w:rPr>
        <w:t xml:space="preserve"> di individuare un lotto per l’area a domanda debole delle Valli Chisone e Germanasca.</w:t>
      </w:r>
    </w:p>
    <w:p w14:paraId="541562E2" w14:textId="77777777" w:rsidR="00FD2CBB" w:rsidRPr="004C75F8" w:rsidRDefault="00FD2CBB" w:rsidP="00FD2CBB">
      <w:pPr>
        <w:spacing w:before="120" w:after="0" w:line="240" w:lineRule="auto"/>
        <w:rPr>
          <w:rFonts w:eastAsia="Calibri"/>
        </w:rPr>
      </w:pPr>
      <w:r w:rsidRPr="004C75F8">
        <w:rPr>
          <w:rFonts w:eastAsia="Calibri"/>
        </w:rPr>
        <w:t>Appare opportuno fare delle valutazioni specifiche:</w:t>
      </w:r>
    </w:p>
    <w:p w14:paraId="537F4BB8" w14:textId="77777777" w:rsidR="00FD2CBB" w:rsidRPr="004C75F8" w:rsidRDefault="00FD2CBB" w:rsidP="004B0DBE">
      <w:pPr>
        <w:pStyle w:val="Paragrafoelenco"/>
        <w:numPr>
          <w:ilvl w:val="2"/>
          <w:numId w:val="69"/>
        </w:numPr>
        <w:spacing w:before="120" w:after="0" w:line="240" w:lineRule="auto"/>
        <w:ind w:left="851" w:hanging="567"/>
        <w:contextualSpacing w:val="0"/>
        <w:rPr>
          <w:rFonts w:eastAsia="Times New Roman" w:cs="Calibri"/>
        </w:rPr>
      </w:pPr>
      <w:r w:rsidRPr="004C75F8">
        <w:rPr>
          <w:rFonts w:eastAsia="Calibri"/>
        </w:rPr>
        <w:t>si tratta di un’area geografica formata da 9 comuni (Massello, Perrero, Pomaretto, Porte, Prali, Pramollo, Salza di Pinerolo, San Germano Chisone e Villar Perosa) di cui 4 inseriti nell’elenco delle aree a domanda debole;</w:t>
      </w:r>
    </w:p>
    <w:p w14:paraId="5588C6F5" w14:textId="77777777" w:rsidR="00FD2CBB" w:rsidRPr="004C75F8" w:rsidRDefault="00FD2CBB" w:rsidP="004B0DBE">
      <w:pPr>
        <w:pStyle w:val="Paragrafoelenco"/>
        <w:numPr>
          <w:ilvl w:val="2"/>
          <w:numId w:val="69"/>
        </w:numPr>
        <w:spacing w:before="120" w:after="0" w:line="240" w:lineRule="auto"/>
        <w:ind w:left="851" w:hanging="567"/>
        <w:contextualSpacing w:val="0"/>
        <w:rPr>
          <w:rFonts w:eastAsia="Times New Roman" w:cs="Calibri"/>
        </w:rPr>
      </w:pPr>
      <w:r w:rsidRPr="004C75F8">
        <w:rPr>
          <w:rFonts w:eastAsia="Calibri"/>
        </w:rPr>
        <w:t>dal punto trasportistico il servizio di TPL è costituito da 13 linee con la funzione di collegare le frazioni con i centri principali, per un totale di 100.970 vett-Km/anno;</w:t>
      </w:r>
      <w:r w:rsidRPr="004C75F8">
        <w:rPr>
          <w:rFonts w:eastAsia="Times New Roman" w:cs="Calibri"/>
        </w:rPr>
        <w:t xml:space="preserve"> è erogato da aziende di trasporto locali o direttamente in economia dall’Ente.</w:t>
      </w:r>
    </w:p>
    <w:p w14:paraId="7B457B2B" w14:textId="77777777" w:rsidR="00FD2CBB" w:rsidRPr="001B216D" w:rsidRDefault="00FD2CBB" w:rsidP="00FD2CBB">
      <w:pPr>
        <w:spacing w:before="120" w:after="0" w:line="240" w:lineRule="auto"/>
        <w:rPr>
          <w:rFonts w:eastAsia="Times New Roman" w:cs="Calibri"/>
        </w:rPr>
      </w:pPr>
      <w:r w:rsidRPr="004C75F8">
        <w:rPr>
          <w:rFonts w:eastAsia="Times New Roman" w:cs="Calibri"/>
        </w:rPr>
        <w:t xml:space="preserve">Si tratta pertanto di un contesto in cui vengono a realizzarsi le due condizioni ottimali sopra richiamate, ovvero </w:t>
      </w:r>
      <w:r w:rsidRPr="004C75F8">
        <w:rPr>
          <w:rFonts w:eastAsia="Times New Roman" w:cs="Calibri"/>
          <w:b/>
        </w:rPr>
        <w:t>l’interesse della Comunità locale</w:t>
      </w:r>
      <w:r w:rsidRPr="004C75F8">
        <w:rPr>
          <w:rFonts w:eastAsia="Times New Roman" w:cs="Calibri"/>
        </w:rPr>
        <w:t xml:space="preserve"> e la </w:t>
      </w:r>
      <w:r w:rsidRPr="004C75F8">
        <w:rPr>
          <w:rFonts w:eastAsia="Times New Roman" w:cs="Calibri"/>
          <w:b/>
        </w:rPr>
        <w:t>presenza di imprese</w:t>
      </w:r>
      <w:r w:rsidRPr="004C75F8">
        <w:rPr>
          <w:rFonts w:eastAsia="Times New Roman" w:cs="Calibri"/>
        </w:rPr>
        <w:t xml:space="preserve"> o Enti in grado di fornire il servizio con idonea capacità tecnica organizzativa ubicata e che opera nell’ambito territoriale.</w:t>
      </w:r>
    </w:p>
    <w:p w14:paraId="33931C7B" w14:textId="77777777" w:rsidR="00FD2CBB" w:rsidRPr="00861AB8" w:rsidRDefault="00FD2CBB" w:rsidP="00FD2CBB">
      <w:pPr>
        <w:spacing w:before="120" w:after="0" w:line="240" w:lineRule="auto"/>
        <w:rPr>
          <w:rFonts w:eastAsia="Times New Roman" w:cs="Calibri"/>
        </w:rPr>
      </w:pPr>
      <w:r w:rsidRPr="00861AB8">
        <w:rPr>
          <w:rFonts w:eastAsia="Times New Roman" w:cs="Calibri"/>
        </w:rPr>
        <w:t xml:space="preserve">Nelle valutazioni finora condotte tali servizi erano stati inseriti nell’unità di rete </w:t>
      </w:r>
      <w:r>
        <w:rPr>
          <w:rFonts w:eastAsia="Times New Roman" w:cs="Calibri"/>
        </w:rPr>
        <w:t>3</w:t>
      </w:r>
      <w:r w:rsidRPr="00861AB8">
        <w:rPr>
          <w:rFonts w:eastAsia="Times New Roman" w:cs="Calibri"/>
        </w:rPr>
        <w:t xml:space="preserve"> assegnandoli al deposito di Perosa, ma vista la specificità dell’area, la richiesta pervenuta dal territorio e la presenza all’interno della valle di soggetti stabili già attivi sulle linee a servizio dell’area a domanda debole, si può valutare di definire un lotto dedicato a quest’area. </w:t>
      </w:r>
    </w:p>
    <w:p w14:paraId="2DB857E7" w14:textId="55CE86AF" w:rsidR="00FD2CBB" w:rsidRPr="006C61C2" w:rsidRDefault="00FD2CBB" w:rsidP="00FD2CBB">
      <w:pPr>
        <w:spacing w:before="120" w:after="0" w:line="240" w:lineRule="auto"/>
        <w:rPr>
          <w:rFonts w:eastAsia="Times New Roman" w:cs="Calibri"/>
        </w:rPr>
      </w:pPr>
      <w:r w:rsidRPr="006C61C2">
        <w:rPr>
          <w:rFonts w:eastAsia="Times New Roman" w:cs="Calibri"/>
        </w:rPr>
        <w:t xml:space="preserve">Lo scorporo dei tali servizi dal complesso di linee assegnate all’unità di rete 3, impatta </w:t>
      </w:r>
      <w:r w:rsidR="00AD230F">
        <w:rPr>
          <w:rFonts w:eastAsia="Times New Roman" w:cs="Calibri"/>
        </w:rPr>
        <w:t xml:space="preserve">in maniera ridotta </w:t>
      </w:r>
      <w:r w:rsidRPr="006C61C2">
        <w:rPr>
          <w:rFonts w:eastAsia="Times New Roman" w:cs="Calibri"/>
        </w:rPr>
        <w:t>sull’ottimizzazione gestionale dei servizi.</w:t>
      </w:r>
    </w:p>
    <w:p w14:paraId="1410FBC2" w14:textId="77777777" w:rsidR="00FD2CBB" w:rsidRDefault="00FD2CBB" w:rsidP="00FD2CBB">
      <w:pPr>
        <w:spacing w:before="120" w:after="0" w:line="240" w:lineRule="auto"/>
        <w:rPr>
          <w:rFonts w:eastAsia="Times New Roman" w:cs="Calibri"/>
        </w:rPr>
      </w:pPr>
      <w:r w:rsidRPr="00825EE3">
        <w:rPr>
          <w:rFonts w:eastAsia="Times New Roman" w:cs="Calibri"/>
        </w:rPr>
        <w:t xml:space="preserve">Per quanto descritto si prevede </w:t>
      </w:r>
      <w:r>
        <w:rPr>
          <w:rFonts w:eastAsia="Times New Roman" w:cs="Calibri"/>
        </w:rPr>
        <w:t xml:space="preserve">che le modalità di affidamento per i servizi individuati all’interno dell’area a domanda debole saranno definite nel dettaglio attraverso la sottoscrizione di uno specifico Accordo di programma con l’Unione Montana; in cui potrà essere prevista sia la gestione in economia sia l’affidamento diretto a imprese locali </w:t>
      </w:r>
      <w:r w:rsidRPr="00825EE3">
        <w:rPr>
          <w:rFonts w:eastAsia="Times New Roman" w:cs="Calibri"/>
        </w:rPr>
        <w:t>ai sensi dell’art.5 paragrafo 4 del Regolamento CE 1370/2007 e s.m.i.</w:t>
      </w:r>
      <w:r w:rsidRPr="00825EE3">
        <w:rPr>
          <w:rStyle w:val="Rimandonotaapidipagina"/>
          <w:rFonts w:eastAsia="Times New Roman" w:cs="Calibri"/>
        </w:rPr>
        <w:footnoteReference w:id="58"/>
      </w:r>
    </w:p>
    <w:p w14:paraId="3C6284C3" w14:textId="77777777" w:rsidR="00FD2CBB" w:rsidRDefault="00FD2CBB" w:rsidP="00FD2CBB">
      <w:pPr>
        <w:spacing w:before="120" w:after="0" w:line="240" w:lineRule="auto"/>
        <w:rPr>
          <w:rFonts w:eastAsia="Times New Roman" w:cs="Calibri"/>
        </w:rPr>
      </w:pPr>
    </w:p>
    <w:p w14:paraId="2A8BFB24" w14:textId="77777777" w:rsidR="00FD2CBB" w:rsidRDefault="00FD2CBB" w:rsidP="00C941A3">
      <w:pPr>
        <w:spacing w:before="120" w:after="0" w:line="240" w:lineRule="auto"/>
        <w:jc w:val="center"/>
        <w:rPr>
          <w:rFonts w:eastAsia="Times New Roman" w:cs="Calibri"/>
        </w:rPr>
      </w:pPr>
      <w:r>
        <w:rPr>
          <w:rFonts w:eastAsia="Times New Roman" w:cs="Calibri"/>
          <w:noProof/>
        </w:rPr>
        <w:lastRenderedPageBreak/>
        <w:drawing>
          <wp:inline distT="0" distB="0" distL="0" distR="0" wp14:anchorId="717BBBE6" wp14:editId="23DD5F22">
            <wp:extent cx="5704302" cy="4033838"/>
            <wp:effectExtent l="19050" t="19050" r="10795" b="24130"/>
            <wp:docPr id="1387309282" name="Immagine 14" descr="Immagine che contiene mappa, testo, atlante, diagramm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309282" name="Immagine 14" descr="Immagine che contiene mappa, testo, atlante, diagramma&#10;&#10;Descrizione generata automaticamente"/>
                    <pic:cNvPicPr>
                      <a:picLocks noChangeAspect="1" noChangeArrowheads="1"/>
                    </pic:cNvPicPr>
                  </pic:nvPicPr>
                  <pic:blipFill>
                    <a:blip r:embed="rId101" cstate="print">
                      <a:extLst>
                        <a:ext uri="{28A0092B-C50C-407E-A947-70E740481C1C}">
                          <a14:useLocalDpi xmlns:a14="http://schemas.microsoft.com/office/drawing/2010/main" val="0"/>
                        </a:ext>
                      </a:extLst>
                    </a:blip>
                    <a:stretch>
                      <a:fillRect/>
                    </a:stretch>
                  </pic:blipFill>
                  <pic:spPr bwMode="auto">
                    <a:xfrm>
                      <a:off x="0" y="0"/>
                      <a:ext cx="5709431" cy="4037465"/>
                    </a:xfrm>
                    <a:prstGeom prst="rect">
                      <a:avLst/>
                    </a:prstGeom>
                    <a:noFill/>
                    <a:ln w="19050">
                      <a:solidFill>
                        <a:srgbClr val="EE3438"/>
                      </a:solidFill>
                    </a:ln>
                  </pic:spPr>
                </pic:pic>
              </a:graphicData>
            </a:graphic>
          </wp:inline>
        </w:drawing>
      </w:r>
    </w:p>
    <w:p w14:paraId="572E66CC" w14:textId="654199A0" w:rsidR="00FD2CBB" w:rsidRPr="00AD01C5" w:rsidRDefault="00FD2CBB" w:rsidP="00E268B0">
      <w:pPr>
        <w:spacing w:after="240" w:line="240" w:lineRule="auto"/>
        <w:jc w:val="center"/>
        <w:rPr>
          <w:rFonts w:eastAsia="Calibri" w:cs="Times New Roman"/>
          <w:i/>
          <w:color w:val="17406D"/>
          <w:sz w:val="18"/>
        </w:rPr>
      </w:pPr>
      <w:r w:rsidRPr="00AD01C5">
        <w:rPr>
          <w:rFonts w:eastAsia="Calibri"/>
          <w:i/>
          <w:color w:val="003366"/>
          <w:sz w:val="18"/>
          <w:szCs w:val="18"/>
        </w:rPr>
        <w:t xml:space="preserve">Figura </w:t>
      </w:r>
      <w:r w:rsidRPr="00B50CF2">
        <w:rPr>
          <w:rFonts w:asciiTheme="minorHAnsi" w:hAnsiTheme="minorHAnsi" w:cstheme="minorHAnsi"/>
          <w:i/>
          <w:color w:val="003366"/>
          <w:sz w:val="18"/>
          <w:szCs w:val="18"/>
          <w14:textOutline w14:w="0" w14:cap="rnd" w14:cmpd="sng" w14:algn="ctr">
            <w14:solidFill>
              <w14:srgbClr w14:val="FF6C6C"/>
            </w14:solidFill>
            <w14:prstDash w14:val="solid"/>
            <w14:bevel/>
          </w14:textOutline>
        </w:rPr>
        <w:fldChar w:fldCharType="begin"/>
      </w:r>
      <w:r w:rsidRPr="00AD01C5">
        <w:rPr>
          <w:rFonts w:eastAsia="Calibri"/>
          <w:i/>
          <w:color w:val="17406D"/>
          <w:sz w:val="18"/>
          <w:szCs w:val="18"/>
        </w:rPr>
        <w:instrText xml:space="preserve"> SEQ Figura \* ARABIC </w:instrText>
      </w:r>
      <w:r w:rsidRPr="00B50CF2">
        <w:rPr>
          <w:rFonts w:asciiTheme="minorHAnsi" w:hAnsiTheme="minorHAnsi" w:cstheme="minorHAnsi"/>
          <w:i/>
          <w:color w:val="003366"/>
          <w:sz w:val="18"/>
          <w:szCs w:val="18"/>
          <w14:textOutline w14:w="0" w14:cap="rnd" w14:cmpd="sng" w14:algn="ctr">
            <w14:solidFill>
              <w14:srgbClr w14:val="FF6C6C"/>
            </w14:solidFill>
            <w14:prstDash w14:val="solid"/>
            <w14:bevel/>
          </w14:textOutline>
        </w:rPr>
        <w:fldChar w:fldCharType="separate"/>
      </w:r>
      <w:r w:rsidR="00073B6D">
        <w:rPr>
          <w:rFonts w:eastAsia="Calibri"/>
          <w:i/>
          <w:noProof/>
          <w:color w:val="17406D"/>
          <w:sz w:val="18"/>
          <w:szCs w:val="18"/>
        </w:rPr>
        <w:t>43</w:t>
      </w:r>
      <w:r w:rsidRPr="00B50CF2">
        <w:rPr>
          <w:rFonts w:asciiTheme="minorHAnsi" w:hAnsiTheme="minorHAnsi" w:cstheme="minorHAnsi"/>
          <w:i/>
          <w:color w:val="003366"/>
          <w:sz w:val="18"/>
          <w:szCs w:val="18"/>
          <w14:textOutline w14:w="0" w14:cap="rnd" w14:cmpd="sng" w14:algn="ctr">
            <w14:solidFill>
              <w14:srgbClr w14:val="FF6C6C"/>
            </w14:solidFill>
            <w14:prstDash w14:val="solid"/>
            <w14:bevel/>
          </w14:textOutline>
        </w:rPr>
        <w:fldChar w:fldCharType="end"/>
      </w:r>
      <w:r w:rsidRPr="00AD01C5">
        <w:rPr>
          <w:rFonts w:eastAsia="Calibri"/>
          <w:color w:val="003366"/>
          <w:sz w:val="18"/>
          <w:szCs w:val="18"/>
        </w:rPr>
        <w:t xml:space="preserve"> – </w:t>
      </w:r>
      <w:r>
        <w:rPr>
          <w:rFonts w:eastAsia="Calibri"/>
          <w:i/>
          <w:color w:val="17406D"/>
          <w:sz w:val="18"/>
          <w:szCs w:val="18"/>
        </w:rPr>
        <w:t>Servizi Lotto ADD della Valle Chisone e Germanasca</w:t>
      </w:r>
    </w:p>
    <w:p w14:paraId="2A2A8E55" w14:textId="77777777" w:rsidR="00FD2CBB" w:rsidRPr="00B4482B" w:rsidRDefault="00FD2CBB" w:rsidP="00FD2CBB">
      <w:pPr>
        <w:spacing w:before="120" w:after="0" w:line="240" w:lineRule="auto"/>
        <w:rPr>
          <w:rFonts w:eastAsia="Times New Roman" w:cs="Calibri"/>
        </w:rPr>
      </w:pPr>
      <w:r w:rsidRPr="00B4482B">
        <w:rPr>
          <w:rFonts w:eastAsia="Times New Roman" w:cs="Calibri"/>
        </w:rPr>
        <w:t>Pertanto, ribadendo la volontà di ricercare la coerenza normativa con conseguente esclusione dell’ipotesi del lotto unico per il bacino, si possono configurare e confrontare due ipotesi di perimetrazione dei lotti:</w:t>
      </w:r>
    </w:p>
    <w:p w14:paraId="3DA30DC6" w14:textId="77777777" w:rsidR="00FD2CBB" w:rsidRPr="00B4482B" w:rsidRDefault="00FD2CBB" w:rsidP="004B0DBE">
      <w:pPr>
        <w:numPr>
          <w:ilvl w:val="0"/>
          <w:numId w:val="65"/>
        </w:numPr>
        <w:spacing w:before="120" w:after="0" w:line="240" w:lineRule="auto"/>
        <w:rPr>
          <w:rFonts w:eastAsia="Calibri"/>
        </w:rPr>
      </w:pPr>
      <w:r w:rsidRPr="00B4482B">
        <w:rPr>
          <w:rFonts w:eastAsia="Calibri"/>
          <w:b/>
        </w:rPr>
        <w:t xml:space="preserve">5 lotti </w:t>
      </w:r>
      <w:r w:rsidRPr="00B4482B">
        <w:rPr>
          <w:rFonts w:eastAsia="Calibri"/>
        </w:rPr>
        <w:t>corrispondenti alle quattro unità di rete già descritte di cui 4 da mettere a gara</w:t>
      </w:r>
      <w:r>
        <w:rPr>
          <w:rFonts w:eastAsia="Calibri"/>
        </w:rPr>
        <w:t xml:space="preserve"> (Scenario A)</w:t>
      </w:r>
      <w:r w:rsidRPr="00B4482B">
        <w:rPr>
          <w:rFonts w:eastAsia="Calibri"/>
        </w:rPr>
        <w:t>;</w:t>
      </w:r>
    </w:p>
    <w:p w14:paraId="335435EE" w14:textId="77777777" w:rsidR="00FD2CBB" w:rsidRPr="00B4482B" w:rsidRDefault="00FD2CBB" w:rsidP="004B0DBE">
      <w:pPr>
        <w:numPr>
          <w:ilvl w:val="0"/>
          <w:numId w:val="65"/>
        </w:numPr>
        <w:spacing w:before="120" w:after="0" w:line="240" w:lineRule="auto"/>
        <w:rPr>
          <w:rFonts w:eastAsia="Calibri"/>
        </w:rPr>
      </w:pPr>
      <w:r w:rsidRPr="00B4482B">
        <w:rPr>
          <w:rFonts w:eastAsia="Calibri"/>
          <w:b/>
        </w:rPr>
        <w:t>3 lotti</w:t>
      </w:r>
      <w:r w:rsidRPr="00B4482B">
        <w:rPr>
          <w:rFonts w:eastAsia="Calibri"/>
        </w:rPr>
        <w:t xml:space="preserve"> di cui 2 da mettere a gara</w:t>
      </w:r>
      <w:r w:rsidRPr="00B4482B">
        <w:rPr>
          <w:rFonts w:eastAsia="Calibri"/>
          <w:b/>
        </w:rPr>
        <w:t xml:space="preserve">, </w:t>
      </w:r>
      <w:r w:rsidRPr="00B4482B">
        <w:rPr>
          <w:rFonts w:eastAsia="Calibri"/>
        </w:rPr>
        <w:t xml:space="preserve">derivati dall’accorpamento delle unità di rete individuate, opportunamente scelte al fine di avere una continuità territoriale tra le unità, una distribuzione omogenea tra i servizi urbani ed extraurbani in grado di assicurare un’adeguata concentrazione della domanda e dell’offerta e </w:t>
      </w:r>
      <w:r w:rsidRPr="00B4482B">
        <w:rPr>
          <w:rFonts w:eastAsia="Calibri" w:cs="Times New Roman"/>
        </w:rPr>
        <w:t>produrre un servizio dal costo standard complessivo inferiore legato all’armonizzazione delle velocità commerciali</w:t>
      </w:r>
      <w:r>
        <w:rPr>
          <w:rFonts w:eastAsia="Calibri" w:cs="Times New Roman"/>
        </w:rPr>
        <w:t xml:space="preserve"> (Scenario B)</w:t>
      </w:r>
      <w:r w:rsidRPr="00B4482B">
        <w:rPr>
          <w:rFonts w:eastAsia="Calibri" w:cs="Times New Roman"/>
        </w:rPr>
        <w:t xml:space="preserve">. </w:t>
      </w:r>
    </w:p>
    <w:p w14:paraId="40A5AC80" w14:textId="3E985E15" w:rsidR="00FD2CBB" w:rsidRPr="00853145" w:rsidRDefault="00FD2CBB" w:rsidP="00FD2CBB">
      <w:pPr>
        <w:spacing w:before="120" w:after="0" w:line="240" w:lineRule="auto"/>
        <w:rPr>
          <w:rFonts w:eastAsia="Calibri"/>
        </w:rPr>
      </w:pPr>
      <w:r w:rsidRPr="00853145">
        <w:rPr>
          <w:rFonts w:eastAsia="Calibri"/>
        </w:rPr>
        <w:t>Dalla unità di rete UR</w:t>
      </w:r>
      <w:r>
        <w:rPr>
          <w:rFonts w:eastAsia="Calibri"/>
        </w:rPr>
        <w:t>4</w:t>
      </w:r>
      <w:r w:rsidRPr="00853145">
        <w:rPr>
          <w:rFonts w:eastAsia="Calibri"/>
        </w:rPr>
        <w:t xml:space="preserve"> si scorpora il </w:t>
      </w:r>
      <w:r w:rsidRPr="00853145">
        <w:rPr>
          <w:rFonts w:eastAsia="Calibri"/>
          <w:b/>
        </w:rPr>
        <w:t>sublotto</w:t>
      </w:r>
      <w:r w:rsidR="00030979">
        <w:rPr>
          <w:rFonts w:eastAsia="Calibri"/>
          <w:b/>
        </w:rPr>
        <w:t xml:space="preserve"> </w:t>
      </w:r>
      <w:r w:rsidRPr="00853145">
        <w:rPr>
          <w:rFonts w:eastAsia="Calibri"/>
          <w:b/>
        </w:rPr>
        <w:t>ADD</w:t>
      </w:r>
      <w:r>
        <w:rPr>
          <w:rFonts w:eastAsia="Calibri"/>
          <w:b/>
        </w:rPr>
        <w:t xml:space="preserve"> </w:t>
      </w:r>
      <w:r w:rsidRPr="00027460">
        <w:rPr>
          <w:rFonts w:cstheme="minorHAnsi"/>
          <w:b/>
          <w:bCs/>
          <w:color w:val="000000" w:themeColor="text1"/>
        </w:rPr>
        <w:t>valli Chisone e Germanasca</w:t>
      </w:r>
      <w:r w:rsidRPr="00853145">
        <w:rPr>
          <w:rFonts w:eastAsia="Calibri"/>
        </w:rPr>
        <w:t>, questa modalità di rappresentazione è finalizzata a garantire il perseguimento dell’efficienza organizzativa ed economica prevista dal decreto legislativo n.</w:t>
      </w:r>
      <w:r w:rsidR="00845D8B">
        <w:rPr>
          <w:rFonts w:eastAsia="Calibri"/>
        </w:rPr>
        <w:t xml:space="preserve"> </w:t>
      </w:r>
      <w:r w:rsidRPr="00853145">
        <w:rPr>
          <w:rFonts w:eastAsia="Calibri"/>
        </w:rPr>
        <w:t>157/2018 “Costi</w:t>
      </w:r>
      <w:r>
        <w:rPr>
          <w:rFonts w:eastAsia="Calibri"/>
        </w:rPr>
        <w:t xml:space="preserve"> </w:t>
      </w:r>
      <w:r w:rsidRPr="00853145">
        <w:rPr>
          <w:rFonts w:eastAsia="Calibri"/>
        </w:rPr>
        <w:t xml:space="preserve">standard”. </w:t>
      </w:r>
      <w:r>
        <w:rPr>
          <w:rFonts w:eastAsia="Calibri"/>
        </w:rPr>
        <w:t>I</w:t>
      </w:r>
      <w:r w:rsidRPr="00853145">
        <w:rPr>
          <w:rFonts w:eastAsia="Calibri"/>
        </w:rPr>
        <w:t>l sub lotto in area a domanda debole è sempre considerato nella valutazione complessiva dei servizi e nella definizione del costo</w:t>
      </w:r>
      <w:r>
        <w:rPr>
          <w:rFonts w:eastAsia="Calibri"/>
        </w:rPr>
        <w:t xml:space="preserve"> </w:t>
      </w:r>
      <w:r w:rsidRPr="00853145">
        <w:rPr>
          <w:rFonts w:eastAsia="Calibri"/>
        </w:rPr>
        <w:t>standard, ma, come detto in precedenza sarà un’unità di affidamento autonoma.</w:t>
      </w:r>
    </w:p>
    <w:p w14:paraId="2ED77774" w14:textId="282BA24D" w:rsidR="0087783A" w:rsidRDefault="0087783A" w:rsidP="00FD2CBB">
      <w:pPr>
        <w:spacing w:before="120" w:after="0" w:line="240" w:lineRule="auto"/>
        <w:rPr>
          <w:rFonts w:eastAsia="Calibri"/>
        </w:rPr>
      </w:pPr>
      <w:r>
        <w:rPr>
          <w:rFonts w:eastAsia="Calibri"/>
        </w:rPr>
        <w:br w:type="page"/>
      </w:r>
    </w:p>
    <w:tbl>
      <w:tblPr>
        <w:tblW w:w="9067" w:type="dxa"/>
        <w:tblCellMar>
          <w:left w:w="70" w:type="dxa"/>
          <w:right w:w="70" w:type="dxa"/>
        </w:tblCellMar>
        <w:tblLook w:val="04A0" w:firstRow="1" w:lastRow="0" w:firstColumn="1" w:lastColumn="0" w:noHBand="0" w:noVBand="1"/>
      </w:tblPr>
      <w:tblGrid>
        <w:gridCol w:w="1413"/>
        <w:gridCol w:w="4678"/>
        <w:gridCol w:w="2976"/>
      </w:tblGrid>
      <w:tr w:rsidR="00FD2CBB" w:rsidRPr="00AD01C5" w14:paraId="7ED5A741" w14:textId="77777777" w:rsidTr="001B6746">
        <w:trPr>
          <w:trHeight w:val="510"/>
        </w:trPr>
        <w:tc>
          <w:tcPr>
            <w:tcW w:w="1413" w:type="dxa"/>
            <w:tcBorders>
              <w:top w:val="single" w:sz="4" w:space="0" w:color="A6A6A6"/>
              <w:left w:val="single" w:sz="4" w:space="0" w:color="A6A6A6"/>
              <w:bottom w:val="single" w:sz="4" w:space="0" w:color="A6A6A6"/>
              <w:right w:val="single" w:sz="4" w:space="0" w:color="A6A6A6"/>
            </w:tcBorders>
            <w:shd w:val="clear" w:color="auto" w:fill="EE3438"/>
            <w:vAlign w:val="center"/>
            <w:hideMark/>
          </w:tcPr>
          <w:p w14:paraId="1B0E6586" w14:textId="77777777" w:rsidR="00FD2CBB" w:rsidRPr="00BA5BFC" w:rsidRDefault="00FD2CBB">
            <w:pPr>
              <w:spacing w:before="20" w:after="20" w:line="240" w:lineRule="auto"/>
              <w:jc w:val="center"/>
              <w:rPr>
                <w:rFonts w:eastAsia="Times New Roman" w:cs="Calibri"/>
                <w:b/>
                <w:color w:val="FFFFFF" w:themeColor="background1"/>
                <w:sz w:val="20"/>
                <w:szCs w:val="20"/>
              </w:rPr>
            </w:pPr>
            <w:r w:rsidRPr="00BA5BFC">
              <w:rPr>
                <w:rFonts w:eastAsia="Times New Roman" w:cs="Calibri"/>
                <w:b/>
                <w:color w:val="FFFFFF" w:themeColor="background1"/>
                <w:sz w:val="20"/>
                <w:szCs w:val="20"/>
              </w:rPr>
              <w:lastRenderedPageBreak/>
              <w:t>Lotti</w:t>
            </w:r>
          </w:p>
        </w:tc>
        <w:tc>
          <w:tcPr>
            <w:tcW w:w="4678" w:type="dxa"/>
            <w:tcBorders>
              <w:top w:val="single" w:sz="4" w:space="0" w:color="A6A6A6"/>
              <w:left w:val="nil"/>
              <w:bottom w:val="nil"/>
              <w:right w:val="single" w:sz="4" w:space="0" w:color="A6A6A6"/>
            </w:tcBorders>
            <w:shd w:val="clear" w:color="auto" w:fill="EE3438"/>
            <w:vAlign w:val="center"/>
            <w:hideMark/>
          </w:tcPr>
          <w:p w14:paraId="12598AFE" w14:textId="77777777" w:rsidR="00FD2CBB" w:rsidRPr="00BA5BFC" w:rsidRDefault="00FD2CBB">
            <w:pPr>
              <w:spacing w:before="20" w:after="20" w:line="240" w:lineRule="auto"/>
              <w:jc w:val="center"/>
              <w:rPr>
                <w:rFonts w:eastAsia="Times New Roman" w:cs="Calibri"/>
                <w:b/>
                <w:color w:val="FFFFFF" w:themeColor="background1"/>
                <w:sz w:val="20"/>
                <w:szCs w:val="20"/>
              </w:rPr>
            </w:pPr>
            <w:r w:rsidRPr="00BA5BFC">
              <w:rPr>
                <w:rFonts w:eastAsia="Times New Roman" w:cs="Calibri"/>
                <w:b/>
                <w:color w:val="FFFFFF" w:themeColor="background1"/>
                <w:sz w:val="20"/>
                <w:szCs w:val="20"/>
              </w:rPr>
              <w:t>Descrizione</w:t>
            </w:r>
          </w:p>
        </w:tc>
        <w:tc>
          <w:tcPr>
            <w:tcW w:w="2976" w:type="dxa"/>
            <w:tcBorders>
              <w:top w:val="single" w:sz="4" w:space="0" w:color="A6A6A6"/>
              <w:left w:val="nil"/>
              <w:bottom w:val="nil"/>
              <w:right w:val="single" w:sz="4" w:space="0" w:color="A6A6A6"/>
            </w:tcBorders>
            <w:shd w:val="clear" w:color="auto" w:fill="EE3438"/>
            <w:vAlign w:val="center"/>
            <w:hideMark/>
          </w:tcPr>
          <w:p w14:paraId="1035E66D" w14:textId="77777777" w:rsidR="00FD2CBB" w:rsidRPr="00BA5BFC" w:rsidRDefault="00FD2CBB">
            <w:pPr>
              <w:spacing w:before="20" w:after="20" w:line="240" w:lineRule="auto"/>
              <w:jc w:val="center"/>
              <w:rPr>
                <w:rFonts w:eastAsia="Times New Roman" w:cs="Calibri"/>
                <w:b/>
                <w:color w:val="FFFFFF" w:themeColor="background1"/>
                <w:sz w:val="20"/>
                <w:szCs w:val="20"/>
              </w:rPr>
            </w:pPr>
            <w:r w:rsidRPr="00BA5BFC">
              <w:rPr>
                <w:rFonts w:eastAsia="Times New Roman" w:cs="Calibri"/>
                <w:b/>
                <w:color w:val="FFFFFF" w:themeColor="background1"/>
                <w:sz w:val="20"/>
                <w:szCs w:val="20"/>
              </w:rPr>
              <w:t>Produzione (veic-km/anno)</w:t>
            </w:r>
          </w:p>
        </w:tc>
      </w:tr>
      <w:tr w:rsidR="00FD2CBB" w:rsidRPr="00AD01C5" w14:paraId="449FD5B2" w14:textId="77777777" w:rsidTr="001B6746">
        <w:trPr>
          <w:trHeight w:val="510"/>
        </w:trPr>
        <w:tc>
          <w:tcPr>
            <w:tcW w:w="1413" w:type="dxa"/>
            <w:tcBorders>
              <w:top w:val="nil"/>
              <w:left w:val="single" w:sz="4" w:space="0" w:color="A6A6A6"/>
              <w:bottom w:val="single" w:sz="4" w:space="0" w:color="A6A6A6"/>
              <w:right w:val="nil"/>
            </w:tcBorders>
            <w:shd w:val="clear" w:color="000000" w:fill="FFFFFF"/>
            <w:noWrap/>
            <w:vAlign w:val="center"/>
            <w:hideMark/>
          </w:tcPr>
          <w:p w14:paraId="657E69A3" w14:textId="77777777" w:rsidR="00FD2CBB" w:rsidRPr="00AD01C5" w:rsidRDefault="00FD2CBB">
            <w:pPr>
              <w:spacing w:after="0" w:line="240" w:lineRule="auto"/>
              <w:jc w:val="left"/>
              <w:rPr>
                <w:rFonts w:eastAsia="Times New Roman" w:cs="Calibri"/>
                <w:color w:val="000000"/>
                <w:sz w:val="20"/>
                <w:szCs w:val="20"/>
              </w:rPr>
            </w:pPr>
            <w:r w:rsidRPr="00AD01C5">
              <w:rPr>
                <w:rFonts w:eastAsia="Times New Roman" w:cs="Calibri"/>
                <w:color w:val="000000"/>
                <w:sz w:val="20"/>
                <w:szCs w:val="20"/>
              </w:rPr>
              <w:t>Lotto UR</w:t>
            </w:r>
            <w:r>
              <w:rPr>
                <w:rFonts w:eastAsia="Times New Roman" w:cs="Calibri"/>
                <w:color w:val="000000"/>
                <w:sz w:val="20"/>
                <w:szCs w:val="20"/>
              </w:rPr>
              <w:t xml:space="preserve"> </w:t>
            </w:r>
            <w:r w:rsidRPr="00AD01C5">
              <w:rPr>
                <w:rFonts w:eastAsia="Times New Roman" w:cs="Calibri"/>
                <w:color w:val="000000"/>
                <w:sz w:val="20"/>
                <w:szCs w:val="20"/>
              </w:rPr>
              <w:t>1</w:t>
            </w:r>
          </w:p>
        </w:tc>
        <w:tc>
          <w:tcPr>
            <w:tcW w:w="4678" w:type="dxa"/>
            <w:tcBorders>
              <w:top w:val="single" w:sz="4" w:space="0" w:color="A6A6A6"/>
              <w:left w:val="single" w:sz="4" w:space="0" w:color="A6A6A6"/>
              <w:bottom w:val="single" w:sz="4" w:space="0" w:color="A6A6A6"/>
              <w:right w:val="single" w:sz="4" w:space="0" w:color="A6A6A6"/>
            </w:tcBorders>
            <w:vAlign w:val="center"/>
            <w:hideMark/>
          </w:tcPr>
          <w:p w14:paraId="3DA78A53" w14:textId="77777777" w:rsidR="00FD2CBB" w:rsidRPr="00730CE2" w:rsidRDefault="00FD2CBB">
            <w:pPr>
              <w:spacing w:before="20" w:after="20" w:line="240" w:lineRule="auto"/>
              <w:jc w:val="left"/>
              <w:rPr>
                <w:rFonts w:eastAsia="Times New Roman" w:cs="Calibri"/>
                <w:color w:val="000000"/>
                <w:sz w:val="20"/>
                <w:szCs w:val="20"/>
              </w:rPr>
            </w:pPr>
            <w:r w:rsidRPr="00730CE2">
              <w:rPr>
                <w:rFonts w:eastAsia="Times New Roman" w:cs="Calibri"/>
                <w:color w:val="000000"/>
                <w:sz w:val="20"/>
                <w:szCs w:val="20"/>
              </w:rPr>
              <w:t xml:space="preserve">Servizi Urbani ed extraurbani di Ivrea e Chivasso </w:t>
            </w:r>
          </w:p>
        </w:tc>
        <w:tc>
          <w:tcPr>
            <w:tcW w:w="2976" w:type="dxa"/>
            <w:tcBorders>
              <w:top w:val="single" w:sz="4" w:space="0" w:color="A6A6A6"/>
              <w:left w:val="nil"/>
              <w:bottom w:val="single" w:sz="4" w:space="0" w:color="A6A6A6"/>
              <w:right w:val="single" w:sz="4" w:space="0" w:color="A6A6A6"/>
            </w:tcBorders>
            <w:shd w:val="clear" w:color="000000" w:fill="FFFFFF"/>
            <w:noWrap/>
            <w:vAlign w:val="center"/>
            <w:hideMark/>
          </w:tcPr>
          <w:p w14:paraId="5F727282" w14:textId="77777777" w:rsidR="00FD2CBB" w:rsidRPr="000117C2" w:rsidRDefault="00FD2CBB">
            <w:pPr>
              <w:spacing w:before="20" w:after="20" w:line="240" w:lineRule="auto"/>
              <w:jc w:val="right"/>
              <w:rPr>
                <w:sz w:val="20"/>
                <w:szCs w:val="20"/>
              </w:rPr>
            </w:pPr>
            <w:r w:rsidRPr="000117C2">
              <w:rPr>
                <w:sz w:val="20"/>
                <w:szCs w:val="20"/>
              </w:rPr>
              <w:t>4.097.066</w:t>
            </w:r>
          </w:p>
        </w:tc>
      </w:tr>
      <w:tr w:rsidR="00FD2CBB" w:rsidRPr="00AD01C5" w14:paraId="40FD3404" w14:textId="77777777" w:rsidTr="001B6746">
        <w:trPr>
          <w:trHeight w:val="510"/>
        </w:trPr>
        <w:tc>
          <w:tcPr>
            <w:tcW w:w="1413" w:type="dxa"/>
            <w:tcBorders>
              <w:top w:val="nil"/>
              <w:left w:val="single" w:sz="4" w:space="0" w:color="A6A6A6"/>
              <w:bottom w:val="single" w:sz="4" w:space="0" w:color="A6A6A6"/>
              <w:right w:val="nil"/>
            </w:tcBorders>
            <w:shd w:val="clear" w:color="000000" w:fill="FFFFFF"/>
            <w:noWrap/>
            <w:vAlign w:val="center"/>
            <w:hideMark/>
          </w:tcPr>
          <w:p w14:paraId="42D5D9CB" w14:textId="77777777" w:rsidR="00FD2CBB" w:rsidRPr="00AD01C5" w:rsidRDefault="00FD2CBB">
            <w:pPr>
              <w:spacing w:after="0" w:line="240" w:lineRule="auto"/>
              <w:jc w:val="left"/>
              <w:rPr>
                <w:rFonts w:eastAsia="Times New Roman" w:cs="Calibri"/>
                <w:color w:val="000000"/>
                <w:sz w:val="20"/>
                <w:szCs w:val="20"/>
              </w:rPr>
            </w:pPr>
            <w:r w:rsidRPr="00AD01C5">
              <w:rPr>
                <w:rFonts w:eastAsia="Times New Roman" w:cs="Calibri"/>
                <w:color w:val="000000"/>
                <w:sz w:val="20"/>
                <w:szCs w:val="20"/>
              </w:rPr>
              <w:t>Lotto UR 2</w:t>
            </w:r>
          </w:p>
        </w:tc>
        <w:tc>
          <w:tcPr>
            <w:tcW w:w="4678" w:type="dxa"/>
            <w:tcBorders>
              <w:top w:val="nil"/>
              <w:left w:val="single" w:sz="4" w:space="0" w:color="A6A6A6"/>
              <w:bottom w:val="single" w:sz="4" w:space="0" w:color="A6A6A6"/>
              <w:right w:val="single" w:sz="4" w:space="0" w:color="A6A6A6"/>
            </w:tcBorders>
            <w:vAlign w:val="center"/>
            <w:hideMark/>
          </w:tcPr>
          <w:p w14:paraId="21110934" w14:textId="77777777" w:rsidR="00FD2CBB" w:rsidRPr="00730CE2" w:rsidRDefault="00FD2CBB">
            <w:pPr>
              <w:spacing w:before="20" w:after="20" w:line="240" w:lineRule="auto"/>
              <w:jc w:val="left"/>
              <w:rPr>
                <w:rFonts w:eastAsia="Times New Roman" w:cs="Calibri"/>
                <w:color w:val="000000"/>
                <w:sz w:val="20"/>
                <w:szCs w:val="20"/>
              </w:rPr>
            </w:pPr>
            <w:r w:rsidRPr="00730CE2">
              <w:rPr>
                <w:rFonts w:eastAsia="Times New Roman" w:cs="Calibri"/>
                <w:color w:val="000000"/>
                <w:sz w:val="20"/>
                <w:szCs w:val="20"/>
              </w:rPr>
              <w:t>Servizi Urbani ed extraurbani della Val di Susa ed extraurbani delle Valli di Lanzo e del Canavese</w:t>
            </w:r>
          </w:p>
        </w:tc>
        <w:tc>
          <w:tcPr>
            <w:tcW w:w="2976" w:type="dxa"/>
            <w:tcBorders>
              <w:top w:val="nil"/>
              <w:left w:val="nil"/>
              <w:bottom w:val="single" w:sz="4" w:space="0" w:color="A6A6A6"/>
              <w:right w:val="single" w:sz="4" w:space="0" w:color="A6A6A6"/>
            </w:tcBorders>
            <w:shd w:val="clear" w:color="000000" w:fill="FFFFFF"/>
            <w:noWrap/>
            <w:vAlign w:val="center"/>
            <w:hideMark/>
          </w:tcPr>
          <w:p w14:paraId="259ADC2B" w14:textId="77777777" w:rsidR="00FD2CBB" w:rsidRPr="000117C2" w:rsidRDefault="00FD2CBB">
            <w:pPr>
              <w:spacing w:before="20" w:after="20" w:line="240" w:lineRule="auto"/>
              <w:jc w:val="right"/>
              <w:rPr>
                <w:sz w:val="20"/>
                <w:szCs w:val="20"/>
              </w:rPr>
            </w:pPr>
            <w:r w:rsidRPr="000117C2">
              <w:rPr>
                <w:sz w:val="20"/>
                <w:szCs w:val="20"/>
              </w:rPr>
              <w:t>4.712.510</w:t>
            </w:r>
          </w:p>
        </w:tc>
      </w:tr>
      <w:tr w:rsidR="00FD2CBB" w:rsidRPr="00AD01C5" w14:paraId="19385D10" w14:textId="77777777" w:rsidTr="001B6746">
        <w:trPr>
          <w:trHeight w:val="510"/>
        </w:trPr>
        <w:tc>
          <w:tcPr>
            <w:tcW w:w="1413" w:type="dxa"/>
            <w:tcBorders>
              <w:top w:val="nil"/>
              <w:left w:val="single" w:sz="4" w:space="0" w:color="A6A6A6"/>
              <w:bottom w:val="single" w:sz="4" w:space="0" w:color="A6A6A6"/>
              <w:right w:val="nil"/>
            </w:tcBorders>
            <w:shd w:val="clear" w:color="000000" w:fill="FFFFFF"/>
            <w:noWrap/>
            <w:vAlign w:val="center"/>
            <w:hideMark/>
          </w:tcPr>
          <w:p w14:paraId="4CC1417D" w14:textId="77777777" w:rsidR="00FD2CBB" w:rsidRPr="00AD01C5" w:rsidRDefault="00FD2CBB">
            <w:pPr>
              <w:spacing w:after="0" w:line="240" w:lineRule="auto"/>
              <w:jc w:val="left"/>
              <w:rPr>
                <w:rFonts w:eastAsia="Times New Roman" w:cs="Calibri"/>
                <w:color w:val="000000"/>
                <w:sz w:val="20"/>
                <w:szCs w:val="20"/>
              </w:rPr>
            </w:pPr>
            <w:r w:rsidRPr="00AD01C5">
              <w:rPr>
                <w:rFonts w:eastAsia="Times New Roman" w:cs="Calibri"/>
                <w:color w:val="000000"/>
                <w:sz w:val="20"/>
                <w:szCs w:val="20"/>
              </w:rPr>
              <w:t>Lotto UR 3</w:t>
            </w:r>
          </w:p>
        </w:tc>
        <w:tc>
          <w:tcPr>
            <w:tcW w:w="4678" w:type="dxa"/>
            <w:tcBorders>
              <w:top w:val="nil"/>
              <w:left w:val="single" w:sz="4" w:space="0" w:color="A6A6A6"/>
              <w:bottom w:val="single" w:sz="4" w:space="0" w:color="A6A6A6"/>
              <w:right w:val="single" w:sz="4" w:space="0" w:color="A6A6A6"/>
            </w:tcBorders>
            <w:vAlign w:val="center"/>
            <w:hideMark/>
          </w:tcPr>
          <w:p w14:paraId="2CFA2F8E" w14:textId="77777777" w:rsidR="00FD2CBB" w:rsidRPr="00730CE2" w:rsidRDefault="00FD2CBB">
            <w:pPr>
              <w:spacing w:before="20" w:after="20" w:line="240" w:lineRule="auto"/>
              <w:jc w:val="left"/>
              <w:rPr>
                <w:rFonts w:eastAsia="Times New Roman" w:cs="Calibri"/>
                <w:color w:val="000000"/>
                <w:sz w:val="20"/>
                <w:szCs w:val="20"/>
              </w:rPr>
            </w:pPr>
            <w:r w:rsidRPr="00730CE2">
              <w:rPr>
                <w:rFonts w:eastAsia="Times New Roman" w:cs="Calibri"/>
                <w:color w:val="000000"/>
                <w:sz w:val="20"/>
                <w:szCs w:val="20"/>
              </w:rPr>
              <w:t xml:space="preserve">Servizi Urbani ed extraurbani di Pinerolo e della Valle Pellice </w:t>
            </w:r>
          </w:p>
        </w:tc>
        <w:tc>
          <w:tcPr>
            <w:tcW w:w="2976" w:type="dxa"/>
            <w:tcBorders>
              <w:top w:val="nil"/>
              <w:left w:val="nil"/>
              <w:bottom w:val="single" w:sz="4" w:space="0" w:color="A6A6A6"/>
              <w:right w:val="single" w:sz="4" w:space="0" w:color="A6A6A6"/>
            </w:tcBorders>
            <w:shd w:val="clear" w:color="000000" w:fill="FFFFFF"/>
            <w:noWrap/>
            <w:vAlign w:val="center"/>
            <w:hideMark/>
          </w:tcPr>
          <w:p w14:paraId="14FF1795" w14:textId="77777777" w:rsidR="00FD2CBB" w:rsidRPr="005E4F78" w:rsidRDefault="00FD2CBB">
            <w:pPr>
              <w:spacing w:before="20" w:after="20" w:line="240" w:lineRule="auto"/>
              <w:jc w:val="right"/>
              <w:rPr>
                <w:rFonts w:eastAsia="Times New Roman" w:cs="Calibri"/>
                <w:color w:val="000000"/>
                <w:sz w:val="20"/>
                <w:szCs w:val="20"/>
              </w:rPr>
            </w:pPr>
            <w:r w:rsidRPr="005E4F78">
              <w:rPr>
                <w:sz w:val="20"/>
                <w:szCs w:val="20"/>
              </w:rPr>
              <w:t>4.401.330</w:t>
            </w:r>
          </w:p>
        </w:tc>
      </w:tr>
      <w:tr w:rsidR="00FD2CBB" w:rsidRPr="002B6BDE" w14:paraId="256AEB16" w14:textId="77777777" w:rsidTr="001B6746">
        <w:trPr>
          <w:trHeight w:val="510"/>
        </w:trPr>
        <w:tc>
          <w:tcPr>
            <w:tcW w:w="1413" w:type="dxa"/>
            <w:tcBorders>
              <w:top w:val="nil"/>
              <w:left w:val="single" w:sz="4" w:space="0" w:color="A6A6A6"/>
              <w:bottom w:val="single" w:sz="4" w:space="0" w:color="A6A6A6"/>
              <w:right w:val="nil"/>
            </w:tcBorders>
            <w:shd w:val="clear" w:color="000000" w:fill="FFFFFF"/>
            <w:noWrap/>
            <w:vAlign w:val="center"/>
          </w:tcPr>
          <w:p w14:paraId="2256EF8D" w14:textId="77777777" w:rsidR="00FD2CBB" w:rsidRPr="002B6BDE" w:rsidRDefault="00FD2CBB">
            <w:pPr>
              <w:spacing w:after="0" w:line="240" w:lineRule="auto"/>
              <w:jc w:val="left"/>
              <w:rPr>
                <w:rFonts w:eastAsia="Times New Roman" w:cs="Calibri"/>
                <w:color w:val="000000"/>
                <w:sz w:val="20"/>
                <w:szCs w:val="20"/>
              </w:rPr>
            </w:pPr>
            <w:r w:rsidRPr="002B6BDE">
              <w:rPr>
                <w:rFonts w:eastAsia="Times New Roman" w:cs="Calibri"/>
                <w:color w:val="000000"/>
                <w:sz w:val="20"/>
                <w:szCs w:val="20"/>
              </w:rPr>
              <w:t>sub Lotto UR 3 ADD</w:t>
            </w:r>
          </w:p>
        </w:tc>
        <w:tc>
          <w:tcPr>
            <w:tcW w:w="4678" w:type="dxa"/>
            <w:tcBorders>
              <w:top w:val="nil"/>
              <w:left w:val="single" w:sz="4" w:space="0" w:color="A6A6A6"/>
              <w:bottom w:val="single" w:sz="4" w:space="0" w:color="A6A6A6"/>
              <w:right w:val="single" w:sz="4" w:space="0" w:color="A6A6A6"/>
            </w:tcBorders>
            <w:vAlign w:val="center"/>
          </w:tcPr>
          <w:p w14:paraId="7C30CBA9" w14:textId="77777777" w:rsidR="00FD2CBB" w:rsidRPr="002B6BDE" w:rsidRDefault="00FD2CBB">
            <w:pPr>
              <w:spacing w:before="20" w:after="20" w:line="240" w:lineRule="auto"/>
              <w:jc w:val="left"/>
              <w:rPr>
                <w:rFonts w:eastAsia="Times New Roman" w:cs="Calibri"/>
                <w:color w:val="000000"/>
                <w:sz w:val="20"/>
                <w:szCs w:val="20"/>
              </w:rPr>
            </w:pPr>
            <w:r w:rsidRPr="002B6BDE">
              <w:rPr>
                <w:rFonts w:eastAsia="Times New Roman" w:cs="Calibri"/>
                <w:color w:val="000000"/>
                <w:sz w:val="20"/>
                <w:szCs w:val="20"/>
              </w:rPr>
              <w:t xml:space="preserve">Servizi extraurbani </w:t>
            </w:r>
            <w:bookmarkStart w:id="471" w:name="_Hlk212121407"/>
            <w:r w:rsidRPr="002B6BDE">
              <w:rPr>
                <w:rFonts w:eastAsia="Times New Roman" w:cs="Calibri"/>
                <w:color w:val="000000"/>
                <w:sz w:val="20"/>
                <w:szCs w:val="20"/>
              </w:rPr>
              <w:t>Val Chisone e Germanasca</w:t>
            </w:r>
            <w:bookmarkEnd w:id="471"/>
          </w:p>
        </w:tc>
        <w:tc>
          <w:tcPr>
            <w:tcW w:w="2976" w:type="dxa"/>
            <w:tcBorders>
              <w:top w:val="nil"/>
              <w:left w:val="nil"/>
              <w:bottom w:val="single" w:sz="4" w:space="0" w:color="A6A6A6"/>
              <w:right w:val="single" w:sz="4" w:space="0" w:color="A6A6A6"/>
            </w:tcBorders>
            <w:shd w:val="clear" w:color="000000" w:fill="FFFFFF"/>
            <w:noWrap/>
            <w:vAlign w:val="center"/>
          </w:tcPr>
          <w:p w14:paraId="7702119F" w14:textId="77777777" w:rsidR="00FD2CBB" w:rsidRPr="002B6BDE" w:rsidRDefault="00FD2CBB">
            <w:pPr>
              <w:spacing w:before="20" w:after="20" w:line="240" w:lineRule="auto"/>
              <w:jc w:val="right"/>
              <w:rPr>
                <w:rFonts w:eastAsia="Calibri"/>
                <w:sz w:val="20"/>
                <w:szCs w:val="20"/>
              </w:rPr>
            </w:pPr>
            <w:r w:rsidRPr="002B6BDE">
              <w:rPr>
                <w:rFonts w:eastAsia="Calibri"/>
                <w:sz w:val="20"/>
                <w:szCs w:val="20"/>
              </w:rPr>
              <w:t>100.970</w:t>
            </w:r>
          </w:p>
        </w:tc>
      </w:tr>
      <w:tr w:rsidR="00FD2CBB" w:rsidRPr="002B6BDE" w14:paraId="704A21E1" w14:textId="77777777" w:rsidTr="001B6746">
        <w:trPr>
          <w:trHeight w:val="510"/>
        </w:trPr>
        <w:tc>
          <w:tcPr>
            <w:tcW w:w="1413" w:type="dxa"/>
            <w:tcBorders>
              <w:top w:val="nil"/>
              <w:left w:val="single" w:sz="4" w:space="0" w:color="A6A6A6"/>
              <w:bottom w:val="single" w:sz="4" w:space="0" w:color="A6A6A6"/>
              <w:right w:val="nil"/>
            </w:tcBorders>
            <w:shd w:val="clear" w:color="000000" w:fill="FFFFFF"/>
            <w:noWrap/>
            <w:vAlign w:val="center"/>
          </w:tcPr>
          <w:p w14:paraId="11C97B3E" w14:textId="77777777" w:rsidR="00FD2CBB" w:rsidRPr="002B6BDE" w:rsidRDefault="00FD2CBB">
            <w:pPr>
              <w:spacing w:after="0" w:line="240" w:lineRule="auto"/>
              <w:jc w:val="left"/>
              <w:rPr>
                <w:rFonts w:eastAsia="Times New Roman" w:cs="Calibri"/>
                <w:color w:val="000000"/>
                <w:sz w:val="20"/>
                <w:szCs w:val="20"/>
              </w:rPr>
            </w:pPr>
            <w:r w:rsidRPr="002B6BDE">
              <w:rPr>
                <w:rFonts w:eastAsia="Times New Roman" w:cs="Calibri"/>
                <w:color w:val="000000"/>
                <w:sz w:val="20"/>
                <w:szCs w:val="20"/>
              </w:rPr>
              <w:t>Lotto UR 4</w:t>
            </w:r>
          </w:p>
        </w:tc>
        <w:tc>
          <w:tcPr>
            <w:tcW w:w="4678" w:type="dxa"/>
            <w:tcBorders>
              <w:top w:val="nil"/>
              <w:left w:val="single" w:sz="4" w:space="0" w:color="A6A6A6"/>
              <w:bottom w:val="single" w:sz="4" w:space="0" w:color="A6A6A6"/>
              <w:right w:val="single" w:sz="4" w:space="0" w:color="A6A6A6"/>
            </w:tcBorders>
            <w:vAlign w:val="center"/>
          </w:tcPr>
          <w:p w14:paraId="7989C19A" w14:textId="77777777" w:rsidR="00FD2CBB" w:rsidRPr="002B6BDE" w:rsidRDefault="00FD2CBB">
            <w:pPr>
              <w:spacing w:before="20" w:after="20" w:line="240" w:lineRule="auto"/>
              <w:jc w:val="left"/>
              <w:rPr>
                <w:rFonts w:eastAsia="Times New Roman" w:cs="Calibri"/>
                <w:color w:val="000000"/>
                <w:sz w:val="20"/>
                <w:szCs w:val="20"/>
              </w:rPr>
            </w:pPr>
            <w:r w:rsidRPr="002B6BDE">
              <w:rPr>
                <w:rFonts w:eastAsia="Times New Roman" w:cs="Calibri"/>
                <w:color w:val="000000"/>
                <w:sz w:val="20"/>
                <w:szCs w:val="20"/>
              </w:rPr>
              <w:t>Servizi ed extraurbani di Carmagnola, Chieri e Val Sangone</w:t>
            </w:r>
          </w:p>
        </w:tc>
        <w:tc>
          <w:tcPr>
            <w:tcW w:w="2976" w:type="dxa"/>
            <w:tcBorders>
              <w:top w:val="nil"/>
              <w:left w:val="nil"/>
              <w:bottom w:val="single" w:sz="4" w:space="0" w:color="A6A6A6"/>
              <w:right w:val="single" w:sz="4" w:space="0" w:color="A6A6A6"/>
            </w:tcBorders>
            <w:shd w:val="clear" w:color="000000" w:fill="FFFFFF"/>
            <w:noWrap/>
            <w:vAlign w:val="center"/>
          </w:tcPr>
          <w:p w14:paraId="34D5271C" w14:textId="77777777" w:rsidR="00FD2CBB" w:rsidRPr="002B6BDE" w:rsidRDefault="00FD2CBB">
            <w:pPr>
              <w:spacing w:before="20" w:after="20" w:line="240" w:lineRule="auto"/>
              <w:jc w:val="right"/>
              <w:rPr>
                <w:rFonts w:eastAsia="Calibri"/>
                <w:sz w:val="20"/>
                <w:szCs w:val="20"/>
              </w:rPr>
            </w:pPr>
            <w:r w:rsidRPr="002B6BDE">
              <w:rPr>
                <w:rFonts w:eastAsia="Calibri"/>
                <w:sz w:val="20"/>
                <w:szCs w:val="20"/>
              </w:rPr>
              <w:t>3.868.489</w:t>
            </w:r>
          </w:p>
        </w:tc>
      </w:tr>
      <w:tr w:rsidR="00FD2CBB" w:rsidRPr="002B6BDE" w14:paraId="38E122E8" w14:textId="77777777" w:rsidTr="001B6746">
        <w:trPr>
          <w:trHeight w:val="510"/>
        </w:trPr>
        <w:tc>
          <w:tcPr>
            <w:tcW w:w="1413" w:type="dxa"/>
            <w:tcBorders>
              <w:top w:val="nil"/>
              <w:left w:val="single" w:sz="4" w:space="0" w:color="A6A6A6"/>
              <w:bottom w:val="single" w:sz="4" w:space="0" w:color="A6A6A6"/>
              <w:right w:val="nil"/>
            </w:tcBorders>
            <w:shd w:val="clear" w:color="000000" w:fill="FFFFFF"/>
            <w:noWrap/>
            <w:vAlign w:val="center"/>
          </w:tcPr>
          <w:p w14:paraId="6702A43B" w14:textId="77777777" w:rsidR="00FD2CBB" w:rsidRDefault="00FD2CBB">
            <w:pPr>
              <w:spacing w:after="0" w:line="240" w:lineRule="auto"/>
              <w:jc w:val="left"/>
              <w:rPr>
                <w:rFonts w:eastAsia="Times New Roman" w:cs="Calibri"/>
                <w:color w:val="000000"/>
                <w:sz w:val="20"/>
                <w:szCs w:val="20"/>
              </w:rPr>
            </w:pPr>
            <w:r w:rsidRPr="002B6BDE">
              <w:rPr>
                <w:rFonts w:eastAsia="Times New Roman" w:cs="Calibri"/>
                <w:color w:val="000000"/>
                <w:sz w:val="20"/>
                <w:szCs w:val="20"/>
              </w:rPr>
              <w:t xml:space="preserve">Lotto UR </w:t>
            </w:r>
            <w:r>
              <w:rPr>
                <w:rFonts w:eastAsia="Times New Roman" w:cs="Calibri"/>
                <w:color w:val="000000"/>
                <w:sz w:val="20"/>
                <w:szCs w:val="20"/>
              </w:rPr>
              <w:t>5</w:t>
            </w:r>
          </w:p>
          <w:p w14:paraId="6B63500F" w14:textId="77777777" w:rsidR="00FD2CBB" w:rsidRPr="002B6BDE" w:rsidRDefault="00FD2CBB">
            <w:pPr>
              <w:spacing w:after="0" w:line="240" w:lineRule="auto"/>
              <w:jc w:val="left"/>
              <w:rPr>
                <w:rFonts w:eastAsia="Times New Roman" w:cs="Calibri"/>
                <w:color w:val="000000"/>
                <w:sz w:val="20"/>
                <w:szCs w:val="20"/>
              </w:rPr>
            </w:pPr>
            <w:r w:rsidRPr="00812840">
              <w:rPr>
                <w:rFonts w:eastAsia="Times New Roman" w:cs="Calibri"/>
                <w:i/>
                <w:color w:val="000000"/>
                <w:sz w:val="20"/>
                <w:szCs w:val="20"/>
              </w:rPr>
              <w:t>in-</w:t>
            </w:r>
            <w:r>
              <w:rPr>
                <w:rFonts w:eastAsia="Times New Roman" w:cs="Calibri"/>
                <w:i/>
                <w:color w:val="000000"/>
                <w:sz w:val="20"/>
                <w:szCs w:val="20"/>
              </w:rPr>
              <w:t>h</w:t>
            </w:r>
            <w:r w:rsidRPr="00812840">
              <w:rPr>
                <w:rFonts w:eastAsia="Times New Roman" w:cs="Calibri"/>
                <w:i/>
                <w:color w:val="000000"/>
                <w:sz w:val="20"/>
                <w:szCs w:val="20"/>
              </w:rPr>
              <w:t>ouse</w:t>
            </w:r>
          </w:p>
        </w:tc>
        <w:tc>
          <w:tcPr>
            <w:tcW w:w="4678" w:type="dxa"/>
            <w:tcBorders>
              <w:top w:val="nil"/>
              <w:left w:val="single" w:sz="4" w:space="0" w:color="A6A6A6"/>
              <w:bottom w:val="single" w:sz="4" w:space="0" w:color="A6A6A6"/>
              <w:right w:val="single" w:sz="4" w:space="0" w:color="A6A6A6"/>
            </w:tcBorders>
            <w:vAlign w:val="center"/>
          </w:tcPr>
          <w:p w14:paraId="5C034D7A" w14:textId="77777777" w:rsidR="00FD2CBB" w:rsidRPr="002B6BDE" w:rsidRDefault="00FD2CBB">
            <w:pPr>
              <w:spacing w:before="20" w:after="20" w:line="240" w:lineRule="auto"/>
              <w:jc w:val="left"/>
              <w:rPr>
                <w:rFonts w:eastAsia="Times New Roman" w:cs="Calibri"/>
                <w:color w:val="000000"/>
                <w:sz w:val="20"/>
                <w:szCs w:val="20"/>
              </w:rPr>
            </w:pPr>
            <w:r w:rsidRPr="002B6BDE">
              <w:rPr>
                <w:rFonts w:eastAsia="Times New Roman" w:cs="Calibri"/>
                <w:color w:val="000000"/>
                <w:sz w:val="20"/>
                <w:szCs w:val="20"/>
              </w:rPr>
              <w:t>Servizi sub-urbani ed extraurbani di Torino</w:t>
            </w:r>
          </w:p>
        </w:tc>
        <w:tc>
          <w:tcPr>
            <w:tcW w:w="2976" w:type="dxa"/>
            <w:tcBorders>
              <w:top w:val="nil"/>
              <w:left w:val="nil"/>
              <w:bottom w:val="single" w:sz="4" w:space="0" w:color="A6A6A6"/>
              <w:right w:val="single" w:sz="4" w:space="0" w:color="A6A6A6"/>
            </w:tcBorders>
            <w:shd w:val="clear" w:color="000000" w:fill="FFFFFF"/>
            <w:noWrap/>
            <w:vAlign w:val="center"/>
          </w:tcPr>
          <w:p w14:paraId="05C02F3E" w14:textId="77777777" w:rsidR="00FD2CBB" w:rsidRPr="002B6BDE" w:rsidRDefault="00FD2CBB">
            <w:pPr>
              <w:spacing w:before="20" w:after="20" w:line="240" w:lineRule="auto"/>
              <w:jc w:val="right"/>
              <w:rPr>
                <w:rFonts w:eastAsia="Calibri"/>
                <w:sz w:val="20"/>
                <w:szCs w:val="20"/>
              </w:rPr>
            </w:pPr>
            <w:r w:rsidRPr="002B6BDE">
              <w:rPr>
                <w:sz w:val="20"/>
                <w:szCs w:val="20"/>
              </w:rPr>
              <w:t>4.187.640</w:t>
            </w:r>
          </w:p>
        </w:tc>
      </w:tr>
      <w:tr w:rsidR="00FD2CBB" w:rsidRPr="002B6BDE" w14:paraId="6E1340E3" w14:textId="77777777" w:rsidTr="001B6746">
        <w:trPr>
          <w:trHeight w:val="510"/>
        </w:trPr>
        <w:tc>
          <w:tcPr>
            <w:tcW w:w="1413" w:type="dxa"/>
            <w:tcBorders>
              <w:top w:val="double" w:sz="4" w:space="0" w:color="A6A6A6"/>
              <w:left w:val="single" w:sz="4" w:space="0" w:color="A6A6A6"/>
              <w:bottom w:val="single" w:sz="4" w:space="0" w:color="A6A6A6"/>
              <w:right w:val="single" w:sz="4" w:space="0" w:color="A6A6A6"/>
            </w:tcBorders>
            <w:noWrap/>
            <w:vAlign w:val="center"/>
            <w:hideMark/>
          </w:tcPr>
          <w:p w14:paraId="3004FFC4" w14:textId="77777777" w:rsidR="00FD2CBB" w:rsidRPr="002B6BDE" w:rsidRDefault="00FD2CBB">
            <w:pPr>
              <w:spacing w:before="20" w:after="20" w:line="240" w:lineRule="auto"/>
              <w:jc w:val="left"/>
              <w:rPr>
                <w:rFonts w:eastAsia="Times New Roman" w:cs="Calibri"/>
                <w:b/>
                <w:i/>
                <w:color w:val="000000"/>
                <w:sz w:val="20"/>
                <w:szCs w:val="20"/>
              </w:rPr>
            </w:pPr>
            <w:r w:rsidRPr="002B6BDE">
              <w:rPr>
                <w:rFonts w:eastAsia="Times New Roman" w:cs="Calibri"/>
                <w:b/>
                <w:i/>
                <w:color w:val="000000"/>
                <w:sz w:val="20"/>
                <w:szCs w:val="20"/>
              </w:rPr>
              <w:t>Totale</w:t>
            </w:r>
          </w:p>
        </w:tc>
        <w:tc>
          <w:tcPr>
            <w:tcW w:w="4678" w:type="dxa"/>
            <w:tcBorders>
              <w:top w:val="double" w:sz="4" w:space="0" w:color="A6A6A6"/>
              <w:left w:val="nil"/>
              <w:bottom w:val="single" w:sz="4" w:space="0" w:color="A6A6A6"/>
              <w:right w:val="single" w:sz="4" w:space="0" w:color="A6A6A6"/>
            </w:tcBorders>
            <w:noWrap/>
            <w:vAlign w:val="center"/>
            <w:hideMark/>
          </w:tcPr>
          <w:p w14:paraId="4AD4C1BE" w14:textId="77777777" w:rsidR="00FD2CBB" w:rsidRPr="002B6BDE" w:rsidRDefault="00FD2CBB">
            <w:pPr>
              <w:spacing w:before="20" w:after="20" w:line="240" w:lineRule="auto"/>
              <w:jc w:val="left"/>
              <w:rPr>
                <w:rFonts w:eastAsia="Times New Roman" w:cs="Calibri"/>
                <w:b/>
                <w:i/>
                <w:color w:val="000000"/>
                <w:sz w:val="20"/>
                <w:szCs w:val="20"/>
              </w:rPr>
            </w:pPr>
            <w:r w:rsidRPr="002B6BDE">
              <w:rPr>
                <w:rFonts w:eastAsia="Times New Roman" w:cs="Calibri"/>
                <w:b/>
                <w:i/>
                <w:color w:val="000000"/>
                <w:sz w:val="20"/>
                <w:szCs w:val="20"/>
              </w:rPr>
              <w:t> </w:t>
            </w:r>
          </w:p>
        </w:tc>
        <w:tc>
          <w:tcPr>
            <w:tcW w:w="2976" w:type="dxa"/>
            <w:tcBorders>
              <w:top w:val="double" w:sz="4" w:space="0" w:color="A6A6A6"/>
              <w:left w:val="nil"/>
              <w:bottom w:val="single" w:sz="4" w:space="0" w:color="A6A6A6"/>
              <w:right w:val="single" w:sz="4" w:space="0" w:color="A6A6A6"/>
            </w:tcBorders>
            <w:noWrap/>
            <w:vAlign w:val="center"/>
            <w:hideMark/>
          </w:tcPr>
          <w:p w14:paraId="5F19710F" w14:textId="77777777" w:rsidR="00FD2CBB" w:rsidRPr="002B6BDE" w:rsidRDefault="00FD2CBB">
            <w:pPr>
              <w:spacing w:before="20" w:after="20" w:line="240" w:lineRule="auto"/>
              <w:jc w:val="right"/>
              <w:rPr>
                <w:rFonts w:eastAsia="Times New Roman" w:cs="Calibri"/>
                <w:b/>
                <w:i/>
                <w:color w:val="000000"/>
                <w:sz w:val="20"/>
                <w:szCs w:val="20"/>
              </w:rPr>
            </w:pPr>
            <w:r w:rsidRPr="002B6BDE">
              <w:rPr>
                <w:rFonts w:eastAsia="Calibri"/>
                <w:b/>
                <w:sz w:val="20"/>
                <w:szCs w:val="20"/>
              </w:rPr>
              <w:t>21.368.005</w:t>
            </w:r>
          </w:p>
        </w:tc>
      </w:tr>
    </w:tbl>
    <w:p w14:paraId="73AD28A4" w14:textId="1E5157F7" w:rsidR="00FD2CBB" w:rsidRPr="00AD01C5" w:rsidRDefault="00FD2CBB" w:rsidP="00E268B0">
      <w:pPr>
        <w:spacing w:after="240" w:line="240" w:lineRule="auto"/>
        <w:jc w:val="center"/>
        <w:rPr>
          <w:rFonts w:eastAsia="Calibri"/>
          <w:i/>
          <w:color w:val="17406D"/>
          <w:sz w:val="18"/>
          <w:szCs w:val="18"/>
        </w:rPr>
      </w:pPr>
      <w:r w:rsidRPr="00BF35BC">
        <w:rPr>
          <w:rFonts w:eastAsia="Calibri"/>
          <w:i/>
          <w:color w:val="003366"/>
          <w:sz w:val="18"/>
          <w:szCs w:val="18"/>
        </w:rPr>
        <w:t xml:space="preserve">Tabella </w:t>
      </w:r>
      <w:r w:rsidRPr="00BF35BC">
        <w:rPr>
          <w:rFonts w:cstheme="minorHAnsi"/>
          <w:i/>
          <w:color w:val="003366"/>
          <w:sz w:val="18"/>
          <w:szCs w:val="18"/>
        </w:rPr>
        <w:fldChar w:fldCharType="begin"/>
      </w:r>
      <w:r w:rsidRPr="71EE7570">
        <w:rPr>
          <w:rFonts w:eastAsia="Calibri"/>
          <w:i/>
          <w:color w:val="17406D" w:themeColor="text2"/>
          <w:sz w:val="18"/>
          <w:szCs w:val="18"/>
        </w:rPr>
        <w:instrText xml:space="preserve"> SEQ Tabella \* ARABIC </w:instrText>
      </w:r>
      <w:r w:rsidRPr="00BF35BC">
        <w:rPr>
          <w:rFonts w:cstheme="minorHAnsi"/>
          <w:i/>
          <w:color w:val="003366"/>
          <w:sz w:val="18"/>
          <w:szCs w:val="18"/>
        </w:rPr>
        <w:fldChar w:fldCharType="separate"/>
      </w:r>
      <w:r w:rsidR="00073B6D">
        <w:rPr>
          <w:rFonts w:eastAsia="Calibri"/>
          <w:i/>
          <w:noProof/>
          <w:color w:val="17406D" w:themeColor="text2"/>
          <w:sz w:val="18"/>
          <w:szCs w:val="18"/>
        </w:rPr>
        <w:t>64</w:t>
      </w:r>
      <w:r w:rsidRPr="00BF35BC">
        <w:rPr>
          <w:rFonts w:cstheme="minorHAnsi"/>
          <w:i/>
          <w:color w:val="003366"/>
          <w:sz w:val="18"/>
          <w:szCs w:val="18"/>
        </w:rPr>
        <w:fldChar w:fldCharType="end"/>
      </w:r>
      <w:r w:rsidRPr="00BF35BC">
        <w:rPr>
          <w:rFonts w:cstheme="minorHAnsi"/>
          <w:i/>
          <w:color w:val="003366"/>
          <w:sz w:val="18"/>
          <w:szCs w:val="18"/>
        </w:rPr>
        <w:t xml:space="preserve"> </w:t>
      </w:r>
      <w:r w:rsidRPr="00BF35BC">
        <w:rPr>
          <w:rFonts w:eastAsia="Calibri"/>
          <w:color w:val="003366"/>
          <w:sz w:val="18"/>
          <w:szCs w:val="18"/>
        </w:rPr>
        <w:t xml:space="preserve">– </w:t>
      </w:r>
      <w:r w:rsidRPr="002B6BDE">
        <w:rPr>
          <w:rFonts w:eastAsia="Calibri"/>
          <w:i/>
          <w:color w:val="17406D"/>
          <w:sz w:val="18"/>
          <w:szCs w:val="18"/>
        </w:rPr>
        <w:t xml:space="preserve">Scenario A: suddivisione in 5 </w:t>
      </w:r>
      <w:r>
        <w:rPr>
          <w:rFonts w:eastAsia="Calibri"/>
          <w:i/>
          <w:color w:val="17406D"/>
          <w:sz w:val="18"/>
          <w:szCs w:val="18"/>
        </w:rPr>
        <w:t>Lotti 4 a gara 1 in-house</w:t>
      </w:r>
    </w:p>
    <w:p w14:paraId="54FD163C" w14:textId="259C7C6E" w:rsidR="00FD2CBB" w:rsidRPr="002A6E23" w:rsidRDefault="00FD2CBB" w:rsidP="00FD2CBB">
      <w:pPr>
        <w:spacing w:before="120" w:after="0" w:line="240" w:lineRule="auto"/>
        <w:rPr>
          <w:rFonts w:eastAsia="Calibri"/>
        </w:rPr>
      </w:pPr>
      <w:r w:rsidRPr="009113B4">
        <w:rPr>
          <w:rFonts w:eastAsia="Calibri"/>
        </w:rPr>
        <w:t xml:space="preserve">Al fine di definire lo Scenario B si ritiene opportuno prendere in considerazione le valutazioni descritte nell’analisi della domanda </w:t>
      </w:r>
      <w:r w:rsidRPr="006A0758">
        <w:rPr>
          <w:rFonts w:eastAsia="Calibri"/>
        </w:rPr>
        <w:t xml:space="preserve">(capitolo </w:t>
      </w:r>
      <w:r w:rsidR="00B13204" w:rsidRPr="006A0758">
        <w:rPr>
          <w:rFonts w:eastAsia="Calibri"/>
        </w:rPr>
        <w:fldChar w:fldCharType="begin"/>
      </w:r>
      <w:r w:rsidR="00B13204" w:rsidRPr="006A0758">
        <w:rPr>
          <w:rFonts w:eastAsia="Calibri"/>
        </w:rPr>
        <w:instrText xml:space="preserve"> REF _Ref212805128 \r \h </w:instrText>
      </w:r>
      <w:r w:rsidR="006A0758">
        <w:rPr>
          <w:rFonts w:eastAsia="Calibri"/>
        </w:rPr>
        <w:instrText xml:space="preserve"> \* MERGEFORMAT </w:instrText>
      </w:r>
      <w:r w:rsidR="00B13204" w:rsidRPr="006A0758">
        <w:rPr>
          <w:rFonts w:eastAsia="Calibri"/>
        </w:rPr>
      </w:r>
      <w:r w:rsidR="00B13204" w:rsidRPr="006A0758">
        <w:rPr>
          <w:rFonts w:eastAsia="Calibri"/>
        </w:rPr>
        <w:fldChar w:fldCharType="separate"/>
      </w:r>
      <w:r w:rsidR="00073B6D">
        <w:rPr>
          <w:rFonts w:eastAsia="Calibri"/>
        </w:rPr>
        <w:t>3</w:t>
      </w:r>
      <w:r w:rsidR="00B13204" w:rsidRPr="006A0758">
        <w:rPr>
          <w:rFonts w:eastAsia="Calibri"/>
        </w:rPr>
        <w:fldChar w:fldCharType="end"/>
      </w:r>
      <w:r w:rsidRPr="006A0758">
        <w:rPr>
          <w:rFonts w:eastAsia="Calibri"/>
        </w:rPr>
        <w:t xml:space="preserve">), </w:t>
      </w:r>
      <w:r w:rsidRPr="00927471">
        <w:rPr>
          <w:rFonts w:eastAsia="Calibri"/>
        </w:rPr>
        <w:t xml:space="preserve">le particolarità geografiche del territorio, oltre a individuare un’aggregazione sostenibile in termini di produzione e tipologia di servizio. </w:t>
      </w:r>
      <w:r w:rsidRPr="002A6E23">
        <w:rPr>
          <w:rFonts w:eastAsia="Calibri"/>
        </w:rPr>
        <w:t xml:space="preserve">Tali considerazioni portano l’Agenzia a individuare i lotti così definiti: </w:t>
      </w:r>
    </w:p>
    <w:p w14:paraId="0C4AE2FA" w14:textId="77777777" w:rsidR="00FD2CBB" w:rsidRPr="002A6E23" w:rsidRDefault="00FD2CBB" w:rsidP="004B0DBE">
      <w:pPr>
        <w:numPr>
          <w:ilvl w:val="0"/>
          <w:numId w:val="84"/>
        </w:numPr>
        <w:spacing w:before="120" w:after="0" w:line="240" w:lineRule="auto"/>
        <w:rPr>
          <w:rFonts w:eastAsia="Calibri"/>
        </w:rPr>
      </w:pPr>
      <w:r w:rsidRPr="002A6E23">
        <w:rPr>
          <w:rFonts w:eastAsia="Calibri"/>
        </w:rPr>
        <w:t xml:space="preserve">il lotto Nord costituito dall’aggregazione dei servizi delle unità di rete 1 e 2 caratterizzati da servizi urbani ed extraurbani, </w:t>
      </w:r>
      <w:r w:rsidRPr="002A6E23">
        <w:t>forti relazioni interne,</w:t>
      </w:r>
      <w:r w:rsidRPr="002A6E23">
        <w:rPr>
          <w:rFonts w:eastAsia="Calibri"/>
        </w:rPr>
        <w:t xml:space="preserve"> oltre a flussi radiali verso Torino, una buona penetrazione del servizio ferroviario che prevede fra l’altro una connessione diretta con l’aeroporto di Torino, nonché una presenza più marcata di servizi a chiamata, rispetto al resto del Bacino.</w:t>
      </w:r>
    </w:p>
    <w:p w14:paraId="2FF248DE" w14:textId="77777777" w:rsidR="00FD2CBB" w:rsidRPr="002A6E23" w:rsidRDefault="00FD2CBB" w:rsidP="004B0DBE">
      <w:pPr>
        <w:numPr>
          <w:ilvl w:val="0"/>
          <w:numId w:val="84"/>
        </w:numPr>
        <w:spacing w:before="120" w:after="0" w:line="240" w:lineRule="auto"/>
        <w:rPr>
          <w:rFonts w:eastAsia="Calibri"/>
        </w:rPr>
      </w:pPr>
      <w:r w:rsidRPr="002A6E23">
        <w:rPr>
          <w:rFonts w:eastAsia="Calibri"/>
        </w:rPr>
        <w:t>il lotto Sud costituito dall’aggregazione dei servizi delle unità di rete 1 e 2 caratterizzati da servizi urbani ed extraurbani,</w:t>
      </w:r>
      <w:r w:rsidRPr="002A6E23">
        <w:t xml:space="preserve"> forti relazioni interne,</w:t>
      </w:r>
      <w:r w:rsidRPr="002A6E23">
        <w:rPr>
          <w:rFonts w:eastAsia="Calibri"/>
        </w:rPr>
        <w:t xml:space="preserve"> oltre a flussi radiali verso Torino, una buona penetrazione del servizio ferroviario</w:t>
      </w:r>
      <w:bookmarkStart w:id="472" w:name="_Hlk205132420"/>
      <w:bookmarkStart w:id="473" w:name="_Toc197695730"/>
      <w:bookmarkStart w:id="474" w:name="_Toc204616539"/>
      <w:r w:rsidRPr="002A6E23">
        <w:rPr>
          <w:rFonts w:eastAsia="Calibri"/>
        </w:rPr>
        <w:t>.</w:t>
      </w:r>
    </w:p>
    <w:p w14:paraId="7CE24164" w14:textId="57C9D1FC" w:rsidR="00FD2CBB" w:rsidRDefault="00FD2CBB" w:rsidP="004B0DBE">
      <w:pPr>
        <w:numPr>
          <w:ilvl w:val="0"/>
          <w:numId w:val="84"/>
        </w:numPr>
        <w:spacing w:before="120" w:after="0" w:line="240" w:lineRule="auto"/>
        <w:rPr>
          <w:rFonts w:eastAsia="Calibri"/>
        </w:rPr>
      </w:pPr>
      <w:r w:rsidRPr="002A6E23">
        <w:rPr>
          <w:rFonts w:eastAsia="Calibri"/>
        </w:rPr>
        <w:t>Il lotto periurbano di Torino</w:t>
      </w:r>
      <w:r>
        <w:rPr>
          <w:rFonts w:eastAsia="Calibri"/>
        </w:rPr>
        <w:t xml:space="preserve"> caratterizzato da servizi fortemente integrabili con i servizi urbani e suburbani, in aree ad alta densità abitativa</w:t>
      </w:r>
      <w:r w:rsidR="00AB29D3">
        <w:rPr>
          <w:rFonts w:eastAsia="Calibri"/>
        </w:rPr>
        <w:t xml:space="preserve">; tale lotto integra sia servizi </w:t>
      </w:r>
      <w:r w:rsidR="003C3A3E">
        <w:rPr>
          <w:rFonts w:eastAsia="Calibri"/>
        </w:rPr>
        <w:t>oggi</w:t>
      </w:r>
      <w:r w:rsidR="00AB29D3">
        <w:rPr>
          <w:rFonts w:eastAsia="Calibri"/>
        </w:rPr>
        <w:t xml:space="preserve"> pre</w:t>
      </w:r>
      <w:r w:rsidR="003C3A3E">
        <w:rPr>
          <w:rFonts w:eastAsia="Calibri"/>
        </w:rPr>
        <w:t>senti</w:t>
      </w:r>
      <w:r w:rsidR="00AB29D3">
        <w:rPr>
          <w:rFonts w:eastAsia="Calibri"/>
        </w:rPr>
        <w:t xml:space="preserve"> nei contratti di servizio extraurbani ma caratterizzati da </w:t>
      </w:r>
      <w:r w:rsidR="003C3A3E">
        <w:rPr>
          <w:rFonts w:eastAsia="Calibri"/>
        </w:rPr>
        <w:t>una vocazione prevalentemente di ambito suburbano</w:t>
      </w:r>
      <w:r w:rsidR="00AB29D3">
        <w:rPr>
          <w:rFonts w:eastAsia="Calibri"/>
        </w:rPr>
        <w:t xml:space="preserve">, sia servizi di tipologia suburbana </w:t>
      </w:r>
      <w:r w:rsidR="009365F0">
        <w:rPr>
          <w:rFonts w:eastAsia="Calibri"/>
        </w:rPr>
        <w:t>oggi presenti nel contratto urbano e suburbano riguardante la città di Torino e l’area conurbata.</w:t>
      </w:r>
    </w:p>
    <w:bookmarkEnd w:id="472"/>
    <w:p w14:paraId="2FD82717" w14:textId="77777777" w:rsidR="0088751A" w:rsidRPr="002A6E23" w:rsidRDefault="0088751A" w:rsidP="0088751A">
      <w:pPr>
        <w:spacing w:before="120" w:after="0" w:line="240" w:lineRule="auto"/>
        <w:rPr>
          <w:rFonts w:eastAsia="Calibri"/>
        </w:rPr>
      </w:pPr>
    </w:p>
    <w:tbl>
      <w:tblPr>
        <w:tblW w:w="9067" w:type="dxa"/>
        <w:tblCellMar>
          <w:left w:w="70" w:type="dxa"/>
          <w:right w:w="70" w:type="dxa"/>
        </w:tblCellMar>
        <w:tblLook w:val="04A0" w:firstRow="1" w:lastRow="0" w:firstColumn="1" w:lastColumn="0" w:noHBand="0" w:noVBand="1"/>
      </w:tblPr>
      <w:tblGrid>
        <w:gridCol w:w="2263"/>
        <w:gridCol w:w="4962"/>
        <w:gridCol w:w="1842"/>
      </w:tblGrid>
      <w:tr w:rsidR="00FD2CBB" w:rsidRPr="00AD01C5" w14:paraId="7F5FC46F" w14:textId="77777777">
        <w:trPr>
          <w:trHeight w:val="567"/>
        </w:trPr>
        <w:tc>
          <w:tcPr>
            <w:tcW w:w="2263" w:type="dxa"/>
            <w:tcBorders>
              <w:top w:val="single" w:sz="4" w:space="0" w:color="A6A6A6"/>
              <w:left w:val="single" w:sz="4" w:space="0" w:color="A6A6A6"/>
              <w:bottom w:val="single" w:sz="4" w:space="0" w:color="A6A6A6"/>
              <w:right w:val="single" w:sz="4" w:space="0" w:color="A6A6A6"/>
            </w:tcBorders>
            <w:shd w:val="clear" w:color="auto" w:fill="EE3438"/>
            <w:vAlign w:val="center"/>
            <w:hideMark/>
          </w:tcPr>
          <w:p w14:paraId="0EF383E1" w14:textId="77777777" w:rsidR="00FD2CBB" w:rsidRPr="00BA5BFC" w:rsidRDefault="00FD2CBB">
            <w:pPr>
              <w:spacing w:after="0" w:line="240" w:lineRule="auto"/>
              <w:jc w:val="center"/>
              <w:rPr>
                <w:rFonts w:eastAsia="Times New Roman" w:cs="Calibri"/>
                <w:b/>
                <w:color w:val="FFFFFF" w:themeColor="background1"/>
                <w:sz w:val="20"/>
                <w:szCs w:val="20"/>
              </w:rPr>
            </w:pPr>
            <w:r w:rsidRPr="00BA5BFC">
              <w:rPr>
                <w:rFonts w:eastAsia="Times New Roman" w:cs="Calibri"/>
                <w:b/>
                <w:color w:val="FFFFFF" w:themeColor="background1"/>
                <w:sz w:val="20"/>
                <w:szCs w:val="20"/>
              </w:rPr>
              <w:t>Lotti</w:t>
            </w:r>
          </w:p>
        </w:tc>
        <w:tc>
          <w:tcPr>
            <w:tcW w:w="4962" w:type="dxa"/>
            <w:tcBorders>
              <w:top w:val="single" w:sz="4" w:space="0" w:color="A6A6A6"/>
              <w:left w:val="nil"/>
              <w:bottom w:val="nil"/>
              <w:right w:val="single" w:sz="4" w:space="0" w:color="A6A6A6"/>
            </w:tcBorders>
            <w:shd w:val="clear" w:color="auto" w:fill="EE3438"/>
            <w:vAlign w:val="center"/>
            <w:hideMark/>
          </w:tcPr>
          <w:p w14:paraId="2F170D9B" w14:textId="77777777" w:rsidR="00FD2CBB" w:rsidRPr="00BA5BFC" w:rsidRDefault="00FD2CBB">
            <w:pPr>
              <w:spacing w:after="0" w:line="240" w:lineRule="auto"/>
              <w:jc w:val="center"/>
              <w:rPr>
                <w:rFonts w:eastAsia="Times New Roman" w:cs="Calibri"/>
                <w:b/>
                <w:color w:val="FFFFFF" w:themeColor="background1"/>
                <w:sz w:val="20"/>
                <w:szCs w:val="20"/>
              </w:rPr>
            </w:pPr>
            <w:r w:rsidRPr="00BA5BFC">
              <w:rPr>
                <w:rFonts w:eastAsia="Times New Roman" w:cs="Calibri"/>
                <w:b/>
                <w:color w:val="FFFFFF" w:themeColor="background1"/>
                <w:sz w:val="20"/>
                <w:szCs w:val="20"/>
              </w:rPr>
              <w:t>Descrizione</w:t>
            </w:r>
          </w:p>
        </w:tc>
        <w:tc>
          <w:tcPr>
            <w:tcW w:w="1842" w:type="dxa"/>
            <w:tcBorders>
              <w:top w:val="single" w:sz="4" w:space="0" w:color="A6A6A6"/>
              <w:left w:val="nil"/>
              <w:bottom w:val="nil"/>
              <w:right w:val="single" w:sz="4" w:space="0" w:color="A6A6A6"/>
            </w:tcBorders>
            <w:shd w:val="clear" w:color="auto" w:fill="EE3438"/>
            <w:vAlign w:val="center"/>
            <w:hideMark/>
          </w:tcPr>
          <w:p w14:paraId="2271B5FF" w14:textId="77777777" w:rsidR="00FD2CBB" w:rsidRPr="00BA5BFC" w:rsidRDefault="00FD2CBB">
            <w:pPr>
              <w:spacing w:after="0" w:line="240" w:lineRule="auto"/>
              <w:jc w:val="center"/>
              <w:rPr>
                <w:rFonts w:eastAsia="Times New Roman" w:cs="Calibri"/>
                <w:b/>
                <w:color w:val="FFFFFF" w:themeColor="background1"/>
                <w:sz w:val="20"/>
                <w:szCs w:val="20"/>
              </w:rPr>
            </w:pPr>
            <w:r w:rsidRPr="00BA5BFC">
              <w:rPr>
                <w:rFonts w:eastAsia="Times New Roman" w:cs="Calibri"/>
                <w:b/>
                <w:color w:val="FFFFFF" w:themeColor="background1"/>
                <w:sz w:val="20"/>
                <w:szCs w:val="20"/>
              </w:rPr>
              <w:t>Produzione</w:t>
            </w:r>
            <w:r w:rsidRPr="00BA5BFC">
              <w:rPr>
                <w:rFonts w:eastAsia="Times New Roman" w:cs="Calibri"/>
                <w:b/>
                <w:color w:val="FFFFFF" w:themeColor="background1"/>
                <w:sz w:val="20"/>
                <w:szCs w:val="20"/>
              </w:rPr>
              <w:br/>
              <w:t>(veic-km/anno)</w:t>
            </w:r>
          </w:p>
        </w:tc>
      </w:tr>
      <w:tr w:rsidR="00FD2CBB" w:rsidRPr="00AD01C5" w14:paraId="05C40719" w14:textId="77777777">
        <w:trPr>
          <w:trHeight w:val="567"/>
        </w:trPr>
        <w:tc>
          <w:tcPr>
            <w:tcW w:w="2263" w:type="dxa"/>
            <w:tcBorders>
              <w:top w:val="nil"/>
              <w:left w:val="single" w:sz="4" w:space="0" w:color="A6A6A6"/>
              <w:bottom w:val="single" w:sz="4" w:space="0" w:color="A6A6A6"/>
              <w:right w:val="single" w:sz="4" w:space="0" w:color="A6A6A6"/>
            </w:tcBorders>
            <w:noWrap/>
            <w:vAlign w:val="center"/>
            <w:hideMark/>
          </w:tcPr>
          <w:p w14:paraId="17FFDD7F" w14:textId="77777777" w:rsidR="00FD2CBB" w:rsidRPr="00AD01C5" w:rsidRDefault="00FD2CBB">
            <w:pPr>
              <w:spacing w:after="0" w:line="240" w:lineRule="auto"/>
              <w:jc w:val="center"/>
              <w:rPr>
                <w:rFonts w:eastAsia="Times New Roman" w:cs="Calibri"/>
                <w:color w:val="000000"/>
                <w:sz w:val="20"/>
                <w:szCs w:val="20"/>
              </w:rPr>
            </w:pPr>
            <w:r w:rsidRPr="00AD01C5">
              <w:rPr>
                <w:rFonts w:eastAsia="Times New Roman" w:cs="Calibri"/>
                <w:color w:val="000000"/>
                <w:sz w:val="20"/>
                <w:szCs w:val="20"/>
              </w:rPr>
              <w:t>Lotto</w:t>
            </w:r>
            <w:r>
              <w:rPr>
                <w:rFonts w:eastAsia="Times New Roman" w:cs="Calibri"/>
                <w:color w:val="000000"/>
                <w:sz w:val="20"/>
                <w:szCs w:val="20"/>
              </w:rPr>
              <w:t xml:space="preserve"> NORD </w:t>
            </w:r>
            <w:r w:rsidRPr="00AD01C5">
              <w:rPr>
                <w:rFonts w:eastAsia="Times New Roman" w:cs="Calibri"/>
                <w:color w:val="000000"/>
                <w:sz w:val="20"/>
                <w:szCs w:val="20"/>
              </w:rPr>
              <w:t>(UR1</w:t>
            </w:r>
            <w:r>
              <w:rPr>
                <w:rFonts w:eastAsia="Times New Roman" w:cs="Calibri"/>
                <w:color w:val="000000"/>
                <w:sz w:val="20"/>
                <w:szCs w:val="20"/>
              </w:rPr>
              <w:t>+UR2</w:t>
            </w:r>
            <w:r w:rsidRPr="00AD01C5">
              <w:rPr>
                <w:rFonts w:eastAsia="Times New Roman" w:cs="Calibri"/>
                <w:color w:val="000000"/>
                <w:sz w:val="20"/>
                <w:szCs w:val="20"/>
              </w:rPr>
              <w:t>)</w:t>
            </w:r>
          </w:p>
        </w:tc>
        <w:tc>
          <w:tcPr>
            <w:tcW w:w="4962" w:type="dxa"/>
            <w:tcBorders>
              <w:top w:val="single" w:sz="4" w:space="0" w:color="A6A6A6"/>
              <w:left w:val="nil"/>
              <w:bottom w:val="single" w:sz="4" w:space="0" w:color="A6A6A6"/>
              <w:right w:val="single" w:sz="4" w:space="0" w:color="A6A6A6"/>
            </w:tcBorders>
            <w:vAlign w:val="center"/>
            <w:hideMark/>
          </w:tcPr>
          <w:p w14:paraId="4DE11EB0" w14:textId="77777777" w:rsidR="00FD2CBB" w:rsidRPr="00AD01C5" w:rsidRDefault="00FD2CBB">
            <w:pPr>
              <w:spacing w:after="0" w:line="240" w:lineRule="auto"/>
              <w:jc w:val="left"/>
              <w:rPr>
                <w:rFonts w:eastAsia="Times New Roman" w:cs="Calibri"/>
                <w:color w:val="000000"/>
                <w:sz w:val="20"/>
                <w:szCs w:val="20"/>
              </w:rPr>
            </w:pPr>
            <w:r w:rsidRPr="00AD01C5">
              <w:rPr>
                <w:rFonts w:eastAsia="Times New Roman" w:cs="Calibri"/>
                <w:color w:val="000000"/>
                <w:sz w:val="20"/>
                <w:szCs w:val="20"/>
              </w:rPr>
              <w:t xml:space="preserve">Servizi Urbani ed extraurbani di </w:t>
            </w:r>
            <w:r>
              <w:rPr>
                <w:rFonts w:eastAsia="Times New Roman" w:cs="Calibri"/>
                <w:color w:val="000000"/>
                <w:sz w:val="20"/>
                <w:szCs w:val="20"/>
              </w:rPr>
              <w:t>Chivasso, Ivrea, del Canavese e della Val di Susa e di Lanzo</w:t>
            </w:r>
          </w:p>
        </w:tc>
        <w:tc>
          <w:tcPr>
            <w:tcW w:w="1842" w:type="dxa"/>
            <w:tcBorders>
              <w:top w:val="single" w:sz="4" w:space="0" w:color="A6A6A6"/>
              <w:left w:val="nil"/>
              <w:bottom w:val="single" w:sz="4" w:space="0" w:color="A6A6A6"/>
              <w:right w:val="single" w:sz="4" w:space="0" w:color="A6A6A6"/>
            </w:tcBorders>
            <w:noWrap/>
            <w:vAlign w:val="center"/>
            <w:hideMark/>
          </w:tcPr>
          <w:p w14:paraId="50631FB3" w14:textId="77777777" w:rsidR="00FD2CBB" w:rsidRPr="00AD01C5" w:rsidRDefault="00FD2CBB">
            <w:pPr>
              <w:spacing w:after="0" w:line="240" w:lineRule="auto"/>
              <w:jc w:val="right"/>
              <w:rPr>
                <w:rFonts w:eastAsia="Times New Roman" w:cs="Calibri"/>
                <w:color w:val="000000"/>
                <w:sz w:val="20"/>
                <w:szCs w:val="20"/>
              </w:rPr>
            </w:pPr>
            <w:r w:rsidRPr="00764C97">
              <w:rPr>
                <w:rFonts w:eastAsia="Calibri"/>
                <w:sz w:val="20"/>
                <w:szCs w:val="20"/>
              </w:rPr>
              <w:t>8.809.576</w:t>
            </w:r>
          </w:p>
        </w:tc>
      </w:tr>
      <w:tr w:rsidR="00FD2CBB" w:rsidRPr="00AD01C5" w14:paraId="6C524154" w14:textId="77777777">
        <w:trPr>
          <w:trHeight w:val="567"/>
        </w:trPr>
        <w:tc>
          <w:tcPr>
            <w:tcW w:w="2263" w:type="dxa"/>
            <w:tcBorders>
              <w:top w:val="single" w:sz="4" w:space="0" w:color="A6A6A6"/>
              <w:left w:val="single" w:sz="4" w:space="0" w:color="A6A6A6"/>
              <w:bottom w:val="single" w:sz="4" w:space="0" w:color="A6A6A6"/>
              <w:right w:val="single" w:sz="4" w:space="0" w:color="A6A6A6"/>
            </w:tcBorders>
            <w:noWrap/>
            <w:vAlign w:val="center"/>
            <w:hideMark/>
          </w:tcPr>
          <w:p w14:paraId="4C51013B" w14:textId="77777777" w:rsidR="00FD2CBB" w:rsidRPr="00AD01C5" w:rsidRDefault="00FD2CBB">
            <w:pPr>
              <w:spacing w:after="0" w:line="240" w:lineRule="auto"/>
              <w:jc w:val="center"/>
              <w:rPr>
                <w:rFonts w:eastAsia="Times New Roman" w:cs="Calibri"/>
                <w:color w:val="000000"/>
                <w:sz w:val="20"/>
                <w:szCs w:val="20"/>
              </w:rPr>
            </w:pPr>
            <w:r w:rsidRPr="00AD01C5">
              <w:rPr>
                <w:rFonts w:eastAsia="Times New Roman" w:cs="Calibri"/>
                <w:color w:val="000000"/>
                <w:sz w:val="20"/>
                <w:szCs w:val="20"/>
              </w:rPr>
              <w:t xml:space="preserve">Lotto </w:t>
            </w:r>
            <w:r>
              <w:rPr>
                <w:rFonts w:eastAsia="Times New Roman" w:cs="Calibri"/>
                <w:color w:val="000000"/>
                <w:sz w:val="20"/>
                <w:szCs w:val="20"/>
              </w:rPr>
              <w:t xml:space="preserve">SUD </w:t>
            </w:r>
            <w:r w:rsidRPr="00AD01C5">
              <w:rPr>
                <w:rFonts w:eastAsia="Times New Roman" w:cs="Calibri"/>
                <w:color w:val="000000"/>
                <w:sz w:val="20"/>
                <w:szCs w:val="20"/>
              </w:rPr>
              <w:t>(UR</w:t>
            </w:r>
            <w:r>
              <w:rPr>
                <w:rFonts w:eastAsia="Times New Roman" w:cs="Calibri"/>
                <w:color w:val="000000"/>
                <w:sz w:val="20"/>
                <w:szCs w:val="20"/>
              </w:rPr>
              <w:t>3</w:t>
            </w:r>
            <w:r w:rsidRPr="00AD01C5">
              <w:rPr>
                <w:rFonts w:eastAsia="Times New Roman" w:cs="Calibri"/>
                <w:color w:val="000000"/>
                <w:sz w:val="20"/>
                <w:szCs w:val="20"/>
              </w:rPr>
              <w:t>+UR</w:t>
            </w:r>
            <w:r>
              <w:rPr>
                <w:rFonts w:eastAsia="Times New Roman" w:cs="Calibri"/>
                <w:color w:val="000000"/>
                <w:sz w:val="20"/>
                <w:szCs w:val="20"/>
              </w:rPr>
              <w:t>4</w:t>
            </w:r>
            <w:r w:rsidRPr="00AD01C5">
              <w:rPr>
                <w:rFonts w:eastAsia="Times New Roman" w:cs="Calibri"/>
                <w:color w:val="000000"/>
                <w:sz w:val="20"/>
                <w:szCs w:val="20"/>
              </w:rPr>
              <w:t>)</w:t>
            </w:r>
          </w:p>
        </w:tc>
        <w:tc>
          <w:tcPr>
            <w:tcW w:w="4962" w:type="dxa"/>
            <w:tcBorders>
              <w:top w:val="single" w:sz="4" w:space="0" w:color="A6A6A6"/>
              <w:left w:val="nil"/>
              <w:bottom w:val="single" w:sz="4" w:space="0" w:color="A6A6A6"/>
              <w:right w:val="single" w:sz="4" w:space="0" w:color="A6A6A6"/>
            </w:tcBorders>
            <w:vAlign w:val="center"/>
            <w:hideMark/>
          </w:tcPr>
          <w:p w14:paraId="5AA90248" w14:textId="77777777" w:rsidR="00FD2CBB" w:rsidRPr="00AD01C5" w:rsidRDefault="00FD2CBB">
            <w:pPr>
              <w:spacing w:after="0" w:line="240" w:lineRule="auto"/>
              <w:jc w:val="left"/>
              <w:rPr>
                <w:rFonts w:eastAsia="Times New Roman" w:cs="Calibri"/>
                <w:color w:val="000000"/>
                <w:sz w:val="20"/>
                <w:szCs w:val="20"/>
              </w:rPr>
            </w:pPr>
            <w:r w:rsidRPr="00AD01C5">
              <w:rPr>
                <w:rFonts w:eastAsia="Times New Roman" w:cs="Calibri"/>
                <w:color w:val="000000"/>
                <w:sz w:val="20"/>
                <w:szCs w:val="20"/>
              </w:rPr>
              <w:t xml:space="preserve">Servizi Urbani ed extraurbani di </w:t>
            </w:r>
            <w:r>
              <w:rPr>
                <w:rFonts w:eastAsia="Times New Roman" w:cs="Calibri"/>
                <w:color w:val="000000"/>
                <w:sz w:val="20"/>
                <w:szCs w:val="20"/>
              </w:rPr>
              <w:t>Carmagnola, Chieri, Pinerolo e della Val Pellice</w:t>
            </w:r>
          </w:p>
        </w:tc>
        <w:tc>
          <w:tcPr>
            <w:tcW w:w="1842" w:type="dxa"/>
            <w:tcBorders>
              <w:top w:val="single" w:sz="4" w:space="0" w:color="A6A6A6"/>
              <w:left w:val="nil"/>
              <w:bottom w:val="single" w:sz="4" w:space="0" w:color="A6A6A6"/>
              <w:right w:val="single" w:sz="4" w:space="0" w:color="A6A6A6"/>
            </w:tcBorders>
            <w:noWrap/>
            <w:vAlign w:val="center"/>
            <w:hideMark/>
          </w:tcPr>
          <w:p w14:paraId="20C979CC" w14:textId="77777777" w:rsidR="00FD2CBB" w:rsidRPr="00AD01C5" w:rsidRDefault="00FD2CBB">
            <w:pPr>
              <w:spacing w:after="0" w:line="240" w:lineRule="auto"/>
              <w:jc w:val="right"/>
              <w:rPr>
                <w:rFonts w:eastAsia="Times New Roman" w:cs="Calibri"/>
                <w:color w:val="000000"/>
                <w:sz w:val="20"/>
                <w:szCs w:val="20"/>
              </w:rPr>
            </w:pPr>
            <w:r w:rsidRPr="00764C97">
              <w:rPr>
                <w:rFonts w:eastAsia="Calibri"/>
                <w:sz w:val="20"/>
                <w:szCs w:val="20"/>
              </w:rPr>
              <w:t>8.269.819</w:t>
            </w:r>
          </w:p>
        </w:tc>
      </w:tr>
      <w:tr w:rsidR="00FD2CBB" w:rsidRPr="00AD01C5" w14:paraId="2754345F" w14:textId="77777777">
        <w:trPr>
          <w:trHeight w:val="567"/>
        </w:trPr>
        <w:tc>
          <w:tcPr>
            <w:tcW w:w="2263" w:type="dxa"/>
            <w:tcBorders>
              <w:top w:val="single" w:sz="4" w:space="0" w:color="A6A6A6"/>
              <w:left w:val="single" w:sz="4" w:space="0" w:color="A6A6A6"/>
              <w:bottom w:val="single" w:sz="4" w:space="0" w:color="A6A6A6"/>
              <w:right w:val="single" w:sz="4" w:space="0" w:color="A6A6A6"/>
            </w:tcBorders>
            <w:noWrap/>
            <w:vAlign w:val="center"/>
          </w:tcPr>
          <w:p w14:paraId="2AA11287" w14:textId="77777777" w:rsidR="00FD2CBB" w:rsidRPr="00AD01C5" w:rsidRDefault="00FD2CBB">
            <w:pPr>
              <w:spacing w:after="0" w:line="240" w:lineRule="auto"/>
              <w:jc w:val="center"/>
              <w:rPr>
                <w:rFonts w:eastAsia="Times New Roman" w:cs="Calibri"/>
                <w:color w:val="000000"/>
                <w:sz w:val="20"/>
                <w:szCs w:val="20"/>
              </w:rPr>
            </w:pPr>
            <w:r w:rsidRPr="002B6BDE">
              <w:rPr>
                <w:rFonts w:eastAsia="Times New Roman" w:cs="Calibri"/>
                <w:color w:val="000000"/>
                <w:sz w:val="20"/>
                <w:szCs w:val="20"/>
              </w:rPr>
              <w:t>sub Lotto</w:t>
            </w:r>
            <w:r>
              <w:rPr>
                <w:rFonts w:eastAsia="Times New Roman" w:cs="Calibri"/>
                <w:color w:val="000000"/>
                <w:sz w:val="20"/>
                <w:szCs w:val="20"/>
              </w:rPr>
              <w:t xml:space="preserve"> Sud</w:t>
            </w:r>
            <w:r w:rsidRPr="002B6BDE">
              <w:rPr>
                <w:rFonts w:eastAsia="Times New Roman" w:cs="Calibri"/>
                <w:color w:val="000000"/>
                <w:sz w:val="20"/>
                <w:szCs w:val="20"/>
              </w:rPr>
              <w:t xml:space="preserve"> ADD</w:t>
            </w:r>
          </w:p>
        </w:tc>
        <w:tc>
          <w:tcPr>
            <w:tcW w:w="4962" w:type="dxa"/>
            <w:tcBorders>
              <w:top w:val="single" w:sz="4" w:space="0" w:color="A6A6A6"/>
              <w:left w:val="nil"/>
              <w:bottom w:val="single" w:sz="4" w:space="0" w:color="A6A6A6"/>
              <w:right w:val="single" w:sz="4" w:space="0" w:color="A6A6A6"/>
            </w:tcBorders>
            <w:vAlign w:val="center"/>
          </w:tcPr>
          <w:p w14:paraId="005084D0" w14:textId="77777777" w:rsidR="00FD2CBB" w:rsidRPr="00AD01C5" w:rsidRDefault="00FD2CBB">
            <w:pPr>
              <w:spacing w:after="0" w:line="240" w:lineRule="auto"/>
              <w:jc w:val="left"/>
              <w:rPr>
                <w:rFonts w:eastAsia="Times New Roman" w:cs="Calibri"/>
                <w:color w:val="000000"/>
                <w:sz w:val="20"/>
                <w:szCs w:val="20"/>
              </w:rPr>
            </w:pPr>
            <w:r>
              <w:rPr>
                <w:rFonts w:eastAsia="Times New Roman" w:cs="Calibri"/>
                <w:color w:val="000000"/>
                <w:sz w:val="20"/>
                <w:szCs w:val="20"/>
              </w:rPr>
              <w:t xml:space="preserve">Servizi extraurbani </w:t>
            </w:r>
            <w:r w:rsidRPr="00C04D55">
              <w:rPr>
                <w:rFonts w:eastAsia="Times New Roman" w:cs="Calibri"/>
                <w:color w:val="000000"/>
                <w:sz w:val="20"/>
                <w:szCs w:val="20"/>
              </w:rPr>
              <w:t>della Val Chisone e Germanasca</w:t>
            </w:r>
          </w:p>
        </w:tc>
        <w:tc>
          <w:tcPr>
            <w:tcW w:w="1842" w:type="dxa"/>
            <w:tcBorders>
              <w:top w:val="single" w:sz="4" w:space="0" w:color="A6A6A6"/>
              <w:left w:val="nil"/>
              <w:bottom w:val="single" w:sz="4" w:space="0" w:color="A6A6A6"/>
              <w:right w:val="single" w:sz="4" w:space="0" w:color="A6A6A6"/>
            </w:tcBorders>
            <w:noWrap/>
            <w:vAlign w:val="center"/>
          </w:tcPr>
          <w:p w14:paraId="2C03C2C8" w14:textId="77777777" w:rsidR="00FD2CBB" w:rsidRPr="00AD01C5" w:rsidRDefault="00FD2CBB">
            <w:pPr>
              <w:spacing w:after="0" w:line="240" w:lineRule="auto"/>
              <w:jc w:val="right"/>
              <w:rPr>
                <w:rFonts w:eastAsia="Calibri"/>
                <w:sz w:val="20"/>
                <w:szCs w:val="20"/>
              </w:rPr>
            </w:pPr>
            <w:r w:rsidRPr="00764C97">
              <w:rPr>
                <w:rFonts w:eastAsia="Calibri"/>
                <w:sz w:val="20"/>
                <w:szCs w:val="20"/>
              </w:rPr>
              <w:t>100.970</w:t>
            </w:r>
          </w:p>
        </w:tc>
      </w:tr>
      <w:tr w:rsidR="00FD2CBB" w:rsidRPr="00AD01C5" w14:paraId="013B1D80" w14:textId="77777777">
        <w:trPr>
          <w:trHeight w:val="567"/>
        </w:trPr>
        <w:tc>
          <w:tcPr>
            <w:tcW w:w="2263" w:type="dxa"/>
            <w:tcBorders>
              <w:top w:val="single" w:sz="4" w:space="0" w:color="A6A6A6"/>
              <w:left w:val="single" w:sz="4" w:space="0" w:color="A6A6A6"/>
              <w:bottom w:val="double" w:sz="4" w:space="0" w:color="A6A6A6"/>
              <w:right w:val="single" w:sz="4" w:space="0" w:color="A6A6A6"/>
            </w:tcBorders>
            <w:noWrap/>
            <w:vAlign w:val="center"/>
          </w:tcPr>
          <w:p w14:paraId="6469EDD6" w14:textId="77777777" w:rsidR="00FD2CBB" w:rsidRPr="00AD01C5" w:rsidRDefault="00FD2CBB">
            <w:pPr>
              <w:spacing w:after="0" w:line="240" w:lineRule="auto"/>
              <w:jc w:val="center"/>
              <w:rPr>
                <w:rFonts w:eastAsia="Times New Roman" w:cs="Calibri"/>
                <w:color w:val="000000"/>
                <w:sz w:val="20"/>
                <w:szCs w:val="20"/>
              </w:rPr>
            </w:pPr>
            <w:r>
              <w:rPr>
                <w:rFonts w:eastAsia="Times New Roman" w:cs="Calibri"/>
                <w:color w:val="000000"/>
                <w:sz w:val="20"/>
                <w:szCs w:val="20"/>
              </w:rPr>
              <w:t xml:space="preserve">Lotto periurbano </w:t>
            </w:r>
            <w:r w:rsidRPr="00DD0C21">
              <w:rPr>
                <w:rFonts w:eastAsia="Times New Roman" w:cs="Calibri"/>
                <w:i/>
                <w:color w:val="000000"/>
                <w:sz w:val="20"/>
                <w:szCs w:val="20"/>
              </w:rPr>
              <w:t>in-house</w:t>
            </w:r>
          </w:p>
        </w:tc>
        <w:tc>
          <w:tcPr>
            <w:tcW w:w="4962" w:type="dxa"/>
            <w:tcBorders>
              <w:top w:val="single" w:sz="4" w:space="0" w:color="A6A6A6"/>
              <w:left w:val="nil"/>
              <w:bottom w:val="double" w:sz="4" w:space="0" w:color="A6A6A6"/>
              <w:right w:val="single" w:sz="4" w:space="0" w:color="A6A6A6"/>
            </w:tcBorders>
            <w:vAlign w:val="center"/>
          </w:tcPr>
          <w:p w14:paraId="4ED615F7" w14:textId="00CAECC4" w:rsidR="00FD2CBB" w:rsidRPr="00AD01C5" w:rsidRDefault="00FD2CBB">
            <w:pPr>
              <w:spacing w:after="0" w:line="240" w:lineRule="auto"/>
              <w:jc w:val="left"/>
              <w:rPr>
                <w:rFonts w:eastAsia="Times New Roman" w:cs="Calibri"/>
                <w:color w:val="000000"/>
                <w:sz w:val="20"/>
                <w:szCs w:val="20"/>
              </w:rPr>
            </w:pPr>
            <w:r>
              <w:rPr>
                <w:rFonts w:eastAsia="Times New Roman" w:cs="Calibri"/>
                <w:color w:val="000000"/>
                <w:sz w:val="20"/>
                <w:szCs w:val="20"/>
              </w:rPr>
              <w:t>Servizi sub-urbani e</w:t>
            </w:r>
            <w:r w:rsidR="00AB29D3">
              <w:rPr>
                <w:rFonts w:eastAsia="Times New Roman" w:cs="Calibri"/>
                <w:color w:val="000000"/>
                <w:sz w:val="20"/>
                <w:szCs w:val="20"/>
              </w:rPr>
              <w:t>d</w:t>
            </w:r>
            <w:r>
              <w:rPr>
                <w:rFonts w:eastAsia="Times New Roman" w:cs="Calibri"/>
                <w:color w:val="000000"/>
                <w:sz w:val="20"/>
                <w:szCs w:val="20"/>
              </w:rPr>
              <w:t xml:space="preserve"> extraurbani della città di Torino</w:t>
            </w:r>
          </w:p>
        </w:tc>
        <w:tc>
          <w:tcPr>
            <w:tcW w:w="1842" w:type="dxa"/>
            <w:tcBorders>
              <w:top w:val="single" w:sz="4" w:space="0" w:color="A6A6A6"/>
              <w:left w:val="nil"/>
              <w:bottom w:val="double" w:sz="4" w:space="0" w:color="A6A6A6"/>
              <w:right w:val="single" w:sz="4" w:space="0" w:color="A6A6A6"/>
            </w:tcBorders>
            <w:noWrap/>
            <w:vAlign w:val="center"/>
          </w:tcPr>
          <w:p w14:paraId="06157BCD" w14:textId="77777777" w:rsidR="00FD2CBB" w:rsidRPr="00AD01C5" w:rsidRDefault="00FD2CBB">
            <w:pPr>
              <w:spacing w:after="0" w:line="240" w:lineRule="auto"/>
              <w:jc w:val="right"/>
              <w:rPr>
                <w:rFonts w:eastAsia="Calibri"/>
                <w:sz w:val="20"/>
                <w:szCs w:val="20"/>
              </w:rPr>
            </w:pPr>
            <w:r w:rsidRPr="00086586">
              <w:rPr>
                <w:rFonts w:eastAsia="Calibri"/>
                <w:sz w:val="20"/>
                <w:szCs w:val="20"/>
              </w:rPr>
              <w:t>4.187.640</w:t>
            </w:r>
          </w:p>
        </w:tc>
      </w:tr>
      <w:tr w:rsidR="00FD2CBB" w:rsidRPr="00AD01C5" w14:paraId="6C617AEB" w14:textId="77777777">
        <w:trPr>
          <w:trHeight w:val="567"/>
        </w:trPr>
        <w:tc>
          <w:tcPr>
            <w:tcW w:w="2263" w:type="dxa"/>
            <w:tcBorders>
              <w:top w:val="double" w:sz="4" w:space="0" w:color="A6A6A6"/>
              <w:left w:val="single" w:sz="4" w:space="0" w:color="A6A6A6"/>
              <w:bottom w:val="single" w:sz="4" w:space="0" w:color="A6A6A6"/>
              <w:right w:val="single" w:sz="4" w:space="0" w:color="A6A6A6"/>
            </w:tcBorders>
            <w:noWrap/>
            <w:vAlign w:val="center"/>
            <w:hideMark/>
          </w:tcPr>
          <w:p w14:paraId="53E7698D" w14:textId="77777777" w:rsidR="00FD2CBB" w:rsidRPr="00AD01C5" w:rsidRDefault="00FD2CBB">
            <w:pPr>
              <w:spacing w:after="0" w:line="240" w:lineRule="auto"/>
              <w:jc w:val="center"/>
              <w:rPr>
                <w:rFonts w:eastAsia="Times New Roman" w:cs="Calibri"/>
                <w:b/>
                <w:i/>
                <w:color w:val="000000"/>
                <w:sz w:val="20"/>
                <w:szCs w:val="20"/>
              </w:rPr>
            </w:pPr>
            <w:r w:rsidRPr="00AD01C5">
              <w:rPr>
                <w:rFonts w:eastAsia="Times New Roman" w:cs="Calibri"/>
                <w:b/>
                <w:i/>
                <w:color w:val="000000"/>
                <w:sz w:val="20"/>
                <w:szCs w:val="20"/>
              </w:rPr>
              <w:t>Totale</w:t>
            </w:r>
          </w:p>
        </w:tc>
        <w:tc>
          <w:tcPr>
            <w:tcW w:w="4962" w:type="dxa"/>
            <w:tcBorders>
              <w:top w:val="double" w:sz="4" w:space="0" w:color="A6A6A6"/>
              <w:left w:val="nil"/>
              <w:bottom w:val="single" w:sz="4" w:space="0" w:color="A6A6A6"/>
              <w:right w:val="single" w:sz="4" w:space="0" w:color="A6A6A6"/>
            </w:tcBorders>
            <w:noWrap/>
            <w:vAlign w:val="center"/>
            <w:hideMark/>
          </w:tcPr>
          <w:p w14:paraId="6FC92CF3" w14:textId="77777777" w:rsidR="00FD2CBB" w:rsidRPr="00AD01C5" w:rsidRDefault="00FD2CBB">
            <w:pPr>
              <w:spacing w:after="0" w:line="240" w:lineRule="auto"/>
              <w:jc w:val="center"/>
              <w:rPr>
                <w:rFonts w:eastAsia="Times New Roman" w:cs="Calibri"/>
                <w:b/>
                <w:i/>
                <w:color w:val="000000"/>
                <w:sz w:val="20"/>
                <w:szCs w:val="20"/>
              </w:rPr>
            </w:pPr>
            <w:r w:rsidRPr="00AD01C5">
              <w:rPr>
                <w:rFonts w:eastAsia="Times New Roman" w:cs="Calibri"/>
                <w:b/>
                <w:i/>
                <w:color w:val="000000"/>
                <w:sz w:val="20"/>
                <w:szCs w:val="20"/>
              </w:rPr>
              <w:t> </w:t>
            </w:r>
          </w:p>
        </w:tc>
        <w:tc>
          <w:tcPr>
            <w:tcW w:w="1842" w:type="dxa"/>
            <w:tcBorders>
              <w:top w:val="double" w:sz="4" w:space="0" w:color="A6A6A6"/>
              <w:left w:val="nil"/>
              <w:bottom w:val="single" w:sz="4" w:space="0" w:color="A6A6A6"/>
              <w:right w:val="single" w:sz="4" w:space="0" w:color="A6A6A6"/>
            </w:tcBorders>
            <w:noWrap/>
            <w:vAlign w:val="center"/>
            <w:hideMark/>
          </w:tcPr>
          <w:p w14:paraId="13CE4CB5" w14:textId="77777777" w:rsidR="00FD2CBB" w:rsidRPr="00AD01C5" w:rsidRDefault="00FD2CBB">
            <w:pPr>
              <w:spacing w:after="0" w:line="240" w:lineRule="auto"/>
              <w:jc w:val="right"/>
              <w:rPr>
                <w:rFonts w:eastAsia="Times New Roman" w:cs="Calibri"/>
                <w:b/>
                <w:i/>
                <w:color w:val="000000"/>
                <w:sz w:val="20"/>
                <w:szCs w:val="20"/>
              </w:rPr>
            </w:pPr>
            <w:r w:rsidRPr="0064247B">
              <w:rPr>
                <w:rFonts w:eastAsia="Calibri"/>
                <w:b/>
                <w:sz w:val="20"/>
                <w:szCs w:val="20"/>
              </w:rPr>
              <w:t>21.368.005</w:t>
            </w:r>
          </w:p>
        </w:tc>
      </w:tr>
    </w:tbl>
    <w:p w14:paraId="72B567EE" w14:textId="5563DDDB" w:rsidR="00FD2CBB" w:rsidRPr="00AD01C5" w:rsidRDefault="00FD2CBB" w:rsidP="00E268B0">
      <w:pPr>
        <w:spacing w:after="240" w:line="240" w:lineRule="auto"/>
        <w:jc w:val="center"/>
        <w:rPr>
          <w:rFonts w:eastAsia="Calibri"/>
          <w:color w:val="17406D"/>
          <w:sz w:val="18"/>
          <w:szCs w:val="18"/>
        </w:rPr>
      </w:pPr>
      <w:r w:rsidRPr="00BF35BC">
        <w:rPr>
          <w:rFonts w:eastAsia="Calibri"/>
          <w:i/>
          <w:color w:val="003366"/>
          <w:sz w:val="18"/>
          <w:szCs w:val="18"/>
        </w:rPr>
        <w:t xml:space="preserve">Tabella </w:t>
      </w:r>
      <w:r w:rsidRPr="00BF35BC">
        <w:rPr>
          <w:rFonts w:cstheme="minorHAnsi"/>
          <w:i/>
          <w:color w:val="003366"/>
          <w:sz w:val="18"/>
          <w:szCs w:val="18"/>
        </w:rPr>
        <w:fldChar w:fldCharType="begin"/>
      </w:r>
      <w:r w:rsidRPr="71EE7570">
        <w:rPr>
          <w:rFonts w:eastAsia="Calibri"/>
          <w:i/>
          <w:color w:val="17406D" w:themeColor="text2"/>
          <w:sz w:val="18"/>
          <w:szCs w:val="18"/>
        </w:rPr>
        <w:instrText xml:space="preserve"> SEQ Tabella \* ARABIC </w:instrText>
      </w:r>
      <w:r w:rsidRPr="00BF35BC">
        <w:rPr>
          <w:rFonts w:cstheme="minorHAnsi"/>
          <w:i/>
          <w:color w:val="003366"/>
          <w:sz w:val="18"/>
          <w:szCs w:val="18"/>
        </w:rPr>
        <w:fldChar w:fldCharType="separate"/>
      </w:r>
      <w:r w:rsidR="00073B6D">
        <w:rPr>
          <w:rFonts w:eastAsia="Calibri"/>
          <w:i/>
          <w:noProof/>
          <w:color w:val="17406D" w:themeColor="text2"/>
          <w:sz w:val="18"/>
          <w:szCs w:val="18"/>
        </w:rPr>
        <w:t>65</w:t>
      </w:r>
      <w:r w:rsidRPr="00BF35BC">
        <w:rPr>
          <w:rFonts w:cstheme="minorHAnsi"/>
          <w:i/>
          <w:color w:val="003366"/>
          <w:sz w:val="18"/>
          <w:szCs w:val="18"/>
        </w:rPr>
        <w:fldChar w:fldCharType="end"/>
      </w:r>
      <w:r w:rsidRPr="00BF35BC">
        <w:rPr>
          <w:rFonts w:cstheme="minorHAnsi"/>
          <w:i/>
          <w:color w:val="003366"/>
          <w:sz w:val="18"/>
          <w:szCs w:val="18"/>
        </w:rPr>
        <w:t xml:space="preserve"> </w:t>
      </w:r>
      <w:r w:rsidRPr="00BF35BC">
        <w:rPr>
          <w:rFonts w:eastAsia="Calibri"/>
          <w:color w:val="003366"/>
          <w:sz w:val="18"/>
          <w:szCs w:val="18"/>
        </w:rPr>
        <w:t xml:space="preserve">– </w:t>
      </w:r>
      <w:r>
        <w:rPr>
          <w:rFonts w:eastAsia="Calibri"/>
          <w:color w:val="17406D"/>
          <w:sz w:val="18"/>
          <w:szCs w:val="18"/>
        </w:rPr>
        <w:t>Scenario B</w:t>
      </w:r>
      <w:r w:rsidRPr="00AD01C5">
        <w:rPr>
          <w:rFonts w:eastAsia="Calibri"/>
          <w:color w:val="17406D"/>
          <w:sz w:val="18"/>
          <w:szCs w:val="18"/>
        </w:rPr>
        <w:t xml:space="preserve">: suddivisione in </w:t>
      </w:r>
      <w:r>
        <w:rPr>
          <w:rFonts w:eastAsia="Calibri"/>
          <w:color w:val="17406D"/>
          <w:sz w:val="18"/>
          <w:szCs w:val="18"/>
        </w:rPr>
        <w:t>3</w:t>
      </w:r>
      <w:r w:rsidRPr="00AD01C5">
        <w:rPr>
          <w:rFonts w:eastAsia="Calibri"/>
          <w:color w:val="17406D"/>
          <w:sz w:val="18"/>
          <w:szCs w:val="18"/>
        </w:rPr>
        <w:t xml:space="preserve"> lotti</w:t>
      </w:r>
    </w:p>
    <w:p w14:paraId="3460F84B" w14:textId="77777777" w:rsidR="00FD2CBB" w:rsidRPr="007B4FBE" w:rsidRDefault="00FD2CBB" w:rsidP="00FD2CBB">
      <w:pPr>
        <w:spacing w:before="120" w:after="0" w:line="240" w:lineRule="auto"/>
        <w:rPr>
          <w:rFonts w:eastAsia="Calibri"/>
        </w:rPr>
      </w:pPr>
      <w:r w:rsidRPr="007B4FBE">
        <w:rPr>
          <w:rFonts w:eastAsia="Calibri"/>
        </w:rPr>
        <w:lastRenderedPageBreak/>
        <w:t xml:space="preserve">La figura seguente fornisce una rappresentazione degli ambiti territoriali che individuano i tre lotti di servizi afferenti al Bacino </w:t>
      </w:r>
      <w:r>
        <w:rPr>
          <w:rFonts w:eastAsia="Calibri"/>
        </w:rPr>
        <w:t>Metropolitano</w:t>
      </w:r>
      <w:r w:rsidRPr="007B4FBE">
        <w:rPr>
          <w:rFonts w:eastAsia="Calibri"/>
        </w:rPr>
        <w:t>.</w:t>
      </w:r>
    </w:p>
    <w:p w14:paraId="07221F34" w14:textId="77777777" w:rsidR="00FD2CBB" w:rsidRPr="009365F0" w:rsidRDefault="00FD2CBB" w:rsidP="00FD2CBB">
      <w:pPr>
        <w:spacing w:before="120" w:after="0" w:line="240" w:lineRule="auto"/>
        <w:jc w:val="center"/>
        <w:rPr>
          <w:rFonts w:eastAsia="Calibri"/>
          <w:i/>
          <w:color w:val="003366"/>
        </w:rPr>
      </w:pPr>
      <w:r w:rsidRPr="009365F0">
        <w:rPr>
          <w:rFonts w:eastAsia="Calibri"/>
          <w:i/>
          <w:noProof/>
          <w:color w:val="003366"/>
        </w:rPr>
        <mc:AlternateContent>
          <mc:Choice Requires="wps">
            <w:drawing>
              <wp:anchor distT="0" distB="0" distL="114300" distR="114300" simplePos="0" relativeHeight="251658252" behindDoc="0" locked="0" layoutInCell="1" allowOverlap="1" wp14:anchorId="7C7292CF" wp14:editId="5277189E">
                <wp:simplePos x="0" y="0"/>
                <wp:positionH relativeFrom="column">
                  <wp:posOffset>391432</wp:posOffset>
                </wp:positionH>
                <wp:positionV relativeFrom="paragraph">
                  <wp:posOffset>643227</wp:posOffset>
                </wp:positionV>
                <wp:extent cx="4580143" cy="1558343"/>
                <wp:effectExtent l="0" t="152400" r="0" b="156210"/>
                <wp:wrapNone/>
                <wp:docPr id="2139439768" name="Ovale 6"/>
                <wp:cNvGraphicFramePr/>
                <a:graphic xmlns:a="http://schemas.openxmlformats.org/drawingml/2006/main">
                  <a:graphicData uri="http://schemas.microsoft.com/office/word/2010/wordprocessingShape">
                    <wps:wsp>
                      <wps:cNvSpPr/>
                      <wps:spPr>
                        <a:xfrm rot="20811373">
                          <a:off x="0" y="0"/>
                          <a:ext cx="4580143" cy="1558343"/>
                        </a:xfrm>
                        <a:prstGeom prst="ellipse">
                          <a:avLst/>
                        </a:prstGeom>
                        <a:noFill/>
                        <a:ln>
                          <a:solidFill>
                            <a:srgbClr val="E6427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arto="http://schemas.microsoft.com/office/word/2006/arto">
            <w:pict>
              <v:oval w14:anchorId="13AF0D17" id="Ovale 6" o:spid="_x0000_s1026" style="position:absolute;margin-left:30.8pt;margin-top:50.65pt;width:360.65pt;height:122.7pt;rotation:-861391fd;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" filled="f" strokecolor="#e64271" strokeweight="1.75pt">
                <v:stroke endcap="round"/>
              </v:oval>
            </w:pict>
          </mc:Fallback>
        </mc:AlternateContent>
      </w:r>
      <w:r w:rsidRPr="009365F0">
        <w:rPr>
          <w:rFonts w:eastAsia="Calibri"/>
          <w:i/>
          <w:noProof/>
          <w:color w:val="003366"/>
        </w:rPr>
        <mc:AlternateContent>
          <mc:Choice Requires="wps">
            <w:drawing>
              <wp:anchor distT="0" distB="0" distL="114300" distR="114300" simplePos="0" relativeHeight="251658248" behindDoc="0" locked="0" layoutInCell="1" allowOverlap="1" wp14:anchorId="3DF84455" wp14:editId="78625009">
                <wp:simplePos x="0" y="0"/>
                <wp:positionH relativeFrom="column">
                  <wp:posOffset>1616216</wp:posOffset>
                </wp:positionH>
                <wp:positionV relativeFrom="paragraph">
                  <wp:posOffset>2763711</wp:posOffset>
                </wp:positionV>
                <wp:extent cx="932457" cy="361323"/>
                <wp:effectExtent l="0" t="76200" r="0" b="76835"/>
                <wp:wrapNone/>
                <wp:docPr id="1940811725" name="Ovale 6"/>
                <wp:cNvGraphicFramePr/>
                <a:graphic xmlns:a="http://schemas.openxmlformats.org/drawingml/2006/main">
                  <a:graphicData uri="http://schemas.microsoft.com/office/word/2010/wordprocessingShape">
                    <wps:wsp>
                      <wps:cNvSpPr/>
                      <wps:spPr>
                        <a:xfrm rot="1330100">
                          <a:off x="0" y="0"/>
                          <a:ext cx="932457" cy="361323"/>
                        </a:xfrm>
                        <a:prstGeom prst="ellipse">
                          <a:avLst/>
                        </a:prstGeom>
                        <a:noFill/>
                        <a:ln>
                          <a:solidFill>
                            <a:schemeClr val="accent1">
                              <a:lumMod val="60000"/>
                              <a:lumOff val="4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arto="http://schemas.microsoft.com/office/word/2006/arto">
            <w:pict>
              <v:oval w14:anchorId="36031FA0" id="Ovale 6" o:spid="_x0000_s1026" style="position:absolute;margin-left:127.25pt;margin-top:217.6pt;width:73.4pt;height:28.45pt;rotation:1452824fd;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" filled="f" strokecolor="#59a9f2 [1940]" strokeweight="1.75pt">
                <v:stroke endcap="round"/>
              </v:oval>
            </w:pict>
          </mc:Fallback>
        </mc:AlternateContent>
      </w:r>
      <w:r w:rsidRPr="009365F0">
        <w:rPr>
          <w:rFonts w:eastAsia="Calibri"/>
          <w:i/>
          <w:noProof/>
          <w:color w:val="003366"/>
        </w:rPr>
        <mc:AlternateContent>
          <mc:Choice Requires="wps">
            <w:drawing>
              <wp:anchor distT="0" distB="0" distL="114300" distR="114300" simplePos="0" relativeHeight="251658249" behindDoc="0" locked="0" layoutInCell="1" allowOverlap="1" wp14:anchorId="6EA55D55" wp14:editId="58FA6DA7">
                <wp:simplePos x="0" y="0"/>
                <wp:positionH relativeFrom="margin">
                  <wp:posOffset>1440434</wp:posOffset>
                </wp:positionH>
                <wp:positionV relativeFrom="paragraph">
                  <wp:posOffset>2338501</wp:posOffset>
                </wp:positionV>
                <wp:extent cx="2860243" cy="1265529"/>
                <wp:effectExtent l="0" t="0" r="16510" b="11430"/>
                <wp:wrapNone/>
                <wp:docPr id="817291834" name="Ovale 6"/>
                <wp:cNvGraphicFramePr/>
                <a:graphic xmlns:a="http://schemas.openxmlformats.org/drawingml/2006/main">
                  <a:graphicData uri="http://schemas.microsoft.com/office/word/2010/wordprocessingShape">
                    <wps:wsp>
                      <wps:cNvSpPr/>
                      <wps:spPr>
                        <a:xfrm>
                          <a:off x="0" y="0"/>
                          <a:ext cx="2860243" cy="1265529"/>
                        </a:xfrm>
                        <a:prstGeom prst="ellipse">
                          <a:avLst/>
                        </a:prstGeom>
                        <a:noFill/>
                        <a:ln>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arto="http://schemas.microsoft.com/office/word/2006/arto">
            <w:pict>
              <v:oval w14:anchorId="2120FE87" id="Ovale 6" o:spid="_x0000_s1026" style="position:absolute;margin-left:113.4pt;margin-top:184.15pt;width:225.2pt;height:99.65pt;z-index:25165825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" filled="f" strokecolor="#ffc000" strokeweight="1.75pt">
                <v:stroke endcap="round"/>
                <w10:wrap anchorx="margin"/>
              </v:oval>
            </w:pict>
          </mc:Fallback>
        </mc:AlternateContent>
      </w:r>
      <w:r w:rsidRPr="009365F0">
        <w:rPr>
          <w:rFonts w:eastAsia="Calibri"/>
          <w:i/>
          <w:noProof/>
          <w:color w:val="003366"/>
        </w:rPr>
        <mc:AlternateContent>
          <mc:Choice Requires="wps">
            <w:drawing>
              <wp:anchor distT="0" distB="0" distL="114300" distR="114300" simplePos="0" relativeHeight="251658247" behindDoc="0" locked="0" layoutInCell="1" allowOverlap="1" wp14:anchorId="1A4D8F8A" wp14:editId="2C885BE1">
                <wp:simplePos x="0" y="0"/>
                <wp:positionH relativeFrom="column">
                  <wp:posOffset>2920099</wp:posOffset>
                </wp:positionH>
                <wp:positionV relativeFrom="paragraph">
                  <wp:posOffset>1889553</wp:posOffset>
                </wp:positionV>
                <wp:extent cx="1628823" cy="726414"/>
                <wp:effectExtent l="0" t="152400" r="0" b="150495"/>
                <wp:wrapNone/>
                <wp:docPr id="727794144" name="Ovale 6"/>
                <wp:cNvGraphicFramePr/>
                <a:graphic xmlns:a="http://schemas.openxmlformats.org/drawingml/2006/main">
                  <a:graphicData uri="http://schemas.microsoft.com/office/word/2010/wordprocessingShape">
                    <wps:wsp>
                      <wps:cNvSpPr/>
                      <wps:spPr>
                        <a:xfrm rot="19955093">
                          <a:off x="0" y="0"/>
                          <a:ext cx="1628823" cy="726414"/>
                        </a:xfrm>
                        <a:prstGeom prst="ellipse">
                          <a:avLst/>
                        </a:prstGeom>
                        <a:noFill/>
                        <a:ln>
                          <a:solidFill>
                            <a:srgbClr val="3CDE1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arto="http://schemas.microsoft.com/office/word/2006/arto">
            <w:pict>
              <v:oval w14:anchorId="63B6FF91" id="Ovale 6" o:spid="_x0000_s1026" style="position:absolute;margin-left:229.95pt;margin-top:148.8pt;width:128.25pt;height:57.2pt;rotation:-1796677fd;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" filled="f" strokecolor="#3cde10" strokeweight="1.75pt">
                <v:stroke endcap="round"/>
              </v:oval>
            </w:pict>
          </mc:Fallback>
        </mc:AlternateContent>
      </w:r>
      <w:r w:rsidRPr="009365F0">
        <w:rPr>
          <w:rFonts w:eastAsia="Calibri"/>
          <w:i/>
          <w:iCs/>
          <w:noProof/>
          <w:color w:val="003366"/>
        </w:rPr>
        <w:drawing>
          <wp:inline distT="0" distB="0" distL="0" distR="0" wp14:anchorId="063989CE" wp14:editId="55652230">
            <wp:extent cx="5562000" cy="3931200"/>
            <wp:effectExtent l="19050" t="19050" r="19685" b="12700"/>
            <wp:docPr id="1416696945" name="Immagine 5" descr="Immagine che contiene testo, mappa, diagramma, atlant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696945" name="Immagine 5" descr="Immagine che contiene testo, mappa, diagramma, atlante&#10;&#10;Descrizione generata automaticamente"/>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5562000" cy="3931200"/>
                    </a:xfrm>
                    <a:prstGeom prst="rect">
                      <a:avLst/>
                    </a:prstGeom>
                    <a:ln w="19050">
                      <a:solidFill>
                        <a:srgbClr val="EE3438"/>
                      </a:solidFill>
                    </a:ln>
                  </pic:spPr>
                </pic:pic>
              </a:graphicData>
            </a:graphic>
          </wp:inline>
        </w:drawing>
      </w:r>
    </w:p>
    <w:p w14:paraId="4313CC15" w14:textId="312219F7" w:rsidR="00FD2CBB" w:rsidRPr="00AD01C5" w:rsidRDefault="00FD2CBB" w:rsidP="009365F0">
      <w:pPr>
        <w:spacing w:after="240" w:line="240" w:lineRule="auto"/>
        <w:jc w:val="center"/>
        <w:rPr>
          <w:rFonts w:eastAsia="Calibri" w:cs="Times New Roman"/>
          <w:i/>
          <w:color w:val="003366"/>
          <w:sz w:val="18"/>
          <w:szCs w:val="18"/>
        </w:rPr>
      </w:pPr>
      <w:r w:rsidRPr="00AD01C5">
        <w:rPr>
          <w:rFonts w:eastAsia="Calibri"/>
          <w:i/>
          <w:color w:val="003366"/>
          <w:sz w:val="18"/>
          <w:szCs w:val="18"/>
        </w:rPr>
        <w:t xml:space="preserve">Figura </w:t>
      </w:r>
      <w:r w:rsidRPr="00B50CF2">
        <w:rPr>
          <w:rFonts w:asciiTheme="minorHAnsi" w:hAnsiTheme="minorHAnsi" w:cstheme="minorHAnsi"/>
          <w:i/>
          <w:color w:val="003366"/>
          <w:sz w:val="18"/>
          <w:szCs w:val="18"/>
          <w14:textOutline w14:w="0" w14:cap="rnd" w14:cmpd="sng" w14:algn="ctr">
            <w14:solidFill>
              <w14:srgbClr w14:val="FF6C6C"/>
            </w14:solidFill>
            <w14:prstDash w14:val="solid"/>
            <w14:bevel/>
          </w14:textOutline>
        </w:rPr>
        <w:fldChar w:fldCharType="begin"/>
      </w:r>
      <w:r w:rsidRPr="00AD01C5">
        <w:rPr>
          <w:rFonts w:eastAsia="Calibri"/>
          <w:i/>
          <w:color w:val="003366"/>
          <w:sz w:val="18"/>
          <w:szCs w:val="18"/>
        </w:rPr>
        <w:instrText xml:space="preserve"> SEQ Figura \* ARABIC </w:instrText>
      </w:r>
      <w:r w:rsidRPr="00B50CF2">
        <w:rPr>
          <w:rFonts w:asciiTheme="minorHAnsi" w:hAnsiTheme="minorHAnsi" w:cstheme="minorHAnsi"/>
          <w:i/>
          <w:color w:val="003366"/>
          <w:sz w:val="18"/>
          <w:szCs w:val="18"/>
          <w14:textOutline w14:w="0" w14:cap="rnd" w14:cmpd="sng" w14:algn="ctr">
            <w14:solidFill>
              <w14:srgbClr w14:val="FF6C6C"/>
            </w14:solidFill>
            <w14:prstDash w14:val="solid"/>
            <w14:bevel/>
          </w14:textOutline>
        </w:rPr>
        <w:fldChar w:fldCharType="separate"/>
      </w:r>
      <w:r w:rsidR="00073B6D">
        <w:rPr>
          <w:rFonts w:eastAsia="Calibri"/>
          <w:i/>
          <w:noProof/>
          <w:color w:val="003366"/>
          <w:sz w:val="18"/>
          <w:szCs w:val="18"/>
        </w:rPr>
        <w:t>44</w:t>
      </w:r>
      <w:r w:rsidRPr="00B50CF2">
        <w:rPr>
          <w:rFonts w:asciiTheme="minorHAnsi" w:hAnsiTheme="minorHAnsi" w:cstheme="minorHAnsi"/>
          <w:i/>
          <w:color w:val="003366"/>
          <w:sz w:val="18"/>
          <w:szCs w:val="18"/>
          <w14:textOutline w14:w="0" w14:cap="rnd" w14:cmpd="sng" w14:algn="ctr">
            <w14:solidFill>
              <w14:srgbClr w14:val="FF6C6C"/>
            </w14:solidFill>
            <w14:prstDash w14:val="solid"/>
            <w14:bevel/>
          </w14:textOutline>
        </w:rPr>
        <w:fldChar w:fldCharType="end"/>
      </w:r>
      <w:r w:rsidRPr="00AD01C5">
        <w:rPr>
          <w:rFonts w:eastAsia="Calibri"/>
          <w:color w:val="003366"/>
          <w:sz w:val="18"/>
          <w:szCs w:val="18"/>
        </w:rPr>
        <w:t xml:space="preserve"> – </w:t>
      </w:r>
      <w:r w:rsidRPr="00AD01C5">
        <w:rPr>
          <w:rFonts w:eastAsia="Calibri"/>
          <w:i/>
          <w:color w:val="003366"/>
          <w:sz w:val="18"/>
          <w:szCs w:val="18"/>
        </w:rPr>
        <w:t xml:space="preserve">Distribuzione dei servizi nei </w:t>
      </w:r>
      <w:r>
        <w:rPr>
          <w:rFonts w:eastAsia="Calibri"/>
          <w:i/>
          <w:color w:val="003366"/>
          <w:sz w:val="18"/>
          <w:szCs w:val="18"/>
        </w:rPr>
        <w:t>quattro</w:t>
      </w:r>
      <w:r w:rsidRPr="00AD01C5">
        <w:rPr>
          <w:rFonts w:eastAsia="Calibri"/>
          <w:i/>
          <w:color w:val="003366"/>
          <w:sz w:val="18"/>
          <w:szCs w:val="18"/>
        </w:rPr>
        <w:t xml:space="preserve"> lotti</w:t>
      </w:r>
    </w:p>
    <w:p w14:paraId="69891253" w14:textId="77777777" w:rsidR="00FD2CBB" w:rsidRPr="005B534B" w:rsidRDefault="00FD2CBB" w:rsidP="00FD2CBB">
      <w:pPr>
        <w:pStyle w:val="Titolo3"/>
        <w:ind w:left="720"/>
      </w:pPr>
      <w:bookmarkStart w:id="475" w:name="_Toc213078415"/>
      <w:r w:rsidRPr="005B534B">
        <w:t>Analisi costo standard</w:t>
      </w:r>
      <w:bookmarkEnd w:id="473"/>
      <w:bookmarkEnd w:id="474"/>
      <w:bookmarkEnd w:id="475"/>
    </w:p>
    <w:p w14:paraId="4A90EC0B" w14:textId="77777777" w:rsidR="00FD2CBB" w:rsidRPr="00AD01C5" w:rsidRDefault="00FD2CBB" w:rsidP="00FD2CBB">
      <w:pPr>
        <w:spacing w:before="120" w:after="0" w:line="240" w:lineRule="auto"/>
        <w:rPr>
          <w:rFonts w:eastAsia="Calibri"/>
        </w:rPr>
      </w:pPr>
      <w:r w:rsidRPr="00AD01C5">
        <w:rPr>
          <w:rFonts w:eastAsia="Calibri"/>
        </w:rPr>
        <w:t>Per definire gli importi a base di gara si procede con la determinazione del costo standard in applicazione del DM 157/2018 ed ai sensi di quanto disposto all’art. 1 comma 5</w:t>
      </w:r>
      <w:r w:rsidRPr="00AD01C5">
        <w:rPr>
          <w:rFonts w:eastAsia="Calibri"/>
          <w:vertAlign w:val="superscript"/>
        </w:rPr>
        <w:footnoteReference w:id="59"/>
      </w:r>
      <w:r w:rsidRPr="00AD01C5">
        <w:rPr>
          <w:rFonts w:eastAsia="Calibri"/>
        </w:rPr>
        <w:t xml:space="preserve"> ove prevede che “</w:t>
      </w:r>
      <w:r w:rsidRPr="69E21B87">
        <w:rPr>
          <w:rFonts w:eastAsia="Calibri"/>
          <w:i/>
        </w:rPr>
        <w:t>I costi standard …sono utilizzati dagli enti che affidano i servizi di trasporto pubblico locale e regionale come elemento di riferimento per la quantificazione delle compensazioni economiche e dei corrispettivi da porre a base d’asta …</w:t>
      </w:r>
      <w:r w:rsidRPr="00AD01C5">
        <w:rPr>
          <w:rFonts w:eastAsia="Calibri"/>
        </w:rPr>
        <w:t>”</w:t>
      </w:r>
    </w:p>
    <w:p w14:paraId="34BC3F6F" w14:textId="77777777" w:rsidR="00FD2CBB" w:rsidRDefault="00FD2CBB" w:rsidP="00FD2CBB">
      <w:pPr>
        <w:spacing w:before="120" w:after="0" w:line="240" w:lineRule="auto"/>
        <w:rPr>
          <w:rFonts w:eastAsia="Calibri"/>
        </w:rPr>
      </w:pPr>
      <w:r w:rsidRPr="00AD01C5">
        <w:rPr>
          <w:rFonts w:eastAsia="Calibri"/>
        </w:rPr>
        <w:t xml:space="preserve">Nel presente paragrafo sono calcolati i costi standard, con l’applicazione della metodologia e l’adeguamento inflattivo descritta nei precedenti paragrafi, relativi alle differenti configurazioni in lotti </w:t>
      </w:r>
      <w:r w:rsidRPr="00AD01C5">
        <w:rPr>
          <w:rFonts w:eastAsia="Calibri"/>
        </w:rPr>
        <w:lastRenderedPageBreak/>
        <w:t>da porre a base di gara, nonché le rispettive compensazioni dovute per l'assolvimento degli obblighi di servizio valutate nell’ordine del 65% dei costi standard di produzione, al netto dell’infrastruttura, per perseguire e migliorare l’obiettivo fissato dall’art 19 comma 5 del D.Lgs. 422/1997 e richiamato dalla delibera ART 64/2024 (Annesso 7). Nel calcolo dei fattori di rettifica dell’ammortamento del costo standard si è scelto, dopo valutazioni riguardanti l’attuale parco mezzi in utilizzo, di adoperare i costi  unitari standard per il calcolo del k2 di rettifica per costo effettivo di acquisto autobus (pari a 244.110,00€ per gli allestimenti urbani e 221.450,00€ per gli allestimenti extraurbani), di stabilire la vita utile effettiva pari a 15 anni per il k3 e di considerare una Quota effettiva di autofinanziamento pari al 50% per la rettifica k4.</w:t>
      </w:r>
    </w:p>
    <w:p w14:paraId="35AA60A6" w14:textId="77777777" w:rsidR="00FD2CBB" w:rsidRPr="005B534B" w:rsidRDefault="00FD2CBB" w:rsidP="00FD2CBB">
      <w:pPr>
        <w:spacing w:before="120" w:after="0" w:line="240" w:lineRule="auto"/>
        <w:rPr>
          <w:rFonts w:eastAsia="Calibri"/>
          <w:b/>
        </w:rPr>
      </w:pPr>
      <w:r>
        <w:rPr>
          <w:rFonts w:eastAsia="Calibri"/>
          <w:b/>
        </w:rPr>
        <w:t>Scenario A - 4</w:t>
      </w:r>
      <w:r w:rsidRPr="005B534B">
        <w:rPr>
          <w:rFonts w:eastAsia="Calibri"/>
          <w:b/>
        </w:rPr>
        <w:t xml:space="preserve"> lotti di gara </w:t>
      </w:r>
      <w:r w:rsidRPr="0055365B">
        <w:rPr>
          <w:rFonts w:eastAsia="Calibri"/>
          <w:b/>
        </w:rPr>
        <w:t>(+sub</w:t>
      </w:r>
      <w:r>
        <w:rPr>
          <w:rFonts w:eastAsia="Calibri"/>
          <w:b/>
        </w:rPr>
        <w:t>-</w:t>
      </w:r>
      <w:r w:rsidRPr="0055365B">
        <w:rPr>
          <w:rFonts w:eastAsia="Calibri"/>
          <w:b/>
        </w:rPr>
        <w:t>lotto area a domanda debole</w:t>
      </w:r>
      <w:r>
        <w:rPr>
          <w:rFonts w:eastAsia="Calibri"/>
          <w:b/>
        </w:rPr>
        <w:t xml:space="preserve"> + lotto in House</w:t>
      </w:r>
      <w:r w:rsidRPr="0055365B">
        <w:rPr>
          <w:rFonts w:eastAsia="Calibri"/>
          <w:b/>
        </w:rPr>
        <w:t>)</w:t>
      </w:r>
    </w:p>
    <w:tbl>
      <w:tblPr>
        <w:tblW w:w="5000" w:type="pct"/>
        <w:tblCellMar>
          <w:left w:w="70" w:type="dxa"/>
          <w:right w:w="70" w:type="dxa"/>
        </w:tblCellMar>
        <w:tblLook w:val="04A0" w:firstRow="1" w:lastRow="0" w:firstColumn="1" w:lastColumn="0" w:noHBand="0" w:noVBand="1"/>
      </w:tblPr>
      <w:tblGrid>
        <w:gridCol w:w="1535"/>
        <w:gridCol w:w="1007"/>
        <w:gridCol w:w="846"/>
        <w:gridCol w:w="1195"/>
        <w:gridCol w:w="1195"/>
        <w:gridCol w:w="1207"/>
        <w:gridCol w:w="1178"/>
        <w:gridCol w:w="897"/>
      </w:tblGrid>
      <w:tr w:rsidR="00FD2CBB" w:rsidRPr="00C45514" w14:paraId="14F66172" w14:textId="77777777" w:rsidTr="006038E3">
        <w:trPr>
          <w:trHeight w:val="397"/>
        </w:trPr>
        <w:tc>
          <w:tcPr>
            <w:tcW w:w="847"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E3438"/>
            <w:vAlign w:val="center"/>
            <w:hideMark/>
          </w:tcPr>
          <w:p w14:paraId="644AA083" w14:textId="77777777" w:rsidR="00FD2CBB" w:rsidRPr="00BA5BFC" w:rsidRDefault="00FD2CBB">
            <w:pPr>
              <w:spacing w:after="0" w:line="240" w:lineRule="auto"/>
              <w:jc w:val="center"/>
              <w:rPr>
                <w:rFonts w:eastAsia="Times New Roman" w:cs="Calibri"/>
                <w:b/>
                <w:color w:val="FFFFFF" w:themeColor="background1"/>
                <w:sz w:val="16"/>
                <w:szCs w:val="16"/>
              </w:rPr>
            </w:pPr>
            <w:r w:rsidRPr="00BA5BFC">
              <w:rPr>
                <w:rFonts w:eastAsia="Times New Roman" w:cs="Calibri"/>
                <w:b/>
                <w:color w:val="FFFFFF" w:themeColor="background1"/>
                <w:sz w:val="16"/>
                <w:szCs w:val="16"/>
              </w:rPr>
              <w:t>Lotti</w:t>
            </w:r>
          </w:p>
        </w:tc>
        <w:tc>
          <w:tcPr>
            <w:tcW w:w="55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E3438"/>
            <w:vAlign w:val="center"/>
            <w:hideMark/>
          </w:tcPr>
          <w:p w14:paraId="1DFCA41F" w14:textId="77777777" w:rsidR="00FD2CBB" w:rsidRPr="00BA5BFC" w:rsidRDefault="00FD2CBB">
            <w:pPr>
              <w:spacing w:after="0" w:line="240" w:lineRule="auto"/>
              <w:jc w:val="center"/>
              <w:rPr>
                <w:rFonts w:eastAsia="Times New Roman" w:cs="Calibri"/>
                <w:b/>
                <w:color w:val="FFFFFF" w:themeColor="background1"/>
                <w:sz w:val="16"/>
                <w:szCs w:val="16"/>
              </w:rPr>
            </w:pPr>
            <w:r w:rsidRPr="00BA5BFC">
              <w:rPr>
                <w:rFonts w:eastAsia="Times New Roman" w:cs="Calibri"/>
                <w:b/>
                <w:color w:val="FFFFFF" w:themeColor="background1"/>
                <w:sz w:val="16"/>
                <w:szCs w:val="16"/>
              </w:rPr>
              <w:t>Produzione Km</w:t>
            </w:r>
          </w:p>
        </w:tc>
        <w:tc>
          <w:tcPr>
            <w:tcW w:w="467"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E3438"/>
            <w:vAlign w:val="center"/>
            <w:hideMark/>
          </w:tcPr>
          <w:p w14:paraId="00310DA3" w14:textId="77777777" w:rsidR="00FD2CBB" w:rsidRPr="00BA5BFC" w:rsidRDefault="00FD2CBB">
            <w:pPr>
              <w:spacing w:after="0" w:line="240" w:lineRule="auto"/>
              <w:jc w:val="center"/>
              <w:rPr>
                <w:rFonts w:eastAsia="Times New Roman" w:cs="Calibri"/>
                <w:b/>
                <w:color w:val="FFFFFF" w:themeColor="background1"/>
                <w:sz w:val="16"/>
                <w:szCs w:val="16"/>
              </w:rPr>
            </w:pPr>
            <w:r w:rsidRPr="00BA5BFC">
              <w:rPr>
                <w:rFonts w:eastAsia="Times New Roman" w:cs="Calibri"/>
                <w:b/>
                <w:color w:val="FFFFFF" w:themeColor="background1"/>
                <w:sz w:val="16"/>
                <w:szCs w:val="16"/>
              </w:rPr>
              <w:t>Costo standard</w:t>
            </w:r>
          </w:p>
        </w:tc>
        <w:tc>
          <w:tcPr>
            <w:tcW w:w="65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E3438"/>
            <w:vAlign w:val="center"/>
            <w:hideMark/>
          </w:tcPr>
          <w:p w14:paraId="74E4C78E" w14:textId="77777777" w:rsidR="00FD2CBB" w:rsidRPr="00BA5BFC" w:rsidRDefault="00FD2CBB">
            <w:pPr>
              <w:spacing w:after="0" w:line="240" w:lineRule="auto"/>
              <w:jc w:val="center"/>
              <w:rPr>
                <w:rFonts w:eastAsia="Times New Roman" w:cs="Calibri"/>
                <w:b/>
                <w:color w:val="FFFFFF" w:themeColor="background1"/>
                <w:sz w:val="16"/>
                <w:szCs w:val="16"/>
              </w:rPr>
            </w:pPr>
            <w:r w:rsidRPr="00BA5BFC">
              <w:rPr>
                <w:rFonts w:eastAsia="Times New Roman" w:cs="Calibri"/>
                <w:b/>
                <w:color w:val="FFFFFF" w:themeColor="background1"/>
                <w:sz w:val="16"/>
                <w:szCs w:val="16"/>
              </w:rPr>
              <w:t>Costo totale</w:t>
            </w:r>
          </w:p>
        </w:tc>
        <w:tc>
          <w:tcPr>
            <w:tcW w:w="65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E3438"/>
            <w:vAlign w:val="center"/>
            <w:hideMark/>
          </w:tcPr>
          <w:p w14:paraId="07C88C46" w14:textId="77777777" w:rsidR="00FD2CBB" w:rsidRPr="00BA5BFC" w:rsidRDefault="00FD2CBB">
            <w:pPr>
              <w:spacing w:after="0" w:line="240" w:lineRule="auto"/>
              <w:jc w:val="center"/>
              <w:rPr>
                <w:rFonts w:eastAsia="Times New Roman" w:cs="Calibri"/>
                <w:b/>
                <w:color w:val="FFFFFF" w:themeColor="background1"/>
                <w:sz w:val="16"/>
                <w:szCs w:val="16"/>
              </w:rPr>
            </w:pPr>
            <w:r w:rsidRPr="00BA5BFC">
              <w:rPr>
                <w:rFonts w:eastAsia="Times New Roman" w:cs="Calibri"/>
                <w:b/>
                <w:color w:val="FFFFFF" w:themeColor="background1"/>
                <w:sz w:val="16"/>
                <w:szCs w:val="16"/>
              </w:rPr>
              <w:t>Compensazioni</w:t>
            </w:r>
            <w:r w:rsidRPr="00BA5BFC">
              <w:rPr>
                <w:rFonts w:eastAsia="Times New Roman" w:cs="Calibri"/>
                <w:b/>
                <w:color w:val="FFFFFF" w:themeColor="background1"/>
                <w:sz w:val="16"/>
                <w:szCs w:val="16"/>
              </w:rPr>
              <w:br/>
              <w:t>65%</w:t>
            </w:r>
          </w:p>
        </w:tc>
        <w:tc>
          <w:tcPr>
            <w:tcW w:w="66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E3438"/>
            <w:vAlign w:val="center"/>
            <w:hideMark/>
          </w:tcPr>
          <w:p w14:paraId="33BA1AB1" w14:textId="77777777" w:rsidR="00FD2CBB" w:rsidRPr="00BA5BFC" w:rsidRDefault="00FD2CBB">
            <w:pPr>
              <w:spacing w:after="0" w:line="240" w:lineRule="auto"/>
              <w:jc w:val="center"/>
              <w:rPr>
                <w:rFonts w:eastAsia="Times New Roman" w:cs="Calibri"/>
                <w:b/>
                <w:color w:val="FFFFFF" w:themeColor="background1"/>
                <w:sz w:val="16"/>
                <w:szCs w:val="16"/>
              </w:rPr>
            </w:pPr>
            <w:r w:rsidRPr="00BA5BFC">
              <w:rPr>
                <w:rFonts w:eastAsia="Times New Roman" w:cs="Calibri"/>
                <w:b/>
                <w:color w:val="FFFFFF" w:themeColor="background1"/>
                <w:sz w:val="16"/>
                <w:szCs w:val="16"/>
              </w:rPr>
              <w:t>Ricavi da Traffico</w:t>
            </w:r>
            <w:r w:rsidRPr="00BA5BFC">
              <w:rPr>
                <w:rFonts w:eastAsia="Times New Roman" w:cs="Calibri"/>
                <w:b/>
                <w:color w:val="FFFFFF" w:themeColor="background1"/>
                <w:sz w:val="16"/>
                <w:szCs w:val="16"/>
              </w:rPr>
              <w:br/>
              <w:t>35%</w:t>
            </w:r>
          </w:p>
        </w:tc>
        <w:tc>
          <w:tcPr>
            <w:tcW w:w="65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E3438"/>
            <w:vAlign w:val="center"/>
            <w:hideMark/>
          </w:tcPr>
          <w:p w14:paraId="059EDA29" w14:textId="77777777" w:rsidR="00FD2CBB" w:rsidRPr="00BA5BFC" w:rsidRDefault="00FD2CBB">
            <w:pPr>
              <w:spacing w:after="0" w:line="240" w:lineRule="auto"/>
              <w:jc w:val="center"/>
              <w:rPr>
                <w:rFonts w:eastAsia="Times New Roman" w:cs="Calibri"/>
                <w:b/>
                <w:color w:val="FFFFFF" w:themeColor="background1"/>
                <w:sz w:val="16"/>
                <w:szCs w:val="16"/>
              </w:rPr>
            </w:pPr>
            <w:r w:rsidRPr="00BA5BFC">
              <w:rPr>
                <w:rFonts w:eastAsia="Times New Roman" w:cs="Calibri"/>
                <w:b/>
                <w:color w:val="FFFFFF" w:themeColor="background1"/>
                <w:sz w:val="16"/>
                <w:szCs w:val="16"/>
              </w:rPr>
              <w:t>Velocità Commerciale</w:t>
            </w:r>
          </w:p>
        </w:tc>
        <w:tc>
          <w:tcPr>
            <w:tcW w:w="49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E3438"/>
            <w:vAlign w:val="center"/>
            <w:hideMark/>
          </w:tcPr>
          <w:p w14:paraId="3A2412EA" w14:textId="77777777" w:rsidR="00FD2CBB" w:rsidRPr="00BA5BFC" w:rsidRDefault="00FD2CBB">
            <w:pPr>
              <w:spacing w:after="0" w:line="240" w:lineRule="auto"/>
              <w:jc w:val="center"/>
              <w:rPr>
                <w:rFonts w:eastAsia="Times New Roman" w:cs="Calibri"/>
                <w:b/>
                <w:color w:val="FFFFFF" w:themeColor="background1"/>
                <w:sz w:val="16"/>
                <w:szCs w:val="16"/>
              </w:rPr>
            </w:pPr>
            <w:r w:rsidRPr="00BA5BFC">
              <w:rPr>
                <w:rFonts w:eastAsia="Times New Roman" w:cs="Calibri"/>
                <w:b/>
                <w:color w:val="FFFFFF" w:themeColor="background1"/>
                <w:sz w:val="16"/>
                <w:szCs w:val="16"/>
              </w:rPr>
              <w:t>Velocità standard</w:t>
            </w:r>
          </w:p>
        </w:tc>
      </w:tr>
      <w:tr w:rsidR="00FD2CBB" w:rsidRPr="00C45514" w14:paraId="71895B80" w14:textId="77777777" w:rsidTr="006038E3">
        <w:trPr>
          <w:trHeight w:val="397"/>
        </w:trPr>
        <w:tc>
          <w:tcPr>
            <w:tcW w:w="847"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4B04FC00" w14:textId="77777777" w:rsidR="00FD2CBB" w:rsidRPr="00C45514" w:rsidRDefault="00FD2CBB">
            <w:pPr>
              <w:spacing w:after="0" w:line="240" w:lineRule="auto"/>
              <w:jc w:val="left"/>
              <w:rPr>
                <w:rFonts w:eastAsia="Times New Roman" w:cs="Calibri"/>
                <w:color w:val="000000"/>
                <w:sz w:val="16"/>
                <w:szCs w:val="16"/>
              </w:rPr>
            </w:pPr>
            <w:r w:rsidRPr="00C45514">
              <w:rPr>
                <w:rFonts w:eastAsia="Times New Roman" w:cs="Calibri"/>
                <w:color w:val="000000"/>
                <w:sz w:val="16"/>
                <w:szCs w:val="16"/>
              </w:rPr>
              <w:t>Lotto UR1</w:t>
            </w:r>
          </w:p>
        </w:tc>
        <w:tc>
          <w:tcPr>
            <w:tcW w:w="55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19445E93" w14:textId="77777777" w:rsidR="00FD2CBB" w:rsidRPr="00C45514" w:rsidRDefault="00FD2CBB">
            <w:pPr>
              <w:spacing w:after="0" w:line="240" w:lineRule="auto"/>
              <w:jc w:val="right"/>
              <w:rPr>
                <w:rFonts w:eastAsia="Times New Roman" w:cs="Calibri"/>
                <w:color w:val="000000"/>
                <w:sz w:val="16"/>
                <w:szCs w:val="16"/>
              </w:rPr>
            </w:pPr>
            <w:r w:rsidRPr="00C45514">
              <w:rPr>
                <w:rFonts w:eastAsia="Times New Roman" w:cs="Calibri"/>
                <w:color w:val="000000"/>
                <w:sz w:val="16"/>
                <w:szCs w:val="16"/>
              </w:rPr>
              <w:t>4.097.066</w:t>
            </w:r>
          </w:p>
        </w:tc>
        <w:tc>
          <w:tcPr>
            <w:tcW w:w="467"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6EECE752" w14:textId="77777777" w:rsidR="00FD2CBB" w:rsidRPr="00C45514" w:rsidRDefault="00FD2CBB">
            <w:pPr>
              <w:spacing w:after="0" w:line="240" w:lineRule="auto"/>
              <w:jc w:val="right"/>
              <w:rPr>
                <w:rFonts w:eastAsia="Times New Roman" w:cs="Calibri"/>
                <w:color w:val="000000"/>
                <w:sz w:val="16"/>
                <w:szCs w:val="16"/>
              </w:rPr>
            </w:pPr>
            <w:r w:rsidRPr="00C45514">
              <w:rPr>
                <w:rFonts w:eastAsia="Times New Roman" w:cs="Calibri"/>
                <w:color w:val="000000"/>
                <w:sz w:val="16"/>
                <w:szCs w:val="16"/>
              </w:rPr>
              <w:t xml:space="preserve">2,94 € </w:t>
            </w:r>
          </w:p>
        </w:tc>
        <w:tc>
          <w:tcPr>
            <w:tcW w:w="65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11731E4B" w14:textId="77777777" w:rsidR="00FD2CBB" w:rsidRPr="00C45514" w:rsidRDefault="00FD2CBB">
            <w:pPr>
              <w:spacing w:after="0" w:line="240" w:lineRule="auto"/>
              <w:jc w:val="right"/>
              <w:rPr>
                <w:rFonts w:eastAsia="Times New Roman" w:cs="Calibri"/>
                <w:color w:val="000000"/>
                <w:sz w:val="16"/>
                <w:szCs w:val="16"/>
              </w:rPr>
            </w:pPr>
            <w:r w:rsidRPr="00C45514">
              <w:rPr>
                <w:rFonts w:eastAsia="Times New Roman" w:cs="Calibri"/>
                <w:color w:val="000000"/>
                <w:sz w:val="16"/>
                <w:szCs w:val="16"/>
              </w:rPr>
              <w:t xml:space="preserve">12.059.031,79 € </w:t>
            </w:r>
          </w:p>
        </w:tc>
        <w:tc>
          <w:tcPr>
            <w:tcW w:w="65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085DCD22" w14:textId="77777777" w:rsidR="00FD2CBB" w:rsidRPr="00C45514" w:rsidRDefault="00FD2CBB">
            <w:pPr>
              <w:spacing w:after="0" w:line="240" w:lineRule="auto"/>
              <w:jc w:val="right"/>
              <w:rPr>
                <w:rFonts w:eastAsia="Times New Roman" w:cs="Calibri"/>
                <w:color w:val="000000"/>
                <w:sz w:val="16"/>
                <w:szCs w:val="16"/>
              </w:rPr>
            </w:pPr>
            <w:r w:rsidRPr="00C45514">
              <w:rPr>
                <w:rFonts w:eastAsia="Times New Roman" w:cs="Calibri"/>
                <w:color w:val="000000"/>
                <w:sz w:val="16"/>
                <w:szCs w:val="16"/>
              </w:rPr>
              <w:t xml:space="preserve">7.838.370,66 € </w:t>
            </w:r>
          </w:p>
        </w:tc>
        <w:tc>
          <w:tcPr>
            <w:tcW w:w="66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11935970" w14:textId="77777777" w:rsidR="00FD2CBB" w:rsidRPr="00C45514" w:rsidRDefault="00FD2CBB">
            <w:pPr>
              <w:spacing w:after="0" w:line="240" w:lineRule="auto"/>
              <w:jc w:val="right"/>
              <w:rPr>
                <w:rFonts w:eastAsia="Times New Roman" w:cs="Calibri"/>
                <w:color w:val="000000"/>
                <w:sz w:val="16"/>
                <w:szCs w:val="16"/>
              </w:rPr>
            </w:pPr>
            <w:r w:rsidRPr="00C45514">
              <w:rPr>
                <w:rFonts w:eastAsia="Times New Roman" w:cs="Calibri"/>
                <w:color w:val="000000"/>
                <w:sz w:val="16"/>
                <w:szCs w:val="16"/>
              </w:rPr>
              <w:t xml:space="preserve">4.220.661,12 € </w:t>
            </w:r>
          </w:p>
        </w:tc>
        <w:tc>
          <w:tcPr>
            <w:tcW w:w="65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5CDAC71F" w14:textId="77777777" w:rsidR="00FD2CBB" w:rsidRPr="00C45514" w:rsidRDefault="00FD2CBB">
            <w:pPr>
              <w:spacing w:after="0" w:line="240" w:lineRule="auto"/>
              <w:jc w:val="right"/>
              <w:rPr>
                <w:rFonts w:eastAsia="Times New Roman" w:cs="Calibri"/>
                <w:color w:val="000000"/>
                <w:sz w:val="16"/>
                <w:szCs w:val="16"/>
              </w:rPr>
            </w:pPr>
            <w:r w:rsidRPr="00C45514">
              <w:rPr>
                <w:rFonts w:eastAsia="Times New Roman" w:cs="Calibri"/>
                <w:color w:val="000000"/>
                <w:sz w:val="16"/>
                <w:szCs w:val="16"/>
              </w:rPr>
              <w:t>34,52</w:t>
            </w:r>
          </w:p>
        </w:tc>
        <w:tc>
          <w:tcPr>
            <w:tcW w:w="49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5015DB42" w14:textId="77777777" w:rsidR="00FD2CBB" w:rsidRPr="00C45514" w:rsidRDefault="00FD2CBB">
            <w:pPr>
              <w:spacing w:after="0" w:line="240" w:lineRule="auto"/>
              <w:jc w:val="right"/>
              <w:rPr>
                <w:rFonts w:eastAsia="Times New Roman" w:cs="Calibri"/>
                <w:color w:val="000000"/>
                <w:sz w:val="16"/>
                <w:szCs w:val="16"/>
              </w:rPr>
            </w:pPr>
            <w:r w:rsidRPr="00C45514">
              <w:rPr>
                <w:rFonts w:eastAsia="Times New Roman" w:cs="Calibri"/>
                <w:color w:val="000000"/>
                <w:sz w:val="16"/>
                <w:szCs w:val="16"/>
              </w:rPr>
              <w:t>30,39</w:t>
            </w:r>
          </w:p>
        </w:tc>
      </w:tr>
      <w:tr w:rsidR="00FD2CBB" w:rsidRPr="00C45514" w14:paraId="2788AD20" w14:textId="77777777" w:rsidTr="006038E3">
        <w:trPr>
          <w:trHeight w:val="397"/>
        </w:trPr>
        <w:tc>
          <w:tcPr>
            <w:tcW w:w="847"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3D882640" w14:textId="77777777" w:rsidR="00FD2CBB" w:rsidRPr="00C45514" w:rsidRDefault="00FD2CBB">
            <w:pPr>
              <w:spacing w:after="0" w:line="240" w:lineRule="auto"/>
              <w:jc w:val="left"/>
              <w:rPr>
                <w:rFonts w:eastAsia="Times New Roman" w:cs="Calibri"/>
                <w:color w:val="000000"/>
                <w:sz w:val="16"/>
                <w:szCs w:val="16"/>
              </w:rPr>
            </w:pPr>
            <w:r w:rsidRPr="00C45514">
              <w:rPr>
                <w:rFonts w:eastAsia="Times New Roman" w:cs="Calibri"/>
                <w:color w:val="000000"/>
                <w:sz w:val="16"/>
                <w:szCs w:val="16"/>
              </w:rPr>
              <w:t>Lotto UR2</w:t>
            </w:r>
          </w:p>
        </w:tc>
        <w:tc>
          <w:tcPr>
            <w:tcW w:w="55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2B303CB1" w14:textId="77777777" w:rsidR="00FD2CBB" w:rsidRPr="00C45514" w:rsidRDefault="00FD2CBB">
            <w:pPr>
              <w:spacing w:after="0" w:line="240" w:lineRule="auto"/>
              <w:jc w:val="right"/>
              <w:rPr>
                <w:rFonts w:eastAsia="Times New Roman" w:cs="Calibri"/>
                <w:color w:val="000000"/>
                <w:sz w:val="16"/>
                <w:szCs w:val="16"/>
              </w:rPr>
            </w:pPr>
            <w:r w:rsidRPr="00C45514">
              <w:rPr>
                <w:rFonts w:eastAsia="Times New Roman" w:cs="Calibri"/>
                <w:color w:val="000000"/>
                <w:sz w:val="16"/>
                <w:szCs w:val="16"/>
              </w:rPr>
              <w:t>4.712.510</w:t>
            </w:r>
          </w:p>
        </w:tc>
        <w:tc>
          <w:tcPr>
            <w:tcW w:w="467"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74952B2A" w14:textId="77777777" w:rsidR="00FD2CBB" w:rsidRPr="00C45514" w:rsidRDefault="00FD2CBB">
            <w:pPr>
              <w:spacing w:after="0" w:line="240" w:lineRule="auto"/>
              <w:jc w:val="right"/>
              <w:rPr>
                <w:rFonts w:eastAsia="Times New Roman" w:cs="Calibri"/>
                <w:color w:val="000000"/>
                <w:sz w:val="16"/>
                <w:szCs w:val="16"/>
              </w:rPr>
            </w:pPr>
            <w:r w:rsidRPr="00C45514">
              <w:rPr>
                <w:rFonts w:eastAsia="Times New Roman" w:cs="Calibri"/>
                <w:color w:val="000000"/>
                <w:sz w:val="16"/>
                <w:szCs w:val="16"/>
              </w:rPr>
              <w:t xml:space="preserve">3,24 € </w:t>
            </w:r>
          </w:p>
        </w:tc>
        <w:tc>
          <w:tcPr>
            <w:tcW w:w="65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19A5D46F" w14:textId="77777777" w:rsidR="00FD2CBB" w:rsidRPr="00C45514" w:rsidRDefault="00FD2CBB">
            <w:pPr>
              <w:spacing w:after="0" w:line="240" w:lineRule="auto"/>
              <w:jc w:val="right"/>
              <w:rPr>
                <w:rFonts w:eastAsia="Times New Roman" w:cs="Calibri"/>
                <w:color w:val="000000"/>
                <w:sz w:val="16"/>
                <w:szCs w:val="16"/>
              </w:rPr>
            </w:pPr>
            <w:r w:rsidRPr="00C45514">
              <w:rPr>
                <w:rFonts w:eastAsia="Times New Roman" w:cs="Calibri"/>
                <w:color w:val="000000"/>
                <w:sz w:val="16"/>
                <w:szCs w:val="16"/>
              </w:rPr>
              <w:t xml:space="preserve">15.245.912,51 € </w:t>
            </w:r>
          </w:p>
        </w:tc>
        <w:tc>
          <w:tcPr>
            <w:tcW w:w="65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09D368A4" w14:textId="77777777" w:rsidR="00FD2CBB" w:rsidRPr="00C45514" w:rsidRDefault="00FD2CBB">
            <w:pPr>
              <w:spacing w:after="0" w:line="240" w:lineRule="auto"/>
              <w:jc w:val="right"/>
              <w:rPr>
                <w:rFonts w:eastAsia="Times New Roman" w:cs="Calibri"/>
                <w:color w:val="000000"/>
                <w:sz w:val="16"/>
                <w:szCs w:val="16"/>
              </w:rPr>
            </w:pPr>
            <w:r w:rsidRPr="00C45514">
              <w:rPr>
                <w:rFonts w:eastAsia="Times New Roman" w:cs="Calibri"/>
                <w:color w:val="000000"/>
                <w:sz w:val="16"/>
                <w:szCs w:val="16"/>
              </w:rPr>
              <w:t xml:space="preserve">9.909.843,13 € </w:t>
            </w:r>
          </w:p>
        </w:tc>
        <w:tc>
          <w:tcPr>
            <w:tcW w:w="66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0E62058B" w14:textId="77777777" w:rsidR="00FD2CBB" w:rsidRPr="00C45514" w:rsidRDefault="00FD2CBB">
            <w:pPr>
              <w:spacing w:after="0" w:line="240" w:lineRule="auto"/>
              <w:jc w:val="right"/>
              <w:rPr>
                <w:rFonts w:eastAsia="Times New Roman" w:cs="Calibri"/>
                <w:color w:val="000000"/>
                <w:sz w:val="16"/>
                <w:szCs w:val="16"/>
              </w:rPr>
            </w:pPr>
            <w:r w:rsidRPr="00C45514">
              <w:rPr>
                <w:rFonts w:eastAsia="Times New Roman" w:cs="Calibri"/>
                <w:color w:val="000000"/>
                <w:sz w:val="16"/>
                <w:szCs w:val="16"/>
              </w:rPr>
              <w:t xml:space="preserve">5.336.069,38 € </w:t>
            </w:r>
          </w:p>
        </w:tc>
        <w:tc>
          <w:tcPr>
            <w:tcW w:w="65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617B4E2E" w14:textId="77777777" w:rsidR="00FD2CBB" w:rsidRPr="00C45514" w:rsidRDefault="00FD2CBB">
            <w:pPr>
              <w:spacing w:after="0" w:line="240" w:lineRule="auto"/>
              <w:jc w:val="right"/>
              <w:rPr>
                <w:rFonts w:eastAsia="Times New Roman" w:cs="Calibri"/>
                <w:color w:val="000000"/>
                <w:sz w:val="16"/>
                <w:szCs w:val="16"/>
              </w:rPr>
            </w:pPr>
            <w:r w:rsidRPr="00C45514">
              <w:rPr>
                <w:rFonts w:eastAsia="Times New Roman" w:cs="Calibri"/>
                <w:color w:val="000000"/>
                <w:sz w:val="16"/>
                <w:szCs w:val="16"/>
              </w:rPr>
              <w:t>32,09</w:t>
            </w:r>
          </w:p>
        </w:tc>
        <w:tc>
          <w:tcPr>
            <w:tcW w:w="49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52732CC0" w14:textId="77777777" w:rsidR="00FD2CBB" w:rsidRPr="00C45514" w:rsidRDefault="00FD2CBB">
            <w:pPr>
              <w:spacing w:after="0" w:line="240" w:lineRule="auto"/>
              <w:jc w:val="right"/>
              <w:rPr>
                <w:rFonts w:eastAsia="Times New Roman" w:cs="Calibri"/>
                <w:color w:val="000000"/>
                <w:sz w:val="16"/>
                <w:szCs w:val="16"/>
              </w:rPr>
            </w:pPr>
            <w:r w:rsidRPr="00C45514">
              <w:rPr>
                <w:rFonts w:eastAsia="Times New Roman" w:cs="Calibri"/>
                <w:color w:val="000000"/>
                <w:sz w:val="16"/>
                <w:szCs w:val="16"/>
              </w:rPr>
              <w:t>27,67</w:t>
            </w:r>
          </w:p>
        </w:tc>
      </w:tr>
      <w:tr w:rsidR="00FD2CBB" w:rsidRPr="00C45514" w14:paraId="5ED9DCA7" w14:textId="77777777" w:rsidTr="006038E3">
        <w:trPr>
          <w:trHeight w:val="397"/>
        </w:trPr>
        <w:tc>
          <w:tcPr>
            <w:tcW w:w="847"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41666344" w14:textId="77777777" w:rsidR="00FD2CBB" w:rsidRPr="00C45514" w:rsidRDefault="00FD2CBB">
            <w:pPr>
              <w:spacing w:after="0" w:line="240" w:lineRule="auto"/>
              <w:jc w:val="left"/>
              <w:rPr>
                <w:rFonts w:eastAsia="Times New Roman" w:cs="Calibri"/>
                <w:color w:val="000000"/>
                <w:sz w:val="16"/>
                <w:szCs w:val="16"/>
              </w:rPr>
            </w:pPr>
            <w:r w:rsidRPr="00C45514">
              <w:rPr>
                <w:rFonts w:eastAsia="Times New Roman" w:cs="Calibri"/>
                <w:color w:val="000000"/>
                <w:sz w:val="16"/>
                <w:szCs w:val="16"/>
              </w:rPr>
              <w:t>Lotto UR3</w:t>
            </w:r>
          </w:p>
        </w:tc>
        <w:tc>
          <w:tcPr>
            <w:tcW w:w="55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0FFAFBDA" w14:textId="77777777" w:rsidR="00FD2CBB" w:rsidRPr="00C45514" w:rsidRDefault="00FD2CBB">
            <w:pPr>
              <w:spacing w:after="0" w:line="240" w:lineRule="auto"/>
              <w:jc w:val="right"/>
              <w:rPr>
                <w:rFonts w:eastAsia="Times New Roman" w:cs="Calibri"/>
                <w:color w:val="000000"/>
                <w:sz w:val="16"/>
                <w:szCs w:val="16"/>
              </w:rPr>
            </w:pPr>
            <w:r w:rsidRPr="00C45514">
              <w:rPr>
                <w:rFonts w:eastAsia="Times New Roman" w:cs="Calibri"/>
                <w:color w:val="000000"/>
                <w:sz w:val="16"/>
                <w:szCs w:val="16"/>
              </w:rPr>
              <w:t>4.401.330</w:t>
            </w:r>
          </w:p>
        </w:tc>
        <w:tc>
          <w:tcPr>
            <w:tcW w:w="467" w:type="pct"/>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2A9C8D00" w14:textId="77777777" w:rsidR="00FD2CBB" w:rsidRPr="00C45514" w:rsidRDefault="00FD2CBB">
            <w:pPr>
              <w:spacing w:after="0" w:line="240" w:lineRule="auto"/>
              <w:jc w:val="right"/>
              <w:rPr>
                <w:rFonts w:eastAsia="Times New Roman" w:cs="Calibri"/>
                <w:color w:val="000000"/>
                <w:sz w:val="16"/>
                <w:szCs w:val="16"/>
              </w:rPr>
            </w:pPr>
            <w:r w:rsidRPr="00C45514">
              <w:rPr>
                <w:rFonts w:eastAsia="Times New Roman" w:cs="Calibri"/>
                <w:color w:val="000000"/>
                <w:sz w:val="16"/>
                <w:szCs w:val="16"/>
              </w:rPr>
              <w:t xml:space="preserve">3,06 € </w:t>
            </w:r>
          </w:p>
        </w:tc>
        <w:tc>
          <w:tcPr>
            <w:tcW w:w="65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52D9F252" w14:textId="77777777" w:rsidR="00FD2CBB" w:rsidRPr="00C45514" w:rsidRDefault="00FD2CBB">
            <w:pPr>
              <w:spacing w:after="0" w:line="240" w:lineRule="auto"/>
              <w:jc w:val="right"/>
              <w:rPr>
                <w:rFonts w:eastAsia="Times New Roman" w:cs="Calibri"/>
                <w:color w:val="000000"/>
                <w:sz w:val="16"/>
                <w:szCs w:val="16"/>
              </w:rPr>
            </w:pPr>
            <w:r w:rsidRPr="00C45514">
              <w:rPr>
                <w:rFonts w:eastAsia="Times New Roman" w:cs="Calibri"/>
                <w:color w:val="000000"/>
                <w:sz w:val="16"/>
                <w:szCs w:val="16"/>
              </w:rPr>
              <w:t xml:space="preserve">13.475.408,66 € </w:t>
            </w:r>
          </w:p>
        </w:tc>
        <w:tc>
          <w:tcPr>
            <w:tcW w:w="65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0E320BE8" w14:textId="77777777" w:rsidR="00FD2CBB" w:rsidRPr="00C45514" w:rsidRDefault="00FD2CBB">
            <w:pPr>
              <w:spacing w:after="0" w:line="240" w:lineRule="auto"/>
              <w:jc w:val="right"/>
              <w:rPr>
                <w:rFonts w:eastAsia="Times New Roman" w:cs="Calibri"/>
                <w:color w:val="000000"/>
                <w:sz w:val="16"/>
                <w:szCs w:val="16"/>
              </w:rPr>
            </w:pPr>
            <w:r w:rsidRPr="00C45514">
              <w:rPr>
                <w:rFonts w:eastAsia="Times New Roman" w:cs="Calibri"/>
                <w:color w:val="000000"/>
                <w:sz w:val="16"/>
                <w:szCs w:val="16"/>
              </w:rPr>
              <w:t xml:space="preserve">8.759.015,63 € </w:t>
            </w:r>
          </w:p>
        </w:tc>
        <w:tc>
          <w:tcPr>
            <w:tcW w:w="66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30FF8E23" w14:textId="77777777" w:rsidR="00FD2CBB" w:rsidRPr="00C45514" w:rsidRDefault="00FD2CBB">
            <w:pPr>
              <w:spacing w:after="0" w:line="240" w:lineRule="auto"/>
              <w:jc w:val="right"/>
              <w:rPr>
                <w:rFonts w:eastAsia="Times New Roman" w:cs="Calibri"/>
                <w:color w:val="000000"/>
                <w:sz w:val="16"/>
                <w:szCs w:val="16"/>
              </w:rPr>
            </w:pPr>
            <w:r w:rsidRPr="00C45514">
              <w:rPr>
                <w:rFonts w:eastAsia="Times New Roman" w:cs="Calibri"/>
                <w:color w:val="000000"/>
                <w:sz w:val="16"/>
                <w:szCs w:val="16"/>
              </w:rPr>
              <w:t xml:space="preserve">4.716.393,03 € </w:t>
            </w:r>
          </w:p>
        </w:tc>
        <w:tc>
          <w:tcPr>
            <w:tcW w:w="650" w:type="pct"/>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56FC99CC" w14:textId="77777777" w:rsidR="00FD2CBB" w:rsidRPr="00C45514" w:rsidRDefault="00FD2CBB">
            <w:pPr>
              <w:spacing w:after="0" w:line="240" w:lineRule="auto"/>
              <w:jc w:val="right"/>
              <w:rPr>
                <w:rFonts w:eastAsia="Times New Roman" w:cs="Calibri"/>
                <w:color w:val="000000"/>
                <w:sz w:val="16"/>
                <w:szCs w:val="16"/>
              </w:rPr>
            </w:pPr>
            <w:r w:rsidRPr="00C45514">
              <w:rPr>
                <w:rFonts w:eastAsia="Times New Roman" w:cs="Calibri"/>
                <w:color w:val="000000"/>
                <w:sz w:val="16"/>
                <w:szCs w:val="16"/>
              </w:rPr>
              <w:t>32,84</w:t>
            </w:r>
          </w:p>
        </w:tc>
        <w:tc>
          <w:tcPr>
            <w:tcW w:w="495" w:type="pct"/>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33A51315" w14:textId="77777777" w:rsidR="00FD2CBB" w:rsidRPr="00C45514" w:rsidRDefault="00FD2CBB">
            <w:pPr>
              <w:spacing w:after="0" w:line="240" w:lineRule="auto"/>
              <w:jc w:val="right"/>
              <w:rPr>
                <w:rFonts w:eastAsia="Times New Roman" w:cs="Calibri"/>
                <w:color w:val="000000"/>
                <w:sz w:val="16"/>
                <w:szCs w:val="16"/>
              </w:rPr>
            </w:pPr>
            <w:r w:rsidRPr="00C45514">
              <w:rPr>
                <w:rFonts w:eastAsia="Times New Roman" w:cs="Calibri"/>
                <w:color w:val="000000"/>
                <w:sz w:val="16"/>
                <w:szCs w:val="16"/>
              </w:rPr>
              <w:t>28,78</w:t>
            </w:r>
          </w:p>
        </w:tc>
      </w:tr>
      <w:tr w:rsidR="00FD2CBB" w:rsidRPr="00C45514" w14:paraId="7F097AFD" w14:textId="77777777" w:rsidTr="006038E3">
        <w:trPr>
          <w:trHeight w:val="397"/>
        </w:trPr>
        <w:tc>
          <w:tcPr>
            <w:tcW w:w="847"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66F2CC35" w14:textId="77777777" w:rsidR="00FD2CBB" w:rsidRPr="00C45514" w:rsidRDefault="00FD2CBB">
            <w:pPr>
              <w:spacing w:after="0" w:line="240" w:lineRule="auto"/>
              <w:jc w:val="left"/>
              <w:rPr>
                <w:rFonts w:eastAsia="Times New Roman" w:cs="Calibri"/>
                <w:color w:val="000000"/>
                <w:sz w:val="16"/>
                <w:szCs w:val="16"/>
              </w:rPr>
            </w:pPr>
            <w:r w:rsidRPr="00C45514">
              <w:rPr>
                <w:rFonts w:eastAsia="Times New Roman" w:cs="Calibri"/>
                <w:color w:val="000000"/>
                <w:sz w:val="16"/>
                <w:szCs w:val="16"/>
              </w:rPr>
              <w:t>Sublotto UR 3 - ADD</w:t>
            </w:r>
          </w:p>
        </w:tc>
        <w:tc>
          <w:tcPr>
            <w:tcW w:w="55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0B90E96B" w14:textId="77777777" w:rsidR="00FD2CBB" w:rsidRPr="00C45514" w:rsidRDefault="00FD2CBB">
            <w:pPr>
              <w:spacing w:after="0" w:line="240" w:lineRule="auto"/>
              <w:jc w:val="right"/>
              <w:rPr>
                <w:rFonts w:eastAsia="Times New Roman" w:cs="Calibri"/>
                <w:color w:val="000000"/>
                <w:sz w:val="16"/>
                <w:szCs w:val="16"/>
              </w:rPr>
            </w:pPr>
            <w:r w:rsidRPr="00C45514">
              <w:rPr>
                <w:rFonts w:eastAsia="Times New Roman" w:cs="Calibri"/>
                <w:color w:val="000000"/>
                <w:sz w:val="16"/>
                <w:szCs w:val="16"/>
              </w:rPr>
              <w:t>100.970</w:t>
            </w:r>
          </w:p>
        </w:tc>
        <w:tc>
          <w:tcPr>
            <w:tcW w:w="467" w:type="pct"/>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51577161" w14:textId="77777777" w:rsidR="00FD2CBB" w:rsidRPr="00C45514" w:rsidRDefault="00FD2CBB">
            <w:pPr>
              <w:spacing w:after="0" w:line="240" w:lineRule="auto"/>
              <w:jc w:val="right"/>
              <w:rPr>
                <w:rFonts w:eastAsia="Times New Roman" w:cs="Calibri"/>
                <w:color w:val="000000"/>
                <w:sz w:val="16"/>
                <w:szCs w:val="16"/>
              </w:rPr>
            </w:pPr>
          </w:p>
        </w:tc>
        <w:tc>
          <w:tcPr>
            <w:tcW w:w="65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22A58955" w14:textId="77777777" w:rsidR="00FD2CBB" w:rsidRPr="00C45514" w:rsidRDefault="00FD2CBB">
            <w:pPr>
              <w:spacing w:after="0" w:line="240" w:lineRule="auto"/>
              <w:jc w:val="right"/>
              <w:rPr>
                <w:rFonts w:eastAsia="Times New Roman" w:cs="Calibri"/>
                <w:color w:val="000000"/>
                <w:sz w:val="16"/>
                <w:szCs w:val="16"/>
              </w:rPr>
            </w:pPr>
            <w:r w:rsidRPr="00C45514">
              <w:rPr>
                <w:rFonts w:eastAsia="Times New Roman" w:cs="Calibri"/>
                <w:color w:val="000000"/>
                <w:sz w:val="16"/>
                <w:szCs w:val="16"/>
              </w:rPr>
              <w:t xml:space="preserve">309.136,56 € </w:t>
            </w:r>
          </w:p>
        </w:tc>
        <w:tc>
          <w:tcPr>
            <w:tcW w:w="65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4392355B" w14:textId="77777777" w:rsidR="00FD2CBB" w:rsidRPr="00C45514" w:rsidRDefault="00FD2CBB">
            <w:pPr>
              <w:spacing w:after="0" w:line="240" w:lineRule="auto"/>
              <w:jc w:val="right"/>
              <w:rPr>
                <w:rFonts w:eastAsia="Times New Roman" w:cs="Calibri"/>
                <w:color w:val="000000"/>
                <w:sz w:val="16"/>
                <w:szCs w:val="16"/>
              </w:rPr>
            </w:pPr>
            <w:r w:rsidRPr="00C45514">
              <w:rPr>
                <w:rFonts w:eastAsia="Times New Roman" w:cs="Calibri"/>
                <w:color w:val="000000"/>
                <w:sz w:val="16"/>
                <w:szCs w:val="16"/>
              </w:rPr>
              <w:t xml:space="preserve">200.938,76 € </w:t>
            </w:r>
          </w:p>
        </w:tc>
        <w:tc>
          <w:tcPr>
            <w:tcW w:w="66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5B15B5BB" w14:textId="77777777" w:rsidR="00FD2CBB" w:rsidRPr="00C45514" w:rsidRDefault="00FD2CBB">
            <w:pPr>
              <w:spacing w:after="0" w:line="240" w:lineRule="auto"/>
              <w:jc w:val="right"/>
              <w:rPr>
                <w:rFonts w:eastAsia="Times New Roman" w:cs="Calibri"/>
                <w:color w:val="000000"/>
                <w:sz w:val="16"/>
                <w:szCs w:val="16"/>
              </w:rPr>
            </w:pPr>
            <w:r w:rsidRPr="00C45514">
              <w:rPr>
                <w:rFonts w:eastAsia="Times New Roman" w:cs="Calibri"/>
                <w:color w:val="000000"/>
                <w:sz w:val="16"/>
                <w:szCs w:val="16"/>
              </w:rPr>
              <w:t xml:space="preserve">108.197,80 € </w:t>
            </w:r>
          </w:p>
        </w:tc>
        <w:tc>
          <w:tcPr>
            <w:tcW w:w="650" w:type="pct"/>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6AE9A052" w14:textId="77777777" w:rsidR="00FD2CBB" w:rsidRPr="00C45514" w:rsidRDefault="00FD2CBB">
            <w:pPr>
              <w:spacing w:after="0" w:line="240" w:lineRule="auto"/>
              <w:jc w:val="right"/>
              <w:rPr>
                <w:rFonts w:eastAsia="Times New Roman" w:cs="Calibri"/>
                <w:color w:val="000000"/>
                <w:sz w:val="16"/>
                <w:szCs w:val="16"/>
              </w:rPr>
            </w:pPr>
          </w:p>
        </w:tc>
        <w:tc>
          <w:tcPr>
            <w:tcW w:w="495" w:type="pct"/>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1FB85E61" w14:textId="77777777" w:rsidR="00FD2CBB" w:rsidRPr="00C45514" w:rsidRDefault="00FD2CBB">
            <w:pPr>
              <w:spacing w:after="0" w:line="240" w:lineRule="auto"/>
              <w:jc w:val="right"/>
              <w:rPr>
                <w:rFonts w:eastAsia="Times New Roman" w:cs="Calibri"/>
                <w:color w:val="000000"/>
                <w:sz w:val="16"/>
                <w:szCs w:val="16"/>
              </w:rPr>
            </w:pPr>
          </w:p>
        </w:tc>
      </w:tr>
      <w:tr w:rsidR="00FD2CBB" w:rsidRPr="00C45514" w14:paraId="46BB53E9" w14:textId="77777777" w:rsidTr="006038E3">
        <w:trPr>
          <w:trHeight w:val="397"/>
        </w:trPr>
        <w:tc>
          <w:tcPr>
            <w:tcW w:w="847"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29C02E41" w14:textId="77777777" w:rsidR="00FD2CBB" w:rsidRPr="00C45514" w:rsidRDefault="00FD2CBB">
            <w:pPr>
              <w:spacing w:after="0" w:line="240" w:lineRule="auto"/>
              <w:jc w:val="left"/>
              <w:rPr>
                <w:rFonts w:eastAsia="Times New Roman" w:cs="Calibri"/>
                <w:color w:val="000000"/>
                <w:sz w:val="16"/>
                <w:szCs w:val="16"/>
              </w:rPr>
            </w:pPr>
            <w:r w:rsidRPr="00C45514">
              <w:rPr>
                <w:rFonts w:eastAsia="Times New Roman" w:cs="Calibri"/>
                <w:color w:val="000000"/>
                <w:sz w:val="16"/>
                <w:szCs w:val="16"/>
              </w:rPr>
              <w:t>Lotto UR4</w:t>
            </w:r>
          </w:p>
        </w:tc>
        <w:tc>
          <w:tcPr>
            <w:tcW w:w="55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4CBB2E48" w14:textId="77777777" w:rsidR="00FD2CBB" w:rsidRPr="00C45514" w:rsidRDefault="00FD2CBB">
            <w:pPr>
              <w:spacing w:after="0" w:line="240" w:lineRule="auto"/>
              <w:jc w:val="right"/>
              <w:rPr>
                <w:rFonts w:eastAsia="Times New Roman" w:cs="Calibri"/>
                <w:color w:val="000000"/>
                <w:sz w:val="16"/>
                <w:szCs w:val="16"/>
              </w:rPr>
            </w:pPr>
            <w:r w:rsidRPr="00C45514">
              <w:rPr>
                <w:rFonts w:eastAsia="Times New Roman" w:cs="Calibri"/>
                <w:color w:val="000000"/>
                <w:sz w:val="16"/>
                <w:szCs w:val="16"/>
              </w:rPr>
              <w:t>3.868.489</w:t>
            </w:r>
          </w:p>
        </w:tc>
        <w:tc>
          <w:tcPr>
            <w:tcW w:w="467"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43EB629D" w14:textId="77777777" w:rsidR="00FD2CBB" w:rsidRPr="00C45514" w:rsidRDefault="00FD2CBB">
            <w:pPr>
              <w:spacing w:after="0" w:line="240" w:lineRule="auto"/>
              <w:jc w:val="right"/>
              <w:rPr>
                <w:rFonts w:eastAsia="Times New Roman" w:cs="Calibri"/>
                <w:color w:val="000000"/>
                <w:sz w:val="16"/>
                <w:szCs w:val="16"/>
              </w:rPr>
            </w:pPr>
            <w:r w:rsidRPr="00C45514">
              <w:rPr>
                <w:rFonts w:eastAsia="Times New Roman" w:cs="Calibri"/>
                <w:color w:val="000000"/>
                <w:sz w:val="16"/>
                <w:szCs w:val="16"/>
              </w:rPr>
              <w:t xml:space="preserve">3,40 € </w:t>
            </w:r>
          </w:p>
        </w:tc>
        <w:tc>
          <w:tcPr>
            <w:tcW w:w="65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3832EE70" w14:textId="77777777" w:rsidR="00FD2CBB" w:rsidRPr="00C45514" w:rsidRDefault="00FD2CBB">
            <w:pPr>
              <w:spacing w:after="0" w:line="240" w:lineRule="auto"/>
              <w:jc w:val="right"/>
              <w:rPr>
                <w:rFonts w:eastAsia="Times New Roman" w:cs="Calibri"/>
                <w:color w:val="000000"/>
                <w:sz w:val="16"/>
                <w:szCs w:val="16"/>
              </w:rPr>
            </w:pPr>
            <w:r w:rsidRPr="00C45514">
              <w:rPr>
                <w:rFonts w:eastAsia="Times New Roman" w:cs="Calibri"/>
                <w:color w:val="000000"/>
                <w:sz w:val="16"/>
                <w:szCs w:val="16"/>
              </w:rPr>
              <w:t xml:space="preserve">13.160.636,30 € </w:t>
            </w:r>
          </w:p>
        </w:tc>
        <w:tc>
          <w:tcPr>
            <w:tcW w:w="65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14F20A85" w14:textId="77777777" w:rsidR="00FD2CBB" w:rsidRPr="00C45514" w:rsidRDefault="00FD2CBB">
            <w:pPr>
              <w:spacing w:after="0" w:line="240" w:lineRule="auto"/>
              <w:jc w:val="right"/>
              <w:rPr>
                <w:rFonts w:eastAsia="Times New Roman" w:cs="Calibri"/>
                <w:color w:val="000000"/>
                <w:sz w:val="16"/>
                <w:szCs w:val="16"/>
              </w:rPr>
            </w:pPr>
            <w:r w:rsidRPr="00C45514">
              <w:rPr>
                <w:rFonts w:eastAsia="Times New Roman" w:cs="Calibri"/>
                <w:color w:val="000000"/>
                <w:sz w:val="16"/>
                <w:szCs w:val="16"/>
              </w:rPr>
              <w:t>8.554.413,60 €</w:t>
            </w:r>
          </w:p>
        </w:tc>
        <w:tc>
          <w:tcPr>
            <w:tcW w:w="66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248A3CE7" w14:textId="77777777" w:rsidR="00FD2CBB" w:rsidRPr="00C45514" w:rsidRDefault="00FD2CBB">
            <w:pPr>
              <w:spacing w:after="0" w:line="240" w:lineRule="auto"/>
              <w:jc w:val="right"/>
              <w:rPr>
                <w:rFonts w:eastAsia="Times New Roman" w:cs="Calibri"/>
                <w:color w:val="000000"/>
                <w:sz w:val="16"/>
                <w:szCs w:val="16"/>
              </w:rPr>
            </w:pPr>
            <w:r w:rsidRPr="00C45514">
              <w:rPr>
                <w:rFonts w:eastAsia="Times New Roman" w:cs="Calibri"/>
                <w:color w:val="000000"/>
                <w:sz w:val="16"/>
                <w:szCs w:val="16"/>
              </w:rPr>
              <w:t xml:space="preserve">4.606.222,71 € </w:t>
            </w:r>
          </w:p>
        </w:tc>
        <w:tc>
          <w:tcPr>
            <w:tcW w:w="65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664F2050" w14:textId="77777777" w:rsidR="00FD2CBB" w:rsidRPr="00C45514" w:rsidRDefault="00FD2CBB">
            <w:pPr>
              <w:spacing w:after="0" w:line="240" w:lineRule="auto"/>
              <w:jc w:val="right"/>
              <w:rPr>
                <w:rFonts w:eastAsia="Times New Roman" w:cs="Calibri"/>
                <w:color w:val="000000"/>
                <w:sz w:val="16"/>
                <w:szCs w:val="16"/>
              </w:rPr>
            </w:pPr>
            <w:r w:rsidRPr="00C45514">
              <w:rPr>
                <w:rFonts w:eastAsia="Times New Roman" w:cs="Calibri"/>
                <w:color w:val="000000"/>
                <w:sz w:val="16"/>
                <w:szCs w:val="16"/>
              </w:rPr>
              <w:t>30,33</w:t>
            </w:r>
          </w:p>
        </w:tc>
        <w:tc>
          <w:tcPr>
            <w:tcW w:w="49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04979853" w14:textId="77777777" w:rsidR="00FD2CBB" w:rsidRPr="00C45514" w:rsidRDefault="00FD2CBB">
            <w:pPr>
              <w:spacing w:after="0" w:line="240" w:lineRule="auto"/>
              <w:jc w:val="right"/>
              <w:rPr>
                <w:rFonts w:eastAsia="Times New Roman" w:cs="Calibri"/>
                <w:color w:val="000000"/>
                <w:sz w:val="16"/>
                <w:szCs w:val="16"/>
              </w:rPr>
            </w:pPr>
            <w:r w:rsidRPr="00C45514">
              <w:rPr>
                <w:rFonts w:eastAsia="Times New Roman" w:cs="Calibri"/>
                <w:color w:val="000000"/>
                <w:sz w:val="16"/>
                <w:szCs w:val="16"/>
              </w:rPr>
              <w:t>26,28</w:t>
            </w:r>
          </w:p>
        </w:tc>
      </w:tr>
      <w:tr w:rsidR="00FD2CBB" w:rsidRPr="00C45514" w14:paraId="7A520AE2" w14:textId="77777777" w:rsidTr="006038E3">
        <w:trPr>
          <w:trHeight w:val="397"/>
        </w:trPr>
        <w:tc>
          <w:tcPr>
            <w:tcW w:w="847"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1B8EEE7C" w14:textId="77777777" w:rsidR="00FD2CBB" w:rsidRPr="00B97F6C" w:rsidRDefault="00FD2CBB">
            <w:pPr>
              <w:spacing w:after="0" w:line="240" w:lineRule="auto"/>
              <w:jc w:val="left"/>
              <w:rPr>
                <w:rFonts w:eastAsia="Times New Roman" w:cs="Calibri"/>
                <w:color w:val="000000"/>
                <w:sz w:val="16"/>
                <w:szCs w:val="16"/>
              </w:rPr>
            </w:pPr>
            <w:r w:rsidRPr="00B97F6C">
              <w:rPr>
                <w:rFonts w:eastAsia="Times New Roman" w:cs="Calibri"/>
                <w:color w:val="000000"/>
                <w:sz w:val="16"/>
                <w:szCs w:val="16"/>
              </w:rPr>
              <w:t>Lotto UR 5</w:t>
            </w:r>
          </w:p>
          <w:p w14:paraId="555FC08B" w14:textId="77777777" w:rsidR="00FD2CBB" w:rsidRPr="00C45514" w:rsidRDefault="00FD2CBB">
            <w:pPr>
              <w:spacing w:after="0" w:line="240" w:lineRule="auto"/>
              <w:jc w:val="left"/>
              <w:rPr>
                <w:rFonts w:eastAsia="Times New Roman" w:cs="Calibri"/>
                <w:color w:val="000000"/>
                <w:sz w:val="16"/>
                <w:szCs w:val="16"/>
              </w:rPr>
            </w:pPr>
            <w:r w:rsidRPr="00B97F6C">
              <w:rPr>
                <w:rFonts w:eastAsia="Times New Roman" w:cs="Calibri"/>
                <w:i/>
                <w:color w:val="000000"/>
                <w:sz w:val="16"/>
                <w:szCs w:val="16"/>
              </w:rPr>
              <w:t>in-house</w:t>
            </w:r>
          </w:p>
        </w:tc>
        <w:tc>
          <w:tcPr>
            <w:tcW w:w="55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556A88DC" w14:textId="77777777" w:rsidR="00FD2CBB" w:rsidRPr="00C45514" w:rsidRDefault="00FD2CBB">
            <w:pPr>
              <w:spacing w:after="0" w:line="240" w:lineRule="auto"/>
              <w:jc w:val="right"/>
              <w:rPr>
                <w:rFonts w:eastAsia="Times New Roman" w:cs="Calibri"/>
                <w:color w:val="000000"/>
                <w:sz w:val="16"/>
                <w:szCs w:val="16"/>
              </w:rPr>
            </w:pPr>
            <w:r w:rsidRPr="00C45514">
              <w:rPr>
                <w:rFonts w:eastAsia="Times New Roman" w:cs="Calibri"/>
                <w:color w:val="000000"/>
                <w:sz w:val="16"/>
                <w:szCs w:val="16"/>
              </w:rPr>
              <w:t>4.187.640</w:t>
            </w:r>
          </w:p>
        </w:tc>
        <w:tc>
          <w:tcPr>
            <w:tcW w:w="467"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73113D21" w14:textId="77777777" w:rsidR="00FD2CBB" w:rsidRPr="00C45514" w:rsidRDefault="00FD2CBB">
            <w:pPr>
              <w:spacing w:after="0" w:line="240" w:lineRule="auto"/>
              <w:jc w:val="right"/>
              <w:rPr>
                <w:rFonts w:eastAsia="Times New Roman" w:cs="Calibri"/>
                <w:color w:val="000000"/>
                <w:sz w:val="16"/>
                <w:szCs w:val="16"/>
              </w:rPr>
            </w:pPr>
            <w:r w:rsidRPr="00C45514">
              <w:rPr>
                <w:rFonts w:eastAsia="Times New Roman" w:cs="Calibri"/>
                <w:color w:val="000000"/>
                <w:sz w:val="16"/>
                <w:szCs w:val="16"/>
              </w:rPr>
              <w:t xml:space="preserve">4,03 € </w:t>
            </w:r>
          </w:p>
        </w:tc>
        <w:tc>
          <w:tcPr>
            <w:tcW w:w="65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776319B0" w14:textId="77777777" w:rsidR="00FD2CBB" w:rsidRPr="00C45514" w:rsidRDefault="00FD2CBB">
            <w:pPr>
              <w:spacing w:after="0" w:line="240" w:lineRule="auto"/>
              <w:jc w:val="right"/>
              <w:rPr>
                <w:rFonts w:eastAsia="Times New Roman" w:cs="Calibri"/>
                <w:color w:val="000000"/>
                <w:sz w:val="16"/>
                <w:szCs w:val="16"/>
              </w:rPr>
            </w:pPr>
            <w:r w:rsidRPr="00C45514">
              <w:rPr>
                <w:rFonts w:eastAsia="Times New Roman" w:cs="Calibri"/>
                <w:color w:val="000000"/>
                <w:sz w:val="16"/>
                <w:szCs w:val="16"/>
              </w:rPr>
              <w:t xml:space="preserve">16.881.563,88 € </w:t>
            </w:r>
          </w:p>
        </w:tc>
        <w:tc>
          <w:tcPr>
            <w:tcW w:w="65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2FDD7B23" w14:textId="77777777" w:rsidR="00FD2CBB" w:rsidRPr="00C45514" w:rsidRDefault="00FD2CBB">
            <w:pPr>
              <w:spacing w:after="0" w:line="240" w:lineRule="auto"/>
              <w:jc w:val="right"/>
              <w:rPr>
                <w:rFonts w:eastAsia="Times New Roman" w:cs="Calibri"/>
                <w:color w:val="000000"/>
                <w:sz w:val="16"/>
                <w:szCs w:val="16"/>
              </w:rPr>
            </w:pPr>
            <w:r w:rsidRPr="00C45514">
              <w:rPr>
                <w:rFonts w:eastAsia="Times New Roman" w:cs="Calibri"/>
                <w:color w:val="000000"/>
                <w:sz w:val="16"/>
                <w:szCs w:val="16"/>
              </w:rPr>
              <w:t xml:space="preserve">10.973.016,52 € </w:t>
            </w:r>
          </w:p>
        </w:tc>
        <w:tc>
          <w:tcPr>
            <w:tcW w:w="66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5EC9AD7A" w14:textId="77777777" w:rsidR="00FD2CBB" w:rsidRPr="00C45514" w:rsidRDefault="00FD2CBB">
            <w:pPr>
              <w:spacing w:after="0" w:line="240" w:lineRule="auto"/>
              <w:jc w:val="right"/>
              <w:rPr>
                <w:rFonts w:eastAsia="Times New Roman" w:cs="Calibri"/>
                <w:color w:val="000000"/>
                <w:sz w:val="16"/>
                <w:szCs w:val="16"/>
              </w:rPr>
            </w:pPr>
            <w:r w:rsidRPr="00C45514">
              <w:rPr>
                <w:rFonts w:eastAsia="Times New Roman" w:cs="Calibri"/>
                <w:color w:val="000000"/>
                <w:sz w:val="16"/>
                <w:szCs w:val="16"/>
              </w:rPr>
              <w:t xml:space="preserve">5.908.547,36 € </w:t>
            </w:r>
          </w:p>
        </w:tc>
        <w:tc>
          <w:tcPr>
            <w:tcW w:w="65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7A111143" w14:textId="77777777" w:rsidR="00FD2CBB" w:rsidRPr="00C45514" w:rsidRDefault="00FD2CBB">
            <w:pPr>
              <w:spacing w:after="0" w:line="240" w:lineRule="auto"/>
              <w:jc w:val="right"/>
              <w:rPr>
                <w:rFonts w:eastAsia="Times New Roman" w:cs="Calibri"/>
                <w:color w:val="000000"/>
                <w:sz w:val="16"/>
                <w:szCs w:val="16"/>
              </w:rPr>
            </w:pPr>
            <w:r w:rsidRPr="00C45514">
              <w:rPr>
                <w:rFonts w:eastAsia="Times New Roman" w:cs="Calibri"/>
                <w:color w:val="000000"/>
                <w:sz w:val="16"/>
                <w:szCs w:val="16"/>
              </w:rPr>
              <w:t>21,73</w:t>
            </w:r>
          </w:p>
        </w:tc>
        <w:tc>
          <w:tcPr>
            <w:tcW w:w="49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7BD01F69" w14:textId="77777777" w:rsidR="00FD2CBB" w:rsidRPr="00C45514" w:rsidRDefault="00FD2CBB">
            <w:pPr>
              <w:spacing w:after="0" w:line="240" w:lineRule="auto"/>
              <w:jc w:val="right"/>
              <w:rPr>
                <w:rFonts w:eastAsia="Times New Roman" w:cs="Calibri"/>
                <w:color w:val="000000"/>
                <w:sz w:val="16"/>
                <w:szCs w:val="16"/>
              </w:rPr>
            </w:pPr>
            <w:r w:rsidRPr="00C45514">
              <w:rPr>
                <w:rFonts w:eastAsia="Times New Roman" w:cs="Calibri"/>
                <w:color w:val="000000"/>
                <w:sz w:val="16"/>
                <w:szCs w:val="16"/>
              </w:rPr>
              <w:t>19,19</w:t>
            </w:r>
          </w:p>
        </w:tc>
      </w:tr>
      <w:tr w:rsidR="00FD2CBB" w:rsidRPr="00C45514" w14:paraId="501E2686" w14:textId="77777777" w:rsidTr="006038E3">
        <w:trPr>
          <w:trHeight w:val="397"/>
        </w:trPr>
        <w:tc>
          <w:tcPr>
            <w:tcW w:w="847"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3878772A" w14:textId="77777777" w:rsidR="00FD2CBB" w:rsidRPr="00C45514" w:rsidRDefault="00FD2CBB">
            <w:pPr>
              <w:spacing w:after="0" w:line="240" w:lineRule="auto"/>
              <w:jc w:val="left"/>
              <w:rPr>
                <w:rFonts w:eastAsia="Times New Roman" w:cs="Calibri"/>
                <w:b/>
                <w:color w:val="000000"/>
                <w:sz w:val="16"/>
                <w:szCs w:val="16"/>
              </w:rPr>
            </w:pPr>
            <w:r w:rsidRPr="00C45514">
              <w:rPr>
                <w:rFonts w:eastAsia="Times New Roman" w:cs="Calibri"/>
                <w:b/>
                <w:color w:val="000000"/>
                <w:sz w:val="16"/>
                <w:szCs w:val="16"/>
              </w:rPr>
              <w:t>Totale</w:t>
            </w:r>
          </w:p>
        </w:tc>
        <w:tc>
          <w:tcPr>
            <w:tcW w:w="55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008051DD" w14:textId="77777777" w:rsidR="00FD2CBB" w:rsidRPr="00C45514" w:rsidRDefault="00FD2CBB">
            <w:pPr>
              <w:spacing w:after="0" w:line="240" w:lineRule="auto"/>
              <w:jc w:val="right"/>
              <w:rPr>
                <w:rFonts w:eastAsia="Times New Roman" w:cs="Calibri"/>
                <w:b/>
                <w:color w:val="000000"/>
                <w:sz w:val="16"/>
                <w:szCs w:val="16"/>
              </w:rPr>
            </w:pPr>
            <w:r w:rsidRPr="00C45514">
              <w:rPr>
                <w:rFonts w:eastAsia="Times New Roman" w:cs="Calibri"/>
                <w:b/>
                <w:color w:val="000000"/>
                <w:sz w:val="16"/>
                <w:szCs w:val="16"/>
              </w:rPr>
              <w:t>21.368.005</w:t>
            </w:r>
          </w:p>
        </w:tc>
        <w:tc>
          <w:tcPr>
            <w:tcW w:w="467" w:type="pct"/>
            <w:tcBorders>
              <w:top w:val="single" w:sz="4" w:space="0" w:color="BFBFBF" w:themeColor="background1" w:themeShade="BF"/>
              <w:left w:val="single" w:sz="4" w:space="0" w:color="BFBFBF" w:themeColor="background1" w:themeShade="BF"/>
              <w:right w:val="single" w:sz="4" w:space="0" w:color="BFBFBF" w:themeColor="background1" w:themeShade="BF"/>
            </w:tcBorders>
            <w:noWrap/>
            <w:vAlign w:val="center"/>
            <w:hideMark/>
          </w:tcPr>
          <w:p w14:paraId="55D14953" w14:textId="77777777" w:rsidR="00FD2CBB" w:rsidRPr="00C45514" w:rsidRDefault="00FD2CBB">
            <w:pPr>
              <w:spacing w:after="0" w:line="240" w:lineRule="auto"/>
              <w:jc w:val="right"/>
              <w:rPr>
                <w:rFonts w:eastAsia="Times New Roman" w:cs="Calibri"/>
                <w:b/>
                <w:color w:val="000000"/>
                <w:sz w:val="16"/>
                <w:szCs w:val="16"/>
              </w:rPr>
            </w:pPr>
          </w:p>
        </w:tc>
        <w:tc>
          <w:tcPr>
            <w:tcW w:w="65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58F6DE47" w14:textId="77777777" w:rsidR="00FD2CBB" w:rsidRPr="00C45514" w:rsidRDefault="00FD2CBB">
            <w:pPr>
              <w:spacing w:after="0" w:line="240" w:lineRule="auto"/>
              <w:jc w:val="right"/>
              <w:rPr>
                <w:rFonts w:eastAsia="Times New Roman" w:cs="Calibri"/>
                <w:b/>
                <w:color w:val="000000"/>
                <w:sz w:val="16"/>
                <w:szCs w:val="16"/>
              </w:rPr>
            </w:pPr>
            <w:r w:rsidRPr="00C45514">
              <w:rPr>
                <w:rFonts w:eastAsia="Times New Roman" w:cs="Calibri"/>
                <w:b/>
                <w:color w:val="000000"/>
                <w:sz w:val="16"/>
                <w:szCs w:val="16"/>
              </w:rPr>
              <w:t xml:space="preserve">71.131.689,70 € </w:t>
            </w:r>
          </w:p>
        </w:tc>
        <w:tc>
          <w:tcPr>
            <w:tcW w:w="65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11BA2908" w14:textId="77777777" w:rsidR="00FD2CBB" w:rsidRPr="00C45514" w:rsidRDefault="00FD2CBB">
            <w:pPr>
              <w:spacing w:after="0" w:line="240" w:lineRule="auto"/>
              <w:jc w:val="right"/>
              <w:rPr>
                <w:rFonts w:eastAsia="Times New Roman" w:cs="Calibri"/>
                <w:b/>
                <w:color w:val="000000"/>
                <w:sz w:val="16"/>
                <w:szCs w:val="16"/>
              </w:rPr>
            </w:pPr>
            <w:r w:rsidRPr="00C45514">
              <w:rPr>
                <w:rFonts w:eastAsia="Times New Roman" w:cs="Calibri"/>
                <w:b/>
                <w:color w:val="000000"/>
                <w:sz w:val="16"/>
                <w:szCs w:val="16"/>
              </w:rPr>
              <w:t xml:space="preserve">46.235.598,30 € </w:t>
            </w:r>
          </w:p>
        </w:tc>
        <w:tc>
          <w:tcPr>
            <w:tcW w:w="66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2DC4C637" w14:textId="77777777" w:rsidR="00FD2CBB" w:rsidRPr="00C45514" w:rsidRDefault="00FD2CBB">
            <w:pPr>
              <w:spacing w:after="0" w:line="240" w:lineRule="auto"/>
              <w:jc w:val="right"/>
              <w:rPr>
                <w:rFonts w:eastAsia="Times New Roman" w:cs="Calibri"/>
                <w:b/>
                <w:color w:val="000000"/>
                <w:sz w:val="16"/>
                <w:szCs w:val="16"/>
              </w:rPr>
            </w:pPr>
            <w:r w:rsidRPr="00C45514">
              <w:rPr>
                <w:rFonts w:eastAsia="Times New Roman" w:cs="Calibri"/>
                <w:b/>
                <w:color w:val="000000"/>
                <w:sz w:val="16"/>
                <w:szCs w:val="16"/>
              </w:rPr>
              <w:t xml:space="preserve">24.896.091,39 € </w:t>
            </w:r>
          </w:p>
        </w:tc>
        <w:tc>
          <w:tcPr>
            <w:tcW w:w="650" w:type="pct"/>
            <w:tcBorders>
              <w:top w:val="single" w:sz="4" w:space="0" w:color="BFBFBF" w:themeColor="background1" w:themeShade="BF"/>
              <w:left w:val="single" w:sz="4" w:space="0" w:color="BFBFBF" w:themeColor="background1" w:themeShade="BF"/>
              <w:right w:val="nil"/>
            </w:tcBorders>
            <w:noWrap/>
            <w:vAlign w:val="center"/>
            <w:hideMark/>
          </w:tcPr>
          <w:p w14:paraId="70F4E932" w14:textId="77777777" w:rsidR="00FD2CBB" w:rsidRPr="00C45514" w:rsidRDefault="00FD2CBB">
            <w:pPr>
              <w:spacing w:after="0" w:line="240" w:lineRule="auto"/>
              <w:jc w:val="right"/>
              <w:rPr>
                <w:rFonts w:eastAsia="Times New Roman" w:cs="Calibri"/>
                <w:b/>
                <w:color w:val="000000"/>
                <w:sz w:val="16"/>
                <w:szCs w:val="16"/>
              </w:rPr>
            </w:pPr>
          </w:p>
        </w:tc>
        <w:tc>
          <w:tcPr>
            <w:tcW w:w="495" w:type="pct"/>
            <w:tcBorders>
              <w:top w:val="single" w:sz="4" w:space="0" w:color="BFBFBF" w:themeColor="background1" w:themeShade="BF"/>
              <w:left w:val="nil"/>
              <w:right w:val="nil"/>
            </w:tcBorders>
            <w:noWrap/>
            <w:vAlign w:val="center"/>
            <w:hideMark/>
          </w:tcPr>
          <w:p w14:paraId="7EA30C5C" w14:textId="77777777" w:rsidR="00FD2CBB" w:rsidRPr="00C45514" w:rsidRDefault="00FD2CBB">
            <w:pPr>
              <w:spacing w:after="0" w:line="240" w:lineRule="auto"/>
              <w:jc w:val="right"/>
              <w:rPr>
                <w:rFonts w:eastAsia="Times New Roman" w:cs="Calibri"/>
                <w:sz w:val="16"/>
                <w:szCs w:val="16"/>
              </w:rPr>
            </w:pPr>
          </w:p>
        </w:tc>
      </w:tr>
      <w:tr w:rsidR="00FD2CBB" w:rsidRPr="00C45514" w14:paraId="57CD7893" w14:textId="77777777" w:rsidTr="006038E3">
        <w:trPr>
          <w:trHeight w:val="397"/>
        </w:trPr>
        <w:tc>
          <w:tcPr>
            <w:tcW w:w="847"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E3438"/>
            <w:noWrap/>
            <w:vAlign w:val="center"/>
          </w:tcPr>
          <w:p w14:paraId="2FB8BB52" w14:textId="77777777" w:rsidR="00FD2CBB" w:rsidRPr="00BA5BFC" w:rsidRDefault="00FD2CBB">
            <w:pPr>
              <w:spacing w:after="0" w:line="240" w:lineRule="auto"/>
              <w:jc w:val="left"/>
              <w:rPr>
                <w:rFonts w:eastAsia="Times New Roman" w:cs="Calibri"/>
                <w:b/>
                <w:color w:val="FFFFFF" w:themeColor="background1"/>
                <w:sz w:val="16"/>
                <w:szCs w:val="16"/>
              </w:rPr>
            </w:pPr>
            <w:r w:rsidRPr="00BA5BFC">
              <w:rPr>
                <w:rFonts w:eastAsia="Times New Roman" w:cs="Calibri"/>
                <w:b/>
                <w:color w:val="FFFFFF" w:themeColor="background1"/>
                <w:sz w:val="16"/>
                <w:szCs w:val="16"/>
              </w:rPr>
              <w:t>Valore unitario €/km</w:t>
            </w:r>
          </w:p>
        </w:tc>
        <w:tc>
          <w:tcPr>
            <w:tcW w:w="556" w:type="pct"/>
            <w:tcBorders>
              <w:top w:val="single" w:sz="4" w:space="0" w:color="BFBFBF" w:themeColor="background1" w:themeShade="BF"/>
              <w:left w:val="single" w:sz="4" w:space="0" w:color="BFBFBF" w:themeColor="background1" w:themeShade="BF"/>
            </w:tcBorders>
            <w:noWrap/>
            <w:vAlign w:val="center"/>
          </w:tcPr>
          <w:p w14:paraId="5CF70E0E" w14:textId="77777777" w:rsidR="00FD2CBB" w:rsidRPr="00BA5BFC" w:rsidRDefault="00FD2CBB">
            <w:pPr>
              <w:spacing w:after="0" w:line="240" w:lineRule="auto"/>
              <w:jc w:val="right"/>
              <w:rPr>
                <w:rFonts w:eastAsia="Times New Roman" w:cs="Calibri"/>
                <w:b/>
                <w:color w:val="FFFFFF" w:themeColor="background1"/>
                <w:sz w:val="16"/>
                <w:szCs w:val="16"/>
              </w:rPr>
            </w:pPr>
          </w:p>
        </w:tc>
        <w:tc>
          <w:tcPr>
            <w:tcW w:w="467" w:type="pct"/>
            <w:tcBorders>
              <w:bottom w:val="nil"/>
              <w:right w:val="single" w:sz="4" w:space="0" w:color="BFBFBF" w:themeColor="background1" w:themeShade="BF"/>
            </w:tcBorders>
            <w:noWrap/>
            <w:vAlign w:val="center"/>
          </w:tcPr>
          <w:p w14:paraId="0CE3240D" w14:textId="77777777" w:rsidR="00FD2CBB" w:rsidRPr="00BA5BFC" w:rsidRDefault="00FD2CBB">
            <w:pPr>
              <w:spacing w:after="0" w:line="240" w:lineRule="auto"/>
              <w:jc w:val="right"/>
              <w:rPr>
                <w:rFonts w:eastAsia="Times New Roman" w:cs="Calibri"/>
                <w:b/>
                <w:color w:val="FFFFFF" w:themeColor="background1"/>
                <w:sz w:val="16"/>
                <w:szCs w:val="16"/>
              </w:rPr>
            </w:pPr>
          </w:p>
        </w:tc>
        <w:tc>
          <w:tcPr>
            <w:tcW w:w="65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E3438"/>
            <w:noWrap/>
            <w:vAlign w:val="center"/>
          </w:tcPr>
          <w:p w14:paraId="00EACEF5" w14:textId="77777777" w:rsidR="00FD2CBB" w:rsidRPr="00BA5BFC" w:rsidRDefault="00FD2CBB">
            <w:pPr>
              <w:spacing w:after="0" w:line="240" w:lineRule="auto"/>
              <w:jc w:val="right"/>
              <w:rPr>
                <w:rFonts w:eastAsia="Times New Roman" w:cs="Calibri"/>
                <w:b/>
                <w:color w:val="FFFFFF" w:themeColor="background1"/>
                <w:sz w:val="16"/>
                <w:szCs w:val="16"/>
              </w:rPr>
            </w:pPr>
            <w:r w:rsidRPr="00BA5BFC">
              <w:rPr>
                <w:b/>
                <w:bCs/>
                <w:color w:val="FFFFFF" w:themeColor="background1"/>
                <w:sz w:val="16"/>
                <w:szCs w:val="16"/>
              </w:rPr>
              <w:t xml:space="preserve"> 3,33 € </w:t>
            </w:r>
          </w:p>
        </w:tc>
        <w:tc>
          <w:tcPr>
            <w:tcW w:w="65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E3438"/>
            <w:noWrap/>
            <w:vAlign w:val="center"/>
          </w:tcPr>
          <w:p w14:paraId="4B124460" w14:textId="77777777" w:rsidR="00FD2CBB" w:rsidRPr="00BA5BFC" w:rsidRDefault="00FD2CBB">
            <w:pPr>
              <w:spacing w:after="0" w:line="240" w:lineRule="auto"/>
              <w:jc w:val="right"/>
              <w:rPr>
                <w:rFonts w:eastAsia="Times New Roman" w:cs="Calibri"/>
                <w:b/>
                <w:color w:val="FFFFFF" w:themeColor="background1"/>
                <w:sz w:val="16"/>
                <w:szCs w:val="16"/>
              </w:rPr>
            </w:pPr>
            <w:r w:rsidRPr="00BA5BFC">
              <w:rPr>
                <w:b/>
                <w:bCs/>
                <w:color w:val="FFFFFF" w:themeColor="background1"/>
                <w:sz w:val="16"/>
                <w:szCs w:val="16"/>
              </w:rPr>
              <w:t xml:space="preserve"> 2,16 € </w:t>
            </w:r>
          </w:p>
        </w:tc>
        <w:tc>
          <w:tcPr>
            <w:tcW w:w="66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E3438"/>
            <w:noWrap/>
            <w:vAlign w:val="center"/>
          </w:tcPr>
          <w:p w14:paraId="16D5F9A2" w14:textId="77777777" w:rsidR="00FD2CBB" w:rsidRPr="00BA5BFC" w:rsidRDefault="00FD2CBB">
            <w:pPr>
              <w:spacing w:after="0" w:line="240" w:lineRule="auto"/>
              <w:jc w:val="right"/>
              <w:rPr>
                <w:rFonts w:eastAsia="Times New Roman" w:cs="Calibri"/>
                <w:b/>
                <w:color w:val="FFFFFF" w:themeColor="background1"/>
                <w:sz w:val="16"/>
                <w:szCs w:val="16"/>
              </w:rPr>
            </w:pPr>
            <w:r w:rsidRPr="00BA5BFC">
              <w:rPr>
                <w:b/>
                <w:bCs/>
                <w:color w:val="FFFFFF" w:themeColor="background1"/>
                <w:sz w:val="16"/>
                <w:szCs w:val="16"/>
              </w:rPr>
              <w:t xml:space="preserve"> 1,17 € </w:t>
            </w:r>
          </w:p>
        </w:tc>
        <w:tc>
          <w:tcPr>
            <w:tcW w:w="650" w:type="pct"/>
            <w:tcBorders>
              <w:left w:val="single" w:sz="4" w:space="0" w:color="BFBFBF" w:themeColor="background1" w:themeShade="BF"/>
              <w:bottom w:val="nil"/>
              <w:right w:val="nil"/>
            </w:tcBorders>
            <w:noWrap/>
            <w:vAlign w:val="center"/>
          </w:tcPr>
          <w:p w14:paraId="29D68A3A" w14:textId="77777777" w:rsidR="00FD2CBB" w:rsidRPr="00DB7A31" w:rsidRDefault="00FD2CBB">
            <w:pPr>
              <w:spacing w:after="0" w:line="240" w:lineRule="auto"/>
              <w:jc w:val="right"/>
              <w:rPr>
                <w:rFonts w:eastAsia="Times New Roman" w:cs="Calibri"/>
                <w:b/>
                <w:color w:val="000000"/>
                <w:sz w:val="16"/>
                <w:szCs w:val="16"/>
              </w:rPr>
            </w:pPr>
          </w:p>
        </w:tc>
        <w:tc>
          <w:tcPr>
            <w:tcW w:w="495" w:type="pct"/>
            <w:tcBorders>
              <w:left w:val="nil"/>
              <w:bottom w:val="nil"/>
              <w:right w:val="nil"/>
            </w:tcBorders>
            <w:noWrap/>
            <w:vAlign w:val="center"/>
          </w:tcPr>
          <w:p w14:paraId="2681ACC3" w14:textId="77777777" w:rsidR="00FD2CBB" w:rsidRPr="00DB7A31" w:rsidRDefault="00FD2CBB">
            <w:pPr>
              <w:spacing w:after="0" w:line="240" w:lineRule="auto"/>
              <w:jc w:val="right"/>
              <w:rPr>
                <w:rFonts w:eastAsia="Times New Roman" w:cs="Calibri"/>
                <w:sz w:val="16"/>
                <w:szCs w:val="16"/>
              </w:rPr>
            </w:pPr>
          </w:p>
        </w:tc>
      </w:tr>
    </w:tbl>
    <w:p w14:paraId="0097810A" w14:textId="5E9CEE7F" w:rsidR="00FD2CBB" w:rsidRPr="00AD01C5" w:rsidRDefault="00FD2CBB" w:rsidP="0043213F">
      <w:pPr>
        <w:spacing w:after="240" w:line="240" w:lineRule="auto"/>
        <w:jc w:val="center"/>
        <w:rPr>
          <w:rFonts w:eastAsia="Calibri"/>
          <w:i/>
          <w:color w:val="003366"/>
          <w:sz w:val="18"/>
          <w:szCs w:val="18"/>
        </w:rPr>
      </w:pPr>
      <w:bookmarkStart w:id="476" w:name="_Ref212969459"/>
      <w:r w:rsidRPr="00AD01C5">
        <w:rPr>
          <w:rFonts w:eastAsia="Calibri"/>
          <w:i/>
          <w:color w:val="003366"/>
          <w:sz w:val="18"/>
          <w:szCs w:val="18"/>
        </w:rPr>
        <w:t xml:space="preserve">Tabella </w:t>
      </w:r>
      <w:r w:rsidRPr="00BF35BC">
        <w:rPr>
          <w:rFonts w:cstheme="minorHAnsi"/>
          <w:i/>
          <w:color w:val="003366"/>
          <w:sz w:val="18"/>
          <w:szCs w:val="18"/>
        </w:rPr>
        <w:fldChar w:fldCharType="begin"/>
      </w:r>
      <w:r w:rsidRPr="00BF35BC">
        <w:rPr>
          <w:rFonts w:cstheme="minorHAnsi"/>
          <w:i/>
          <w:color w:val="003366"/>
          <w:sz w:val="18"/>
          <w:szCs w:val="18"/>
        </w:rPr>
        <w:instrText xml:space="preserve"> SEQ Tabella \* ARABIC </w:instrText>
      </w:r>
      <w:r w:rsidRPr="00BF35BC">
        <w:rPr>
          <w:rFonts w:cstheme="minorHAnsi"/>
          <w:i/>
          <w:color w:val="003366"/>
          <w:sz w:val="18"/>
          <w:szCs w:val="18"/>
        </w:rPr>
        <w:fldChar w:fldCharType="separate"/>
      </w:r>
      <w:r w:rsidR="00073B6D">
        <w:rPr>
          <w:rFonts w:cstheme="minorHAnsi"/>
          <w:i/>
          <w:noProof/>
          <w:color w:val="003366"/>
          <w:sz w:val="18"/>
          <w:szCs w:val="18"/>
        </w:rPr>
        <w:t>66</w:t>
      </w:r>
      <w:r w:rsidRPr="00BF35BC">
        <w:rPr>
          <w:rFonts w:cstheme="minorHAnsi"/>
          <w:i/>
          <w:color w:val="003366"/>
          <w:sz w:val="18"/>
          <w:szCs w:val="18"/>
        </w:rPr>
        <w:fldChar w:fldCharType="end"/>
      </w:r>
      <w:bookmarkEnd w:id="476"/>
      <w:r w:rsidRPr="00BF35BC">
        <w:rPr>
          <w:rFonts w:cstheme="minorHAnsi"/>
          <w:i/>
          <w:color w:val="003366"/>
          <w:sz w:val="18"/>
          <w:szCs w:val="18"/>
        </w:rPr>
        <w:t xml:space="preserve"> </w:t>
      </w:r>
      <w:r w:rsidRPr="00AD01C5">
        <w:rPr>
          <w:rFonts w:eastAsia="Calibri"/>
          <w:color w:val="003366"/>
          <w:sz w:val="18"/>
          <w:szCs w:val="18"/>
        </w:rPr>
        <w:t xml:space="preserve">– </w:t>
      </w:r>
      <w:r w:rsidRPr="00AD01C5">
        <w:rPr>
          <w:rFonts w:eastAsia="Calibri"/>
          <w:i/>
          <w:color w:val="003366"/>
          <w:sz w:val="18"/>
          <w:szCs w:val="18"/>
        </w:rPr>
        <w:t xml:space="preserve">Valore delle Compensazioni </w:t>
      </w:r>
      <w:r>
        <w:rPr>
          <w:rFonts w:eastAsia="Calibri"/>
          <w:i/>
          <w:color w:val="003366"/>
          <w:sz w:val="18"/>
          <w:szCs w:val="18"/>
        </w:rPr>
        <w:t>scenario A</w:t>
      </w:r>
    </w:p>
    <w:p w14:paraId="4F3E03BF" w14:textId="77777777" w:rsidR="00FD2CBB" w:rsidRPr="005B534B" w:rsidRDefault="00FD2CBB" w:rsidP="00FD2CBB">
      <w:pPr>
        <w:spacing w:before="120" w:after="0" w:line="240" w:lineRule="auto"/>
        <w:rPr>
          <w:rFonts w:eastAsia="Calibri"/>
        </w:rPr>
      </w:pPr>
      <w:r w:rsidRPr="005B534B">
        <w:rPr>
          <w:rFonts w:eastAsia="Calibri"/>
        </w:rPr>
        <w:t>Per ogni unità di rete è calcolato il costo standard unitario, il costo totale annuo del servizio e la compensazione annua derivante; dalla somma dei 3 valori (per l’unità di rete 3 si individua il sublotto in area a domanda debole) si ottengono anche i valori medi per l’intero</w:t>
      </w:r>
      <w:r>
        <w:rPr>
          <w:rFonts w:eastAsia="Calibri"/>
        </w:rPr>
        <w:t xml:space="preserve"> </w:t>
      </w:r>
      <w:r w:rsidRPr="005B534B">
        <w:rPr>
          <w:rFonts w:eastAsia="Calibri"/>
        </w:rPr>
        <w:t>bacino.</w:t>
      </w:r>
    </w:p>
    <w:p w14:paraId="19228930" w14:textId="05EC368B" w:rsidR="00FD2CBB" w:rsidRPr="0055365B" w:rsidRDefault="00FD2CBB" w:rsidP="00FD2CBB">
      <w:pPr>
        <w:spacing w:before="120" w:after="0" w:line="240" w:lineRule="auto"/>
        <w:rPr>
          <w:rFonts w:eastAsia="Calibri"/>
        </w:rPr>
      </w:pPr>
      <w:r w:rsidRPr="0055365B">
        <w:rPr>
          <w:rFonts w:eastAsia="Calibri"/>
        </w:rPr>
        <w:t xml:space="preserve">Per il sublotto UR3–ADD si ritiene </w:t>
      </w:r>
      <w:r>
        <w:rPr>
          <w:rFonts w:eastAsia="Calibri"/>
        </w:rPr>
        <w:t>in via cautelativa di</w:t>
      </w:r>
      <w:r w:rsidRPr="0055365B">
        <w:rPr>
          <w:rFonts w:eastAsia="Calibri"/>
        </w:rPr>
        <w:t xml:space="preserve"> mantenere un valore di costo analogo all’unità di rete 3 da cui è stato scorporato in quanto l’affidamento diretto deve comunque consentire all’Ente di perseguire l’efficienza economica ed organizzativa. </w:t>
      </w:r>
      <w:r>
        <w:rPr>
          <w:rFonts w:eastAsia="Calibri"/>
        </w:rPr>
        <w:t xml:space="preserve">Tuttavia occorre evidenziare che i servizi del presente sublotto potranno essere in parte gestiti anche in economia e per tanto potrebbero essereci ulteriori economie. </w:t>
      </w:r>
      <w:r w:rsidRPr="0055365B">
        <w:rPr>
          <w:rFonts w:eastAsia="Calibri"/>
        </w:rPr>
        <w:t>Una valutazione puntuale dell’effettivo costo di produzione ed il relativo confronto con il costo standard sarà sviluppata nella relazione di affidamento.</w:t>
      </w:r>
    </w:p>
    <w:p w14:paraId="5CF5AA5D" w14:textId="77777777" w:rsidR="00FD2CBB" w:rsidRDefault="00FD2CBB" w:rsidP="00FD2CBB">
      <w:pPr>
        <w:spacing w:before="120" w:after="0" w:line="240" w:lineRule="auto"/>
        <w:rPr>
          <w:rFonts w:eastAsia="Calibri"/>
        </w:rPr>
      </w:pPr>
      <w:r w:rsidRPr="0055365B">
        <w:rPr>
          <w:rFonts w:eastAsia="Calibri"/>
        </w:rPr>
        <w:t>Analoga valutazione è effettuata</w:t>
      </w:r>
      <w:r>
        <w:rPr>
          <w:rFonts w:eastAsia="Calibri"/>
        </w:rPr>
        <w:t xml:space="preserve"> per lo scenario B</w:t>
      </w:r>
      <w:r w:rsidRPr="0055365B">
        <w:rPr>
          <w:rFonts w:eastAsia="Calibri"/>
        </w:rPr>
        <w:t xml:space="preserve"> ipotizzando che si proceda con l’accorpamento con le unità di rete in due lotti.</w:t>
      </w:r>
    </w:p>
    <w:p w14:paraId="579586E7" w14:textId="77777777" w:rsidR="00FD2CBB" w:rsidRDefault="00FD2CBB" w:rsidP="00FD2CBB">
      <w:pPr>
        <w:spacing w:before="120" w:after="0" w:line="240" w:lineRule="auto"/>
        <w:rPr>
          <w:rFonts w:eastAsia="Calibri"/>
          <w:b/>
        </w:rPr>
      </w:pPr>
      <w:r>
        <w:rPr>
          <w:rFonts w:eastAsia="Calibri"/>
          <w:b/>
        </w:rPr>
        <w:t>Scenario B</w:t>
      </w:r>
      <w:r w:rsidRPr="0055365B">
        <w:rPr>
          <w:rFonts w:eastAsia="Calibri"/>
          <w:b/>
        </w:rPr>
        <w:t xml:space="preserve"> </w:t>
      </w:r>
      <w:r>
        <w:rPr>
          <w:rFonts w:eastAsia="Calibri"/>
          <w:b/>
        </w:rPr>
        <w:t>2</w:t>
      </w:r>
      <w:r w:rsidRPr="0055365B">
        <w:rPr>
          <w:rFonts w:eastAsia="Calibri"/>
          <w:b/>
        </w:rPr>
        <w:t xml:space="preserve"> lotti di gara (+sub</w:t>
      </w:r>
      <w:r>
        <w:rPr>
          <w:rFonts w:eastAsia="Calibri"/>
          <w:b/>
        </w:rPr>
        <w:t>-</w:t>
      </w:r>
      <w:r w:rsidRPr="0055365B">
        <w:rPr>
          <w:rFonts w:eastAsia="Calibri"/>
          <w:b/>
        </w:rPr>
        <w:t>lotto area a domanda debole</w:t>
      </w:r>
      <w:r>
        <w:rPr>
          <w:rFonts w:eastAsia="Calibri"/>
          <w:b/>
        </w:rPr>
        <w:t xml:space="preserve"> + lotto in House</w:t>
      </w:r>
      <w:r w:rsidRPr="0055365B">
        <w:rPr>
          <w:rFonts w:eastAsia="Calibri"/>
          <w:b/>
        </w:rPr>
        <w:t>)</w:t>
      </w:r>
    </w:p>
    <w:tbl>
      <w:tblPr>
        <w:tblW w:w="5000" w:type="pct"/>
        <w:tblCellMar>
          <w:left w:w="70" w:type="dxa"/>
          <w:right w:w="70" w:type="dxa"/>
        </w:tblCellMar>
        <w:tblLook w:val="04A0" w:firstRow="1" w:lastRow="0" w:firstColumn="1" w:lastColumn="0" w:noHBand="0" w:noVBand="1"/>
      </w:tblPr>
      <w:tblGrid>
        <w:gridCol w:w="1874"/>
        <w:gridCol w:w="896"/>
        <w:gridCol w:w="732"/>
        <w:gridCol w:w="1259"/>
        <w:gridCol w:w="1276"/>
        <w:gridCol w:w="1276"/>
        <w:gridCol w:w="1015"/>
        <w:gridCol w:w="732"/>
      </w:tblGrid>
      <w:tr w:rsidR="00FD2CBB" w:rsidRPr="00C45514" w14:paraId="3368C9D1" w14:textId="77777777" w:rsidTr="005069B7">
        <w:trPr>
          <w:trHeight w:val="283"/>
        </w:trPr>
        <w:tc>
          <w:tcPr>
            <w:tcW w:w="1034"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000000" w:fill="EE3438"/>
            <w:vAlign w:val="center"/>
            <w:hideMark/>
          </w:tcPr>
          <w:p w14:paraId="1E6532F2" w14:textId="77777777" w:rsidR="00FD2CBB" w:rsidRPr="00BA5BFC" w:rsidRDefault="00FD2CBB">
            <w:pPr>
              <w:spacing w:after="0" w:line="240" w:lineRule="auto"/>
              <w:jc w:val="center"/>
              <w:rPr>
                <w:rFonts w:eastAsia="Times New Roman" w:cs="Calibri"/>
                <w:b/>
                <w:color w:val="FFFFFF" w:themeColor="background1"/>
                <w:sz w:val="16"/>
                <w:szCs w:val="16"/>
              </w:rPr>
            </w:pPr>
            <w:r w:rsidRPr="00BA5BFC">
              <w:rPr>
                <w:rFonts w:eastAsia="Times New Roman" w:cs="Calibri"/>
                <w:b/>
                <w:color w:val="FFFFFF" w:themeColor="background1"/>
                <w:sz w:val="16"/>
                <w:szCs w:val="16"/>
              </w:rPr>
              <w:t>Lotti</w:t>
            </w:r>
          </w:p>
        </w:tc>
        <w:tc>
          <w:tcPr>
            <w:tcW w:w="494"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000000" w:fill="EE3438"/>
            <w:vAlign w:val="center"/>
            <w:hideMark/>
          </w:tcPr>
          <w:p w14:paraId="2B603E63" w14:textId="77777777" w:rsidR="00FD2CBB" w:rsidRPr="00BA5BFC" w:rsidRDefault="00FD2CBB">
            <w:pPr>
              <w:spacing w:after="0" w:line="240" w:lineRule="auto"/>
              <w:jc w:val="center"/>
              <w:rPr>
                <w:rFonts w:eastAsia="Times New Roman" w:cs="Calibri"/>
                <w:b/>
                <w:color w:val="FFFFFF" w:themeColor="background1"/>
                <w:sz w:val="16"/>
                <w:szCs w:val="16"/>
              </w:rPr>
            </w:pPr>
            <w:r w:rsidRPr="00BA5BFC">
              <w:rPr>
                <w:rFonts w:eastAsia="Times New Roman" w:cs="Calibri"/>
                <w:b/>
                <w:color w:val="FFFFFF" w:themeColor="background1"/>
                <w:sz w:val="16"/>
                <w:szCs w:val="16"/>
              </w:rPr>
              <w:t>Produzione Km</w:t>
            </w:r>
          </w:p>
        </w:tc>
        <w:tc>
          <w:tcPr>
            <w:tcW w:w="404"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000000" w:fill="EE3438"/>
            <w:vAlign w:val="center"/>
            <w:hideMark/>
          </w:tcPr>
          <w:p w14:paraId="264638F4" w14:textId="77777777" w:rsidR="00FD2CBB" w:rsidRPr="00BA5BFC" w:rsidRDefault="00FD2CBB">
            <w:pPr>
              <w:spacing w:after="0" w:line="240" w:lineRule="auto"/>
              <w:jc w:val="center"/>
              <w:rPr>
                <w:rFonts w:eastAsia="Times New Roman" w:cs="Calibri"/>
                <w:b/>
                <w:color w:val="FFFFFF" w:themeColor="background1"/>
                <w:sz w:val="16"/>
                <w:szCs w:val="16"/>
              </w:rPr>
            </w:pPr>
            <w:r w:rsidRPr="00BA5BFC">
              <w:rPr>
                <w:rFonts w:eastAsia="Times New Roman" w:cs="Calibri"/>
                <w:b/>
                <w:color w:val="FFFFFF" w:themeColor="background1"/>
                <w:sz w:val="16"/>
                <w:szCs w:val="16"/>
              </w:rPr>
              <w:t>Costo standard</w:t>
            </w:r>
          </w:p>
        </w:tc>
        <w:tc>
          <w:tcPr>
            <w:tcW w:w="69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000000" w:fill="EE3438"/>
            <w:vAlign w:val="center"/>
            <w:hideMark/>
          </w:tcPr>
          <w:p w14:paraId="6F03AC13" w14:textId="77777777" w:rsidR="00FD2CBB" w:rsidRPr="00BA5BFC" w:rsidRDefault="00FD2CBB">
            <w:pPr>
              <w:spacing w:after="0" w:line="240" w:lineRule="auto"/>
              <w:jc w:val="center"/>
              <w:rPr>
                <w:rFonts w:eastAsia="Times New Roman" w:cs="Calibri"/>
                <w:b/>
                <w:color w:val="FFFFFF" w:themeColor="background1"/>
                <w:sz w:val="16"/>
                <w:szCs w:val="16"/>
              </w:rPr>
            </w:pPr>
            <w:r w:rsidRPr="00BA5BFC">
              <w:rPr>
                <w:rFonts w:eastAsia="Times New Roman" w:cs="Calibri"/>
                <w:b/>
                <w:color w:val="FFFFFF" w:themeColor="background1"/>
                <w:sz w:val="16"/>
                <w:szCs w:val="16"/>
              </w:rPr>
              <w:t>Costo totale</w:t>
            </w:r>
          </w:p>
        </w:tc>
        <w:tc>
          <w:tcPr>
            <w:tcW w:w="704"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000000" w:fill="EE3438"/>
            <w:vAlign w:val="center"/>
            <w:hideMark/>
          </w:tcPr>
          <w:p w14:paraId="7AED4105" w14:textId="77777777" w:rsidR="00FD2CBB" w:rsidRPr="00BA5BFC" w:rsidRDefault="00FD2CBB">
            <w:pPr>
              <w:spacing w:after="0" w:line="240" w:lineRule="auto"/>
              <w:jc w:val="center"/>
              <w:rPr>
                <w:rFonts w:eastAsia="Times New Roman" w:cs="Calibri"/>
                <w:b/>
                <w:color w:val="FFFFFF" w:themeColor="background1"/>
                <w:sz w:val="16"/>
                <w:szCs w:val="16"/>
              </w:rPr>
            </w:pPr>
            <w:r w:rsidRPr="00BA5BFC">
              <w:rPr>
                <w:rFonts w:eastAsia="Times New Roman" w:cs="Calibri"/>
                <w:b/>
                <w:color w:val="FFFFFF" w:themeColor="background1"/>
                <w:sz w:val="16"/>
                <w:szCs w:val="16"/>
              </w:rPr>
              <w:t>Compensazioni</w:t>
            </w:r>
            <w:r w:rsidRPr="00BA5BFC">
              <w:rPr>
                <w:rFonts w:eastAsia="Times New Roman" w:cs="Calibri"/>
                <w:b/>
                <w:color w:val="FFFFFF" w:themeColor="background1"/>
                <w:sz w:val="16"/>
                <w:szCs w:val="16"/>
              </w:rPr>
              <w:br/>
              <w:t>65%</w:t>
            </w:r>
          </w:p>
        </w:tc>
        <w:tc>
          <w:tcPr>
            <w:tcW w:w="704"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000000" w:fill="EE3438"/>
            <w:vAlign w:val="center"/>
            <w:hideMark/>
          </w:tcPr>
          <w:p w14:paraId="7AE46136" w14:textId="77777777" w:rsidR="00FD2CBB" w:rsidRPr="00BA5BFC" w:rsidRDefault="00FD2CBB">
            <w:pPr>
              <w:spacing w:after="0" w:line="240" w:lineRule="auto"/>
              <w:jc w:val="center"/>
              <w:rPr>
                <w:rFonts w:eastAsia="Times New Roman" w:cs="Calibri"/>
                <w:b/>
                <w:color w:val="FFFFFF" w:themeColor="background1"/>
                <w:sz w:val="16"/>
                <w:szCs w:val="16"/>
              </w:rPr>
            </w:pPr>
            <w:r w:rsidRPr="00BA5BFC">
              <w:rPr>
                <w:rFonts w:eastAsia="Times New Roman" w:cs="Calibri"/>
                <w:b/>
                <w:color w:val="FFFFFF" w:themeColor="background1"/>
                <w:sz w:val="16"/>
                <w:szCs w:val="16"/>
              </w:rPr>
              <w:t>Ricavi da Traffico</w:t>
            </w:r>
            <w:r w:rsidRPr="00BA5BFC">
              <w:rPr>
                <w:rFonts w:eastAsia="Times New Roman" w:cs="Calibri"/>
                <w:b/>
                <w:color w:val="FFFFFF" w:themeColor="background1"/>
                <w:sz w:val="16"/>
                <w:szCs w:val="16"/>
              </w:rPr>
              <w:br/>
              <w:t>35%</w:t>
            </w:r>
          </w:p>
        </w:tc>
        <w:tc>
          <w:tcPr>
            <w:tcW w:w="56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000000" w:fill="EE3438"/>
            <w:vAlign w:val="center"/>
            <w:hideMark/>
          </w:tcPr>
          <w:p w14:paraId="26725353" w14:textId="77777777" w:rsidR="00FD2CBB" w:rsidRPr="00BA5BFC" w:rsidRDefault="00FD2CBB">
            <w:pPr>
              <w:spacing w:after="0" w:line="240" w:lineRule="auto"/>
              <w:jc w:val="center"/>
              <w:rPr>
                <w:rFonts w:eastAsia="Times New Roman" w:cs="Calibri"/>
                <w:b/>
                <w:color w:val="FFFFFF" w:themeColor="background1"/>
                <w:sz w:val="16"/>
                <w:szCs w:val="16"/>
              </w:rPr>
            </w:pPr>
            <w:r w:rsidRPr="00BA5BFC">
              <w:rPr>
                <w:rFonts w:eastAsia="Times New Roman" w:cs="Calibri"/>
                <w:b/>
                <w:color w:val="FFFFFF" w:themeColor="background1"/>
                <w:sz w:val="16"/>
                <w:szCs w:val="16"/>
              </w:rPr>
              <w:t>Velocità Commerciale</w:t>
            </w:r>
          </w:p>
        </w:tc>
        <w:tc>
          <w:tcPr>
            <w:tcW w:w="404"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000000" w:fill="EE3438"/>
            <w:vAlign w:val="center"/>
            <w:hideMark/>
          </w:tcPr>
          <w:p w14:paraId="0AF350A0" w14:textId="77777777" w:rsidR="00FD2CBB" w:rsidRPr="00BA5BFC" w:rsidRDefault="00FD2CBB">
            <w:pPr>
              <w:spacing w:after="0" w:line="240" w:lineRule="auto"/>
              <w:jc w:val="center"/>
              <w:rPr>
                <w:rFonts w:eastAsia="Times New Roman" w:cs="Calibri"/>
                <w:b/>
                <w:color w:val="FFFFFF" w:themeColor="background1"/>
                <w:sz w:val="16"/>
                <w:szCs w:val="16"/>
              </w:rPr>
            </w:pPr>
            <w:r w:rsidRPr="00BA5BFC">
              <w:rPr>
                <w:rFonts w:eastAsia="Times New Roman" w:cs="Calibri"/>
                <w:b/>
                <w:color w:val="FFFFFF" w:themeColor="background1"/>
                <w:sz w:val="16"/>
                <w:szCs w:val="16"/>
              </w:rPr>
              <w:t>Velocità standard</w:t>
            </w:r>
          </w:p>
        </w:tc>
      </w:tr>
      <w:tr w:rsidR="00FD2CBB" w:rsidRPr="00C45514" w14:paraId="70E78A5C" w14:textId="77777777" w:rsidTr="005069B7">
        <w:trPr>
          <w:trHeight w:val="283"/>
        </w:trPr>
        <w:tc>
          <w:tcPr>
            <w:tcW w:w="1034"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56131989" w14:textId="77777777" w:rsidR="00FD2CBB" w:rsidRPr="00C45514" w:rsidRDefault="00FD2CBB">
            <w:pPr>
              <w:spacing w:after="0" w:line="240" w:lineRule="auto"/>
              <w:jc w:val="left"/>
              <w:rPr>
                <w:rFonts w:eastAsia="Times New Roman" w:cs="Calibri"/>
                <w:color w:val="000000"/>
                <w:sz w:val="16"/>
                <w:szCs w:val="16"/>
              </w:rPr>
            </w:pPr>
            <w:r w:rsidRPr="00DB497F">
              <w:rPr>
                <w:rFonts w:cs="Calibri"/>
                <w:sz w:val="16"/>
                <w:szCs w:val="16"/>
              </w:rPr>
              <w:t>Lotto Nord</w:t>
            </w:r>
          </w:p>
        </w:tc>
        <w:tc>
          <w:tcPr>
            <w:tcW w:w="494"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35C788F8" w14:textId="77777777" w:rsidR="00FD2CBB" w:rsidRPr="00C45514" w:rsidRDefault="00FD2CBB">
            <w:pPr>
              <w:spacing w:after="0" w:line="240" w:lineRule="auto"/>
              <w:jc w:val="right"/>
              <w:rPr>
                <w:rFonts w:eastAsia="Times New Roman" w:cs="Calibri"/>
                <w:color w:val="000000"/>
                <w:sz w:val="16"/>
                <w:szCs w:val="16"/>
              </w:rPr>
            </w:pPr>
            <w:r w:rsidRPr="00DB497F">
              <w:rPr>
                <w:rFonts w:cs="Calibri"/>
                <w:sz w:val="16"/>
                <w:szCs w:val="16"/>
              </w:rPr>
              <w:t>8.809.576</w:t>
            </w:r>
          </w:p>
        </w:tc>
        <w:tc>
          <w:tcPr>
            <w:tcW w:w="404"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42DE50A9" w14:textId="77777777" w:rsidR="00FD2CBB" w:rsidRPr="00C45514" w:rsidRDefault="00FD2CBB">
            <w:pPr>
              <w:spacing w:after="0" w:line="240" w:lineRule="auto"/>
              <w:jc w:val="right"/>
              <w:rPr>
                <w:rFonts w:eastAsia="Times New Roman" w:cs="Calibri"/>
                <w:color w:val="000000"/>
                <w:sz w:val="16"/>
                <w:szCs w:val="16"/>
              </w:rPr>
            </w:pPr>
            <w:r w:rsidRPr="00DB497F">
              <w:rPr>
                <w:rFonts w:eastAsia="Times New Roman" w:cs="Calibri"/>
                <w:color w:val="000000"/>
                <w:sz w:val="16"/>
                <w:szCs w:val="16"/>
              </w:rPr>
              <w:t>3,67</w:t>
            </w:r>
            <w:r w:rsidRPr="00C45514">
              <w:rPr>
                <w:rFonts w:eastAsia="Times New Roman" w:cs="Calibri"/>
                <w:color w:val="000000"/>
                <w:sz w:val="16"/>
                <w:szCs w:val="16"/>
              </w:rPr>
              <w:t xml:space="preserve"> € </w:t>
            </w:r>
          </w:p>
        </w:tc>
        <w:tc>
          <w:tcPr>
            <w:tcW w:w="69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65C93092" w14:textId="77777777" w:rsidR="00FD2CBB" w:rsidRPr="00C45514" w:rsidRDefault="00FD2CBB">
            <w:pPr>
              <w:spacing w:after="0" w:line="240" w:lineRule="auto"/>
              <w:jc w:val="right"/>
              <w:rPr>
                <w:rFonts w:eastAsia="Times New Roman" w:cs="Calibri"/>
                <w:color w:val="000000"/>
                <w:sz w:val="16"/>
                <w:szCs w:val="16"/>
              </w:rPr>
            </w:pPr>
            <w:r w:rsidRPr="00DB497F">
              <w:rPr>
                <w:rFonts w:cs="Calibri"/>
                <w:sz w:val="16"/>
                <w:szCs w:val="16"/>
              </w:rPr>
              <w:t xml:space="preserve"> 32.319.622,16 € </w:t>
            </w:r>
          </w:p>
        </w:tc>
        <w:tc>
          <w:tcPr>
            <w:tcW w:w="704"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72592E52" w14:textId="77777777" w:rsidR="00FD2CBB" w:rsidRPr="00C45514" w:rsidRDefault="00FD2CBB">
            <w:pPr>
              <w:spacing w:after="0" w:line="240" w:lineRule="auto"/>
              <w:jc w:val="right"/>
              <w:rPr>
                <w:rFonts w:eastAsia="Times New Roman" w:cs="Calibri"/>
                <w:color w:val="000000"/>
                <w:sz w:val="16"/>
                <w:szCs w:val="16"/>
              </w:rPr>
            </w:pPr>
            <w:r w:rsidRPr="00DB497F">
              <w:rPr>
                <w:rFonts w:cs="Calibri"/>
                <w:sz w:val="16"/>
                <w:szCs w:val="16"/>
              </w:rPr>
              <w:t xml:space="preserve"> 21.007.754,40 €</w:t>
            </w:r>
          </w:p>
        </w:tc>
        <w:tc>
          <w:tcPr>
            <w:tcW w:w="704"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62530576" w14:textId="77777777" w:rsidR="00FD2CBB" w:rsidRPr="00C45514" w:rsidRDefault="00FD2CBB">
            <w:pPr>
              <w:spacing w:after="0" w:line="240" w:lineRule="auto"/>
              <w:jc w:val="right"/>
              <w:rPr>
                <w:rFonts w:eastAsia="Times New Roman" w:cs="Calibri"/>
                <w:color w:val="000000"/>
                <w:sz w:val="16"/>
                <w:szCs w:val="16"/>
              </w:rPr>
            </w:pPr>
            <w:r w:rsidRPr="00DB497F">
              <w:rPr>
                <w:rFonts w:cs="Calibri"/>
                <w:sz w:val="16"/>
                <w:szCs w:val="16"/>
              </w:rPr>
              <w:t xml:space="preserve"> 11.311.867,76 € </w:t>
            </w:r>
          </w:p>
        </w:tc>
        <w:tc>
          <w:tcPr>
            <w:tcW w:w="56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26055B82" w14:textId="77777777" w:rsidR="00FD2CBB" w:rsidRPr="00C45514" w:rsidRDefault="00FD2CBB">
            <w:pPr>
              <w:spacing w:after="0" w:line="240" w:lineRule="auto"/>
              <w:jc w:val="right"/>
              <w:rPr>
                <w:rFonts w:eastAsia="Times New Roman" w:cs="Calibri"/>
                <w:color w:val="000000"/>
                <w:sz w:val="16"/>
                <w:szCs w:val="16"/>
              </w:rPr>
            </w:pPr>
            <w:r w:rsidRPr="00DB497F">
              <w:rPr>
                <w:rFonts w:cs="Calibri"/>
                <w:sz w:val="16"/>
                <w:szCs w:val="16"/>
              </w:rPr>
              <w:t>33,18</w:t>
            </w:r>
          </w:p>
        </w:tc>
        <w:tc>
          <w:tcPr>
            <w:tcW w:w="404"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36944353" w14:textId="77777777" w:rsidR="00FD2CBB" w:rsidRPr="00C45514" w:rsidRDefault="00FD2CBB">
            <w:pPr>
              <w:spacing w:after="0" w:line="240" w:lineRule="auto"/>
              <w:jc w:val="right"/>
              <w:rPr>
                <w:rFonts w:eastAsia="Times New Roman" w:cs="Calibri"/>
                <w:color w:val="000000"/>
                <w:sz w:val="16"/>
                <w:szCs w:val="16"/>
              </w:rPr>
            </w:pPr>
            <w:r w:rsidRPr="00DB497F">
              <w:rPr>
                <w:rFonts w:cs="Calibri"/>
                <w:sz w:val="16"/>
                <w:szCs w:val="16"/>
              </w:rPr>
              <w:t>30,39</w:t>
            </w:r>
          </w:p>
        </w:tc>
      </w:tr>
      <w:tr w:rsidR="00FD2CBB" w:rsidRPr="00C45514" w14:paraId="72AEF613" w14:textId="77777777" w:rsidTr="005069B7">
        <w:trPr>
          <w:trHeight w:val="283"/>
        </w:trPr>
        <w:tc>
          <w:tcPr>
            <w:tcW w:w="1034"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7DB3E900" w14:textId="77777777" w:rsidR="00FD2CBB" w:rsidRPr="00C45514" w:rsidRDefault="00FD2CBB">
            <w:pPr>
              <w:spacing w:after="0" w:line="240" w:lineRule="auto"/>
              <w:jc w:val="left"/>
              <w:rPr>
                <w:rFonts w:eastAsia="Times New Roman" w:cs="Calibri"/>
                <w:color w:val="000000"/>
                <w:sz w:val="16"/>
                <w:szCs w:val="16"/>
              </w:rPr>
            </w:pPr>
            <w:r w:rsidRPr="00DB497F">
              <w:rPr>
                <w:rFonts w:cs="Calibri"/>
                <w:sz w:val="16"/>
                <w:szCs w:val="16"/>
              </w:rPr>
              <w:t>Lotto Sud</w:t>
            </w:r>
          </w:p>
        </w:tc>
        <w:tc>
          <w:tcPr>
            <w:tcW w:w="494"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79FE8F52" w14:textId="77777777" w:rsidR="00FD2CBB" w:rsidRPr="00C45514" w:rsidRDefault="00FD2CBB">
            <w:pPr>
              <w:spacing w:after="0" w:line="240" w:lineRule="auto"/>
              <w:jc w:val="right"/>
              <w:rPr>
                <w:rFonts w:eastAsia="Times New Roman" w:cs="Calibri"/>
                <w:color w:val="000000"/>
                <w:sz w:val="16"/>
                <w:szCs w:val="16"/>
              </w:rPr>
            </w:pPr>
            <w:r w:rsidRPr="00DB497F">
              <w:rPr>
                <w:rFonts w:cs="Calibri"/>
                <w:sz w:val="16"/>
                <w:szCs w:val="16"/>
              </w:rPr>
              <w:t>8.269.819</w:t>
            </w:r>
          </w:p>
        </w:tc>
        <w:tc>
          <w:tcPr>
            <w:tcW w:w="404" w:type="pct"/>
            <w:vMerge w:val="restart"/>
            <w:tcBorders>
              <w:top w:val="single" w:sz="4" w:space="0" w:color="BFBFBF" w:themeColor="background1" w:themeShade="BF"/>
              <w:left w:val="single" w:sz="4" w:space="0" w:color="BFBFBF" w:themeColor="background1" w:themeShade="BF"/>
              <w:right w:val="single" w:sz="4" w:space="0" w:color="BFBFBF" w:themeColor="background1" w:themeShade="BF"/>
            </w:tcBorders>
            <w:noWrap/>
            <w:vAlign w:val="center"/>
          </w:tcPr>
          <w:p w14:paraId="35CD3367" w14:textId="77777777" w:rsidR="00FD2CBB" w:rsidRPr="00C45514" w:rsidRDefault="00FD2CBB">
            <w:pPr>
              <w:spacing w:after="0" w:line="240" w:lineRule="auto"/>
              <w:jc w:val="right"/>
              <w:rPr>
                <w:rFonts w:eastAsia="Times New Roman" w:cs="Calibri"/>
                <w:color w:val="000000"/>
                <w:sz w:val="16"/>
                <w:szCs w:val="16"/>
              </w:rPr>
            </w:pPr>
            <w:r w:rsidRPr="00DB497F">
              <w:rPr>
                <w:rFonts w:eastAsia="Times New Roman" w:cs="Calibri"/>
                <w:color w:val="000000"/>
                <w:sz w:val="16"/>
                <w:szCs w:val="16"/>
              </w:rPr>
              <w:t>3,69 €</w:t>
            </w:r>
          </w:p>
        </w:tc>
        <w:tc>
          <w:tcPr>
            <w:tcW w:w="69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1C39BE94" w14:textId="77777777" w:rsidR="00FD2CBB" w:rsidRPr="00C45514" w:rsidRDefault="00FD2CBB">
            <w:pPr>
              <w:spacing w:after="0" w:line="240" w:lineRule="auto"/>
              <w:jc w:val="right"/>
              <w:rPr>
                <w:rFonts w:eastAsia="Times New Roman" w:cs="Calibri"/>
                <w:color w:val="000000"/>
                <w:sz w:val="16"/>
                <w:szCs w:val="16"/>
              </w:rPr>
            </w:pPr>
            <w:r w:rsidRPr="00DB497F">
              <w:rPr>
                <w:rFonts w:cs="Calibri"/>
                <w:sz w:val="16"/>
                <w:szCs w:val="16"/>
              </w:rPr>
              <w:t xml:space="preserve"> 30.480.613,77 € </w:t>
            </w:r>
          </w:p>
        </w:tc>
        <w:tc>
          <w:tcPr>
            <w:tcW w:w="704"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6E50E42B" w14:textId="77777777" w:rsidR="00FD2CBB" w:rsidRPr="00C45514" w:rsidRDefault="00FD2CBB">
            <w:pPr>
              <w:spacing w:after="0" w:line="240" w:lineRule="auto"/>
              <w:jc w:val="right"/>
              <w:rPr>
                <w:rFonts w:eastAsia="Times New Roman" w:cs="Calibri"/>
                <w:color w:val="000000"/>
                <w:sz w:val="16"/>
                <w:szCs w:val="16"/>
              </w:rPr>
            </w:pPr>
            <w:r w:rsidRPr="00DB497F">
              <w:rPr>
                <w:rFonts w:cs="Calibri"/>
                <w:sz w:val="16"/>
                <w:szCs w:val="16"/>
              </w:rPr>
              <w:t xml:space="preserve"> 19.812.398,95 €</w:t>
            </w:r>
          </w:p>
        </w:tc>
        <w:tc>
          <w:tcPr>
            <w:tcW w:w="704"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304E2C80" w14:textId="77777777" w:rsidR="00FD2CBB" w:rsidRPr="00C45514" w:rsidRDefault="00FD2CBB">
            <w:pPr>
              <w:spacing w:after="0" w:line="240" w:lineRule="auto"/>
              <w:jc w:val="right"/>
              <w:rPr>
                <w:rFonts w:eastAsia="Times New Roman" w:cs="Calibri"/>
                <w:color w:val="000000"/>
                <w:sz w:val="16"/>
                <w:szCs w:val="16"/>
              </w:rPr>
            </w:pPr>
            <w:r w:rsidRPr="00DB497F">
              <w:rPr>
                <w:rFonts w:cs="Calibri"/>
                <w:sz w:val="16"/>
                <w:szCs w:val="16"/>
              </w:rPr>
              <w:t xml:space="preserve"> 10.668.214,82 € </w:t>
            </w:r>
          </w:p>
        </w:tc>
        <w:tc>
          <w:tcPr>
            <w:tcW w:w="560" w:type="pct"/>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420DED1D" w14:textId="77777777" w:rsidR="00FD2CBB" w:rsidRPr="00C45514" w:rsidRDefault="00FD2CBB">
            <w:pPr>
              <w:spacing w:after="0" w:line="240" w:lineRule="auto"/>
              <w:jc w:val="right"/>
              <w:rPr>
                <w:rFonts w:eastAsia="Times New Roman" w:cs="Calibri"/>
                <w:color w:val="000000"/>
                <w:sz w:val="16"/>
                <w:szCs w:val="16"/>
              </w:rPr>
            </w:pPr>
            <w:r w:rsidRPr="00DB497F">
              <w:rPr>
                <w:rFonts w:cs="Calibri"/>
                <w:sz w:val="16"/>
                <w:szCs w:val="16"/>
              </w:rPr>
              <w:t>31,63</w:t>
            </w:r>
          </w:p>
        </w:tc>
        <w:tc>
          <w:tcPr>
            <w:tcW w:w="404" w:type="pct"/>
            <w:vMerge w:val="restart"/>
            <w:tcBorders>
              <w:top w:val="single" w:sz="4" w:space="0" w:color="BFBFBF" w:themeColor="background1" w:themeShade="BF"/>
              <w:left w:val="single" w:sz="4" w:space="0" w:color="BFBFBF" w:themeColor="background1" w:themeShade="BF"/>
              <w:right w:val="single" w:sz="4" w:space="0" w:color="BFBFBF" w:themeColor="background1" w:themeShade="BF"/>
            </w:tcBorders>
            <w:noWrap/>
            <w:vAlign w:val="center"/>
            <w:hideMark/>
          </w:tcPr>
          <w:p w14:paraId="2B4E375F" w14:textId="77777777" w:rsidR="00FD2CBB" w:rsidRPr="00C45514" w:rsidRDefault="00FD2CBB">
            <w:pPr>
              <w:spacing w:after="0" w:line="240" w:lineRule="auto"/>
              <w:jc w:val="right"/>
              <w:rPr>
                <w:rFonts w:eastAsia="Times New Roman" w:cs="Calibri"/>
                <w:color w:val="000000"/>
                <w:sz w:val="16"/>
                <w:szCs w:val="16"/>
              </w:rPr>
            </w:pPr>
            <w:r w:rsidRPr="00DB497F">
              <w:rPr>
                <w:rFonts w:cs="Calibri"/>
                <w:sz w:val="16"/>
                <w:szCs w:val="16"/>
              </w:rPr>
              <w:t>27,67</w:t>
            </w:r>
          </w:p>
        </w:tc>
      </w:tr>
      <w:tr w:rsidR="00FD2CBB" w:rsidRPr="00C45514" w14:paraId="05DDDA6C" w14:textId="77777777" w:rsidTr="005069B7">
        <w:trPr>
          <w:trHeight w:val="283"/>
        </w:trPr>
        <w:tc>
          <w:tcPr>
            <w:tcW w:w="1034"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3D232A71" w14:textId="77777777" w:rsidR="00FD2CBB" w:rsidRPr="00C45514" w:rsidRDefault="00FD2CBB">
            <w:pPr>
              <w:spacing w:after="0" w:line="240" w:lineRule="auto"/>
              <w:jc w:val="left"/>
              <w:rPr>
                <w:rFonts w:eastAsia="Times New Roman" w:cs="Calibri"/>
                <w:color w:val="000000"/>
                <w:sz w:val="16"/>
                <w:szCs w:val="16"/>
              </w:rPr>
            </w:pPr>
            <w:r w:rsidRPr="00DB497F">
              <w:rPr>
                <w:rFonts w:cs="Calibri"/>
                <w:sz w:val="16"/>
                <w:szCs w:val="16"/>
              </w:rPr>
              <w:t>Sublotto Lotto Sud - ADD</w:t>
            </w:r>
          </w:p>
        </w:tc>
        <w:tc>
          <w:tcPr>
            <w:tcW w:w="494"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09200E7D" w14:textId="77777777" w:rsidR="00FD2CBB" w:rsidRPr="00C45514" w:rsidRDefault="00FD2CBB">
            <w:pPr>
              <w:spacing w:after="0" w:line="240" w:lineRule="auto"/>
              <w:jc w:val="right"/>
              <w:rPr>
                <w:rFonts w:eastAsia="Times New Roman" w:cs="Calibri"/>
                <w:color w:val="000000"/>
                <w:sz w:val="16"/>
                <w:szCs w:val="16"/>
              </w:rPr>
            </w:pPr>
            <w:r w:rsidRPr="00DB497F">
              <w:rPr>
                <w:rFonts w:cs="Calibri"/>
                <w:sz w:val="16"/>
                <w:szCs w:val="16"/>
              </w:rPr>
              <w:t>100.970</w:t>
            </w:r>
          </w:p>
        </w:tc>
        <w:tc>
          <w:tcPr>
            <w:tcW w:w="404" w:type="pct"/>
            <w:vMerge/>
            <w:tcBorders>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2DD8984B" w14:textId="77777777" w:rsidR="00FD2CBB" w:rsidRPr="00C45514" w:rsidRDefault="00FD2CBB">
            <w:pPr>
              <w:spacing w:after="0" w:line="240" w:lineRule="auto"/>
              <w:jc w:val="right"/>
              <w:rPr>
                <w:rFonts w:eastAsia="Times New Roman" w:cs="Calibri"/>
                <w:color w:val="000000"/>
                <w:sz w:val="16"/>
                <w:szCs w:val="16"/>
              </w:rPr>
            </w:pPr>
          </w:p>
        </w:tc>
        <w:tc>
          <w:tcPr>
            <w:tcW w:w="69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695748A4" w14:textId="77777777" w:rsidR="00FD2CBB" w:rsidRPr="00C45514" w:rsidRDefault="00FD2CBB">
            <w:pPr>
              <w:spacing w:after="0" w:line="240" w:lineRule="auto"/>
              <w:jc w:val="right"/>
              <w:rPr>
                <w:rFonts w:eastAsia="Times New Roman" w:cs="Calibri"/>
                <w:color w:val="000000"/>
                <w:sz w:val="16"/>
                <w:szCs w:val="16"/>
              </w:rPr>
            </w:pPr>
            <w:r w:rsidRPr="00DB497F">
              <w:rPr>
                <w:rFonts w:cs="Calibri"/>
                <w:sz w:val="16"/>
                <w:szCs w:val="16"/>
              </w:rPr>
              <w:t xml:space="preserve"> 372.151,75 € </w:t>
            </w:r>
          </w:p>
        </w:tc>
        <w:tc>
          <w:tcPr>
            <w:tcW w:w="704"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548A9BC9" w14:textId="77777777" w:rsidR="00FD2CBB" w:rsidRPr="00C45514" w:rsidRDefault="00FD2CBB">
            <w:pPr>
              <w:spacing w:after="0" w:line="240" w:lineRule="auto"/>
              <w:jc w:val="right"/>
              <w:rPr>
                <w:rFonts w:eastAsia="Times New Roman" w:cs="Calibri"/>
                <w:color w:val="000000"/>
                <w:sz w:val="16"/>
                <w:szCs w:val="16"/>
              </w:rPr>
            </w:pPr>
            <w:r w:rsidRPr="00F85BEB">
              <w:rPr>
                <w:sz w:val="16"/>
                <w:szCs w:val="16"/>
              </w:rPr>
              <w:t xml:space="preserve"> 241.898,63 €</w:t>
            </w:r>
          </w:p>
        </w:tc>
        <w:tc>
          <w:tcPr>
            <w:tcW w:w="704"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6487508C" w14:textId="77777777" w:rsidR="00FD2CBB" w:rsidRPr="00C45514" w:rsidRDefault="00FD2CBB">
            <w:pPr>
              <w:spacing w:after="0" w:line="240" w:lineRule="auto"/>
              <w:jc w:val="right"/>
              <w:rPr>
                <w:rFonts w:eastAsia="Times New Roman" w:cs="Calibri"/>
                <w:color w:val="000000"/>
                <w:sz w:val="16"/>
                <w:szCs w:val="16"/>
              </w:rPr>
            </w:pPr>
            <w:r w:rsidRPr="00F85BEB">
              <w:rPr>
                <w:sz w:val="16"/>
                <w:szCs w:val="16"/>
              </w:rPr>
              <w:t xml:space="preserve"> 130.253,11 € </w:t>
            </w:r>
          </w:p>
        </w:tc>
        <w:tc>
          <w:tcPr>
            <w:tcW w:w="560" w:type="pct"/>
            <w:vMerge/>
            <w:tcBorders>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362A0598" w14:textId="77777777" w:rsidR="00FD2CBB" w:rsidRPr="00C45514" w:rsidRDefault="00FD2CBB">
            <w:pPr>
              <w:spacing w:after="0" w:line="240" w:lineRule="auto"/>
              <w:jc w:val="right"/>
              <w:rPr>
                <w:rFonts w:eastAsia="Times New Roman" w:cs="Calibri"/>
                <w:color w:val="000000"/>
                <w:sz w:val="16"/>
                <w:szCs w:val="16"/>
              </w:rPr>
            </w:pPr>
          </w:p>
        </w:tc>
        <w:tc>
          <w:tcPr>
            <w:tcW w:w="404" w:type="pct"/>
            <w:vMerge/>
            <w:tcBorders>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5255FEE" w14:textId="77777777" w:rsidR="00FD2CBB" w:rsidRPr="00C45514" w:rsidRDefault="00FD2CBB">
            <w:pPr>
              <w:spacing w:after="0" w:line="240" w:lineRule="auto"/>
              <w:jc w:val="right"/>
              <w:rPr>
                <w:rFonts w:eastAsia="Times New Roman" w:cs="Calibri"/>
                <w:color w:val="000000"/>
                <w:sz w:val="16"/>
                <w:szCs w:val="16"/>
              </w:rPr>
            </w:pPr>
          </w:p>
        </w:tc>
      </w:tr>
      <w:tr w:rsidR="00FD2CBB" w:rsidRPr="00C45514" w14:paraId="442E0049" w14:textId="77777777" w:rsidTr="005069B7">
        <w:trPr>
          <w:trHeight w:val="283"/>
        </w:trPr>
        <w:tc>
          <w:tcPr>
            <w:tcW w:w="1034"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2B11141D" w14:textId="77777777" w:rsidR="00FD2CBB" w:rsidRPr="00E17C69" w:rsidRDefault="00FD2CBB">
            <w:pPr>
              <w:spacing w:after="0" w:line="240" w:lineRule="auto"/>
              <w:jc w:val="left"/>
              <w:rPr>
                <w:rFonts w:eastAsia="Times New Roman" w:cs="Calibri"/>
                <w:color w:val="000000"/>
                <w:sz w:val="16"/>
                <w:szCs w:val="16"/>
              </w:rPr>
            </w:pPr>
            <w:r w:rsidRPr="00E17C69">
              <w:rPr>
                <w:rFonts w:eastAsia="Times New Roman" w:cs="Calibri"/>
                <w:color w:val="000000"/>
                <w:sz w:val="16"/>
                <w:szCs w:val="16"/>
              </w:rPr>
              <w:t xml:space="preserve">Lotto periurbano </w:t>
            </w:r>
            <w:r w:rsidRPr="00E17C69">
              <w:rPr>
                <w:rFonts w:eastAsia="Times New Roman" w:cs="Calibri"/>
                <w:i/>
                <w:color w:val="000000"/>
                <w:sz w:val="16"/>
                <w:szCs w:val="16"/>
              </w:rPr>
              <w:t>in-house</w:t>
            </w:r>
          </w:p>
        </w:tc>
        <w:tc>
          <w:tcPr>
            <w:tcW w:w="494"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493D5CD3" w14:textId="77777777" w:rsidR="00FD2CBB" w:rsidRPr="00C45514" w:rsidRDefault="00FD2CBB">
            <w:pPr>
              <w:spacing w:after="0" w:line="240" w:lineRule="auto"/>
              <w:jc w:val="right"/>
              <w:rPr>
                <w:rFonts w:eastAsia="Times New Roman" w:cs="Calibri"/>
                <w:color w:val="000000"/>
                <w:sz w:val="16"/>
                <w:szCs w:val="16"/>
              </w:rPr>
            </w:pPr>
            <w:r w:rsidRPr="00DB497F">
              <w:rPr>
                <w:rFonts w:cs="Calibri"/>
                <w:sz w:val="16"/>
                <w:szCs w:val="16"/>
              </w:rPr>
              <w:t>4.187.640</w:t>
            </w:r>
          </w:p>
        </w:tc>
        <w:tc>
          <w:tcPr>
            <w:tcW w:w="404"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521EDEA5" w14:textId="77777777" w:rsidR="00FD2CBB" w:rsidRPr="00C45514" w:rsidRDefault="00FD2CBB">
            <w:pPr>
              <w:spacing w:after="0" w:line="240" w:lineRule="auto"/>
              <w:jc w:val="right"/>
              <w:rPr>
                <w:rFonts w:eastAsia="Times New Roman" w:cs="Calibri"/>
                <w:color w:val="000000"/>
                <w:sz w:val="16"/>
                <w:szCs w:val="16"/>
              </w:rPr>
            </w:pPr>
            <w:r w:rsidRPr="00DB497F">
              <w:rPr>
                <w:rFonts w:eastAsia="Times New Roman" w:cs="Calibri"/>
                <w:color w:val="000000"/>
                <w:sz w:val="16"/>
                <w:szCs w:val="16"/>
              </w:rPr>
              <w:t>4,03 €</w:t>
            </w:r>
          </w:p>
        </w:tc>
        <w:tc>
          <w:tcPr>
            <w:tcW w:w="69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05505189" w14:textId="77777777" w:rsidR="00FD2CBB" w:rsidRPr="00C45514" w:rsidRDefault="00FD2CBB">
            <w:pPr>
              <w:spacing w:after="0" w:line="240" w:lineRule="auto"/>
              <w:jc w:val="right"/>
              <w:rPr>
                <w:rFonts w:eastAsia="Times New Roman" w:cs="Calibri"/>
                <w:color w:val="000000"/>
                <w:sz w:val="16"/>
                <w:szCs w:val="16"/>
              </w:rPr>
            </w:pPr>
            <w:r w:rsidRPr="00DB497F">
              <w:rPr>
                <w:rFonts w:cs="Calibri"/>
                <w:sz w:val="16"/>
                <w:szCs w:val="16"/>
              </w:rPr>
              <w:t xml:space="preserve"> 16.881.563,88 € </w:t>
            </w:r>
          </w:p>
        </w:tc>
        <w:tc>
          <w:tcPr>
            <w:tcW w:w="704"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7554B654" w14:textId="77777777" w:rsidR="00FD2CBB" w:rsidRPr="00C45514" w:rsidRDefault="00FD2CBB">
            <w:pPr>
              <w:spacing w:after="0" w:line="240" w:lineRule="auto"/>
              <w:jc w:val="right"/>
              <w:rPr>
                <w:rFonts w:eastAsia="Times New Roman" w:cs="Calibri"/>
                <w:color w:val="000000"/>
                <w:sz w:val="16"/>
                <w:szCs w:val="16"/>
              </w:rPr>
            </w:pPr>
            <w:r w:rsidRPr="00DB497F">
              <w:rPr>
                <w:rFonts w:cs="Calibri"/>
                <w:sz w:val="16"/>
                <w:szCs w:val="16"/>
              </w:rPr>
              <w:t xml:space="preserve"> 10.973.016,52 €</w:t>
            </w:r>
          </w:p>
        </w:tc>
        <w:tc>
          <w:tcPr>
            <w:tcW w:w="704"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4DE3B23F" w14:textId="77777777" w:rsidR="00FD2CBB" w:rsidRPr="00C45514" w:rsidRDefault="00FD2CBB">
            <w:pPr>
              <w:spacing w:after="0" w:line="240" w:lineRule="auto"/>
              <w:jc w:val="right"/>
              <w:rPr>
                <w:rFonts w:eastAsia="Times New Roman" w:cs="Calibri"/>
                <w:color w:val="000000"/>
                <w:sz w:val="16"/>
                <w:szCs w:val="16"/>
              </w:rPr>
            </w:pPr>
            <w:r w:rsidRPr="00DB497F">
              <w:rPr>
                <w:rFonts w:cs="Calibri"/>
                <w:sz w:val="16"/>
                <w:szCs w:val="16"/>
              </w:rPr>
              <w:t xml:space="preserve"> 5.908.547,36 € </w:t>
            </w:r>
          </w:p>
        </w:tc>
        <w:tc>
          <w:tcPr>
            <w:tcW w:w="56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3339ECEF" w14:textId="77777777" w:rsidR="00FD2CBB" w:rsidRPr="00C45514" w:rsidRDefault="00FD2CBB">
            <w:pPr>
              <w:spacing w:after="0" w:line="240" w:lineRule="auto"/>
              <w:jc w:val="right"/>
              <w:rPr>
                <w:rFonts w:eastAsia="Times New Roman" w:cs="Calibri"/>
                <w:color w:val="000000"/>
                <w:sz w:val="16"/>
                <w:szCs w:val="16"/>
              </w:rPr>
            </w:pPr>
            <w:r w:rsidRPr="00F85BEB">
              <w:rPr>
                <w:rFonts w:eastAsia="Times New Roman" w:cs="Calibri"/>
                <w:color w:val="000000"/>
                <w:sz w:val="16"/>
                <w:szCs w:val="16"/>
              </w:rPr>
              <w:t>21,73</w:t>
            </w:r>
            <w:r w:rsidRPr="00F85BEB">
              <w:rPr>
                <w:rFonts w:eastAsia="Times New Roman" w:cs="Calibri"/>
                <w:color w:val="000000"/>
                <w:sz w:val="16"/>
                <w:szCs w:val="16"/>
              </w:rPr>
              <w:tab/>
            </w:r>
          </w:p>
        </w:tc>
        <w:tc>
          <w:tcPr>
            <w:tcW w:w="404"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04362B1" w14:textId="77777777" w:rsidR="00FD2CBB" w:rsidRPr="00C45514" w:rsidRDefault="00FD2CBB">
            <w:pPr>
              <w:spacing w:after="0" w:line="240" w:lineRule="auto"/>
              <w:jc w:val="right"/>
              <w:rPr>
                <w:rFonts w:eastAsia="Times New Roman" w:cs="Calibri"/>
                <w:color w:val="000000"/>
                <w:sz w:val="16"/>
                <w:szCs w:val="16"/>
              </w:rPr>
            </w:pPr>
            <w:r>
              <w:rPr>
                <w:rFonts w:eastAsia="Times New Roman" w:cs="Calibri"/>
                <w:color w:val="000000"/>
                <w:sz w:val="16"/>
                <w:szCs w:val="16"/>
              </w:rPr>
              <w:t>19,19</w:t>
            </w:r>
          </w:p>
        </w:tc>
      </w:tr>
      <w:tr w:rsidR="00FD2CBB" w:rsidRPr="00C45514" w14:paraId="6B18F42C" w14:textId="77777777" w:rsidTr="005069B7">
        <w:trPr>
          <w:trHeight w:val="283"/>
        </w:trPr>
        <w:tc>
          <w:tcPr>
            <w:tcW w:w="1034"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33CDBE25" w14:textId="77777777" w:rsidR="00FD2CBB" w:rsidRPr="00C45514" w:rsidRDefault="00FD2CBB">
            <w:pPr>
              <w:spacing w:after="0" w:line="240" w:lineRule="auto"/>
              <w:jc w:val="left"/>
              <w:rPr>
                <w:rFonts w:eastAsia="Times New Roman" w:cs="Calibri"/>
                <w:b/>
                <w:color w:val="000000"/>
                <w:sz w:val="16"/>
                <w:szCs w:val="16"/>
              </w:rPr>
            </w:pPr>
            <w:r w:rsidRPr="00DB497F">
              <w:rPr>
                <w:rFonts w:cs="Calibri"/>
                <w:b/>
                <w:sz w:val="16"/>
                <w:szCs w:val="16"/>
              </w:rPr>
              <w:t>Totale</w:t>
            </w:r>
          </w:p>
        </w:tc>
        <w:tc>
          <w:tcPr>
            <w:tcW w:w="494"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7704722C" w14:textId="77777777" w:rsidR="00FD2CBB" w:rsidRPr="00C45514" w:rsidRDefault="00FD2CBB">
            <w:pPr>
              <w:spacing w:after="0" w:line="240" w:lineRule="auto"/>
              <w:jc w:val="right"/>
              <w:rPr>
                <w:rFonts w:eastAsia="Times New Roman" w:cs="Calibri"/>
                <w:b/>
                <w:color w:val="000000"/>
                <w:sz w:val="16"/>
                <w:szCs w:val="16"/>
              </w:rPr>
            </w:pPr>
            <w:r w:rsidRPr="00DB497F">
              <w:rPr>
                <w:rFonts w:cs="Calibri"/>
                <w:b/>
                <w:sz w:val="16"/>
                <w:szCs w:val="16"/>
              </w:rPr>
              <w:t>21.368.005</w:t>
            </w:r>
          </w:p>
        </w:tc>
        <w:tc>
          <w:tcPr>
            <w:tcW w:w="404" w:type="pct"/>
            <w:tcBorders>
              <w:top w:val="single" w:sz="4" w:space="0" w:color="BFBFBF" w:themeColor="background1" w:themeShade="BF"/>
              <w:left w:val="single" w:sz="4" w:space="0" w:color="BFBFBF" w:themeColor="background1" w:themeShade="BF"/>
              <w:right w:val="single" w:sz="4" w:space="0" w:color="BFBFBF" w:themeColor="background1" w:themeShade="BF"/>
            </w:tcBorders>
            <w:noWrap/>
            <w:vAlign w:val="center"/>
            <w:hideMark/>
          </w:tcPr>
          <w:p w14:paraId="009CEEEF" w14:textId="77777777" w:rsidR="00FD2CBB" w:rsidRPr="00C45514" w:rsidRDefault="00FD2CBB">
            <w:pPr>
              <w:spacing w:after="0" w:line="240" w:lineRule="auto"/>
              <w:jc w:val="right"/>
              <w:rPr>
                <w:rFonts w:eastAsia="Times New Roman" w:cs="Calibri"/>
                <w:b/>
                <w:color w:val="000000"/>
                <w:sz w:val="16"/>
                <w:szCs w:val="16"/>
              </w:rPr>
            </w:pPr>
          </w:p>
        </w:tc>
        <w:tc>
          <w:tcPr>
            <w:tcW w:w="69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1F86FE80" w14:textId="77777777" w:rsidR="00FD2CBB" w:rsidRPr="00C45514" w:rsidRDefault="00FD2CBB">
            <w:pPr>
              <w:spacing w:after="0" w:line="240" w:lineRule="auto"/>
              <w:jc w:val="right"/>
              <w:rPr>
                <w:rFonts w:eastAsia="Times New Roman" w:cs="Calibri"/>
                <w:b/>
                <w:color w:val="000000"/>
                <w:sz w:val="16"/>
                <w:szCs w:val="16"/>
              </w:rPr>
            </w:pPr>
            <w:r w:rsidRPr="00DB497F">
              <w:rPr>
                <w:rFonts w:cs="Calibri"/>
                <w:b/>
                <w:sz w:val="16"/>
                <w:szCs w:val="16"/>
              </w:rPr>
              <w:t xml:space="preserve"> 80.053.951,55 € </w:t>
            </w:r>
          </w:p>
        </w:tc>
        <w:tc>
          <w:tcPr>
            <w:tcW w:w="704"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18DE2668" w14:textId="77777777" w:rsidR="00FD2CBB" w:rsidRPr="00C45514" w:rsidRDefault="00FD2CBB">
            <w:pPr>
              <w:spacing w:after="0" w:line="240" w:lineRule="auto"/>
              <w:jc w:val="right"/>
              <w:rPr>
                <w:rFonts w:eastAsia="Times New Roman" w:cs="Calibri"/>
                <w:b/>
                <w:color w:val="000000"/>
                <w:sz w:val="16"/>
                <w:szCs w:val="16"/>
              </w:rPr>
            </w:pPr>
            <w:r w:rsidRPr="00DB497F">
              <w:rPr>
                <w:rFonts w:cs="Calibri"/>
                <w:b/>
                <w:sz w:val="16"/>
                <w:szCs w:val="16"/>
              </w:rPr>
              <w:t xml:space="preserve"> 52.035.068,51 €</w:t>
            </w:r>
          </w:p>
        </w:tc>
        <w:tc>
          <w:tcPr>
            <w:tcW w:w="704"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1D7421B6" w14:textId="77777777" w:rsidR="00FD2CBB" w:rsidRPr="00C45514" w:rsidRDefault="00FD2CBB">
            <w:pPr>
              <w:spacing w:after="0" w:line="240" w:lineRule="auto"/>
              <w:jc w:val="right"/>
              <w:rPr>
                <w:rFonts w:eastAsia="Times New Roman" w:cs="Calibri"/>
                <w:b/>
                <w:color w:val="000000"/>
                <w:sz w:val="16"/>
                <w:szCs w:val="16"/>
              </w:rPr>
            </w:pPr>
            <w:r w:rsidRPr="00DB497F">
              <w:rPr>
                <w:rFonts w:cs="Calibri"/>
                <w:b/>
                <w:sz w:val="16"/>
                <w:szCs w:val="16"/>
              </w:rPr>
              <w:t xml:space="preserve"> 28.018.883,04 € </w:t>
            </w:r>
          </w:p>
        </w:tc>
        <w:tc>
          <w:tcPr>
            <w:tcW w:w="560" w:type="pct"/>
            <w:tcBorders>
              <w:top w:val="single" w:sz="4" w:space="0" w:color="BFBFBF" w:themeColor="background1" w:themeShade="BF"/>
              <w:left w:val="single" w:sz="4" w:space="0" w:color="BFBFBF" w:themeColor="background1" w:themeShade="BF"/>
              <w:right w:val="nil"/>
            </w:tcBorders>
            <w:noWrap/>
            <w:vAlign w:val="center"/>
            <w:hideMark/>
          </w:tcPr>
          <w:p w14:paraId="0B3E0E9C" w14:textId="77777777" w:rsidR="00FD2CBB" w:rsidRPr="00C45514" w:rsidRDefault="00FD2CBB">
            <w:pPr>
              <w:spacing w:after="0" w:line="240" w:lineRule="auto"/>
              <w:jc w:val="right"/>
              <w:rPr>
                <w:rFonts w:eastAsia="Times New Roman" w:cs="Calibri"/>
                <w:b/>
                <w:color w:val="000000"/>
                <w:sz w:val="16"/>
                <w:szCs w:val="16"/>
              </w:rPr>
            </w:pPr>
          </w:p>
        </w:tc>
        <w:tc>
          <w:tcPr>
            <w:tcW w:w="404" w:type="pct"/>
            <w:tcBorders>
              <w:top w:val="single" w:sz="4" w:space="0" w:color="BFBFBF" w:themeColor="background1" w:themeShade="BF"/>
              <w:left w:val="nil"/>
              <w:right w:val="nil"/>
            </w:tcBorders>
            <w:noWrap/>
            <w:vAlign w:val="center"/>
            <w:hideMark/>
          </w:tcPr>
          <w:p w14:paraId="66C33D71" w14:textId="77777777" w:rsidR="00FD2CBB" w:rsidRPr="00C45514" w:rsidRDefault="00FD2CBB">
            <w:pPr>
              <w:spacing w:after="0" w:line="240" w:lineRule="auto"/>
              <w:jc w:val="right"/>
              <w:rPr>
                <w:rFonts w:eastAsia="Times New Roman" w:cs="Calibri"/>
                <w:sz w:val="16"/>
                <w:szCs w:val="16"/>
              </w:rPr>
            </w:pPr>
          </w:p>
        </w:tc>
      </w:tr>
      <w:tr w:rsidR="00FD2CBB" w:rsidRPr="00C45514" w14:paraId="6C589473" w14:textId="77777777" w:rsidTr="005069B7">
        <w:trPr>
          <w:trHeight w:val="283"/>
        </w:trPr>
        <w:tc>
          <w:tcPr>
            <w:tcW w:w="1034"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E3438"/>
            <w:noWrap/>
            <w:vAlign w:val="center"/>
          </w:tcPr>
          <w:p w14:paraId="375C3585" w14:textId="77777777" w:rsidR="00FD2CBB" w:rsidRPr="00BA5BFC" w:rsidRDefault="00FD2CBB">
            <w:pPr>
              <w:spacing w:after="0" w:line="240" w:lineRule="auto"/>
              <w:jc w:val="left"/>
              <w:rPr>
                <w:rFonts w:eastAsia="Times New Roman" w:cs="Calibri"/>
                <w:b/>
                <w:color w:val="FFFFFF" w:themeColor="background1"/>
                <w:sz w:val="16"/>
                <w:szCs w:val="16"/>
              </w:rPr>
            </w:pPr>
            <w:r w:rsidRPr="00BA5BFC">
              <w:rPr>
                <w:rFonts w:cs="Calibri"/>
                <w:b/>
                <w:color w:val="FFFFFF" w:themeColor="background1"/>
                <w:sz w:val="16"/>
                <w:szCs w:val="16"/>
              </w:rPr>
              <w:t>Valore unitario €/km</w:t>
            </w:r>
          </w:p>
        </w:tc>
        <w:tc>
          <w:tcPr>
            <w:tcW w:w="494" w:type="pct"/>
            <w:tcBorders>
              <w:top w:val="single" w:sz="4" w:space="0" w:color="BFBFBF" w:themeColor="background1" w:themeShade="BF"/>
              <w:left w:val="single" w:sz="4" w:space="0" w:color="BFBFBF" w:themeColor="background1" w:themeShade="BF"/>
            </w:tcBorders>
            <w:noWrap/>
            <w:vAlign w:val="center"/>
          </w:tcPr>
          <w:p w14:paraId="677DFAC4" w14:textId="77777777" w:rsidR="00FD2CBB" w:rsidRPr="00BA5BFC" w:rsidRDefault="00FD2CBB">
            <w:pPr>
              <w:spacing w:after="0" w:line="240" w:lineRule="auto"/>
              <w:jc w:val="right"/>
              <w:rPr>
                <w:rFonts w:eastAsia="Times New Roman" w:cs="Calibri"/>
                <w:b/>
                <w:color w:val="FFFFFF" w:themeColor="background1"/>
                <w:sz w:val="16"/>
                <w:szCs w:val="16"/>
              </w:rPr>
            </w:pPr>
          </w:p>
        </w:tc>
        <w:tc>
          <w:tcPr>
            <w:tcW w:w="404" w:type="pct"/>
            <w:tcBorders>
              <w:bottom w:val="nil"/>
              <w:right w:val="single" w:sz="4" w:space="0" w:color="BFBFBF" w:themeColor="background1" w:themeShade="BF"/>
            </w:tcBorders>
            <w:noWrap/>
            <w:vAlign w:val="center"/>
          </w:tcPr>
          <w:p w14:paraId="670A2E08" w14:textId="77777777" w:rsidR="00FD2CBB" w:rsidRPr="00BA5BFC" w:rsidRDefault="00FD2CBB">
            <w:pPr>
              <w:spacing w:after="0" w:line="240" w:lineRule="auto"/>
              <w:jc w:val="right"/>
              <w:rPr>
                <w:rFonts w:eastAsia="Times New Roman" w:cs="Calibri"/>
                <w:b/>
                <w:color w:val="FFFFFF" w:themeColor="background1"/>
                <w:sz w:val="16"/>
                <w:szCs w:val="16"/>
              </w:rPr>
            </w:pPr>
          </w:p>
        </w:tc>
        <w:tc>
          <w:tcPr>
            <w:tcW w:w="69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E3438"/>
            <w:noWrap/>
            <w:vAlign w:val="center"/>
          </w:tcPr>
          <w:p w14:paraId="0C94DA47" w14:textId="77777777" w:rsidR="00FD2CBB" w:rsidRPr="00BA5BFC" w:rsidRDefault="00FD2CBB">
            <w:pPr>
              <w:spacing w:after="0" w:line="240" w:lineRule="auto"/>
              <w:jc w:val="right"/>
              <w:rPr>
                <w:rFonts w:eastAsia="Times New Roman" w:cs="Calibri"/>
                <w:b/>
                <w:color w:val="FFFFFF" w:themeColor="background1"/>
                <w:sz w:val="16"/>
                <w:szCs w:val="16"/>
              </w:rPr>
            </w:pPr>
            <w:r w:rsidRPr="00BA5BFC">
              <w:rPr>
                <w:rFonts w:cs="Calibri"/>
                <w:b/>
                <w:color w:val="FFFFFF" w:themeColor="background1"/>
                <w:sz w:val="16"/>
                <w:szCs w:val="16"/>
              </w:rPr>
              <w:t xml:space="preserve"> 3,75 € </w:t>
            </w:r>
          </w:p>
        </w:tc>
        <w:tc>
          <w:tcPr>
            <w:tcW w:w="704"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E3438"/>
            <w:noWrap/>
            <w:vAlign w:val="center"/>
          </w:tcPr>
          <w:p w14:paraId="45868273" w14:textId="77777777" w:rsidR="00FD2CBB" w:rsidRPr="00BA5BFC" w:rsidRDefault="00FD2CBB">
            <w:pPr>
              <w:spacing w:after="0" w:line="240" w:lineRule="auto"/>
              <w:jc w:val="right"/>
              <w:rPr>
                <w:rFonts w:eastAsia="Times New Roman" w:cs="Calibri"/>
                <w:b/>
                <w:color w:val="FFFFFF" w:themeColor="background1"/>
                <w:sz w:val="16"/>
                <w:szCs w:val="16"/>
              </w:rPr>
            </w:pPr>
            <w:r w:rsidRPr="00BA5BFC">
              <w:rPr>
                <w:rFonts w:cs="Calibri"/>
                <w:b/>
                <w:color w:val="FFFFFF" w:themeColor="background1"/>
                <w:sz w:val="16"/>
                <w:szCs w:val="16"/>
              </w:rPr>
              <w:t xml:space="preserve"> 2,44 € </w:t>
            </w:r>
          </w:p>
        </w:tc>
        <w:tc>
          <w:tcPr>
            <w:tcW w:w="704"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E3438"/>
            <w:noWrap/>
            <w:vAlign w:val="center"/>
          </w:tcPr>
          <w:p w14:paraId="54475982" w14:textId="77777777" w:rsidR="00FD2CBB" w:rsidRPr="00BA5BFC" w:rsidRDefault="00FD2CBB">
            <w:pPr>
              <w:spacing w:after="0" w:line="240" w:lineRule="auto"/>
              <w:jc w:val="right"/>
              <w:rPr>
                <w:rFonts w:eastAsia="Times New Roman" w:cs="Calibri"/>
                <w:b/>
                <w:color w:val="FFFFFF" w:themeColor="background1"/>
                <w:sz w:val="16"/>
                <w:szCs w:val="16"/>
              </w:rPr>
            </w:pPr>
            <w:r w:rsidRPr="00BA5BFC">
              <w:rPr>
                <w:rFonts w:cs="Calibri"/>
                <w:b/>
                <w:color w:val="FFFFFF" w:themeColor="background1"/>
                <w:sz w:val="16"/>
                <w:szCs w:val="16"/>
              </w:rPr>
              <w:t xml:space="preserve"> 1,31 € </w:t>
            </w:r>
          </w:p>
        </w:tc>
        <w:tc>
          <w:tcPr>
            <w:tcW w:w="560" w:type="pct"/>
            <w:tcBorders>
              <w:left w:val="single" w:sz="4" w:space="0" w:color="BFBFBF" w:themeColor="background1" w:themeShade="BF"/>
              <w:bottom w:val="nil"/>
              <w:right w:val="nil"/>
            </w:tcBorders>
            <w:noWrap/>
            <w:vAlign w:val="center"/>
          </w:tcPr>
          <w:p w14:paraId="5041A100" w14:textId="77777777" w:rsidR="00FD2CBB" w:rsidRPr="00DB497F" w:rsidRDefault="00FD2CBB">
            <w:pPr>
              <w:spacing w:after="0" w:line="240" w:lineRule="auto"/>
              <w:jc w:val="right"/>
              <w:rPr>
                <w:rFonts w:eastAsia="Times New Roman" w:cs="Calibri"/>
                <w:b/>
                <w:color w:val="000000"/>
                <w:sz w:val="16"/>
                <w:szCs w:val="16"/>
              </w:rPr>
            </w:pPr>
          </w:p>
        </w:tc>
        <w:tc>
          <w:tcPr>
            <w:tcW w:w="404" w:type="pct"/>
            <w:tcBorders>
              <w:left w:val="nil"/>
              <w:bottom w:val="nil"/>
              <w:right w:val="nil"/>
            </w:tcBorders>
            <w:noWrap/>
            <w:vAlign w:val="center"/>
          </w:tcPr>
          <w:p w14:paraId="00CA4F80" w14:textId="77777777" w:rsidR="00FD2CBB" w:rsidRPr="00DB497F" w:rsidRDefault="00FD2CBB">
            <w:pPr>
              <w:spacing w:after="0" w:line="240" w:lineRule="auto"/>
              <w:jc w:val="right"/>
              <w:rPr>
                <w:rFonts w:eastAsia="Times New Roman" w:cs="Calibri"/>
                <w:sz w:val="16"/>
                <w:szCs w:val="16"/>
              </w:rPr>
            </w:pPr>
          </w:p>
        </w:tc>
      </w:tr>
    </w:tbl>
    <w:p w14:paraId="1D43ED67" w14:textId="553C6914" w:rsidR="00FD2CBB" w:rsidRPr="00AD01C5" w:rsidRDefault="00FD2CBB" w:rsidP="00F22C31">
      <w:pPr>
        <w:spacing w:after="240" w:line="240" w:lineRule="auto"/>
        <w:jc w:val="center"/>
        <w:rPr>
          <w:rFonts w:eastAsia="Calibri"/>
          <w:i/>
          <w:color w:val="003366"/>
          <w:sz w:val="18"/>
          <w:szCs w:val="18"/>
        </w:rPr>
      </w:pPr>
      <w:r w:rsidRPr="00AD01C5">
        <w:rPr>
          <w:rFonts w:eastAsia="Calibri"/>
          <w:i/>
          <w:color w:val="003366"/>
          <w:sz w:val="18"/>
          <w:szCs w:val="18"/>
        </w:rPr>
        <w:t xml:space="preserve">Tabella </w:t>
      </w:r>
      <w:r w:rsidRPr="00BF35BC">
        <w:rPr>
          <w:rFonts w:cstheme="minorHAnsi"/>
          <w:i/>
          <w:color w:val="003366"/>
          <w:sz w:val="18"/>
          <w:szCs w:val="18"/>
        </w:rPr>
        <w:fldChar w:fldCharType="begin"/>
      </w:r>
      <w:r w:rsidRPr="00BF35BC">
        <w:rPr>
          <w:rFonts w:cstheme="minorHAnsi"/>
          <w:i/>
          <w:color w:val="003366"/>
          <w:sz w:val="18"/>
          <w:szCs w:val="18"/>
        </w:rPr>
        <w:instrText xml:space="preserve"> SEQ Tabella \* ARABIC </w:instrText>
      </w:r>
      <w:r w:rsidRPr="00BF35BC">
        <w:rPr>
          <w:rFonts w:cstheme="minorHAnsi"/>
          <w:i/>
          <w:color w:val="003366"/>
          <w:sz w:val="18"/>
          <w:szCs w:val="18"/>
        </w:rPr>
        <w:fldChar w:fldCharType="separate"/>
      </w:r>
      <w:r w:rsidR="00073B6D">
        <w:rPr>
          <w:rFonts w:cstheme="minorHAnsi"/>
          <w:i/>
          <w:noProof/>
          <w:color w:val="003366"/>
          <w:sz w:val="18"/>
          <w:szCs w:val="18"/>
        </w:rPr>
        <w:t>67</w:t>
      </w:r>
      <w:r w:rsidRPr="00BF35BC">
        <w:rPr>
          <w:rFonts w:cstheme="minorHAnsi"/>
          <w:i/>
          <w:color w:val="003366"/>
          <w:sz w:val="18"/>
          <w:szCs w:val="18"/>
        </w:rPr>
        <w:fldChar w:fldCharType="end"/>
      </w:r>
      <w:r w:rsidRPr="00BF35BC">
        <w:rPr>
          <w:rFonts w:cstheme="minorHAnsi"/>
          <w:i/>
          <w:color w:val="003366"/>
          <w:sz w:val="18"/>
          <w:szCs w:val="18"/>
        </w:rPr>
        <w:t xml:space="preserve"> </w:t>
      </w:r>
      <w:r w:rsidRPr="00AD01C5">
        <w:rPr>
          <w:rFonts w:eastAsia="Calibri"/>
          <w:color w:val="003366"/>
          <w:sz w:val="18"/>
          <w:szCs w:val="18"/>
        </w:rPr>
        <w:t xml:space="preserve">– </w:t>
      </w:r>
      <w:r w:rsidRPr="00AD01C5">
        <w:rPr>
          <w:rFonts w:eastAsia="Calibri"/>
          <w:i/>
          <w:color w:val="003366"/>
          <w:sz w:val="18"/>
          <w:szCs w:val="18"/>
        </w:rPr>
        <w:t xml:space="preserve">Valore delle Compensazioni ipotesi </w:t>
      </w:r>
      <w:r>
        <w:rPr>
          <w:rFonts w:eastAsia="Calibri"/>
          <w:i/>
          <w:color w:val="003366"/>
          <w:sz w:val="18"/>
          <w:szCs w:val="18"/>
        </w:rPr>
        <w:t>3</w:t>
      </w:r>
      <w:r w:rsidRPr="00AD01C5">
        <w:rPr>
          <w:rFonts w:eastAsia="Calibri"/>
          <w:i/>
          <w:color w:val="003366"/>
          <w:sz w:val="18"/>
          <w:szCs w:val="18"/>
        </w:rPr>
        <w:t xml:space="preserve"> lotti</w:t>
      </w:r>
      <w:r>
        <w:rPr>
          <w:rFonts w:eastAsia="Calibri"/>
          <w:i/>
          <w:color w:val="003366"/>
          <w:sz w:val="18"/>
          <w:szCs w:val="18"/>
        </w:rPr>
        <w:t xml:space="preserve"> di gara</w:t>
      </w:r>
    </w:p>
    <w:p w14:paraId="51F73D8B" w14:textId="77777777" w:rsidR="00FD2CBB" w:rsidRDefault="00FD2CBB" w:rsidP="00FD2CBB">
      <w:pPr>
        <w:spacing w:before="120" w:after="0" w:line="240" w:lineRule="auto"/>
        <w:rPr>
          <w:rFonts w:eastAsia="Calibri"/>
        </w:rPr>
      </w:pPr>
      <w:r w:rsidRPr="00AD01C5">
        <w:rPr>
          <w:rFonts w:eastAsia="Calibri"/>
        </w:rPr>
        <w:lastRenderedPageBreak/>
        <w:t>Anche se è già stata ampiamente giustificata l’esclusione dell’ipotesi a lotto unico, sia dal punto di vista normativo che dal punto di vista qualitativo, si riporta per completezza la valutazione del costo totale standard di tale soluzione.</w:t>
      </w:r>
    </w:p>
    <w:p w14:paraId="1500CF05" w14:textId="77777777" w:rsidR="00FD2CBB" w:rsidRDefault="00FD2CBB" w:rsidP="00FD2CBB">
      <w:pPr>
        <w:spacing w:before="120" w:after="0" w:line="240" w:lineRule="auto"/>
        <w:rPr>
          <w:rFonts w:eastAsia="Calibri"/>
          <w:b/>
        </w:rPr>
      </w:pPr>
      <w:r>
        <w:rPr>
          <w:rFonts w:eastAsia="Calibri"/>
          <w:b/>
        </w:rPr>
        <w:t xml:space="preserve">Scenario </w:t>
      </w:r>
      <w:r w:rsidRPr="00AD01C5">
        <w:rPr>
          <w:rFonts w:eastAsia="Calibri"/>
          <w:b/>
        </w:rPr>
        <w:t>lotto unico</w:t>
      </w:r>
      <w:r>
        <w:rPr>
          <w:rFonts w:eastAsia="Calibri"/>
          <w:b/>
        </w:rPr>
        <w:t xml:space="preserve"> </w:t>
      </w:r>
      <w:r w:rsidRPr="0055365B">
        <w:rPr>
          <w:rFonts w:eastAsia="Calibri"/>
          <w:b/>
        </w:rPr>
        <w:t>(+sub</w:t>
      </w:r>
      <w:r>
        <w:rPr>
          <w:rFonts w:eastAsia="Calibri"/>
          <w:b/>
        </w:rPr>
        <w:t>-</w:t>
      </w:r>
      <w:r w:rsidRPr="0055365B">
        <w:rPr>
          <w:rFonts w:eastAsia="Calibri"/>
          <w:b/>
        </w:rPr>
        <w:t>lotto area a domanda debole</w:t>
      </w:r>
      <w:r>
        <w:rPr>
          <w:rFonts w:eastAsia="Calibri"/>
          <w:b/>
        </w:rPr>
        <w:t xml:space="preserve"> + lotto in House</w:t>
      </w:r>
      <w:r w:rsidRPr="0055365B">
        <w:rPr>
          <w:rFonts w:eastAsia="Calibri"/>
          <w:b/>
        </w:rPr>
        <w:t>)</w:t>
      </w:r>
    </w:p>
    <w:tbl>
      <w:tblPr>
        <w:tblW w:w="5000" w:type="pct"/>
        <w:tblCellMar>
          <w:left w:w="70" w:type="dxa"/>
          <w:right w:w="70" w:type="dxa"/>
        </w:tblCellMar>
        <w:tblLook w:val="04A0" w:firstRow="1" w:lastRow="0" w:firstColumn="1" w:lastColumn="0" w:noHBand="0" w:noVBand="1"/>
      </w:tblPr>
      <w:tblGrid>
        <w:gridCol w:w="1840"/>
        <w:gridCol w:w="897"/>
        <w:gridCol w:w="732"/>
        <w:gridCol w:w="1232"/>
        <w:gridCol w:w="1306"/>
        <w:gridCol w:w="1306"/>
        <w:gridCol w:w="1015"/>
        <w:gridCol w:w="732"/>
      </w:tblGrid>
      <w:tr w:rsidR="00BA5BFC" w:rsidRPr="00BA5BFC" w14:paraId="194DFB2D" w14:textId="77777777" w:rsidTr="005069B7">
        <w:trPr>
          <w:trHeight w:val="397"/>
        </w:trPr>
        <w:tc>
          <w:tcPr>
            <w:tcW w:w="101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000000" w:fill="EE3438"/>
            <w:vAlign w:val="center"/>
            <w:hideMark/>
          </w:tcPr>
          <w:p w14:paraId="5B12BE45" w14:textId="77777777" w:rsidR="00FD2CBB" w:rsidRPr="00BA5BFC" w:rsidRDefault="00FD2CBB">
            <w:pPr>
              <w:spacing w:after="0" w:line="240" w:lineRule="auto"/>
              <w:jc w:val="center"/>
              <w:rPr>
                <w:rFonts w:eastAsia="Times New Roman" w:cs="Calibri"/>
                <w:b/>
                <w:color w:val="FFFFFF" w:themeColor="background1"/>
                <w:sz w:val="16"/>
                <w:szCs w:val="16"/>
              </w:rPr>
            </w:pPr>
            <w:r w:rsidRPr="00BA5BFC">
              <w:rPr>
                <w:rFonts w:eastAsia="Times New Roman" w:cs="Calibri"/>
                <w:b/>
                <w:color w:val="FFFFFF" w:themeColor="background1"/>
                <w:sz w:val="16"/>
                <w:szCs w:val="16"/>
              </w:rPr>
              <w:t>Lotti</w:t>
            </w:r>
          </w:p>
        </w:tc>
        <w:tc>
          <w:tcPr>
            <w:tcW w:w="49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000000" w:fill="EE3438"/>
            <w:vAlign w:val="center"/>
            <w:hideMark/>
          </w:tcPr>
          <w:p w14:paraId="791A3388" w14:textId="77777777" w:rsidR="00FD2CBB" w:rsidRPr="00BA5BFC" w:rsidRDefault="00FD2CBB">
            <w:pPr>
              <w:spacing w:after="0" w:line="240" w:lineRule="auto"/>
              <w:jc w:val="center"/>
              <w:rPr>
                <w:rFonts w:eastAsia="Times New Roman" w:cs="Calibri"/>
                <w:b/>
                <w:color w:val="FFFFFF" w:themeColor="background1"/>
                <w:sz w:val="16"/>
                <w:szCs w:val="16"/>
              </w:rPr>
            </w:pPr>
            <w:r w:rsidRPr="00BA5BFC">
              <w:rPr>
                <w:rFonts w:eastAsia="Times New Roman" w:cs="Calibri"/>
                <w:b/>
                <w:color w:val="FFFFFF" w:themeColor="background1"/>
                <w:sz w:val="16"/>
                <w:szCs w:val="16"/>
              </w:rPr>
              <w:t>Produzione Km</w:t>
            </w:r>
          </w:p>
        </w:tc>
        <w:tc>
          <w:tcPr>
            <w:tcW w:w="404"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000000" w:fill="EE3438"/>
            <w:vAlign w:val="center"/>
            <w:hideMark/>
          </w:tcPr>
          <w:p w14:paraId="7D37D9C5" w14:textId="77777777" w:rsidR="00FD2CBB" w:rsidRPr="00BA5BFC" w:rsidRDefault="00FD2CBB">
            <w:pPr>
              <w:spacing w:after="0" w:line="240" w:lineRule="auto"/>
              <w:jc w:val="center"/>
              <w:rPr>
                <w:rFonts w:eastAsia="Times New Roman" w:cs="Calibri"/>
                <w:b/>
                <w:color w:val="FFFFFF" w:themeColor="background1"/>
                <w:sz w:val="16"/>
                <w:szCs w:val="16"/>
              </w:rPr>
            </w:pPr>
            <w:r w:rsidRPr="00BA5BFC">
              <w:rPr>
                <w:rFonts w:eastAsia="Times New Roman" w:cs="Calibri"/>
                <w:b/>
                <w:color w:val="FFFFFF" w:themeColor="background1"/>
                <w:sz w:val="16"/>
                <w:szCs w:val="16"/>
              </w:rPr>
              <w:t>Costo standard</w:t>
            </w:r>
          </w:p>
        </w:tc>
        <w:tc>
          <w:tcPr>
            <w:tcW w:w="68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000000" w:fill="EE3438"/>
            <w:vAlign w:val="center"/>
            <w:hideMark/>
          </w:tcPr>
          <w:p w14:paraId="62AA5406" w14:textId="77777777" w:rsidR="00FD2CBB" w:rsidRPr="00BA5BFC" w:rsidRDefault="00FD2CBB">
            <w:pPr>
              <w:spacing w:after="0" w:line="240" w:lineRule="auto"/>
              <w:jc w:val="center"/>
              <w:rPr>
                <w:rFonts w:eastAsia="Times New Roman" w:cs="Calibri"/>
                <w:b/>
                <w:color w:val="FFFFFF" w:themeColor="background1"/>
                <w:sz w:val="16"/>
                <w:szCs w:val="16"/>
              </w:rPr>
            </w:pPr>
            <w:r w:rsidRPr="00BA5BFC">
              <w:rPr>
                <w:rFonts w:eastAsia="Times New Roman" w:cs="Calibri"/>
                <w:b/>
                <w:color w:val="FFFFFF" w:themeColor="background1"/>
                <w:sz w:val="16"/>
                <w:szCs w:val="16"/>
              </w:rPr>
              <w:t>Costo totale</w:t>
            </w:r>
          </w:p>
        </w:tc>
        <w:tc>
          <w:tcPr>
            <w:tcW w:w="72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000000" w:fill="EE3438"/>
            <w:vAlign w:val="center"/>
            <w:hideMark/>
          </w:tcPr>
          <w:p w14:paraId="3B6654F4" w14:textId="77777777" w:rsidR="00FD2CBB" w:rsidRPr="00BA5BFC" w:rsidRDefault="00FD2CBB">
            <w:pPr>
              <w:spacing w:after="0" w:line="240" w:lineRule="auto"/>
              <w:jc w:val="center"/>
              <w:rPr>
                <w:rFonts w:eastAsia="Times New Roman" w:cs="Calibri"/>
                <w:b/>
                <w:color w:val="FFFFFF" w:themeColor="background1"/>
                <w:sz w:val="16"/>
                <w:szCs w:val="16"/>
              </w:rPr>
            </w:pPr>
            <w:r w:rsidRPr="00BA5BFC">
              <w:rPr>
                <w:rFonts w:eastAsia="Times New Roman" w:cs="Calibri"/>
                <w:b/>
                <w:color w:val="FFFFFF" w:themeColor="background1"/>
                <w:sz w:val="16"/>
                <w:szCs w:val="16"/>
              </w:rPr>
              <w:t>Compensazioni</w:t>
            </w:r>
            <w:r w:rsidRPr="00BA5BFC">
              <w:rPr>
                <w:rFonts w:eastAsia="Times New Roman" w:cs="Calibri"/>
                <w:b/>
                <w:color w:val="FFFFFF" w:themeColor="background1"/>
                <w:sz w:val="16"/>
                <w:szCs w:val="16"/>
              </w:rPr>
              <w:br/>
              <w:t>65%</w:t>
            </w:r>
          </w:p>
        </w:tc>
        <w:tc>
          <w:tcPr>
            <w:tcW w:w="72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000000" w:fill="EE3438"/>
            <w:vAlign w:val="center"/>
            <w:hideMark/>
          </w:tcPr>
          <w:p w14:paraId="5FD5E842" w14:textId="77777777" w:rsidR="00FD2CBB" w:rsidRPr="00BA5BFC" w:rsidRDefault="00FD2CBB">
            <w:pPr>
              <w:spacing w:after="0" w:line="240" w:lineRule="auto"/>
              <w:jc w:val="center"/>
              <w:rPr>
                <w:rFonts w:eastAsia="Times New Roman" w:cs="Calibri"/>
                <w:b/>
                <w:color w:val="FFFFFF" w:themeColor="background1"/>
                <w:sz w:val="16"/>
                <w:szCs w:val="16"/>
              </w:rPr>
            </w:pPr>
            <w:r w:rsidRPr="00BA5BFC">
              <w:rPr>
                <w:rFonts w:eastAsia="Times New Roman" w:cs="Calibri"/>
                <w:b/>
                <w:color w:val="FFFFFF" w:themeColor="background1"/>
                <w:sz w:val="16"/>
                <w:szCs w:val="16"/>
              </w:rPr>
              <w:t>Ricavi da Traffico</w:t>
            </w:r>
            <w:r w:rsidRPr="00BA5BFC">
              <w:rPr>
                <w:rFonts w:eastAsia="Times New Roman" w:cs="Calibri"/>
                <w:b/>
                <w:color w:val="FFFFFF" w:themeColor="background1"/>
                <w:sz w:val="16"/>
                <w:szCs w:val="16"/>
              </w:rPr>
              <w:br/>
              <w:t>35%</w:t>
            </w:r>
          </w:p>
        </w:tc>
        <w:tc>
          <w:tcPr>
            <w:tcW w:w="56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000000" w:fill="EE3438"/>
            <w:vAlign w:val="center"/>
            <w:hideMark/>
          </w:tcPr>
          <w:p w14:paraId="2C3C2117" w14:textId="77777777" w:rsidR="00FD2CBB" w:rsidRPr="00BA5BFC" w:rsidRDefault="00FD2CBB">
            <w:pPr>
              <w:spacing w:after="0" w:line="240" w:lineRule="auto"/>
              <w:jc w:val="center"/>
              <w:rPr>
                <w:rFonts w:eastAsia="Times New Roman" w:cs="Calibri"/>
                <w:b/>
                <w:color w:val="FFFFFF" w:themeColor="background1"/>
                <w:sz w:val="16"/>
                <w:szCs w:val="16"/>
              </w:rPr>
            </w:pPr>
            <w:r w:rsidRPr="00BA5BFC">
              <w:rPr>
                <w:rFonts w:eastAsia="Times New Roman" w:cs="Calibri"/>
                <w:b/>
                <w:color w:val="FFFFFF" w:themeColor="background1"/>
                <w:sz w:val="16"/>
                <w:szCs w:val="16"/>
              </w:rPr>
              <w:t>Velocità Commerciale</w:t>
            </w:r>
          </w:p>
        </w:tc>
        <w:tc>
          <w:tcPr>
            <w:tcW w:w="404"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000000" w:fill="EE3438"/>
            <w:vAlign w:val="center"/>
            <w:hideMark/>
          </w:tcPr>
          <w:p w14:paraId="19CE4587" w14:textId="77777777" w:rsidR="00FD2CBB" w:rsidRPr="00BA5BFC" w:rsidRDefault="00FD2CBB">
            <w:pPr>
              <w:spacing w:after="0" w:line="240" w:lineRule="auto"/>
              <w:jc w:val="center"/>
              <w:rPr>
                <w:rFonts w:eastAsia="Times New Roman" w:cs="Calibri"/>
                <w:b/>
                <w:color w:val="FFFFFF" w:themeColor="background1"/>
                <w:sz w:val="16"/>
                <w:szCs w:val="16"/>
              </w:rPr>
            </w:pPr>
            <w:r w:rsidRPr="00BA5BFC">
              <w:rPr>
                <w:rFonts w:eastAsia="Times New Roman" w:cs="Calibri"/>
                <w:b/>
                <w:color w:val="FFFFFF" w:themeColor="background1"/>
                <w:sz w:val="16"/>
                <w:szCs w:val="16"/>
              </w:rPr>
              <w:t>Velocità standard</w:t>
            </w:r>
          </w:p>
        </w:tc>
      </w:tr>
      <w:tr w:rsidR="00FD2CBB" w:rsidRPr="00C45514" w14:paraId="7495BD0A" w14:textId="77777777" w:rsidTr="005069B7">
        <w:trPr>
          <w:trHeight w:val="397"/>
        </w:trPr>
        <w:tc>
          <w:tcPr>
            <w:tcW w:w="101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5FA9AA7D" w14:textId="77777777" w:rsidR="00FD2CBB" w:rsidRPr="00C45514" w:rsidRDefault="00FD2CBB">
            <w:pPr>
              <w:spacing w:after="0" w:line="240" w:lineRule="auto"/>
              <w:jc w:val="left"/>
              <w:rPr>
                <w:rFonts w:eastAsia="Times New Roman" w:cs="Calibri"/>
                <w:color w:val="000000"/>
                <w:sz w:val="16"/>
                <w:szCs w:val="16"/>
              </w:rPr>
            </w:pPr>
            <w:r w:rsidRPr="000C2276">
              <w:rPr>
                <w:rFonts w:cs="Calibri"/>
                <w:sz w:val="16"/>
                <w:szCs w:val="16"/>
              </w:rPr>
              <w:t>Lotto Unico</w:t>
            </w:r>
          </w:p>
        </w:tc>
        <w:tc>
          <w:tcPr>
            <w:tcW w:w="49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0AFE5FA5" w14:textId="77777777" w:rsidR="00FD2CBB" w:rsidRPr="00C45514" w:rsidRDefault="00FD2CBB">
            <w:pPr>
              <w:spacing w:after="0" w:line="240" w:lineRule="auto"/>
              <w:jc w:val="right"/>
              <w:rPr>
                <w:rFonts w:eastAsia="Times New Roman" w:cs="Calibri"/>
                <w:color w:val="000000"/>
                <w:sz w:val="16"/>
                <w:szCs w:val="16"/>
              </w:rPr>
            </w:pPr>
            <w:r w:rsidRPr="000C2276">
              <w:rPr>
                <w:sz w:val="16"/>
                <w:szCs w:val="16"/>
              </w:rPr>
              <w:t>17.079.395</w:t>
            </w:r>
          </w:p>
        </w:tc>
        <w:tc>
          <w:tcPr>
            <w:tcW w:w="404" w:type="pct"/>
            <w:vMerge w:val="restart"/>
            <w:tcBorders>
              <w:top w:val="single" w:sz="4" w:space="0" w:color="BFBFBF" w:themeColor="background1" w:themeShade="BF"/>
              <w:left w:val="single" w:sz="4" w:space="0" w:color="BFBFBF" w:themeColor="background1" w:themeShade="BF"/>
              <w:right w:val="single" w:sz="4" w:space="0" w:color="BFBFBF" w:themeColor="background1" w:themeShade="BF"/>
            </w:tcBorders>
            <w:noWrap/>
            <w:vAlign w:val="center"/>
          </w:tcPr>
          <w:p w14:paraId="5BA7F570" w14:textId="77777777" w:rsidR="00FD2CBB" w:rsidRPr="00C45514" w:rsidRDefault="00FD2CBB">
            <w:pPr>
              <w:spacing w:after="0" w:line="240" w:lineRule="auto"/>
              <w:jc w:val="right"/>
              <w:rPr>
                <w:rFonts w:eastAsia="Times New Roman" w:cs="Calibri"/>
                <w:color w:val="000000"/>
                <w:sz w:val="16"/>
                <w:szCs w:val="16"/>
              </w:rPr>
            </w:pPr>
            <w:r w:rsidRPr="000C2276">
              <w:rPr>
                <w:sz w:val="16"/>
                <w:szCs w:val="16"/>
              </w:rPr>
              <w:t xml:space="preserve"> 4,00 €</w:t>
            </w:r>
          </w:p>
        </w:tc>
        <w:tc>
          <w:tcPr>
            <w:tcW w:w="68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557FA1E1" w14:textId="77777777" w:rsidR="00FD2CBB" w:rsidRPr="00C45514" w:rsidRDefault="00FD2CBB">
            <w:pPr>
              <w:spacing w:after="0" w:line="240" w:lineRule="auto"/>
              <w:jc w:val="right"/>
              <w:rPr>
                <w:rFonts w:eastAsia="Times New Roman" w:cs="Calibri"/>
                <w:color w:val="000000"/>
                <w:sz w:val="16"/>
                <w:szCs w:val="16"/>
              </w:rPr>
            </w:pPr>
            <w:r w:rsidRPr="000C2276">
              <w:rPr>
                <w:sz w:val="16"/>
                <w:szCs w:val="16"/>
              </w:rPr>
              <w:t xml:space="preserve"> 68.310.125,87 € </w:t>
            </w:r>
          </w:p>
        </w:tc>
        <w:tc>
          <w:tcPr>
            <w:tcW w:w="72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1C720690" w14:textId="77777777" w:rsidR="00FD2CBB" w:rsidRPr="00C45514" w:rsidRDefault="00FD2CBB">
            <w:pPr>
              <w:spacing w:after="0" w:line="240" w:lineRule="auto"/>
              <w:jc w:val="right"/>
              <w:rPr>
                <w:rFonts w:eastAsia="Times New Roman" w:cs="Calibri"/>
                <w:color w:val="000000"/>
                <w:sz w:val="16"/>
                <w:szCs w:val="16"/>
              </w:rPr>
            </w:pPr>
            <w:r w:rsidRPr="000C2276">
              <w:rPr>
                <w:sz w:val="16"/>
                <w:szCs w:val="16"/>
              </w:rPr>
              <w:t xml:space="preserve"> 44.401.581,81 € </w:t>
            </w:r>
          </w:p>
        </w:tc>
        <w:tc>
          <w:tcPr>
            <w:tcW w:w="72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5D728346" w14:textId="77777777" w:rsidR="00FD2CBB" w:rsidRPr="00C45514" w:rsidRDefault="00FD2CBB">
            <w:pPr>
              <w:spacing w:after="0" w:line="240" w:lineRule="auto"/>
              <w:jc w:val="right"/>
              <w:rPr>
                <w:rFonts w:eastAsia="Times New Roman" w:cs="Calibri"/>
                <w:color w:val="000000"/>
                <w:sz w:val="16"/>
                <w:szCs w:val="16"/>
              </w:rPr>
            </w:pPr>
            <w:r w:rsidRPr="000C2276">
              <w:rPr>
                <w:sz w:val="16"/>
                <w:szCs w:val="16"/>
              </w:rPr>
              <w:t xml:space="preserve"> 23.908.544,05 € </w:t>
            </w:r>
          </w:p>
        </w:tc>
        <w:tc>
          <w:tcPr>
            <w:tcW w:w="560" w:type="pct"/>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0D2300C8" w14:textId="77777777" w:rsidR="00FD2CBB" w:rsidRPr="00C45514" w:rsidRDefault="00FD2CBB">
            <w:pPr>
              <w:spacing w:after="0" w:line="240" w:lineRule="auto"/>
              <w:jc w:val="right"/>
              <w:rPr>
                <w:rFonts w:eastAsia="Times New Roman" w:cs="Calibri"/>
                <w:color w:val="000000"/>
                <w:sz w:val="16"/>
                <w:szCs w:val="16"/>
              </w:rPr>
            </w:pPr>
            <w:r w:rsidRPr="000C2276">
              <w:rPr>
                <w:sz w:val="16"/>
                <w:szCs w:val="16"/>
              </w:rPr>
              <w:t>32,41</w:t>
            </w:r>
          </w:p>
        </w:tc>
        <w:tc>
          <w:tcPr>
            <w:tcW w:w="404" w:type="pct"/>
            <w:vMerge w:val="restart"/>
            <w:tcBorders>
              <w:top w:val="single" w:sz="4" w:space="0" w:color="BFBFBF" w:themeColor="background1" w:themeShade="BF"/>
              <w:left w:val="single" w:sz="4" w:space="0" w:color="BFBFBF" w:themeColor="background1" w:themeShade="BF"/>
              <w:right w:val="single" w:sz="4" w:space="0" w:color="BFBFBF" w:themeColor="background1" w:themeShade="BF"/>
            </w:tcBorders>
            <w:noWrap/>
            <w:vAlign w:val="center"/>
            <w:hideMark/>
          </w:tcPr>
          <w:p w14:paraId="12E19ECC" w14:textId="77777777" w:rsidR="00FD2CBB" w:rsidRPr="00C45514" w:rsidRDefault="00FD2CBB">
            <w:pPr>
              <w:spacing w:after="0" w:line="240" w:lineRule="auto"/>
              <w:jc w:val="right"/>
              <w:rPr>
                <w:rFonts w:eastAsia="Times New Roman" w:cs="Calibri"/>
                <w:color w:val="000000"/>
                <w:sz w:val="16"/>
                <w:szCs w:val="16"/>
              </w:rPr>
            </w:pPr>
            <w:r w:rsidRPr="000C2276">
              <w:rPr>
                <w:sz w:val="16"/>
                <w:szCs w:val="16"/>
              </w:rPr>
              <w:t>28,22</w:t>
            </w:r>
          </w:p>
        </w:tc>
      </w:tr>
      <w:tr w:rsidR="00FD2CBB" w:rsidRPr="00C45514" w14:paraId="565F1B8B" w14:textId="77777777" w:rsidTr="005069B7">
        <w:trPr>
          <w:trHeight w:val="397"/>
        </w:trPr>
        <w:tc>
          <w:tcPr>
            <w:tcW w:w="101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2F822D08" w14:textId="77777777" w:rsidR="00FD2CBB" w:rsidRPr="00C45514" w:rsidRDefault="00FD2CBB">
            <w:pPr>
              <w:spacing w:after="0" w:line="240" w:lineRule="auto"/>
              <w:jc w:val="left"/>
              <w:rPr>
                <w:rFonts w:eastAsia="Times New Roman" w:cs="Calibri"/>
                <w:color w:val="000000"/>
                <w:sz w:val="16"/>
                <w:szCs w:val="16"/>
              </w:rPr>
            </w:pPr>
            <w:r w:rsidRPr="000C2276">
              <w:rPr>
                <w:rFonts w:cs="Calibri"/>
                <w:sz w:val="16"/>
                <w:szCs w:val="16"/>
              </w:rPr>
              <w:t>Sublotto ADD</w:t>
            </w:r>
          </w:p>
        </w:tc>
        <w:tc>
          <w:tcPr>
            <w:tcW w:w="49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3006643F" w14:textId="77777777" w:rsidR="00FD2CBB" w:rsidRPr="00C45514" w:rsidRDefault="00FD2CBB">
            <w:pPr>
              <w:spacing w:after="0" w:line="240" w:lineRule="auto"/>
              <w:jc w:val="right"/>
              <w:rPr>
                <w:rFonts w:eastAsia="Times New Roman" w:cs="Calibri"/>
                <w:color w:val="000000"/>
                <w:sz w:val="16"/>
                <w:szCs w:val="16"/>
              </w:rPr>
            </w:pPr>
            <w:r w:rsidRPr="000C2276">
              <w:rPr>
                <w:sz w:val="16"/>
                <w:szCs w:val="16"/>
              </w:rPr>
              <w:t>100.970</w:t>
            </w:r>
          </w:p>
        </w:tc>
        <w:tc>
          <w:tcPr>
            <w:tcW w:w="404" w:type="pct"/>
            <w:vMerge/>
            <w:tcBorders>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0040A4A6" w14:textId="77777777" w:rsidR="00FD2CBB" w:rsidRPr="00C45514" w:rsidRDefault="00FD2CBB">
            <w:pPr>
              <w:spacing w:after="0" w:line="240" w:lineRule="auto"/>
              <w:jc w:val="right"/>
              <w:rPr>
                <w:rFonts w:eastAsia="Times New Roman" w:cs="Calibri"/>
                <w:color w:val="000000"/>
                <w:sz w:val="16"/>
                <w:szCs w:val="16"/>
              </w:rPr>
            </w:pPr>
          </w:p>
        </w:tc>
        <w:tc>
          <w:tcPr>
            <w:tcW w:w="68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4AF92D06" w14:textId="77777777" w:rsidR="00FD2CBB" w:rsidRPr="00C45514" w:rsidRDefault="00FD2CBB">
            <w:pPr>
              <w:spacing w:after="0" w:line="240" w:lineRule="auto"/>
              <w:jc w:val="right"/>
              <w:rPr>
                <w:rFonts w:eastAsia="Times New Roman" w:cs="Calibri"/>
                <w:color w:val="000000"/>
                <w:sz w:val="16"/>
                <w:szCs w:val="16"/>
              </w:rPr>
            </w:pPr>
            <w:r w:rsidRPr="000C2276">
              <w:rPr>
                <w:sz w:val="16"/>
                <w:szCs w:val="16"/>
              </w:rPr>
              <w:t xml:space="preserve"> 403.835,92 € </w:t>
            </w:r>
          </w:p>
        </w:tc>
        <w:tc>
          <w:tcPr>
            <w:tcW w:w="72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54412C47" w14:textId="77777777" w:rsidR="00FD2CBB" w:rsidRPr="00C45514" w:rsidRDefault="00FD2CBB">
            <w:pPr>
              <w:spacing w:after="0" w:line="240" w:lineRule="auto"/>
              <w:jc w:val="right"/>
              <w:rPr>
                <w:rFonts w:eastAsia="Times New Roman" w:cs="Calibri"/>
                <w:color w:val="000000"/>
                <w:sz w:val="16"/>
                <w:szCs w:val="16"/>
              </w:rPr>
            </w:pPr>
            <w:r w:rsidRPr="000C2276">
              <w:rPr>
                <w:sz w:val="16"/>
                <w:szCs w:val="16"/>
              </w:rPr>
              <w:t xml:space="preserve"> 262.493,35 € </w:t>
            </w:r>
          </w:p>
        </w:tc>
        <w:tc>
          <w:tcPr>
            <w:tcW w:w="72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634C73A3" w14:textId="77777777" w:rsidR="00FD2CBB" w:rsidRPr="00C45514" w:rsidRDefault="00FD2CBB">
            <w:pPr>
              <w:spacing w:after="0" w:line="240" w:lineRule="auto"/>
              <w:jc w:val="right"/>
              <w:rPr>
                <w:rFonts w:eastAsia="Times New Roman" w:cs="Calibri"/>
                <w:color w:val="000000"/>
                <w:sz w:val="16"/>
                <w:szCs w:val="16"/>
              </w:rPr>
            </w:pPr>
            <w:r w:rsidRPr="000C2276">
              <w:rPr>
                <w:sz w:val="16"/>
                <w:szCs w:val="16"/>
              </w:rPr>
              <w:t xml:space="preserve"> 141.342,57 € </w:t>
            </w:r>
          </w:p>
        </w:tc>
        <w:tc>
          <w:tcPr>
            <w:tcW w:w="560" w:type="pct"/>
            <w:vMerge/>
            <w:tcBorders>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06FD17E0" w14:textId="77777777" w:rsidR="00FD2CBB" w:rsidRPr="000C2276" w:rsidRDefault="00FD2CBB">
            <w:pPr>
              <w:spacing w:after="0" w:line="240" w:lineRule="auto"/>
              <w:jc w:val="right"/>
              <w:rPr>
                <w:rFonts w:eastAsia="Times New Roman" w:cs="Calibri"/>
                <w:color w:val="000000"/>
                <w:sz w:val="16"/>
                <w:szCs w:val="16"/>
              </w:rPr>
            </w:pPr>
          </w:p>
        </w:tc>
        <w:tc>
          <w:tcPr>
            <w:tcW w:w="404" w:type="pct"/>
            <w:vMerge/>
            <w:tcBorders>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6898FD1" w14:textId="77777777" w:rsidR="00FD2CBB" w:rsidRPr="00C45514" w:rsidRDefault="00FD2CBB">
            <w:pPr>
              <w:spacing w:after="0" w:line="240" w:lineRule="auto"/>
              <w:jc w:val="right"/>
              <w:rPr>
                <w:rFonts w:eastAsia="Times New Roman" w:cs="Calibri"/>
                <w:color w:val="000000"/>
                <w:sz w:val="16"/>
                <w:szCs w:val="16"/>
              </w:rPr>
            </w:pPr>
          </w:p>
        </w:tc>
      </w:tr>
      <w:tr w:rsidR="00FD2CBB" w:rsidRPr="00C45514" w14:paraId="585561EF" w14:textId="77777777" w:rsidTr="005069B7">
        <w:trPr>
          <w:trHeight w:val="397"/>
        </w:trPr>
        <w:tc>
          <w:tcPr>
            <w:tcW w:w="101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19B07C70" w14:textId="77777777" w:rsidR="00FD2CBB" w:rsidRPr="00C45514" w:rsidRDefault="00FD2CBB">
            <w:pPr>
              <w:spacing w:after="0" w:line="240" w:lineRule="auto"/>
              <w:jc w:val="left"/>
              <w:rPr>
                <w:rFonts w:eastAsia="Times New Roman" w:cs="Calibri"/>
                <w:color w:val="000000"/>
                <w:sz w:val="16"/>
                <w:szCs w:val="16"/>
              </w:rPr>
            </w:pPr>
            <w:r w:rsidRPr="00E17C69">
              <w:rPr>
                <w:rFonts w:eastAsia="Times New Roman" w:cs="Calibri"/>
                <w:color w:val="000000"/>
                <w:sz w:val="16"/>
                <w:szCs w:val="16"/>
              </w:rPr>
              <w:t xml:space="preserve">Lotto periurbano </w:t>
            </w:r>
            <w:r w:rsidRPr="00E17C69">
              <w:rPr>
                <w:rFonts w:eastAsia="Times New Roman" w:cs="Calibri"/>
                <w:i/>
                <w:color w:val="000000"/>
                <w:sz w:val="16"/>
                <w:szCs w:val="16"/>
              </w:rPr>
              <w:t>in-house</w:t>
            </w:r>
          </w:p>
        </w:tc>
        <w:tc>
          <w:tcPr>
            <w:tcW w:w="49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22A29F78" w14:textId="77777777" w:rsidR="00FD2CBB" w:rsidRPr="00C45514" w:rsidRDefault="00FD2CBB">
            <w:pPr>
              <w:spacing w:after="0" w:line="240" w:lineRule="auto"/>
              <w:jc w:val="right"/>
              <w:rPr>
                <w:rFonts w:eastAsia="Times New Roman" w:cs="Calibri"/>
                <w:color w:val="000000"/>
                <w:sz w:val="16"/>
                <w:szCs w:val="16"/>
              </w:rPr>
            </w:pPr>
            <w:r w:rsidRPr="000C2276">
              <w:rPr>
                <w:sz w:val="16"/>
                <w:szCs w:val="16"/>
              </w:rPr>
              <w:t>4.187.640</w:t>
            </w:r>
          </w:p>
        </w:tc>
        <w:tc>
          <w:tcPr>
            <w:tcW w:w="404"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53CC7CB5" w14:textId="77777777" w:rsidR="00FD2CBB" w:rsidRPr="00C45514" w:rsidRDefault="00FD2CBB">
            <w:pPr>
              <w:spacing w:after="0" w:line="240" w:lineRule="auto"/>
              <w:jc w:val="right"/>
              <w:rPr>
                <w:rFonts w:eastAsia="Times New Roman" w:cs="Calibri"/>
                <w:color w:val="000000"/>
                <w:sz w:val="16"/>
                <w:szCs w:val="16"/>
              </w:rPr>
            </w:pPr>
            <w:r w:rsidRPr="000C2276">
              <w:rPr>
                <w:sz w:val="16"/>
                <w:szCs w:val="16"/>
              </w:rPr>
              <w:t xml:space="preserve"> 4,03 €</w:t>
            </w:r>
          </w:p>
        </w:tc>
        <w:tc>
          <w:tcPr>
            <w:tcW w:w="68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66D91BD8" w14:textId="77777777" w:rsidR="00FD2CBB" w:rsidRPr="00C45514" w:rsidRDefault="00FD2CBB">
            <w:pPr>
              <w:spacing w:after="0" w:line="240" w:lineRule="auto"/>
              <w:jc w:val="right"/>
              <w:rPr>
                <w:rFonts w:eastAsia="Times New Roman" w:cs="Calibri"/>
                <w:color w:val="000000"/>
                <w:sz w:val="16"/>
                <w:szCs w:val="16"/>
              </w:rPr>
            </w:pPr>
            <w:r w:rsidRPr="000C2276">
              <w:rPr>
                <w:sz w:val="16"/>
                <w:szCs w:val="16"/>
              </w:rPr>
              <w:t xml:space="preserve"> 16.881.563,88 € </w:t>
            </w:r>
          </w:p>
        </w:tc>
        <w:tc>
          <w:tcPr>
            <w:tcW w:w="72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320E237B" w14:textId="77777777" w:rsidR="00FD2CBB" w:rsidRPr="00C45514" w:rsidRDefault="00FD2CBB">
            <w:pPr>
              <w:spacing w:after="0" w:line="240" w:lineRule="auto"/>
              <w:jc w:val="right"/>
              <w:rPr>
                <w:rFonts w:eastAsia="Times New Roman" w:cs="Calibri"/>
                <w:color w:val="000000"/>
                <w:sz w:val="16"/>
                <w:szCs w:val="16"/>
              </w:rPr>
            </w:pPr>
            <w:r w:rsidRPr="000C2276">
              <w:rPr>
                <w:sz w:val="16"/>
                <w:szCs w:val="16"/>
              </w:rPr>
              <w:t xml:space="preserve"> 10.973.016,52 € </w:t>
            </w:r>
          </w:p>
        </w:tc>
        <w:tc>
          <w:tcPr>
            <w:tcW w:w="72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637402BE" w14:textId="77777777" w:rsidR="00FD2CBB" w:rsidRPr="00C45514" w:rsidRDefault="00FD2CBB">
            <w:pPr>
              <w:spacing w:after="0" w:line="240" w:lineRule="auto"/>
              <w:jc w:val="right"/>
              <w:rPr>
                <w:rFonts w:eastAsia="Times New Roman" w:cs="Calibri"/>
                <w:color w:val="000000"/>
                <w:sz w:val="16"/>
                <w:szCs w:val="16"/>
              </w:rPr>
            </w:pPr>
            <w:r w:rsidRPr="000C2276">
              <w:rPr>
                <w:sz w:val="16"/>
                <w:szCs w:val="16"/>
              </w:rPr>
              <w:t xml:space="preserve"> 5.908.547,36 € </w:t>
            </w:r>
          </w:p>
        </w:tc>
        <w:tc>
          <w:tcPr>
            <w:tcW w:w="56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749A23CA" w14:textId="77777777" w:rsidR="00FD2CBB" w:rsidRPr="000C2276" w:rsidRDefault="00FD2CBB">
            <w:pPr>
              <w:spacing w:after="0" w:line="240" w:lineRule="auto"/>
              <w:jc w:val="right"/>
              <w:rPr>
                <w:rFonts w:eastAsia="Times New Roman" w:cs="Calibri"/>
                <w:color w:val="000000"/>
                <w:sz w:val="16"/>
                <w:szCs w:val="16"/>
              </w:rPr>
            </w:pPr>
            <w:r w:rsidRPr="000C2276">
              <w:rPr>
                <w:sz w:val="16"/>
                <w:szCs w:val="16"/>
              </w:rPr>
              <w:t>21,73</w:t>
            </w:r>
          </w:p>
        </w:tc>
        <w:tc>
          <w:tcPr>
            <w:tcW w:w="404"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85BE462" w14:textId="77777777" w:rsidR="00FD2CBB" w:rsidRPr="00C45514" w:rsidRDefault="00FD2CBB">
            <w:pPr>
              <w:spacing w:after="0" w:line="240" w:lineRule="auto"/>
              <w:jc w:val="right"/>
              <w:rPr>
                <w:rFonts w:eastAsia="Times New Roman" w:cs="Calibri"/>
                <w:color w:val="000000"/>
                <w:sz w:val="16"/>
                <w:szCs w:val="16"/>
              </w:rPr>
            </w:pPr>
            <w:r w:rsidRPr="000C2276">
              <w:rPr>
                <w:sz w:val="16"/>
                <w:szCs w:val="16"/>
              </w:rPr>
              <w:t>19,19</w:t>
            </w:r>
          </w:p>
        </w:tc>
      </w:tr>
      <w:tr w:rsidR="00FD2CBB" w:rsidRPr="00C45514" w14:paraId="2A203590" w14:textId="77777777" w:rsidTr="005069B7">
        <w:trPr>
          <w:trHeight w:val="397"/>
        </w:trPr>
        <w:tc>
          <w:tcPr>
            <w:tcW w:w="101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5E9B01F6" w14:textId="77777777" w:rsidR="00FD2CBB" w:rsidRPr="00C45514" w:rsidRDefault="00FD2CBB">
            <w:pPr>
              <w:spacing w:after="0" w:line="240" w:lineRule="auto"/>
              <w:jc w:val="left"/>
              <w:rPr>
                <w:rFonts w:eastAsia="Times New Roman" w:cs="Calibri"/>
                <w:b/>
                <w:color w:val="000000"/>
                <w:sz w:val="16"/>
                <w:szCs w:val="16"/>
              </w:rPr>
            </w:pPr>
            <w:r w:rsidRPr="000C2276">
              <w:rPr>
                <w:rFonts w:cs="Calibri"/>
                <w:b/>
                <w:sz w:val="16"/>
                <w:szCs w:val="16"/>
              </w:rPr>
              <w:t>Totale</w:t>
            </w:r>
          </w:p>
        </w:tc>
        <w:tc>
          <w:tcPr>
            <w:tcW w:w="49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7BA72908" w14:textId="77777777" w:rsidR="00FD2CBB" w:rsidRPr="00C45514" w:rsidRDefault="00FD2CBB">
            <w:pPr>
              <w:spacing w:after="0" w:line="240" w:lineRule="auto"/>
              <w:jc w:val="right"/>
              <w:rPr>
                <w:rFonts w:eastAsia="Times New Roman" w:cs="Calibri"/>
                <w:b/>
                <w:color w:val="000000"/>
                <w:sz w:val="16"/>
                <w:szCs w:val="16"/>
              </w:rPr>
            </w:pPr>
            <w:r w:rsidRPr="000C2276">
              <w:rPr>
                <w:rFonts w:cs="Calibri"/>
                <w:b/>
                <w:sz w:val="16"/>
                <w:szCs w:val="16"/>
              </w:rPr>
              <w:t>21.368.005</w:t>
            </w:r>
          </w:p>
        </w:tc>
        <w:tc>
          <w:tcPr>
            <w:tcW w:w="404" w:type="pct"/>
            <w:tcBorders>
              <w:top w:val="single" w:sz="4" w:space="0" w:color="BFBFBF" w:themeColor="background1" w:themeShade="BF"/>
              <w:left w:val="single" w:sz="4" w:space="0" w:color="BFBFBF" w:themeColor="background1" w:themeShade="BF"/>
              <w:right w:val="single" w:sz="4" w:space="0" w:color="BFBFBF" w:themeColor="background1" w:themeShade="BF"/>
            </w:tcBorders>
            <w:noWrap/>
            <w:vAlign w:val="center"/>
            <w:hideMark/>
          </w:tcPr>
          <w:p w14:paraId="56DE22F9" w14:textId="77777777" w:rsidR="00FD2CBB" w:rsidRPr="00C45514" w:rsidRDefault="00FD2CBB">
            <w:pPr>
              <w:spacing w:after="0" w:line="240" w:lineRule="auto"/>
              <w:jc w:val="right"/>
              <w:rPr>
                <w:rFonts w:eastAsia="Times New Roman" w:cs="Calibri"/>
                <w:b/>
                <w:color w:val="000000"/>
                <w:sz w:val="16"/>
                <w:szCs w:val="16"/>
              </w:rPr>
            </w:pPr>
          </w:p>
        </w:tc>
        <w:tc>
          <w:tcPr>
            <w:tcW w:w="68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22F08918" w14:textId="77777777" w:rsidR="00FD2CBB" w:rsidRPr="00C45514" w:rsidRDefault="00FD2CBB">
            <w:pPr>
              <w:spacing w:after="0" w:line="240" w:lineRule="auto"/>
              <w:jc w:val="right"/>
              <w:rPr>
                <w:rFonts w:eastAsia="Times New Roman" w:cs="Calibri"/>
                <w:b/>
                <w:color w:val="000000"/>
                <w:sz w:val="16"/>
                <w:szCs w:val="16"/>
              </w:rPr>
            </w:pPr>
            <w:r w:rsidRPr="000C2276">
              <w:rPr>
                <w:b/>
                <w:bCs/>
                <w:sz w:val="16"/>
                <w:szCs w:val="16"/>
              </w:rPr>
              <w:t xml:space="preserve"> 85.595.525,67 € </w:t>
            </w:r>
          </w:p>
        </w:tc>
        <w:tc>
          <w:tcPr>
            <w:tcW w:w="72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00C82102" w14:textId="77777777" w:rsidR="00FD2CBB" w:rsidRPr="00C45514" w:rsidRDefault="00FD2CBB">
            <w:pPr>
              <w:spacing w:after="0" w:line="240" w:lineRule="auto"/>
              <w:jc w:val="right"/>
              <w:rPr>
                <w:rFonts w:eastAsia="Times New Roman" w:cs="Calibri"/>
                <w:b/>
                <w:color w:val="000000"/>
                <w:sz w:val="16"/>
                <w:szCs w:val="16"/>
              </w:rPr>
            </w:pPr>
            <w:r w:rsidRPr="000C2276">
              <w:rPr>
                <w:b/>
                <w:bCs/>
                <w:sz w:val="16"/>
                <w:szCs w:val="16"/>
              </w:rPr>
              <w:t xml:space="preserve"> 55.637.091,69 € </w:t>
            </w:r>
          </w:p>
        </w:tc>
        <w:tc>
          <w:tcPr>
            <w:tcW w:w="72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18A7018D" w14:textId="77777777" w:rsidR="00FD2CBB" w:rsidRPr="00C45514" w:rsidRDefault="00FD2CBB">
            <w:pPr>
              <w:spacing w:after="0" w:line="240" w:lineRule="auto"/>
              <w:jc w:val="right"/>
              <w:rPr>
                <w:rFonts w:eastAsia="Times New Roman" w:cs="Calibri"/>
                <w:b/>
                <w:color w:val="000000"/>
                <w:sz w:val="16"/>
                <w:szCs w:val="16"/>
              </w:rPr>
            </w:pPr>
            <w:r w:rsidRPr="000C2276">
              <w:rPr>
                <w:b/>
                <w:bCs/>
                <w:sz w:val="16"/>
                <w:szCs w:val="16"/>
              </w:rPr>
              <w:t xml:space="preserve"> 29.958.433,98 € </w:t>
            </w:r>
          </w:p>
        </w:tc>
        <w:tc>
          <w:tcPr>
            <w:tcW w:w="560" w:type="pct"/>
            <w:tcBorders>
              <w:top w:val="single" w:sz="4" w:space="0" w:color="BFBFBF" w:themeColor="background1" w:themeShade="BF"/>
              <w:left w:val="single" w:sz="4" w:space="0" w:color="BFBFBF" w:themeColor="background1" w:themeShade="BF"/>
              <w:right w:val="nil"/>
            </w:tcBorders>
            <w:noWrap/>
            <w:vAlign w:val="center"/>
            <w:hideMark/>
          </w:tcPr>
          <w:p w14:paraId="59F33E10" w14:textId="77777777" w:rsidR="00FD2CBB" w:rsidRPr="00C45514" w:rsidRDefault="00FD2CBB">
            <w:pPr>
              <w:spacing w:after="0" w:line="240" w:lineRule="auto"/>
              <w:jc w:val="right"/>
              <w:rPr>
                <w:rFonts w:eastAsia="Times New Roman" w:cs="Calibri"/>
                <w:b/>
                <w:color w:val="000000"/>
                <w:sz w:val="16"/>
                <w:szCs w:val="16"/>
              </w:rPr>
            </w:pPr>
          </w:p>
        </w:tc>
        <w:tc>
          <w:tcPr>
            <w:tcW w:w="404" w:type="pct"/>
            <w:tcBorders>
              <w:top w:val="single" w:sz="4" w:space="0" w:color="BFBFBF" w:themeColor="background1" w:themeShade="BF"/>
              <w:left w:val="nil"/>
              <w:right w:val="nil"/>
            </w:tcBorders>
            <w:noWrap/>
            <w:vAlign w:val="center"/>
            <w:hideMark/>
          </w:tcPr>
          <w:p w14:paraId="63A0C7DC" w14:textId="77777777" w:rsidR="00FD2CBB" w:rsidRPr="00C45514" w:rsidRDefault="00FD2CBB">
            <w:pPr>
              <w:spacing w:after="0" w:line="240" w:lineRule="auto"/>
              <w:jc w:val="right"/>
              <w:rPr>
                <w:rFonts w:eastAsia="Times New Roman" w:cs="Calibri"/>
                <w:sz w:val="16"/>
                <w:szCs w:val="16"/>
              </w:rPr>
            </w:pPr>
          </w:p>
        </w:tc>
      </w:tr>
      <w:tr w:rsidR="00FD2CBB" w:rsidRPr="00C45514" w14:paraId="3018CC29" w14:textId="77777777" w:rsidTr="005069B7">
        <w:trPr>
          <w:trHeight w:val="397"/>
        </w:trPr>
        <w:tc>
          <w:tcPr>
            <w:tcW w:w="101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E3438"/>
            <w:noWrap/>
            <w:vAlign w:val="center"/>
          </w:tcPr>
          <w:p w14:paraId="30B3ABB5" w14:textId="77777777" w:rsidR="00FD2CBB" w:rsidRPr="00BA5BFC" w:rsidRDefault="00FD2CBB">
            <w:pPr>
              <w:spacing w:after="0" w:line="240" w:lineRule="auto"/>
              <w:jc w:val="left"/>
              <w:rPr>
                <w:rFonts w:eastAsia="Times New Roman" w:cs="Calibri"/>
                <w:b/>
                <w:color w:val="FFFFFF" w:themeColor="background1"/>
                <w:sz w:val="16"/>
                <w:szCs w:val="16"/>
              </w:rPr>
            </w:pPr>
            <w:r w:rsidRPr="00BA5BFC">
              <w:rPr>
                <w:rFonts w:cs="Calibri"/>
                <w:b/>
                <w:color w:val="FFFFFF" w:themeColor="background1"/>
                <w:sz w:val="16"/>
                <w:szCs w:val="16"/>
              </w:rPr>
              <w:t>Valore unitario €/km</w:t>
            </w:r>
          </w:p>
        </w:tc>
        <w:tc>
          <w:tcPr>
            <w:tcW w:w="495" w:type="pct"/>
            <w:tcBorders>
              <w:top w:val="single" w:sz="4" w:space="0" w:color="BFBFBF" w:themeColor="background1" w:themeShade="BF"/>
              <w:left w:val="single" w:sz="4" w:space="0" w:color="BFBFBF" w:themeColor="background1" w:themeShade="BF"/>
            </w:tcBorders>
            <w:noWrap/>
            <w:vAlign w:val="center"/>
          </w:tcPr>
          <w:p w14:paraId="77CF02C9" w14:textId="77777777" w:rsidR="00FD2CBB" w:rsidRPr="00BA5BFC" w:rsidRDefault="00FD2CBB">
            <w:pPr>
              <w:spacing w:after="0" w:line="240" w:lineRule="auto"/>
              <w:jc w:val="right"/>
              <w:rPr>
                <w:rFonts w:eastAsia="Times New Roman" w:cs="Calibri"/>
                <w:b/>
                <w:color w:val="FFFFFF" w:themeColor="background1"/>
                <w:sz w:val="16"/>
                <w:szCs w:val="16"/>
              </w:rPr>
            </w:pPr>
          </w:p>
        </w:tc>
        <w:tc>
          <w:tcPr>
            <w:tcW w:w="404" w:type="pct"/>
            <w:tcBorders>
              <w:bottom w:val="nil"/>
              <w:right w:val="single" w:sz="4" w:space="0" w:color="BFBFBF" w:themeColor="background1" w:themeShade="BF"/>
            </w:tcBorders>
            <w:noWrap/>
            <w:vAlign w:val="center"/>
          </w:tcPr>
          <w:p w14:paraId="5BAAD686" w14:textId="77777777" w:rsidR="00FD2CBB" w:rsidRPr="00BA5BFC" w:rsidRDefault="00FD2CBB">
            <w:pPr>
              <w:spacing w:after="0" w:line="240" w:lineRule="auto"/>
              <w:jc w:val="right"/>
              <w:rPr>
                <w:rFonts w:eastAsia="Times New Roman" w:cs="Calibri"/>
                <w:b/>
                <w:color w:val="FFFFFF" w:themeColor="background1"/>
                <w:sz w:val="16"/>
                <w:szCs w:val="16"/>
              </w:rPr>
            </w:pPr>
          </w:p>
        </w:tc>
        <w:tc>
          <w:tcPr>
            <w:tcW w:w="68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E3438"/>
            <w:noWrap/>
            <w:vAlign w:val="center"/>
          </w:tcPr>
          <w:p w14:paraId="43F4B61C" w14:textId="77777777" w:rsidR="00FD2CBB" w:rsidRPr="00BA5BFC" w:rsidRDefault="00FD2CBB">
            <w:pPr>
              <w:spacing w:after="0" w:line="240" w:lineRule="auto"/>
              <w:jc w:val="right"/>
              <w:rPr>
                <w:rFonts w:eastAsia="Times New Roman" w:cs="Calibri"/>
                <w:b/>
                <w:color w:val="FFFFFF" w:themeColor="background1"/>
                <w:sz w:val="16"/>
                <w:szCs w:val="16"/>
              </w:rPr>
            </w:pPr>
            <w:r w:rsidRPr="00BA5BFC">
              <w:rPr>
                <w:b/>
                <w:bCs/>
                <w:color w:val="FFFFFF" w:themeColor="background1"/>
                <w:sz w:val="16"/>
                <w:szCs w:val="16"/>
              </w:rPr>
              <w:t xml:space="preserve"> 4,01 € </w:t>
            </w:r>
          </w:p>
        </w:tc>
        <w:tc>
          <w:tcPr>
            <w:tcW w:w="72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E3438"/>
            <w:noWrap/>
            <w:vAlign w:val="center"/>
          </w:tcPr>
          <w:p w14:paraId="1DFB2B70" w14:textId="77777777" w:rsidR="00FD2CBB" w:rsidRPr="00BA5BFC" w:rsidRDefault="00FD2CBB">
            <w:pPr>
              <w:spacing w:after="0" w:line="240" w:lineRule="auto"/>
              <w:jc w:val="right"/>
              <w:rPr>
                <w:rFonts w:eastAsia="Times New Roman" w:cs="Calibri"/>
                <w:b/>
                <w:color w:val="FFFFFF" w:themeColor="background1"/>
                <w:sz w:val="16"/>
                <w:szCs w:val="16"/>
              </w:rPr>
            </w:pPr>
            <w:r w:rsidRPr="00BA5BFC">
              <w:rPr>
                <w:b/>
                <w:bCs/>
                <w:color w:val="FFFFFF" w:themeColor="background1"/>
                <w:sz w:val="16"/>
                <w:szCs w:val="16"/>
              </w:rPr>
              <w:t xml:space="preserve"> 2,60 € </w:t>
            </w:r>
          </w:p>
        </w:tc>
        <w:tc>
          <w:tcPr>
            <w:tcW w:w="72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E3438"/>
            <w:noWrap/>
            <w:vAlign w:val="center"/>
          </w:tcPr>
          <w:p w14:paraId="47BE244E" w14:textId="77777777" w:rsidR="00FD2CBB" w:rsidRPr="00BA5BFC" w:rsidRDefault="00FD2CBB">
            <w:pPr>
              <w:spacing w:after="0" w:line="240" w:lineRule="auto"/>
              <w:jc w:val="right"/>
              <w:rPr>
                <w:rFonts w:eastAsia="Times New Roman" w:cs="Calibri"/>
                <w:b/>
                <w:color w:val="FFFFFF" w:themeColor="background1"/>
                <w:sz w:val="16"/>
                <w:szCs w:val="16"/>
              </w:rPr>
            </w:pPr>
            <w:r w:rsidRPr="00BA5BFC">
              <w:rPr>
                <w:b/>
                <w:bCs/>
                <w:color w:val="FFFFFF" w:themeColor="background1"/>
                <w:sz w:val="16"/>
                <w:szCs w:val="16"/>
              </w:rPr>
              <w:t xml:space="preserve"> 1,40 € </w:t>
            </w:r>
          </w:p>
        </w:tc>
        <w:tc>
          <w:tcPr>
            <w:tcW w:w="560" w:type="pct"/>
            <w:tcBorders>
              <w:left w:val="single" w:sz="4" w:space="0" w:color="BFBFBF" w:themeColor="background1" w:themeShade="BF"/>
              <w:bottom w:val="nil"/>
              <w:right w:val="nil"/>
            </w:tcBorders>
            <w:noWrap/>
            <w:vAlign w:val="center"/>
          </w:tcPr>
          <w:p w14:paraId="64839C26" w14:textId="77777777" w:rsidR="00FD2CBB" w:rsidRPr="000C2276" w:rsidRDefault="00FD2CBB">
            <w:pPr>
              <w:spacing w:after="0" w:line="240" w:lineRule="auto"/>
              <w:jc w:val="right"/>
              <w:rPr>
                <w:rFonts w:eastAsia="Times New Roman" w:cs="Calibri"/>
                <w:b/>
                <w:color w:val="000000"/>
                <w:sz w:val="16"/>
                <w:szCs w:val="16"/>
              </w:rPr>
            </w:pPr>
          </w:p>
        </w:tc>
        <w:tc>
          <w:tcPr>
            <w:tcW w:w="404" w:type="pct"/>
            <w:tcBorders>
              <w:left w:val="nil"/>
              <w:bottom w:val="nil"/>
              <w:right w:val="nil"/>
            </w:tcBorders>
            <w:noWrap/>
            <w:vAlign w:val="center"/>
          </w:tcPr>
          <w:p w14:paraId="280A5983" w14:textId="77777777" w:rsidR="00FD2CBB" w:rsidRPr="000C2276" w:rsidRDefault="00FD2CBB">
            <w:pPr>
              <w:spacing w:after="0" w:line="240" w:lineRule="auto"/>
              <w:jc w:val="right"/>
              <w:rPr>
                <w:rFonts w:eastAsia="Times New Roman" w:cs="Calibri"/>
                <w:sz w:val="16"/>
                <w:szCs w:val="16"/>
              </w:rPr>
            </w:pPr>
          </w:p>
        </w:tc>
      </w:tr>
    </w:tbl>
    <w:p w14:paraId="425D0501" w14:textId="06BCC2DA" w:rsidR="00FD2CBB" w:rsidRPr="00AD01C5" w:rsidRDefault="00FD2CBB" w:rsidP="00F22C31">
      <w:pPr>
        <w:spacing w:after="240" w:line="240" w:lineRule="auto"/>
        <w:jc w:val="center"/>
        <w:rPr>
          <w:rFonts w:eastAsia="Calibri"/>
          <w:i/>
          <w:color w:val="003366"/>
          <w:sz w:val="18"/>
          <w:szCs w:val="18"/>
        </w:rPr>
      </w:pPr>
      <w:r w:rsidRPr="00BF35BC">
        <w:rPr>
          <w:rFonts w:eastAsia="Calibri"/>
          <w:i/>
          <w:color w:val="003366"/>
          <w:sz w:val="18"/>
          <w:szCs w:val="18"/>
        </w:rPr>
        <w:t xml:space="preserve">Tabella </w:t>
      </w:r>
      <w:r w:rsidRPr="00BF35BC">
        <w:rPr>
          <w:rFonts w:cstheme="minorHAnsi"/>
          <w:i/>
          <w:color w:val="003366"/>
          <w:sz w:val="18"/>
          <w:szCs w:val="18"/>
        </w:rPr>
        <w:fldChar w:fldCharType="begin"/>
      </w:r>
      <w:r w:rsidRPr="71EE7570">
        <w:rPr>
          <w:rFonts w:eastAsia="Calibri"/>
          <w:i/>
          <w:color w:val="17406D" w:themeColor="text2"/>
          <w:sz w:val="18"/>
          <w:szCs w:val="18"/>
        </w:rPr>
        <w:instrText xml:space="preserve"> SEQ Tabella \* ARABIC </w:instrText>
      </w:r>
      <w:r w:rsidRPr="00BF35BC">
        <w:rPr>
          <w:rFonts w:cstheme="minorHAnsi"/>
          <w:i/>
          <w:color w:val="003366"/>
          <w:sz w:val="18"/>
          <w:szCs w:val="18"/>
        </w:rPr>
        <w:fldChar w:fldCharType="separate"/>
      </w:r>
      <w:r w:rsidR="00073B6D">
        <w:rPr>
          <w:rFonts w:eastAsia="Calibri"/>
          <w:i/>
          <w:noProof/>
          <w:color w:val="17406D" w:themeColor="text2"/>
          <w:sz w:val="18"/>
          <w:szCs w:val="18"/>
        </w:rPr>
        <w:t>68</w:t>
      </w:r>
      <w:r w:rsidRPr="00BF35BC">
        <w:rPr>
          <w:rFonts w:cstheme="minorHAnsi"/>
          <w:i/>
          <w:color w:val="003366"/>
          <w:sz w:val="18"/>
          <w:szCs w:val="18"/>
        </w:rPr>
        <w:fldChar w:fldCharType="end"/>
      </w:r>
      <w:r w:rsidRPr="00BF35BC">
        <w:rPr>
          <w:rFonts w:cstheme="minorHAnsi"/>
          <w:i/>
          <w:color w:val="003366"/>
          <w:sz w:val="18"/>
          <w:szCs w:val="18"/>
        </w:rPr>
        <w:t xml:space="preserve"> </w:t>
      </w:r>
      <w:r w:rsidRPr="00AD01C5">
        <w:rPr>
          <w:rFonts w:eastAsia="Calibri"/>
          <w:color w:val="003366"/>
          <w:sz w:val="18"/>
          <w:szCs w:val="18"/>
        </w:rPr>
        <w:t xml:space="preserve">– </w:t>
      </w:r>
      <w:r w:rsidRPr="00AD01C5">
        <w:rPr>
          <w:rFonts w:eastAsia="Calibri"/>
          <w:i/>
          <w:color w:val="003366"/>
          <w:sz w:val="18"/>
          <w:szCs w:val="18"/>
        </w:rPr>
        <w:t>Valore delle Compensazioni ipotesi lotto unic</w:t>
      </w:r>
      <w:r>
        <w:rPr>
          <w:rFonts w:eastAsia="Calibri"/>
          <w:i/>
          <w:color w:val="003366"/>
          <w:sz w:val="18"/>
          <w:szCs w:val="18"/>
        </w:rPr>
        <w:t>o di gara</w:t>
      </w:r>
    </w:p>
    <w:p w14:paraId="0595D57A" w14:textId="77777777" w:rsidR="00FD2CBB" w:rsidRPr="00AD01C5" w:rsidRDefault="00FD2CBB" w:rsidP="00FD2CBB">
      <w:pPr>
        <w:spacing w:before="120" w:after="0" w:line="240" w:lineRule="auto"/>
        <w:rPr>
          <w:rFonts w:eastAsia="Calibri"/>
        </w:rPr>
      </w:pPr>
      <w:r w:rsidRPr="00AD01C5">
        <w:rPr>
          <w:rFonts w:eastAsia="Calibri"/>
        </w:rPr>
        <w:t xml:space="preserve">Analizzando le tre ipotesi sopra citate appare evidente che la scelta in base al costo standard porterebbe all’individuazione di </w:t>
      </w:r>
      <w:r>
        <w:rPr>
          <w:rFonts w:eastAsia="Calibri"/>
        </w:rPr>
        <w:t>4</w:t>
      </w:r>
      <w:r w:rsidRPr="00AD01C5">
        <w:rPr>
          <w:rFonts w:eastAsia="Calibri"/>
        </w:rPr>
        <w:t xml:space="preserve"> lotti</w:t>
      </w:r>
      <w:r>
        <w:rPr>
          <w:rFonts w:eastAsia="Calibri"/>
        </w:rPr>
        <w:t xml:space="preserve"> di gara</w:t>
      </w:r>
      <w:r w:rsidRPr="00AD01C5">
        <w:rPr>
          <w:rFonts w:eastAsia="Calibri"/>
        </w:rPr>
        <w:t xml:space="preserve">. Tuttavia, la suddivisione in </w:t>
      </w:r>
      <w:r>
        <w:rPr>
          <w:rFonts w:eastAsia="Calibri"/>
        </w:rPr>
        <w:t>2</w:t>
      </w:r>
      <w:r w:rsidRPr="00AD01C5">
        <w:rPr>
          <w:rFonts w:eastAsia="Calibri"/>
        </w:rPr>
        <w:t xml:space="preserve"> lotti si rivela una scelta strategica e vantaggiosa perché persegue diversi obiettivi:</w:t>
      </w:r>
    </w:p>
    <w:p w14:paraId="602B6230" w14:textId="77777777" w:rsidR="00FD2CBB" w:rsidRPr="00AD01C5" w:rsidRDefault="00FD2CBB" w:rsidP="004B0DBE">
      <w:pPr>
        <w:numPr>
          <w:ilvl w:val="0"/>
          <w:numId w:val="72"/>
        </w:numPr>
        <w:spacing w:before="120" w:after="0" w:line="240" w:lineRule="auto"/>
        <w:rPr>
          <w:rFonts w:eastAsia="Calibri"/>
        </w:rPr>
      </w:pPr>
      <w:r w:rsidRPr="00AD01C5">
        <w:rPr>
          <w:rFonts w:eastAsia="Calibri"/>
          <w:b/>
        </w:rPr>
        <w:t>Efficientamento gestionale</w:t>
      </w:r>
      <w:r w:rsidRPr="00AD01C5">
        <w:rPr>
          <w:rFonts w:eastAsia="Calibri"/>
        </w:rPr>
        <w:t>: L'effetto della velocità commerciale standard è significativo, basato su ipotesi derivanti dalle modalità di organizzazione e ottimizzazione dei turni uomo e mezzo. Operare su due unità di rete accorpate, individuando un numero di depositi più contenuto e utilizzando idonee aree di sosta per incrementare le residenze, garantisce maggiore flessibilità organizzativa. Questo approccio consente di ridurre i tempi morti e migliorare l'efficienza operativa, ottimizzando l'uso delle risorse disponibili.</w:t>
      </w:r>
    </w:p>
    <w:p w14:paraId="7B62C677" w14:textId="77777777" w:rsidR="00FD2CBB" w:rsidRPr="00AD01C5" w:rsidRDefault="00FD2CBB" w:rsidP="004B0DBE">
      <w:pPr>
        <w:numPr>
          <w:ilvl w:val="0"/>
          <w:numId w:val="72"/>
        </w:numPr>
        <w:spacing w:before="120" w:after="0" w:line="240" w:lineRule="auto"/>
        <w:rPr>
          <w:rFonts w:eastAsia="Calibri"/>
        </w:rPr>
      </w:pPr>
      <w:r w:rsidRPr="00AD01C5">
        <w:rPr>
          <w:rFonts w:eastAsia="Calibri"/>
          <w:b/>
        </w:rPr>
        <w:t>Riduzione dei costi di gara</w:t>
      </w:r>
      <w:r w:rsidRPr="00AD01C5">
        <w:rPr>
          <w:rFonts w:eastAsia="Calibri"/>
        </w:rPr>
        <w:t>: Un numero inferiore di lotti semplifica ed economicizza sia le procedure di gara che la successiva gestione dei contratti di servizio. La riduzione del numero di lotti comporta una diminuzione dei costi amministrativi e legali associati alla preparazione e gestione delle gare, oltre a facilitare il monitoraggio e il controllo delle prestazioni dei concessionari.</w:t>
      </w:r>
    </w:p>
    <w:p w14:paraId="1764CD2D" w14:textId="77777777" w:rsidR="00FD2CBB" w:rsidRPr="00AD01C5" w:rsidRDefault="00FD2CBB" w:rsidP="004B0DBE">
      <w:pPr>
        <w:numPr>
          <w:ilvl w:val="0"/>
          <w:numId w:val="72"/>
        </w:numPr>
        <w:spacing w:before="120" w:after="0" w:line="240" w:lineRule="auto"/>
        <w:rPr>
          <w:rFonts w:eastAsia="Calibri"/>
        </w:rPr>
      </w:pPr>
      <w:r w:rsidRPr="00AD01C5">
        <w:rPr>
          <w:rFonts w:eastAsia="Calibri"/>
          <w:b/>
        </w:rPr>
        <w:t>Mantenimento dell’equilibrio economico</w:t>
      </w:r>
      <w:r w:rsidRPr="00AD01C5">
        <w:rPr>
          <w:rFonts w:eastAsia="Calibri"/>
        </w:rPr>
        <w:t>: La ricerca dell’equilibrio economico può trovare maggiori ambiti di manovra, prevedendo una riduzione dei costi generali. La suddivisione in due lotti permette di sfruttare economie di scala, riducendo i costi operativi e migliorando la sostenibilità finanziaria del servizio. Inoltre, consente una maggiore flessibilità nella gestione delle risorse finanziarie, permettendo di allocare i fondi in modo più efficiente e mirato.</w:t>
      </w:r>
    </w:p>
    <w:p w14:paraId="111FFA43" w14:textId="77777777" w:rsidR="00FD2CBB" w:rsidRPr="00586031" w:rsidRDefault="00FD2CBB" w:rsidP="00FD2CBB">
      <w:pPr>
        <w:spacing w:before="120" w:after="0" w:line="240" w:lineRule="auto"/>
        <w:rPr>
          <w:rFonts w:eastAsia="Calibri"/>
        </w:rPr>
      </w:pPr>
      <w:r w:rsidRPr="00586031">
        <w:rPr>
          <w:rFonts w:eastAsia="Calibri"/>
        </w:rPr>
        <w:t xml:space="preserve">Il riferimento ai </w:t>
      </w:r>
      <w:r>
        <w:rPr>
          <w:rFonts w:eastAsia="Calibri"/>
        </w:rPr>
        <w:t>4</w:t>
      </w:r>
      <w:r w:rsidRPr="00586031">
        <w:rPr>
          <w:rFonts w:eastAsia="Calibri"/>
        </w:rPr>
        <w:t xml:space="preserve"> lotti di gara oppure ai 2 lotti di gara è considerato comunque a valle della separazione dei servizi in area domanda debole dell’unità di rete 3</w:t>
      </w:r>
      <w:r>
        <w:rPr>
          <w:rFonts w:eastAsia="Calibri"/>
        </w:rPr>
        <w:t xml:space="preserve"> e all’affidamento in house del lotto periurbano torinese</w:t>
      </w:r>
      <w:r w:rsidRPr="00586031">
        <w:rPr>
          <w:rFonts w:eastAsia="Calibri"/>
        </w:rPr>
        <w:t>.</w:t>
      </w:r>
    </w:p>
    <w:p w14:paraId="12D097B0" w14:textId="25C99726" w:rsidR="00FD2CBB" w:rsidRPr="00AD01C5" w:rsidRDefault="00FD2CBB" w:rsidP="00FD2CBB">
      <w:pPr>
        <w:spacing w:before="120" w:after="0" w:line="240" w:lineRule="auto"/>
        <w:rPr>
          <w:rFonts w:eastAsia="Calibri"/>
        </w:rPr>
      </w:pPr>
      <w:r w:rsidRPr="00AD01C5">
        <w:rPr>
          <w:rFonts w:eastAsia="Calibri"/>
        </w:rPr>
        <w:t xml:space="preserve">Come già analizzato nella fase di ottimizzazione dell’organizzazione delle linee e dei depositi, i recuperi di efficienza si ottengono proprio negli ambiti delle unità di rete; infatti ogni servizio sarà organizzato intorno ad un ambito geografico contenuto, considerato che la lunghezza media delle corse è di circa </w:t>
      </w:r>
      <w:r w:rsidR="00BB7E23" w:rsidRPr="00BB7E23">
        <w:rPr>
          <w:rFonts w:eastAsia="Calibri"/>
        </w:rPr>
        <w:t>21</w:t>
      </w:r>
      <w:r w:rsidRPr="00BB7E23">
        <w:rPr>
          <w:rFonts w:eastAsia="Calibri"/>
        </w:rPr>
        <w:t xml:space="preserve"> km</w:t>
      </w:r>
      <w:r w:rsidRPr="00AD01C5">
        <w:rPr>
          <w:rFonts w:eastAsia="Calibri"/>
        </w:rPr>
        <w:t>, e pertanto, ogni impresa cercherà di ottenere il massimo recupero di efficienza in base a questo assetto dimensionale.</w:t>
      </w:r>
    </w:p>
    <w:p w14:paraId="6757E904" w14:textId="77777777" w:rsidR="00FD2CBB" w:rsidRDefault="00FD2CBB" w:rsidP="00FD2CBB">
      <w:pPr>
        <w:spacing w:before="120" w:after="0" w:line="240" w:lineRule="auto"/>
        <w:rPr>
          <w:rFonts w:eastAsia="Calibri"/>
        </w:rPr>
      </w:pPr>
      <w:r w:rsidRPr="00AD01C5">
        <w:rPr>
          <w:rFonts w:eastAsia="Calibri"/>
        </w:rPr>
        <w:t>La base di gara può essere coerentemente assunta come somma delle basi di gara delle due unità di rete accorpate; questo elemento rappresenta una opportunità/sfida per la ricerca della miglior</w:t>
      </w:r>
      <w:r>
        <w:rPr>
          <w:rFonts w:eastAsia="Calibri"/>
        </w:rPr>
        <w:t>e</w:t>
      </w:r>
      <w:r w:rsidRPr="00AD01C5">
        <w:rPr>
          <w:rFonts w:eastAsia="Calibri"/>
        </w:rPr>
        <w:t xml:space="preserve"> efficienza gestionale sia sull’ottimizzazione dei fattori di produzione, sia sull’ottimizzazione dei cicli manutentivi. Ogni operatore che gestisce il lotto avrà la possibilità di implementare soluzioni organizzative per recuperare efficienze economiche e operative sulle due unità di rete accorpate.</w:t>
      </w:r>
    </w:p>
    <w:p w14:paraId="3293337E" w14:textId="77777777" w:rsidR="00FD2CBB" w:rsidRPr="00AD01C5" w:rsidRDefault="00FD2CBB" w:rsidP="00FD2CBB">
      <w:pPr>
        <w:spacing w:before="120" w:after="0" w:line="240" w:lineRule="auto"/>
        <w:rPr>
          <w:rFonts w:eastAsia="Calibri"/>
        </w:rPr>
      </w:pPr>
      <w:r w:rsidRPr="00AD01C5">
        <w:rPr>
          <w:rFonts w:eastAsia="Calibri"/>
        </w:rPr>
        <w:lastRenderedPageBreak/>
        <w:t xml:space="preserve">Pertanto, </w:t>
      </w:r>
      <w:r>
        <w:rPr>
          <w:rFonts w:eastAsia="Calibri"/>
        </w:rPr>
        <w:t>si</w:t>
      </w:r>
      <w:r w:rsidRPr="00AD01C5">
        <w:rPr>
          <w:rFonts w:eastAsia="Calibri"/>
        </w:rPr>
        <w:t xml:space="preserve"> ritiene che la scelta di suddividere il servizio in </w:t>
      </w:r>
      <w:r>
        <w:rPr>
          <w:rFonts w:eastAsia="Calibri"/>
          <w:b/>
        </w:rPr>
        <w:t>2</w:t>
      </w:r>
      <w:r w:rsidRPr="00AD01C5">
        <w:rPr>
          <w:rFonts w:eastAsia="Calibri"/>
          <w:b/>
        </w:rPr>
        <w:t xml:space="preserve"> lotti</w:t>
      </w:r>
      <w:r w:rsidRPr="00AD01C5">
        <w:rPr>
          <w:rFonts w:eastAsia="Calibri"/>
        </w:rPr>
        <w:t xml:space="preserve"> </w:t>
      </w:r>
      <w:r w:rsidRPr="00850271">
        <w:rPr>
          <w:rFonts w:eastAsia="Calibri"/>
          <w:b/>
        </w:rPr>
        <w:t>di gara</w:t>
      </w:r>
      <w:r>
        <w:rPr>
          <w:rFonts w:eastAsia="Calibri"/>
        </w:rPr>
        <w:t xml:space="preserve"> più 1 sublotto in Area a domanda debole ed 1 lotto in affidamento in house </w:t>
      </w:r>
      <w:r w:rsidRPr="00AD01C5">
        <w:rPr>
          <w:rFonts w:eastAsia="Calibri"/>
        </w:rPr>
        <w:t>sia preferibile dal punto di vista strategico, poiché consente non solo di semplificare le operazioni amministrative e contrattuali, ma anche di promuovere economie di scala e migliorare l’efficienza complessiva della gestione del servizio.</w:t>
      </w:r>
      <w:r>
        <w:rPr>
          <w:rFonts w:eastAsia="Calibri"/>
        </w:rPr>
        <w:t xml:space="preserve"> </w:t>
      </w:r>
    </w:p>
    <w:p w14:paraId="542B37F9" w14:textId="77777777" w:rsidR="00FD2CBB" w:rsidRPr="00AD01C5" w:rsidRDefault="00FD2CBB" w:rsidP="00FD2CBB">
      <w:pPr>
        <w:spacing w:before="120" w:after="0" w:line="240" w:lineRule="auto"/>
        <w:rPr>
          <w:rFonts w:eastAsia="Calibri"/>
        </w:rPr>
      </w:pPr>
      <w:r w:rsidRPr="00AD01C5">
        <w:rPr>
          <w:rFonts w:eastAsia="Calibri"/>
        </w:rPr>
        <w:t>Si intende segnalare che qualora si realizzasse la presentazione di una sola offerta, sarà</w:t>
      </w:r>
      <w:r>
        <w:rPr>
          <w:rFonts w:eastAsia="Calibri"/>
        </w:rPr>
        <w:t xml:space="preserve"> valutata l’</w:t>
      </w:r>
      <w:r w:rsidRPr="00AD01C5">
        <w:rPr>
          <w:rFonts w:eastAsia="Calibri"/>
        </w:rPr>
        <w:t>attiva</w:t>
      </w:r>
      <w:r>
        <w:rPr>
          <w:rFonts w:eastAsia="Calibri"/>
        </w:rPr>
        <w:t>zione di</w:t>
      </w:r>
      <w:r w:rsidRPr="00AD01C5">
        <w:rPr>
          <w:rFonts w:eastAsia="Calibri"/>
        </w:rPr>
        <w:t xml:space="preserve"> quanto previsto dalla misura 6 paragrafo 4 della Delibera ART n. 48/2017</w:t>
      </w:r>
      <w:r w:rsidRPr="00AD01C5">
        <w:rPr>
          <w:rFonts w:eastAsia="Calibri"/>
          <w:vertAlign w:val="superscript"/>
        </w:rPr>
        <w:footnoteReference w:id="60"/>
      </w:r>
      <w:r w:rsidRPr="00AD01C5">
        <w:rPr>
          <w:rFonts w:eastAsia="Calibri"/>
        </w:rPr>
        <w:t xml:space="preserve"> attivando il principio di autotutela e riproponendo le procedure di gara con una diversa organizzazione a maggiore contendibilità, riproponendo all’Autorità la documentazione con </w:t>
      </w:r>
      <w:r>
        <w:rPr>
          <w:rFonts w:eastAsia="Calibri"/>
        </w:rPr>
        <w:t>il</w:t>
      </w:r>
      <w:r w:rsidRPr="00AD01C5">
        <w:rPr>
          <w:rFonts w:eastAsia="Calibri"/>
        </w:rPr>
        <w:t xml:space="preserve"> nuovo assetto di gara.</w:t>
      </w:r>
    </w:p>
    <w:p w14:paraId="190F2513" w14:textId="77777777" w:rsidR="00FD2CBB" w:rsidRPr="00AD01C5" w:rsidRDefault="00FD2CBB" w:rsidP="00FD2CBB">
      <w:pPr>
        <w:spacing w:before="120" w:after="0" w:line="240" w:lineRule="auto"/>
        <w:rPr>
          <w:rFonts w:eastAsia="Calibri"/>
        </w:rPr>
      </w:pPr>
      <w:r w:rsidRPr="00AD01C5">
        <w:rPr>
          <w:rFonts w:eastAsia="Calibri"/>
        </w:rPr>
        <w:t>Resta fermo che l’aggiudicazione del servizio potrà prevedere l’accorpamento dei lotti fino ad avere un unico aggiudicatario per l’intero bacino</w:t>
      </w:r>
      <w:r>
        <w:rPr>
          <w:rFonts w:eastAsia="Calibri"/>
        </w:rPr>
        <w:t>, ad eccezione</w:t>
      </w:r>
      <w:r w:rsidRPr="00445CEC">
        <w:rPr>
          <w:rFonts w:eastAsia="Calibri"/>
        </w:rPr>
        <w:t xml:space="preserve"> </w:t>
      </w:r>
      <w:r>
        <w:rPr>
          <w:rFonts w:eastAsia="Calibri"/>
        </w:rPr>
        <w:t xml:space="preserve">del lotto in house e del Lotto a Domanda Debole della Val </w:t>
      </w:r>
      <w:r w:rsidRPr="009307F3">
        <w:rPr>
          <w:rFonts w:eastAsia="Calibri"/>
        </w:rPr>
        <w:t xml:space="preserve">Chisone e </w:t>
      </w:r>
      <w:r>
        <w:rPr>
          <w:rFonts w:eastAsia="Calibri"/>
        </w:rPr>
        <w:t>Germanasca.</w:t>
      </w:r>
    </w:p>
    <w:p w14:paraId="750E06AB" w14:textId="77777777" w:rsidR="00FD2CBB" w:rsidRPr="00BB3105" w:rsidRDefault="00FD2CBB" w:rsidP="00FD2CBB">
      <w:pPr>
        <w:pStyle w:val="Titolo3"/>
        <w:ind w:left="720"/>
      </w:pPr>
      <w:bookmarkStart w:id="477" w:name="_Toc204328771"/>
      <w:bookmarkStart w:id="478" w:name="_Toc213078416"/>
      <w:r w:rsidRPr="00BB3105">
        <w:t>Definizione degli importi a base di gara</w:t>
      </w:r>
      <w:bookmarkEnd w:id="477"/>
      <w:bookmarkEnd w:id="478"/>
    </w:p>
    <w:p w14:paraId="3622B3E0" w14:textId="1BEF43E7" w:rsidR="00FD2CBB" w:rsidRPr="00AD01C5" w:rsidRDefault="00FD2CBB" w:rsidP="00FD2CBB">
      <w:pPr>
        <w:spacing w:before="120" w:after="0" w:line="240" w:lineRule="auto"/>
        <w:rPr>
          <w:rFonts w:eastAsia="Calibri"/>
        </w:rPr>
      </w:pPr>
      <w:r w:rsidRPr="00AD01C5">
        <w:rPr>
          <w:rFonts w:eastAsia="Calibri"/>
        </w:rPr>
        <w:t xml:space="preserve">Considerato che, come sopra descritto, l’accorpamento delle unità di rete può generare un efficientamento gestionale senza compromettere la possibilità di gestire in modo indipendente l’ottimizzazione dei fattori di produzione per ciascuna unità di rete; appare pertanto opportuno, proprio per stimolare la ricerca dell’efficienza, porre a base di gara una compensazione calcolata come somma delle compensazioni delle due unità di rete. Pertanto, le aziende partecipanti alla gara potranno formulare delle proposte di servizio i cui costi complessivi rientrino nella somma dei costi risultanti per le singole unità di rete. </w:t>
      </w:r>
    </w:p>
    <w:p w14:paraId="6C5B65A0" w14:textId="77777777" w:rsidR="00FD2CBB" w:rsidRDefault="00FD2CBB" w:rsidP="00FD2CBB">
      <w:pPr>
        <w:spacing w:before="120" w:after="0" w:line="240" w:lineRule="auto"/>
        <w:rPr>
          <w:rFonts w:eastAsia="Calibri"/>
        </w:rPr>
      </w:pPr>
      <w:bookmarkStart w:id="479" w:name="_Hlk205146826"/>
      <w:r w:rsidRPr="00172C5E">
        <w:rPr>
          <w:rFonts w:eastAsia="Calibri"/>
        </w:rPr>
        <w:t>L’Agenzia porrà a gara due lotti la cui compensazione complessiva deriva dall’accorpamento delle compensazioni delle singole unità di rete nell’ipotesi 4 lotti di gara in cui si ha un costo standard complessivo pari a 53.940.989 € per le Unità di rete da mettere a gara, come meglio rappresentato nella tabella seguente:</w:t>
      </w:r>
    </w:p>
    <w:p w14:paraId="09568F62" w14:textId="77777777" w:rsidR="00FD2CBB" w:rsidRDefault="00FD2CBB" w:rsidP="00FD2CBB">
      <w:pPr>
        <w:spacing w:before="120" w:after="0" w:line="240" w:lineRule="auto"/>
        <w:rPr>
          <w:rFonts w:eastAsia="Calibri"/>
        </w:rPr>
      </w:pPr>
      <w:bookmarkStart w:id="480" w:name="_Hlk205146742"/>
      <w:bookmarkEnd w:id="479"/>
    </w:p>
    <w:tbl>
      <w:tblPr>
        <w:tblW w:w="5000" w:type="pct"/>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left w:w="0" w:type="dxa"/>
          <w:right w:w="0" w:type="dxa"/>
        </w:tblCellMar>
        <w:tblLook w:val="04A0" w:firstRow="1" w:lastRow="0" w:firstColumn="1" w:lastColumn="0" w:noHBand="0" w:noVBand="1"/>
      </w:tblPr>
      <w:tblGrid>
        <w:gridCol w:w="2263"/>
        <w:gridCol w:w="1701"/>
        <w:gridCol w:w="1698"/>
        <w:gridCol w:w="1698"/>
        <w:gridCol w:w="1700"/>
      </w:tblGrid>
      <w:tr w:rsidR="00BA1E41" w:rsidRPr="004B1923" w14:paraId="1CFBD97D" w14:textId="77777777" w:rsidTr="006B39CF">
        <w:trPr>
          <w:trHeight w:val="340"/>
        </w:trPr>
        <w:tc>
          <w:tcPr>
            <w:tcW w:w="1249" w:type="pct"/>
            <w:shd w:val="clear" w:color="auto" w:fill="EE3438"/>
            <w:tcMar>
              <w:top w:w="15" w:type="dxa"/>
              <w:left w:w="15" w:type="dxa"/>
              <w:bottom w:w="0" w:type="dxa"/>
              <w:right w:w="15" w:type="dxa"/>
            </w:tcMar>
            <w:vAlign w:val="center"/>
            <w:hideMark/>
          </w:tcPr>
          <w:p w14:paraId="58C75793" w14:textId="77777777" w:rsidR="00FD2CBB" w:rsidRPr="001F4FB2" w:rsidRDefault="00FD2CBB">
            <w:pPr>
              <w:spacing w:after="0" w:line="240" w:lineRule="auto"/>
              <w:jc w:val="center"/>
              <w:rPr>
                <w:rFonts w:eastAsia="Calibri" w:cs="Calibri"/>
                <w:b/>
                <w:color w:val="FFFFFF" w:themeColor="background1"/>
              </w:rPr>
            </w:pPr>
            <w:r w:rsidRPr="001F4FB2">
              <w:rPr>
                <w:rFonts w:eastAsia="Calibri" w:cs="Calibri"/>
                <w:b/>
                <w:color w:val="FFFFFF" w:themeColor="background1"/>
              </w:rPr>
              <w:t>Lotti di gara</w:t>
            </w:r>
          </w:p>
        </w:tc>
        <w:tc>
          <w:tcPr>
            <w:tcW w:w="939" w:type="pct"/>
            <w:shd w:val="clear" w:color="auto" w:fill="EE3438"/>
            <w:tcMar>
              <w:top w:w="15" w:type="dxa"/>
              <w:left w:w="15" w:type="dxa"/>
              <w:bottom w:w="0" w:type="dxa"/>
              <w:right w:w="15" w:type="dxa"/>
            </w:tcMar>
            <w:vAlign w:val="center"/>
            <w:hideMark/>
          </w:tcPr>
          <w:p w14:paraId="72778C59" w14:textId="77777777" w:rsidR="00FD2CBB" w:rsidRPr="001F4FB2" w:rsidRDefault="00FD2CBB">
            <w:pPr>
              <w:spacing w:after="0" w:line="240" w:lineRule="auto"/>
              <w:jc w:val="center"/>
              <w:rPr>
                <w:rFonts w:eastAsia="Calibri" w:cs="Calibri"/>
                <w:b/>
                <w:color w:val="FFFFFF" w:themeColor="background1"/>
              </w:rPr>
            </w:pPr>
            <w:r w:rsidRPr="001F4FB2">
              <w:rPr>
                <w:rFonts w:eastAsia="Calibri" w:cs="Calibri"/>
                <w:b/>
                <w:color w:val="FFFFFF" w:themeColor="background1"/>
              </w:rPr>
              <w:t>Produzione</w:t>
            </w:r>
          </w:p>
        </w:tc>
        <w:tc>
          <w:tcPr>
            <w:tcW w:w="937" w:type="pct"/>
            <w:shd w:val="clear" w:color="auto" w:fill="EE3438"/>
            <w:tcMar>
              <w:top w:w="15" w:type="dxa"/>
              <w:left w:w="15" w:type="dxa"/>
              <w:bottom w:w="0" w:type="dxa"/>
              <w:right w:w="15" w:type="dxa"/>
            </w:tcMar>
            <w:vAlign w:val="center"/>
            <w:hideMark/>
          </w:tcPr>
          <w:p w14:paraId="6F502C63" w14:textId="77777777" w:rsidR="00FD2CBB" w:rsidRPr="001F4FB2" w:rsidRDefault="00FD2CBB">
            <w:pPr>
              <w:spacing w:after="0" w:line="240" w:lineRule="auto"/>
              <w:jc w:val="center"/>
              <w:rPr>
                <w:rFonts w:eastAsia="Calibri" w:cs="Calibri"/>
                <w:b/>
                <w:color w:val="FFFFFF" w:themeColor="background1"/>
              </w:rPr>
            </w:pPr>
            <w:r w:rsidRPr="001F4FB2">
              <w:rPr>
                <w:rFonts w:eastAsia="Calibri" w:cs="Calibri"/>
                <w:b/>
                <w:color w:val="FFFFFF" w:themeColor="background1"/>
              </w:rPr>
              <w:t>Costo Standard totale</w:t>
            </w:r>
          </w:p>
        </w:tc>
        <w:tc>
          <w:tcPr>
            <w:tcW w:w="937" w:type="pct"/>
            <w:shd w:val="clear" w:color="auto" w:fill="EE3438"/>
            <w:vAlign w:val="center"/>
          </w:tcPr>
          <w:p w14:paraId="71C3CE1E" w14:textId="77777777" w:rsidR="00FD2CBB" w:rsidRPr="001F4FB2" w:rsidRDefault="00FD2CBB">
            <w:pPr>
              <w:spacing w:after="0" w:line="240" w:lineRule="auto"/>
              <w:jc w:val="center"/>
              <w:rPr>
                <w:rFonts w:eastAsia="Calibri" w:cs="Calibri"/>
                <w:b/>
                <w:color w:val="FFFFFF" w:themeColor="background1"/>
              </w:rPr>
            </w:pPr>
            <w:r w:rsidRPr="001F4FB2">
              <w:rPr>
                <w:rFonts w:eastAsia="Calibri" w:cs="Calibri"/>
                <w:b/>
                <w:color w:val="FFFFFF" w:themeColor="background1"/>
              </w:rPr>
              <w:t>Base Gara 65%</w:t>
            </w:r>
          </w:p>
        </w:tc>
        <w:tc>
          <w:tcPr>
            <w:tcW w:w="938" w:type="pct"/>
            <w:shd w:val="clear" w:color="auto" w:fill="EE3438"/>
            <w:tcMar>
              <w:top w:w="15" w:type="dxa"/>
              <w:left w:w="15" w:type="dxa"/>
              <w:bottom w:w="0" w:type="dxa"/>
              <w:right w:w="15" w:type="dxa"/>
            </w:tcMar>
            <w:vAlign w:val="center"/>
            <w:hideMark/>
          </w:tcPr>
          <w:p w14:paraId="7FC75459" w14:textId="77777777" w:rsidR="00FD2CBB" w:rsidRPr="001F4FB2" w:rsidRDefault="00FD2CBB">
            <w:pPr>
              <w:spacing w:after="0" w:line="240" w:lineRule="auto"/>
              <w:jc w:val="center"/>
              <w:rPr>
                <w:rFonts w:eastAsia="Calibri" w:cs="Calibri"/>
                <w:b/>
                <w:color w:val="FFFFFF" w:themeColor="background1"/>
              </w:rPr>
            </w:pPr>
            <w:r w:rsidRPr="001F4FB2">
              <w:rPr>
                <w:rFonts w:eastAsia="Calibri" w:cs="Calibri"/>
                <w:b/>
                <w:color w:val="FFFFFF" w:themeColor="background1"/>
              </w:rPr>
              <w:t>Ricavi 35%</w:t>
            </w:r>
          </w:p>
        </w:tc>
      </w:tr>
      <w:tr w:rsidR="00BA1E41" w:rsidRPr="004B1923" w14:paraId="6471301C" w14:textId="77777777" w:rsidTr="006B39CF">
        <w:trPr>
          <w:trHeight w:val="340"/>
        </w:trPr>
        <w:tc>
          <w:tcPr>
            <w:tcW w:w="1249" w:type="pct"/>
            <w:shd w:val="clear" w:color="auto" w:fill="EE3438"/>
            <w:tcMar>
              <w:top w:w="15" w:type="dxa"/>
              <w:left w:w="15" w:type="dxa"/>
              <w:bottom w:w="0" w:type="dxa"/>
              <w:right w:w="15" w:type="dxa"/>
            </w:tcMar>
            <w:vAlign w:val="center"/>
            <w:hideMark/>
          </w:tcPr>
          <w:p w14:paraId="04D34D55" w14:textId="77777777" w:rsidR="00FD2CBB" w:rsidRPr="001F4FB2" w:rsidRDefault="00FD2CBB">
            <w:pPr>
              <w:spacing w:after="0" w:line="240" w:lineRule="auto"/>
              <w:jc w:val="center"/>
              <w:rPr>
                <w:rFonts w:eastAsia="Calibri" w:cs="Calibri"/>
                <w:b/>
                <w:color w:val="FFFFFF" w:themeColor="background1"/>
              </w:rPr>
            </w:pPr>
          </w:p>
        </w:tc>
        <w:tc>
          <w:tcPr>
            <w:tcW w:w="939" w:type="pct"/>
            <w:shd w:val="clear" w:color="auto" w:fill="EE3438"/>
            <w:noWrap/>
            <w:tcMar>
              <w:top w:w="15" w:type="dxa"/>
              <w:left w:w="15" w:type="dxa"/>
              <w:bottom w:w="0" w:type="dxa"/>
              <w:right w:w="15" w:type="dxa"/>
            </w:tcMar>
            <w:vAlign w:val="center"/>
            <w:hideMark/>
          </w:tcPr>
          <w:p w14:paraId="394A5CD8" w14:textId="77777777" w:rsidR="00FD2CBB" w:rsidRPr="001F4FB2" w:rsidRDefault="00FD2CBB">
            <w:pPr>
              <w:spacing w:after="0" w:line="240" w:lineRule="auto"/>
              <w:jc w:val="center"/>
              <w:rPr>
                <w:rFonts w:eastAsia="Calibri" w:cs="Calibri"/>
                <w:b/>
                <w:color w:val="FFFFFF" w:themeColor="background1"/>
              </w:rPr>
            </w:pPr>
            <w:r w:rsidRPr="001F4FB2">
              <w:rPr>
                <w:rFonts w:eastAsia="Calibri" w:cs="Calibri"/>
                <w:b/>
                <w:color w:val="FFFFFF" w:themeColor="background1"/>
              </w:rPr>
              <w:t>(veic-km/anno)</w:t>
            </w:r>
          </w:p>
        </w:tc>
        <w:tc>
          <w:tcPr>
            <w:tcW w:w="937" w:type="pct"/>
            <w:shd w:val="clear" w:color="auto" w:fill="EE3438"/>
            <w:tcMar>
              <w:top w:w="15" w:type="dxa"/>
              <w:left w:w="15" w:type="dxa"/>
              <w:bottom w:w="0" w:type="dxa"/>
              <w:right w:w="15" w:type="dxa"/>
            </w:tcMar>
            <w:vAlign w:val="center"/>
            <w:hideMark/>
          </w:tcPr>
          <w:p w14:paraId="74D88F53" w14:textId="77777777" w:rsidR="00FD2CBB" w:rsidRPr="001F4FB2" w:rsidRDefault="00FD2CBB">
            <w:pPr>
              <w:spacing w:after="0" w:line="240" w:lineRule="auto"/>
              <w:jc w:val="center"/>
              <w:rPr>
                <w:rFonts w:eastAsia="Calibri" w:cs="Calibri"/>
                <w:b/>
                <w:color w:val="FFFFFF" w:themeColor="background1"/>
              </w:rPr>
            </w:pPr>
            <w:r w:rsidRPr="001F4FB2">
              <w:rPr>
                <w:rFonts w:eastAsia="Calibri" w:cs="Calibri"/>
                <w:b/>
                <w:color w:val="FFFFFF" w:themeColor="background1"/>
              </w:rPr>
              <w:t>(€)</w:t>
            </w:r>
          </w:p>
        </w:tc>
        <w:tc>
          <w:tcPr>
            <w:tcW w:w="937" w:type="pct"/>
            <w:shd w:val="clear" w:color="auto" w:fill="EE3438"/>
            <w:vAlign w:val="center"/>
          </w:tcPr>
          <w:p w14:paraId="32FF6095" w14:textId="77777777" w:rsidR="00FD2CBB" w:rsidRPr="001F4FB2" w:rsidRDefault="00FD2CBB">
            <w:pPr>
              <w:spacing w:after="0" w:line="240" w:lineRule="auto"/>
              <w:jc w:val="center"/>
              <w:rPr>
                <w:rFonts w:eastAsia="Calibri" w:cs="Calibri"/>
                <w:b/>
                <w:color w:val="FFFFFF" w:themeColor="background1"/>
              </w:rPr>
            </w:pPr>
            <w:r w:rsidRPr="001F4FB2">
              <w:rPr>
                <w:rFonts w:eastAsia="Calibri" w:cs="Calibri"/>
                <w:b/>
                <w:color w:val="FFFFFF" w:themeColor="background1"/>
              </w:rPr>
              <w:t>(€)</w:t>
            </w:r>
          </w:p>
        </w:tc>
        <w:tc>
          <w:tcPr>
            <w:tcW w:w="938" w:type="pct"/>
            <w:shd w:val="clear" w:color="auto" w:fill="EE3438"/>
            <w:tcMar>
              <w:top w:w="15" w:type="dxa"/>
              <w:left w:w="15" w:type="dxa"/>
              <w:bottom w:w="0" w:type="dxa"/>
              <w:right w:w="15" w:type="dxa"/>
            </w:tcMar>
            <w:vAlign w:val="center"/>
            <w:hideMark/>
          </w:tcPr>
          <w:p w14:paraId="0A2910AB" w14:textId="77777777" w:rsidR="00FD2CBB" w:rsidRPr="001F4FB2" w:rsidRDefault="00FD2CBB">
            <w:pPr>
              <w:spacing w:after="0" w:line="240" w:lineRule="auto"/>
              <w:jc w:val="center"/>
              <w:rPr>
                <w:rFonts w:eastAsia="Calibri" w:cs="Calibri"/>
                <w:b/>
                <w:color w:val="FFFFFF" w:themeColor="background1"/>
              </w:rPr>
            </w:pPr>
            <w:r w:rsidRPr="001F4FB2">
              <w:rPr>
                <w:rFonts w:eastAsia="Calibri" w:cs="Calibri"/>
                <w:b/>
                <w:color w:val="FFFFFF" w:themeColor="background1"/>
              </w:rPr>
              <w:t>(€)</w:t>
            </w:r>
          </w:p>
        </w:tc>
      </w:tr>
      <w:tr w:rsidR="00DC7F1C" w:rsidRPr="004B1923" w14:paraId="1CD22BFC" w14:textId="77777777" w:rsidTr="004943FD">
        <w:trPr>
          <w:trHeight w:val="340"/>
        </w:trPr>
        <w:tc>
          <w:tcPr>
            <w:tcW w:w="1249" w:type="pct"/>
            <w:noWrap/>
            <w:tcMar>
              <w:top w:w="15" w:type="dxa"/>
              <w:left w:w="15" w:type="dxa"/>
              <w:bottom w:w="0" w:type="dxa"/>
              <w:right w:w="15" w:type="dxa"/>
            </w:tcMar>
            <w:vAlign w:val="center"/>
            <w:hideMark/>
          </w:tcPr>
          <w:p w14:paraId="654F80A8" w14:textId="77777777" w:rsidR="00FD2CBB" w:rsidRPr="004B1923" w:rsidRDefault="00FD2CBB">
            <w:pPr>
              <w:spacing w:after="0" w:line="240" w:lineRule="auto"/>
              <w:jc w:val="left"/>
              <w:rPr>
                <w:rFonts w:eastAsia="Calibri" w:cs="Calibri"/>
              </w:rPr>
            </w:pPr>
            <w:r w:rsidRPr="004B1923">
              <w:rPr>
                <w:rFonts w:eastAsia="Calibri" w:cs="Calibri"/>
              </w:rPr>
              <w:t>Lotto</w:t>
            </w:r>
            <w:r>
              <w:rPr>
                <w:rFonts w:eastAsia="Calibri" w:cs="Calibri"/>
              </w:rPr>
              <w:t xml:space="preserve"> Nord (UR1 + UR2)</w:t>
            </w:r>
          </w:p>
        </w:tc>
        <w:tc>
          <w:tcPr>
            <w:tcW w:w="939" w:type="pct"/>
            <w:noWrap/>
            <w:tcMar>
              <w:top w:w="15" w:type="dxa"/>
              <w:left w:w="15" w:type="dxa"/>
              <w:bottom w:w="0" w:type="dxa"/>
              <w:right w:w="15" w:type="dxa"/>
            </w:tcMar>
            <w:vAlign w:val="center"/>
            <w:hideMark/>
          </w:tcPr>
          <w:p w14:paraId="360788BF" w14:textId="77777777" w:rsidR="00FD2CBB" w:rsidRPr="004B1923" w:rsidRDefault="00FD2CBB">
            <w:pPr>
              <w:spacing w:after="0" w:line="240" w:lineRule="auto"/>
              <w:jc w:val="right"/>
              <w:rPr>
                <w:rFonts w:eastAsia="Calibri" w:cs="Calibri"/>
              </w:rPr>
            </w:pPr>
            <w:r w:rsidRPr="00B971B8">
              <w:t>8.809.576</w:t>
            </w:r>
          </w:p>
        </w:tc>
        <w:tc>
          <w:tcPr>
            <w:tcW w:w="937" w:type="pct"/>
            <w:noWrap/>
            <w:tcMar>
              <w:top w:w="15" w:type="dxa"/>
              <w:left w:w="15" w:type="dxa"/>
              <w:bottom w:w="0" w:type="dxa"/>
              <w:right w:w="15" w:type="dxa"/>
            </w:tcMar>
            <w:vAlign w:val="center"/>
          </w:tcPr>
          <w:p w14:paraId="5A15C773" w14:textId="77777777" w:rsidR="00FD2CBB" w:rsidRPr="004B1923" w:rsidRDefault="00FD2CBB">
            <w:pPr>
              <w:spacing w:after="0" w:line="240" w:lineRule="auto"/>
              <w:jc w:val="right"/>
              <w:rPr>
                <w:rFonts w:eastAsia="Calibri" w:cs="Calibri"/>
              </w:rPr>
            </w:pPr>
            <w:r w:rsidRPr="00EA231F">
              <w:rPr>
                <w:rFonts w:eastAsia="Calibri" w:cs="Calibri"/>
              </w:rPr>
              <w:t>27.304.944</w:t>
            </w:r>
            <w:r>
              <w:rPr>
                <w:rFonts w:eastAsia="Calibri" w:cs="Calibri"/>
              </w:rPr>
              <w:t xml:space="preserve"> </w:t>
            </w:r>
            <w:r w:rsidRPr="00EA231F">
              <w:rPr>
                <w:rFonts w:eastAsia="Calibri" w:cs="Calibri"/>
              </w:rPr>
              <w:t>€</w:t>
            </w:r>
          </w:p>
        </w:tc>
        <w:tc>
          <w:tcPr>
            <w:tcW w:w="937" w:type="pct"/>
            <w:vAlign w:val="center"/>
          </w:tcPr>
          <w:p w14:paraId="10916C3C" w14:textId="77777777" w:rsidR="00FD2CBB" w:rsidRPr="004B1923" w:rsidRDefault="00FD2CBB">
            <w:pPr>
              <w:spacing w:after="0" w:line="240" w:lineRule="auto"/>
              <w:jc w:val="right"/>
              <w:rPr>
                <w:rFonts w:eastAsia="Calibri" w:cs="Calibri"/>
              </w:rPr>
            </w:pPr>
            <w:r w:rsidRPr="006A5ABC">
              <w:rPr>
                <w:rFonts w:eastAsia="Calibri" w:cs="Calibri"/>
              </w:rPr>
              <w:t>17.748.21</w:t>
            </w:r>
            <w:r>
              <w:rPr>
                <w:rFonts w:eastAsia="Calibri" w:cs="Calibri"/>
              </w:rPr>
              <w:t>4</w:t>
            </w:r>
            <w:r w:rsidRPr="006A5ABC">
              <w:rPr>
                <w:rFonts w:eastAsia="Calibri" w:cs="Calibri"/>
              </w:rPr>
              <w:t xml:space="preserve"> €</w:t>
            </w:r>
          </w:p>
        </w:tc>
        <w:tc>
          <w:tcPr>
            <w:tcW w:w="938" w:type="pct"/>
            <w:noWrap/>
            <w:tcMar>
              <w:top w:w="15" w:type="dxa"/>
              <w:left w:w="15" w:type="dxa"/>
              <w:bottom w:w="0" w:type="dxa"/>
              <w:right w:w="15" w:type="dxa"/>
            </w:tcMar>
            <w:vAlign w:val="center"/>
          </w:tcPr>
          <w:p w14:paraId="35F1EB07" w14:textId="77777777" w:rsidR="00FD2CBB" w:rsidRPr="004B1923" w:rsidRDefault="00FD2CBB">
            <w:pPr>
              <w:spacing w:after="0" w:line="240" w:lineRule="auto"/>
              <w:jc w:val="right"/>
              <w:rPr>
                <w:rFonts w:eastAsia="Calibri" w:cs="Calibri"/>
              </w:rPr>
            </w:pPr>
            <w:r w:rsidRPr="005D1FFB">
              <w:rPr>
                <w:rFonts w:eastAsia="Calibri" w:cs="Calibri"/>
              </w:rPr>
              <w:t>9.556.73</w:t>
            </w:r>
            <w:r>
              <w:rPr>
                <w:rFonts w:eastAsia="Calibri" w:cs="Calibri"/>
              </w:rPr>
              <w:t xml:space="preserve">1 </w:t>
            </w:r>
            <w:r w:rsidRPr="005D1FFB">
              <w:rPr>
                <w:rFonts w:eastAsia="Calibri" w:cs="Calibri"/>
              </w:rPr>
              <w:t>€</w:t>
            </w:r>
          </w:p>
        </w:tc>
      </w:tr>
      <w:tr w:rsidR="00DC7F1C" w:rsidRPr="004B1923" w14:paraId="7C2AFA74" w14:textId="77777777" w:rsidTr="004943FD">
        <w:trPr>
          <w:trHeight w:val="340"/>
        </w:trPr>
        <w:tc>
          <w:tcPr>
            <w:tcW w:w="1249" w:type="pct"/>
            <w:noWrap/>
            <w:tcMar>
              <w:top w:w="15" w:type="dxa"/>
              <w:left w:w="15" w:type="dxa"/>
              <w:bottom w:w="0" w:type="dxa"/>
              <w:right w:w="15" w:type="dxa"/>
            </w:tcMar>
            <w:vAlign w:val="center"/>
            <w:hideMark/>
          </w:tcPr>
          <w:p w14:paraId="45EE1E1D" w14:textId="77777777" w:rsidR="00FD2CBB" w:rsidRPr="004B1923" w:rsidRDefault="00FD2CBB">
            <w:pPr>
              <w:spacing w:after="0" w:line="240" w:lineRule="auto"/>
              <w:jc w:val="left"/>
              <w:rPr>
                <w:rFonts w:eastAsia="Calibri" w:cs="Calibri"/>
              </w:rPr>
            </w:pPr>
            <w:r w:rsidRPr="004B1923">
              <w:rPr>
                <w:rFonts w:eastAsia="Calibri" w:cs="Calibri"/>
              </w:rPr>
              <w:t>Lotto</w:t>
            </w:r>
            <w:r>
              <w:rPr>
                <w:rFonts w:eastAsia="Calibri" w:cs="Calibri"/>
              </w:rPr>
              <w:t xml:space="preserve"> Sud (UR3+UR4)</w:t>
            </w:r>
          </w:p>
        </w:tc>
        <w:tc>
          <w:tcPr>
            <w:tcW w:w="939" w:type="pct"/>
            <w:tcBorders>
              <w:bottom w:val="single" w:sz="4" w:space="0" w:color="D9D9D9"/>
            </w:tcBorders>
            <w:noWrap/>
            <w:tcMar>
              <w:top w:w="15" w:type="dxa"/>
              <w:left w:w="15" w:type="dxa"/>
              <w:bottom w:w="0" w:type="dxa"/>
              <w:right w:w="15" w:type="dxa"/>
            </w:tcMar>
            <w:vAlign w:val="center"/>
            <w:hideMark/>
          </w:tcPr>
          <w:p w14:paraId="5B0627E2" w14:textId="77777777" w:rsidR="00FD2CBB" w:rsidRPr="004B1923" w:rsidRDefault="00FD2CBB">
            <w:pPr>
              <w:spacing w:after="0" w:line="240" w:lineRule="auto"/>
              <w:jc w:val="right"/>
              <w:rPr>
                <w:rFonts w:eastAsia="Calibri" w:cs="Calibri"/>
              </w:rPr>
            </w:pPr>
            <w:r w:rsidRPr="00B971B8">
              <w:t>8.269.819</w:t>
            </w:r>
          </w:p>
        </w:tc>
        <w:tc>
          <w:tcPr>
            <w:tcW w:w="937" w:type="pct"/>
            <w:noWrap/>
            <w:tcMar>
              <w:top w:w="15" w:type="dxa"/>
              <w:left w:w="15" w:type="dxa"/>
              <w:bottom w:w="0" w:type="dxa"/>
              <w:right w:w="15" w:type="dxa"/>
            </w:tcMar>
            <w:vAlign w:val="center"/>
          </w:tcPr>
          <w:p w14:paraId="1634F1C7" w14:textId="77777777" w:rsidR="00FD2CBB" w:rsidRPr="004B1923" w:rsidRDefault="00FD2CBB">
            <w:pPr>
              <w:spacing w:after="0" w:line="240" w:lineRule="auto"/>
              <w:jc w:val="right"/>
              <w:rPr>
                <w:rFonts w:eastAsia="Calibri" w:cs="Calibri"/>
              </w:rPr>
            </w:pPr>
            <w:r w:rsidRPr="006A5ABC">
              <w:rPr>
                <w:rFonts w:eastAsia="Calibri" w:cs="Calibri"/>
              </w:rPr>
              <w:t>26.636.04</w:t>
            </w:r>
            <w:r>
              <w:rPr>
                <w:rFonts w:eastAsia="Calibri" w:cs="Calibri"/>
              </w:rPr>
              <w:t>5</w:t>
            </w:r>
            <w:r w:rsidRPr="006A5ABC">
              <w:rPr>
                <w:rFonts w:eastAsia="Calibri" w:cs="Calibri"/>
              </w:rPr>
              <w:t xml:space="preserve"> €</w:t>
            </w:r>
          </w:p>
        </w:tc>
        <w:tc>
          <w:tcPr>
            <w:tcW w:w="937" w:type="pct"/>
            <w:vAlign w:val="center"/>
          </w:tcPr>
          <w:p w14:paraId="082C2F9F" w14:textId="77777777" w:rsidR="00FD2CBB" w:rsidRPr="004B1923" w:rsidRDefault="00FD2CBB">
            <w:pPr>
              <w:spacing w:after="0" w:line="240" w:lineRule="auto"/>
              <w:jc w:val="right"/>
              <w:rPr>
                <w:rFonts w:eastAsia="Calibri" w:cs="Calibri"/>
              </w:rPr>
            </w:pPr>
            <w:r w:rsidRPr="005D1FFB">
              <w:rPr>
                <w:rFonts w:eastAsia="Calibri" w:cs="Calibri"/>
              </w:rPr>
              <w:t>17.313.429 €</w:t>
            </w:r>
          </w:p>
        </w:tc>
        <w:tc>
          <w:tcPr>
            <w:tcW w:w="938" w:type="pct"/>
            <w:noWrap/>
            <w:tcMar>
              <w:top w:w="15" w:type="dxa"/>
              <w:left w:w="15" w:type="dxa"/>
              <w:bottom w:w="0" w:type="dxa"/>
              <w:right w:w="15" w:type="dxa"/>
            </w:tcMar>
            <w:vAlign w:val="center"/>
          </w:tcPr>
          <w:p w14:paraId="222B8F73" w14:textId="77777777" w:rsidR="00FD2CBB" w:rsidRPr="004B1923" w:rsidRDefault="00FD2CBB">
            <w:pPr>
              <w:spacing w:after="0" w:line="240" w:lineRule="auto"/>
              <w:jc w:val="right"/>
              <w:rPr>
                <w:rFonts w:eastAsia="Calibri" w:cs="Calibri"/>
              </w:rPr>
            </w:pPr>
            <w:r w:rsidRPr="005D1FFB">
              <w:rPr>
                <w:rFonts w:eastAsia="Calibri" w:cs="Calibri"/>
              </w:rPr>
              <w:t>9.322.61</w:t>
            </w:r>
            <w:r>
              <w:rPr>
                <w:rFonts w:eastAsia="Calibri" w:cs="Calibri"/>
              </w:rPr>
              <w:t xml:space="preserve">6 </w:t>
            </w:r>
            <w:r w:rsidRPr="005D1FFB">
              <w:rPr>
                <w:rFonts w:eastAsia="Calibri" w:cs="Calibri"/>
              </w:rPr>
              <w:t>€</w:t>
            </w:r>
          </w:p>
        </w:tc>
      </w:tr>
      <w:tr w:rsidR="00DC7F1C" w:rsidRPr="004B1923" w14:paraId="4D6F19B9" w14:textId="77777777" w:rsidTr="004943FD">
        <w:trPr>
          <w:trHeight w:val="340"/>
        </w:trPr>
        <w:tc>
          <w:tcPr>
            <w:tcW w:w="1249" w:type="pct"/>
            <w:noWrap/>
            <w:tcMar>
              <w:top w:w="15" w:type="dxa"/>
              <w:left w:w="15" w:type="dxa"/>
              <w:bottom w:w="0" w:type="dxa"/>
              <w:right w:w="15" w:type="dxa"/>
            </w:tcMar>
            <w:vAlign w:val="center"/>
            <w:hideMark/>
          </w:tcPr>
          <w:p w14:paraId="17D71F84" w14:textId="77777777" w:rsidR="00FD2CBB" w:rsidRPr="004B1923" w:rsidRDefault="00FD2CBB">
            <w:pPr>
              <w:spacing w:after="0" w:line="240" w:lineRule="auto"/>
              <w:jc w:val="left"/>
              <w:rPr>
                <w:rFonts w:eastAsia="Calibri" w:cs="Calibri"/>
                <w:b/>
              </w:rPr>
            </w:pPr>
            <w:r w:rsidRPr="004B1923">
              <w:rPr>
                <w:rFonts w:eastAsia="Calibri" w:cs="Calibri"/>
                <w:b/>
              </w:rPr>
              <w:t>Totale</w:t>
            </w:r>
            <w:r>
              <w:rPr>
                <w:rFonts w:eastAsia="Calibri" w:cs="Calibri"/>
                <w:b/>
              </w:rPr>
              <w:t xml:space="preserve"> </w:t>
            </w:r>
            <w:r w:rsidRPr="004B1923">
              <w:rPr>
                <w:rFonts w:eastAsia="Calibri" w:cs="Calibri"/>
                <w:b/>
              </w:rPr>
              <w:t>bacino</w:t>
            </w:r>
          </w:p>
        </w:tc>
        <w:tc>
          <w:tcPr>
            <w:tcW w:w="939" w:type="pct"/>
            <w:tcBorders>
              <w:bottom w:val="single" w:sz="4" w:space="0" w:color="D9D9D9"/>
            </w:tcBorders>
            <w:noWrap/>
            <w:tcMar>
              <w:top w:w="15" w:type="dxa"/>
              <w:left w:w="15" w:type="dxa"/>
              <w:bottom w:w="0" w:type="dxa"/>
              <w:right w:w="15" w:type="dxa"/>
            </w:tcMar>
            <w:vAlign w:val="center"/>
            <w:hideMark/>
          </w:tcPr>
          <w:p w14:paraId="32E0C9AB" w14:textId="77777777" w:rsidR="00FD2CBB" w:rsidRPr="004B1923" w:rsidRDefault="00FD2CBB">
            <w:pPr>
              <w:spacing w:after="0" w:line="240" w:lineRule="auto"/>
              <w:jc w:val="right"/>
              <w:rPr>
                <w:rFonts w:cs="Calibri"/>
                <w:b/>
              </w:rPr>
            </w:pPr>
            <w:r w:rsidRPr="00641C5B">
              <w:rPr>
                <w:b/>
                <w:bCs/>
              </w:rPr>
              <w:t>17.079.395</w:t>
            </w:r>
          </w:p>
        </w:tc>
        <w:tc>
          <w:tcPr>
            <w:tcW w:w="937" w:type="pct"/>
            <w:noWrap/>
            <w:tcMar>
              <w:top w:w="15" w:type="dxa"/>
              <w:left w:w="15" w:type="dxa"/>
              <w:bottom w:w="0" w:type="dxa"/>
              <w:right w:w="15" w:type="dxa"/>
            </w:tcMar>
            <w:vAlign w:val="center"/>
          </w:tcPr>
          <w:p w14:paraId="74A5803B" w14:textId="77777777" w:rsidR="00FD2CBB" w:rsidRPr="004B1923" w:rsidRDefault="00FD2CBB">
            <w:pPr>
              <w:spacing w:after="0" w:line="240" w:lineRule="auto"/>
              <w:jc w:val="right"/>
              <w:rPr>
                <w:rFonts w:eastAsia="Calibri" w:cs="Calibri"/>
                <w:b/>
              </w:rPr>
            </w:pPr>
            <w:r w:rsidRPr="006A5ABC">
              <w:rPr>
                <w:rFonts w:eastAsia="Calibri" w:cs="Calibri"/>
                <w:b/>
              </w:rPr>
              <w:t>53.940.989 €</w:t>
            </w:r>
          </w:p>
        </w:tc>
        <w:tc>
          <w:tcPr>
            <w:tcW w:w="937" w:type="pct"/>
            <w:vAlign w:val="center"/>
          </w:tcPr>
          <w:p w14:paraId="0C3552D8" w14:textId="77777777" w:rsidR="00FD2CBB" w:rsidRPr="004B1923" w:rsidRDefault="00FD2CBB">
            <w:pPr>
              <w:spacing w:after="0" w:line="240" w:lineRule="auto"/>
              <w:jc w:val="right"/>
              <w:rPr>
                <w:rFonts w:eastAsia="Calibri" w:cs="Calibri"/>
                <w:b/>
              </w:rPr>
            </w:pPr>
            <w:r w:rsidRPr="005D1FFB">
              <w:rPr>
                <w:rFonts w:eastAsia="Calibri" w:cs="Calibri"/>
                <w:b/>
              </w:rPr>
              <w:t>35.061.643</w:t>
            </w:r>
            <w:r>
              <w:rPr>
                <w:rFonts w:eastAsia="Calibri" w:cs="Calibri"/>
                <w:b/>
              </w:rPr>
              <w:t xml:space="preserve"> </w:t>
            </w:r>
            <w:r w:rsidRPr="005D1FFB">
              <w:rPr>
                <w:rFonts w:eastAsia="Calibri" w:cs="Calibri"/>
                <w:b/>
              </w:rPr>
              <w:t>€</w:t>
            </w:r>
          </w:p>
        </w:tc>
        <w:tc>
          <w:tcPr>
            <w:tcW w:w="938" w:type="pct"/>
            <w:noWrap/>
            <w:tcMar>
              <w:top w:w="15" w:type="dxa"/>
              <w:left w:w="15" w:type="dxa"/>
              <w:bottom w:w="0" w:type="dxa"/>
              <w:right w:w="15" w:type="dxa"/>
            </w:tcMar>
            <w:vAlign w:val="center"/>
          </w:tcPr>
          <w:p w14:paraId="74B7E23C" w14:textId="77777777" w:rsidR="00FD2CBB" w:rsidRPr="004B1923" w:rsidRDefault="00FD2CBB">
            <w:pPr>
              <w:spacing w:after="0" w:line="240" w:lineRule="auto"/>
              <w:jc w:val="right"/>
              <w:rPr>
                <w:rFonts w:eastAsia="Calibri" w:cs="Calibri"/>
                <w:b/>
              </w:rPr>
            </w:pPr>
            <w:r w:rsidRPr="00222A85">
              <w:rPr>
                <w:rFonts w:eastAsia="Calibri" w:cs="Calibri"/>
                <w:b/>
              </w:rPr>
              <w:t>18.879.34</w:t>
            </w:r>
            <w:r>
              <w:rPr>
                <w:rFonts w:eastAsia="Calibri" w:cs="Calibri"/>
                <w:b/>
              </w:rPr>
              <w:t>7</w:t>
            </w:r>
            <w:r w:rsidRPr="00222A85">
              <w:rPr>
                <w:rFonts w:eastAsia="Calibri" w:cs="Calibri"/>
                <w:b/>
              </w:rPr>
              <w:t xml:space="preserve"> €</w:t>
            </w:r>
          </w:p>
        </w:tc>
      </w:tr>
    </w:tbl>
    <w:p w14:paraId="3A3AA6D9" w14:textId="06F46651" w:rsidR="00FD2CBB" w:rsidRPr="00AD01C5" w:rsidRDefault="004D1D38" w:rsidP="00C11C16">
      <w:pPr>
        <w:spacing w:after="240" w:line="240" w:lineRule="auto"/>
        <w:jc w:val="center"/>
        <w:rPr>
          <w:rFonts w:eastAsia="Calibri"/>
          <w:color w:val="003366"/>
          <w:sz w:val="18"/>
          <w:szCs w:val="18"/>
        </w:rPr>
      </w:pPr>
      <w:bookmarkStart w:id="481" w:name="_Ref212929988"/>
      <w:r w:rsidRPr="00AD01C5">
        <w:rPr>
          <w:rFonts w:eastAsia="Calibri"/>
          <w:i/>
          <w:color w:val="003366"/>
          <w:sz w:val="18"/>
          <w:szCs w:val="18"/>
        </w:rPr>
        <w:t xml:space="preserve">Tabella </w:t>
      </w:r>
      <w:r w:rsidRPr="00BF35BC">
        <w:rPr>
          <w:rFonts w:cstheme="minorHAnsi"/>
          <w:i/>
          <w:color w:val="003366"/>
          <w:sz w:val="18"/>
          <w:szCs w:val="18"/>
        </w:rPr>
        <w:fldChar w:fldCharType="begin"/>
      </w:r>
      <w:r w:rsidRPr="00BF35BC">
        <w:rPr>
          <w:rFonts w:cstheme="minorHAnsi"/>
          <w:i/>
          <w:color w:val="003366"/>
          <w:sz w:val="18"/>
          <w:szCs w:val="18"/>
        </w:rPr>
        <w:instrText xml:space="preserve"> SEQ Tabella \* ARABIC </w:instrText>
      </w:r>
      <w:r w:rsidRPr="00BF35BC">
        <w:rPr>
          <w:rFonts w:cstheme="minorHAnsi"/>
          <w:i/>
          <w:color w:val="003366"/>
          <w:sz w:val="18"/>
          <w:szCs w:val="18"/>
        </w:rPr>
        <w:fldChar w:fldCharType="separate"/>
      </w:r>
      <w:r w:rsidR="00073B6D">
        <w:rPr>
          <w:rFonts w:cstheme="minorHAnsi"/>
          <w:i/>
          <w:noProof/>
          <w:color w:val="003366"/>
          <w:sz w:val="18"/>
          <w:szCs w:val="18"/>
        </w:rPr>
        <w:t>69</w:t>
      </w:r>
      <w:r w:rsidRPr="00BF35BC">
        <w:rPr>
          <w:rFonts w:cstheme="minorHAnsi"/>
          <w:i/>
          <w:color w:val="003366"/>
          <w:sz w:val="18"/>
          <w:szCs w:val="18"/>
        </w:rPr>
        <w:fldChar w:fldCharType="end"/>
      </w:r>
      <w:bookmarkEnd w:id="481"/>
      <w:r w:rsidRPr="00BF35BC">
        <w:rPr>
          <w:rFonts w:cstheme="minorHAnsi"/>
          <w:i/>
          <w:color w:val="003366"/>
          <w:sz w:val="18"/>
          <w:szCs w:val="18"/>
        </w:rPr>
        <w:t xml:space="preserve"> </w:t>
      </w:r>
      <w:r w:rsidRPr="00BF35BC">
        <w:rPr>
          <w:rFonts w:eastAsia="Calibri"/>
          <w:color w:val="003366"/>
          <w:sz w:val="18"/>
          <w:szCs w:val="18"/>
        </w:rPr>
        <w:t>–</w:t>
      </w:r>
      <w:r w:rsidR="00A466A0" w:rsidRPr="00BF35BC">
        <w:rPr>
          <w:rFonts w:eastAsia="Calibri"/>
          <w:color w:val="003366"/>
          <w:sz w:val="18"/>
          <w:szCs w:val="18"/>
        </w:rPr>
        <w:t xml:space="preserve"> </w:t>
      </w:r>
      <w:r w:rsidR="00A466A0" w:rsidRPr="00A466A0">
        <w:rPr>
          <w:rFonts w:eastAsia="Calibri"/>
          <w:i/>
          <w:color w:val="003366"/>
          <w:sz w:val="18"/>
          <w:szCs w:val="18"/>
        </w:rPr>
        <w:t>I</w:t>
      </w:r>
      <w:r w:rsidR="00FD2CBB" w:rsidRPr="00A466A0">
        <w:rPr>
          <w:rFonts w:eastAsia="Calibri"/>
          <w:i/>
          <w:color w:val="003366"/>
          <w:sz w:val="18"/>
          <w:szCs w:val="18"/>
        </w:rPr>
        <w:t>mporti</w:t>
      </w:r>
      <w:r w:rsidR="00FD2CBB" w:rsidRPr="00AD01C5">
        <w:rPr>
          <w:rFonts w:eastAsia="Calibri"/>
          <w:i/>
          <w:color w:val="003366"/>
          <w:sz w:val="18"/>
          <w:szCs w:val="18"/>
        </w:rPr>
        <w:t xml:space="preserve"> a base di gara per ciascun lotto</w:t>
      </w:r>
      <w:r w:rsidR="00805111">
        <w:rPr>
          <w:rFonts w:eastAsia="Calibri"/>
          <w:i/>
          <w:color w:val="003366"/>
          <w:sz w:val="18"/>
          <w:szCs w:val="18"/>
        </w:rPr>
        <w:t xml:space="preserve"> senza servizi a chiamata</w:t>
      </w:r>
    </w:p>
    <w:p w14:paraId="771FA819" w14:textId="6C2EA325" w:rsidR="00FD2CBB" w:rsidRDefault="00FD2CBB" w:rsidP="00FD2CBB">
      <w:pPr>
        <w:spacing w:before="120" w:after="0" w:line="240" w:lineRule="auto"/>
        <w:rPr>
          <w:rFonts w:eastAsia="Calibri"/>
        </w:rPr>
      </w:pPr>
      <w:r>
        <w:rPr>
          <w:rFonts w:eastAsia="Calibri"/>
        </w:rPr>
        <w:t xml:space="preserve">A questi costi occorre aggiungere </w:t>
      </w:r>
      <w:r w:rsidRPr="005F668E">
        <w:rPr>
          <w:rFonts w:eastAsia="Calibri"/>
        </w:rPr>
        <w:t>quelli legati ai servizi a chiamata (</w:t>
      </w:r>
      <w:r w:rsidR="00EC3E9D" w:rsidRPr="00EC3E9D">
        <w:rPr>
          <w:rFonts w:eastAsia="Calibri"/>
        </w:rPr>
        <w:fldChar w:fldCharType="begin"/>
      </w:r>
      <w:r w:rsidR="00EC3E9D" w:rsidRPr="00EC3E9D">
        <w:rPr>
          <w:rFonts w:eastAsia="Calibri"/>
        </w:rPr>
        <w:instrText xml:space="preserve"> REF _Ref212929806 \h  \* MERGEFORMAT </w:instrText>
      </w:r>
      <w:r w:rsidR="00EC3E9D" w:rsidRPr="00EC3E9D">
        <w:rPr>
          <w:rFonts w:eastAsia="Calibri"/>
        </w:rPr>
      </w:r>
      <w:r w:rsidR="00EC3E9D" w:rsidRPr="00EC3E9D">
        <w:rPr>
          <w:rFonts w:eastAsia="Calibri"/>
        </w:rPr>
        <w:fldChar w:fldCharType="separate"/>
      </w:r>
      <w:r w:rsidR="00073B6D" w:rsidRPr="00073B6D">
        <w:rPr>
          <w:rFonts w:eastAsia="Calibri"/>
        </w:rPr>
        <w:t xml:space="preserve">Tabella </w:t>
      </w:r>
      <w:r w:rsidR="00073B6D" w:rsidRPr="00073B6D">
        <w:rPr>
          <w:rFonts w:cstheme="minorHAnsi"/>
          <w:noProof/>
        </w:rPr>
        <w:t>59</w:t>
      </w:r>
      <w:r w:rsidR="00EC3E9D" w:rsidRPr="00EC3E9D">
        <w:rPr>
          <w:rFonts w:eastAsia="Calibri"/>
        </w:rPr>
        <w:fldChar w:fldCharType="end"/>
      </w:r>
      <w:r w:rsidRPr="005F668E">
        <w:rPr>
          <w:rFonts w:eastAsia="Calibri"/>
        </w:rPr>
        <w:t xml:space="preserve">) presenti nel </w:t>
      </w:r>
      <w:r w:rsidRPr="002E753C">
        <w:rPr>
          <w:rFonts w:eastAsia="Calibri"/>
        </w:rPr>
        <w:t xml:space="preserve">Bacino che </w:t>
      </w:r>
      <w:r w:rsidR="00E06EFE">
        <w:rPr>
          <w:rFonts w:eastAsia="Calibri"/>
        </w:rPr>
        <w:t xml:space="preserve">sono state </w:t>
      </w:r>
      <w:r w:rsidRPr="002E753C">
        <w:rPr>
          <w:rFonts w:eastAsia="Calibri"/>
        </w:rPr>
        <w:t>assegnati ai</w:t>
      </w:r>
      <w:r w:rsidRPr="00EC3E9D">
        <w:rPr>
          <w:rFonts w:eastAsia="Calibri"/>
        </w:rPr>
        <w:t xml:space="preserve"> </w:t>
      </w:r>
      <w:r w:rsidR="00E06EFE">
        <w:rPr>
          <w:rFonts w:eastAsia="Calibri"/>
        </w:rPr>
        <w:t>singoli</w:t>
      </w:r>
      <w:r w:rsidRPr="002E753C">
        <w:rPr>
          <w:rFonts w:eastAsia="Calibri"/>
        </w:rPr>
        <w:t xml:space="preserve"> Lotti, secondo le unità di rete di riferimento</w:t>
      </w:r>
      <w:r w:rsidR="00E06EFE">
        <w:rPr>
          <w:rFonts w:eastAsia="Calibri"/>
        </w:rPr>
        <w:t xml:space="preserve">; </w:t>
      </w:r>
      <w:r w:rsidR="00163C33">
        <w:rPr>
          <w:rFonts w:eastAsia="Calibri"/>
        </w:rPr>
        <w:t>questo</w:t>
      </w:r>
      <w:r w:rsidRPr="00EC3E9D">
        <w:rPr>
          <w:rFonts w:eastAsia="Calibri"/>
        </w:rPr>
        <w:t xml:space="preserve"> implica</w:t>
      </w:r>
      <w:r w:rsidRPr="002E753C">
        <w:rPr>
          <w:rFonts w:eastAsia="Calibri"/>
        </w:rPr>
        <w:t xml:space="preserve"> un incremento di risorse pari a </w:t>
      </w:r>
      <w:r w:rsidR="006B39CF">
        <w:rPr>
          <w:rFonts w:eastAsia="Calibri"/>
        </w:rPr>
        <w:t xml:space="preserve">circa </w:t>
      </w:r>
      <w:r w:rsidRPr="002E753C">
        <w:rPr>
          <w:rFonts w:eastAsia="Calibri"/>
        </w:rPr>
        <w:t xml:space="preserve">607 mila </w:t>
      </w:r>
      <w:r w:rsidRPr="00EC3E9D">
        <w:rPr>
          <w:rFonts w:eastAsia="Calibri"/>
        </w:rPr>
        <w:t>€</w:t>
      </w:r>
      <w:r w:rsidR="006B39CF">
        <w:rPr>
          <w:rFonts w:eastAsia="Calibri"/>
        </w:rPr>
        <w:t>/annui</w:t>
      </w:r>
      <w:r w:rsidRPr="002E753C">
        <w:rPr>
          <w:rFonts w:eastAsia="Calibri"/>
        </w:rPr>
        <w:t xml:space="preserve"> per il Lotto Nord e </w:t>
      </w:r>
      <w:r w:rsidR="006B39CF">
        <w:rPr>
          <w:rFonts w:eastAsia="Calibri"/>
        </w:rPr>
        <w:t>pari a circa</w:t>
      </w:r>
      <w:r w:rsidRPr="002E753C">
        <w:rPr>
          <w:rFonts w:eastAsia="Calibri"/>
        </w:rPr>
        <w:t xml:space="preserve"> 142 mila </w:t>
      </w:r>
      <w:r w:rsidRPr="00EC3E9D">
        <w:rPr>
          <w:rFonts w:eastAsia="Calibri"/>
        </w:rPr>
        <w:t>€</w:t>
      </w:r>
      <w:r w:rsidR="006B39CF">
        <w:rPr>
          <w:rFonts w:eastAsia="Calibri"/>
        </w:rPr>
        <w:t>/annui</w:t>
      </w:r>
      <w:r w:rsidRPr="002E753C">
        <w:rPr>
          <w:rFonts w:eastAsia="Calibri"/>
        </w:rPr>
        <w:t xml:space="preserve"> per il Lotto Sud.</w:t>
      </w:r>
    </w:p>
    <w:p w14:paraId="1480BC0C" w14:textId="7C6E864C" w:rsidR="0087783A" w:rsidRDefault="0087783A" w:rsidP="00FD2CBB">
      <w:pPr>
        <w:spacing w:before="120" w:after="0" w:line="240" w:lineRule="auto"/>
        <w:rPr>
          <w:rFonts w:eastAsia="Calibri"/>
        </w:rPr>
      </w:pPr>
      <w:r>
        <w:rPr>
          <w:rFonts w:eastAsia="Calibri"/>
        </w:rPr>
        <w:br w:type="page"/>
      </w:r>
    </w:p>
    <w:tbl>
      <w:tblPr>
        <w:tblW w:w="9180" w:type="dxa"/>
        <w:tblCellMar>
          <w:left w:w="70" w:type="dxa"/>
          <w:right w:w="70" w:type="dxa"/>
        </w:tblCellMar>
        <w:tblLook w:val="04A0" w:firstRow="1" w:lastRow="0" w:firstColumn="1" w:lastColumn="0" w:noHBand="0" w:noVBand="1"/>
      </w:tblPr>
      <w:tblGrid>
        <w:gridCol w:w="2260"/>
        <w:gridCol w:w="1704"/>
        <w:gridCol w:w="1701"/>
        <w:gridCol w:w="1675"/>
        <w:gridCol w:w="1840"/>
      </w:tblGrid>
      <w:tr w:rsidR="00FD2CBB" w:rsidRPr="00110AA2" w14:paraId="2F358842" w14:textId="77777777" w:rsidTr="006E0748">
        <w:trPr>
          <w:trHeight w:val="340"/>
        </w:trPr>
        <w:tc>
          <w:tcPr>
            <w:tcW w:w="2260" w:type="dxa"/>
            <w:tcBorders>
              <w:top w:val="single" w:sz="4" w:space="0" w:color="A6A6A6"/>
              <w:left w:val="single" w:sz="4" w:space="0" w:color="A6A6A6"/>
              <w:bottom w:val="single" w:sz="4" w:space="0" w:color="A6A6A6"/>
              <w:right w:val="single" w:sz="4" w:space="0" w:color="A6A6A6"/>
            </w:tcBorders>
            <w:shd w:val="clear" w:color="000000" w:fill="EE3438"/>
            <w:vAlign w:val="center"/>
            <w:hideMark/>
          </w:tcPr>
          <w:p w14:paraId="29BAE0AB" w14:textId="77777777" w:rsidR="00FD2CBB" w:rsidRPr="00110AA2" w:rsidRDefault="00FD2CBB">
            <w:pPr>
              <w:spacing w:after="0" w:line="240" w:lineRule="auto"/>
              <w:jc w:val="center"/>
              <w:rPr>
                <w:rFonts w:eastAsia="Times New Roman" w:cs="Calibri"/>
                <w:b/>
                <w:color w:val="FFFFFF"/>
              </w:rPr>
            </w:pPr>
            <w:r w:rsidRPr="00110AA2">
              <w:rPr>
                <w:rFonts w:eastAsia="Times New Roman" w:cs="Calibri"/>
                <w:b/>
                <w:color w:val="FFFFFF"/>
              </w:rPr>
              <w:lastRenderedPageBreak/>
              <w:t>Lotti di gara</w:t>
            </w:r>
          </w:p>
        </w:tc>
        <w:tc>
          <w:tcPr>
            <w:tcW w:w="1704" w:type="dxa"/>
            <w:tcBorders>
              <w:top w:val="single" w:sz="4" w:space="0" w:color="A6A6A6"/>
              <w:left w:val="nil"/>
              <w:bottom w:val="single" w:sz="4" w:space="0" w:color="A6A6A6"/>
              <w:right w:val="single" w:sz="4" w:space="0" w:color="A6A6A6"/>
            </w:tcBorders>
            <w:shd w:val="clear" w:color="000000" w:fill="EE3438"/>
            <w:vAlign w:val="center"/>
            <w:hideMark/>
          </w:tcPr>
          <w:p w14:paraId="0149BE77" w14:textId="77777777" w:rsidR="00FD2CBB" w:rsidRPr="00110AA2" w:rsidRDefault="00FD2CBB">
            <w:pPr>
              <w:spacing w:after="0" w:line="240" w:lineRule="auto"/>
              <w:jc w:val="center"/>
              <w:rPr>
                <w:rFonts w:eastAsia="Times New Roman" w:cs="Calibri"/>
                <w:b/>
                <w:color w:val="FFFFFF"/>
              </w:rPr>
            </w:pPr>
            <w:r w:rsidRPr="00110AA2">
              <w:rPr>
                <w:rFonts w:eastAsia="Times New Roman" w:cs="Calibri"/>
                <w:b/>
                <w:color w:val="FFFFFF"/>
              </w:rPr>
              <w:t>Produzione</w:t>
            </w:r>
          </w:p>
        </w:tc>
        <w:tc>
          <w:tcPr>
            <w:tcW w:w="1701" w:type="dxa"/>
            <w:tcBorders>
              <w:top w:val="single" w:sz="4" w:space="0" w:color="A6A6A6"/>
              <w:left w:val="nil"/>
              <w:bottom w:val="single" w:sz="4" w:space="0" w:color="A6A6A6"/>
              <w:right w:val="single" w:sz="4" w:space="0" w:color="A6A6A6"/>
            </w:tcBorders>
            <w:shd w:val="clear" w:color="000000" w:fill="EE3438"/>
            <w:vAlign w:val="center"/>
            <w:hideMark/>
          </w:tcPr>
          <w:p w14:paraId="051C9381" w14:textId="77777777" w:rsidR="00FD2CBB" w:rsidRPr="00110AA2" w:rsidRDefault="00FD2CBB">
            <w:pPr>
              <w:spacing w:after="0" w:line="240" w:lineRule="auto"/>
              <w:jc w:val="center"/>
              <w:rPr>
                <w:rFonts w:eastAsia="Times New Roman" w:cs="Calibri"/>
                <w:b/>
                <w:color w:val="FFFFFF"/>
              </w:rPr>
            </w:pPr>
            <w:r w:rsidRPr="00110AA2">
              <w:rPr>
                <w:rFonts w:eastAsia="Times New Roman" w:cs="Calibri"/>
                <w:b/>
                <w:color w:val="FFFFFF"/>
              </w:rPr>
              <w:t xml:space="preserve">Costo </w:t>
            </w:r>
          </w:p>
        </w:tc>
        <w:tc>
          <w:tcPr>
            <w:tcW w:w="1675" w:type="dxa"/>
            <w:tcBorders>
              <w:top w:val="single" w:sz="4" w:space="0" w:color="A6A6A6"/>
              <w:left w:val="nil"/>
              <w:bottom w:val="single" w:sz="4" w:space="0" w:color="A6A6A6"/>
              <w:right w:val="single" w:sz="4" w:space="0" w:color="A6A6A6"/>
            </w:tcBorders>
            <w:shd w:val="clear" w:color="000000" w:fill="EE3438"/>
            <w:vAlign w:val="center"/>
            <w:hideMark/>
          </w:tcPr>
          <w:p w14:paraId="34537F27" w14:textId="77777777" w:rsidR="00FD2CBB" w:rsidRPr="00110AA2" w:rsidRDefault="00FD2CBB">
            <w:pPr>
              <w:spacing w:after="0" w:line="240" w:lineRule="auto"/>
              <w:jc w:val="center"/>
              <w:rPr>
                <w:rFonts w:eastAsia="Times New Roman" w:cs="Calibri"/>
                <w:b/>
                <w:color w:val="FFFFFF"/>
              </w:rPr>
            </w:pPr>
            <w:r w:rsidRPr="00110AA2">
              <w:rPr>
                <w:rFonts w:eastAsia="Times New Roman" w:cs="Calibri"/>
                <w:b/>
                <w:color w:val="FFFFFF"/>
              </w:rPr>
              <w:t>Base Gara 65%</w:t>
            </w:r>
          </w:p>
        </w:tc>
        <w:tc>
          <w:tcPr>
            <w:tcW w:w="1840" w:type="dxa"/>
            <w:tcBorders>
              <w:top w:val="single" w:sz="4" w:space="0" w:color="A6A6A6"/>
              <w:left w:val="nil"/>
              <w:bottom w:val="single" w:sz="4" w:space="0" w:color="A6A6A6"/>
              <w:right w:val="single" w:sz="4" w:space="0" w:color="A6A6A6"/>
            </w:tcBorders>
            <w:shd w:val="clear" w:color="000000" w:fill="EE3438"/>
            <w:vAlign w:val="center"/>
            <w:hideMark/>
          </w:tcPr>
          <w:p w14:paraId="0241BE7E" w14:textId="77777777" w:rsidR="00FD2CBB" w:rsidRPr="00110AA2" w:rsidRDefault="00FD2CBB">
            <w:pPr>
              <w:spacing w:after="0" w:line="240" w:lineRule="auto"/>
              <w:jc w:val="center"/>
              <w:rPr>
                <w:rFonts w:eastAsia="Times New Roman" w:cs="Calibri"/>
                <w:b/>
                <w:color w:val="FFFFFF"/>
              </w:rPr>
            </w:pPr>
            <w:r w:rsidRPr="00110AA2">
              <w:rPr>
                <w:rFonts w:eastAsia="Times New Roman" w:cs="Calibri"/>
                <w:b/>
                <w:color w:val="FFFFFF"/>
              </w:rPr>
              <w:t>Ricavi 35%</w:t>
            </w:r>
          </w:p>
        </w:tc>
      </w:tr>
      <w:tr w:rsidR="00FD2CBB" w:rsidRPr="00110AA2" w14:paraId="5925FBC0" w14:textId="77777777" w:rsidTr="006E0748">
        <w:trPr>
          <w:trHeight w:val="340"/>
        </w:trPr>
        <w:tc>
          <w:tcPr>
            <w:tcW w:w="2260" w:type="dxa"/>
            <w:tcBorders>
              <w:top w:val="nil"/>
              <w:left w:val="single" w:sz="4" w:space="0" w:color="A6A6A6"/>
              <w:bottom w:val="single" w:sz="4" w:space="0" w:color="A6A6A6"/>
              <w:right w:val="single" w:sz="4" w:space="0" w:color="A6A6A6"/>
            </w:tcBorders>
            <w:shd w:val="clear" w:color="000000" w:fill="EE3438"/>
            <w:vAlign w:val="center"/>
            <w:hideMark/>
          </w:tcPr>
          <w:p w14:paraId="33B908B6" w14:textId="77777777" w:rsidR="00FD2CBB" w:rsidRPr="00110AA2" w:rsidRDefault="00FD2CBB">
            <w:pPr>
              <w:spacing w:after="0" w:line="240" w:lineRule="auto"/>
              <w:jc w:val="left"/>
              <w:rPr>
                <w:rFonts w:eastAsia="Times New Roman" w:cs="Calibri"/>
                <w:color w:val="FFFFFF"/>
              </w:rPr>
            </w:pPr>
            <w:r w:rsidRPr="00110AA2">
              <w:rPr>
                <w:rFonts w:eastAsia="Times New Roman" w:cs="Calibri"/>
                <w:color w:val="FFFFFF"/>
              </w:rPr>
              <w:t> </w:t>
            </w:r>
          </w:p>
        </w:tc>
        <w:tc>
          <w:tcPr>
            <w:tcW w:w="1704" w:type="dxa"/>
            <w:tcBorders>
              <w:top w:val="nil"/>
              <w:left w:val="nil"/>
              <w:bottom w:val="single" w:sz="4" w:space="0" w:color="A6A6A6"/>
              <w:right w:val="single" w:sz="4" w:space="0" w:color="A6A6A6"/>
            </w:tcBorders>
            <w:shd w:val="clear" w:color="000000" w:fill="EE3438"/>
            <w:noWrap/>
            <w:vAlign w:val="center"/>
            <w:hideMark/>
          </w:tcPr>
          <w:p w14:paraId="5C8FEDD8" w14:textId="77777777" w:rsidR="00FD2CBB" w:rsidRPr="00110AA2" w:rsidRDefault="00FD2CBB">
            <w:pPr>
              <w:spacing w:after="0" w:line="240" w:lineRule="auto"/>
              <w:jc w:val="center"/>
              <w:rPr>
                <w:rFonts w:eastAsia="Times New Roman" w:cs="Calibri"/>
                <w:b/>
                <w:color w:val="FFFFFF"/>
              </w:rPr>
            </w:pPr>
            <w:r w:rsidRPr="00110AA2">
              <w:rPr>
                <w:rFonts w:eastAsia="Times New Roman" w:cs="Calibri"/>
                <w:b/>
                <w:color w:val="FFFFFF"/>
              </w:rPr>
              <w:t>(veic-km/anno)</w:t>
            </w:r>
          </w:p>
        </w:tc>
        <w:tc>
          <w:tcPr>
            <w:tcW w:w="1701" w:type="dxa"/>
            <w:tcBorders>
              <w:top w:val="nil"/>
              <w:left w:val="nil"/>
              <w:bottom w:val="single" w:sz="4" w:space="0" w:color="A6A6A6"/>
              <w:right w:val="single" w:sz="4" w:space="0" w:color="A6A6A6"/>
            </w:tcBorders>
            <w:shd w:val="clear" w:color="000000" w:fill="EE3438"/>
            <w:vAlign w:val="center"/>
            <w:hideMark/>
          </w:tcPr>
          <w:p w14:paraId="18A450C0" w14:textId="77777777" w:rsidR="00FD2CBB" w:rsidRPr="00110AA2" w:rsidRDefault="00FD2CBB">
            <w:pPr>
              <w:spacing w:after="0" w:line="240" w:lineRule="auto"/>
              <w:jc w:val="center"/>
              <w:rPr>
                <w:rFonts w:eastAsia="Times New Roman" w:cs="Calibri"/>
                <w:b/>
                <w:color w:val="FFFFFF"/>
              </w:rPr>
            </w:pPr>
            <w:r w:rsidRPr="00110AA2">
              <w:rPr>
                <w:rFonts w:eastAsia="Times New Roman" w:cs="Calibri"/>
                <w:b/>
                <w:color w:val="FFFFFF"/>
              </w:rPr>
              <w:t>(€)</w:t>
            </w:r>
          </w:p>
        </w:tc>
        <w:tc>
          <w:tcPr>
            <w:tcW w:w="1675" w:type="dxa"/>
            <w:tcBorders>
              <w:top w:val="nil"/>
              <w:left w:val="nil"/>
              <w:bottom w:val="single" w:sz="4" w:space="0" w:color="A6A6A6"/>
              <w:right w:val="single" w:sz="4" w:space="0" w:color="A6A6A6"/>
            </w:tcBorders>
            <w:shd w:val="clear" w:color="000000" w:fill="EE3438"/>
            <w:vAlign w:val="center"/>
            <w:hideMark/>
          </w:tcPr>
          <w:p w14:paraId="72BA864D" w14:textId="77777777" w:rsidR="00FD2CBB" w:rsidRPr="00110AA2" w:rsidRDefault="00FD2CBB">
            <w:pPr>
              <w:spacing w:after="0" w:line="240" w:lineRule="auto"/>
              <w:jc w:val="center"/>
              <w:rPr>
                <w:rFonts w:eastAsia="Times New Roman" w:cs="Calibri"/>
                <w:b/>
                <w:color w:val="FFFFFF"/>
              </w:rPr>
            </w:pPr>
            <w:r w:rsidRPr="00110AA2">
              <w:rPr>
                <w:rFonts w:eastAsia="Times New Roman" w:cs="Calibri"/>
                <w:b/>
                <w:color w:val="FFFFFF"/>
              </w:rPr>
              <w:t>(€)</w:t>
            </w:r>
          </w:p>
        </w:tc>
        <w:tc>
          <w:tcPr>
            <w:tcW w:w="1840" w:type="dxa"/>
            <w:tcBorders>
              <w:top w:val="nil"/>
              <w:left w:val="nil"/>
              <w:bottom w:val="single" w:sz="4" w:space="0" w:color="A6A6A6"/>
              <w:right w:val="single" w:sz="4" w:space="0" w:color="A6A6A6"/>
            </w:tcBorders>
            <w:shd w:val="clear" w:color="000000" w:fill="EE3438"/>
            <w:vAlign w:val="center"/>
            <w:hideMark/>
          </w:tcPr>
          <w:p w14:paraId="78BF2CC8" w14:textId="77777777" w:rsidR="00FD2CBB" w:rsidRPr="00110AA2" w:rsidRDefault="00FD2CBB">
            <w:pPr>
              <w:spacing w:after="0" w:line="240" w:lineRule="auto"/>
              <w:jc w:val="center"/>
              <w:rPr>
                <w:rFonts w:eastAsia="Times New Roman" w:cs="Calibri"/>
                <w:b/>
                <w:color w:val="FFFFFF"/>
              </w:rPr>
            </w:pPr>
            <w:r w:rsidRPr="00110AA2">
              <w:rPr>
                <w:rFonts w:eastAsia="Times New Roman" w:cs="Calibri"/>
                <w:b/>
                <w:color w:val="FFFFFF"/>
              </w:rPr>
              <w:t>(€)</w:t>
            </w:r>
          </w:p>
        </w:tc>
      </w:tr>
      <w:tr w:rsidR="00FD2CBB" w:rsidRPr="00110AA2" w14:paraId="2FEB4C9C" w14:textId="77777777" w:rsidTr="004943FD">
        <w:trPr>
          <w:trHeight w:val="340"/>
        </w:trPr>
        <w:tc>
          <w:tcPr>
            <w:tcW w:w="2260" w:type="dxa"/>
            <w:tcBorders>
              <w:top w:val="nil"/>
              <w:left w:val="single" w:sz="4" w:space="0" w:color="A6A6A6"/>
              <w:bottom w:val="single" w:sz="4" w:space="0" w:color="A6A6A6"/>
              <w:right w:val="single" w:sz="4" w:space="0" w:color="A6A6A6"/>
            </w:tcBorders>
            <w:noWrap/>
            <w:vAlign w:val="center"/>
            <w:hideMark/>
          </w:tcPr>
          <w:p w14:paraId="2137E1C6" w14:textId="77777777" w:rsidR="00FD2CBB" w:rsidRPr="00110AA2" w:rsidRDefault="00FD2CBB">
            <w:pPr>
              <w:spacing w:after="0" w:line="240" w:lineRule="auto"/>
              <w:jc w:val="left"/>
              <w:rPr>
                <w:rFonts w:eastAsia="Calibri" w:cs="Calibri"/>
              </w:rPr>
            </w:pPr>
            <w:r w:rsidRPr="00110AA2">
              <w:rPr>
                <w:rFonts w:eastAsia="Calibri" w:cs="Calibri"/>
              </w:rPr>
              <w:t>Lotto Nord</w:t>
            </w:r>
          </w:p>
        </w:tc>
        <w:tc>
          <w:tcPr>
            <w:tcW w:w="1704" w:type="dxa"/>
            <w:tcBorders>
              <w:top w:val="nil"/>
              <w:left w:val="nil"/>
              <w:bottom w:val="single" w:sz="4" w:space="0" w:color="A6A6A6"/>
              <w:right w:val="single" w:sz="4" w:space="0" w:color="A6A6A6"/>
            </w:tcBorders>
            <w:noWrap/>
            <w:vAlign w:val="center"/>
            <w:hideMark/>
          </w:tcPr>
          <w:p w14:paraId="77DD276B" w14:textId="56466C1B" w:rsidR="00FD2CBB" w:rsidRPr="00110AA2" w:rsidRDefault="00FD2CBB">
            <w:pPr>
              <w:spacing w:after="0" w:line="240" w:lineRule="auto"/>
              <w:jc w:val="right"/>
              <w:rPr>
                <w:rFonts w:eastAsia="Calibri" w:cs="Calibri"/>
              </w:rPr>
            </w:pPr>
            <w:r w:rsidRPr="00110AA2">
              <w:rPr>
                <w:rFonts w:eastAsia="Calibri" w:cs="Calibri"/>
              </w:rPr>
              <w:t xml:space="preserve"> 271.196 </w:t>
            </w:r>
          </w:p>
        </w:tc>
        <w:tc>
          <w:tcPr>
            <w:tcW w:w="1701" w:type="dxa"/>
            <w:tcBorders>
              <w:top w:val="nil"/>
              <w:left w:val="nil"/>
              <w:bottom w:val="single" w:sz="4" w:space="0" w:color="A6A6A6"/>
              <w:right w:val="single" w:sz="4" w:space="0" w:color="A6A6A6"/>
            </w:tcBorders>
            <w:noWrap/>
            <w:vAlign w:val="center"/>
            <w:hideMark/>
          </w:tcPr>
          <w:p w14:paraId="7A3E2070" w14:textId="13DBF6AF" w:rsidR="00FD2CBB" w:rsidRPr="00110AA2" w:rsidRDefault="00FD2CBB" w:rsidP="00BD4F26">
            <w:pPr>
              <w:spacing w:after="0" w:line="240" w:lineRule="auto"/>
              <w:jc w:val="right"/>
              <w:rPr>
                <w:rFonts w:eastAsia="Calibri" w:cs="Calibri"/>
              </w:rPr>
            </w:pPr>
            <w:r w:rsidRPr="00110AA2">
              <w:rPr>
                <w:rFonts w:eastAsia="Calibri" w:cs="Calibri"/>
              </w:rPr>
              <w:t xml:space="preserve">607.095 € </w:t>
            </w:r>
          </w:p>
        </w:tc>
        <w:tc>
          <w:tcPr>
            <w:tcW w:w="1675" w:type="dxa"/>
            <w:tcBorders>
              <w:top w:val="nil"/>
              <w:left w:val="nil"/>
              <w:bottom w:val="single" w:sz="4" w:space="0" w:color="A6A6A6"/>
              <w:right w:val="single" w:sz="4" w:space="0" w:color="A6A6A6"/>
            </w:tcBorders>
            <w:noWrap/>
            <w:vAlign w:val="center"/>
            <w:hideMark/>
          </w:tcPr>
          <w:p w14:paraId="3C6F7088" w14:textId="06769EF3" w:rsidR="00FD2CBB" w:rsidRPr="00110AA2" w:rsidRDefault="00FD2CBB" w:rsidP="00BD4F26">
            <w:pPr>
              <w:spacing w:after="0" w:line="240" w:lineRule="auto"/>
              <w:jc w:val="right"/>
              <w:rPr>
                <w:rFonts w:eastAsia="Calibri" w:cs="Calibri"/>
              </w:rPr>
            </w:pPr>
            <w:r w:rsidRPr="00110AA2">
              <w:rPr>
                <w:rFonts w:eastAsia="Calibri" w:cs="Calibri"/>
              </w:rPr>
              <w:t xml:space="preserve"> 394.612 € </w:t>
            </w:r>
          </w:p>
        </w:tc>
        <w:tc>
          <w:tcPr>
            <w:tcW w:w="1840" w:type="dxa"/>
            <w:tcBorders>
              <w:top w:val="nil"/>
              <w:left w:val="nil"/>
              <w:bottom w:val="single" w:sz="4" w:space="0" w:color="A6A6A6"/>
              <w:right w:val="single" w:sz="4" w:space="0" w:color="A6A6A6"/>
            </w:tcBorders>
            <w:noWrap/>
            <w:vAlign w:val="center"/>
            <w:hideMark/>
          </w:tcPr>
          <w:p w14:paraId="1A3CF763" w14:textId="251CB79E" w:rsidR="00FD2CBB" w:rsidRPr="00110AA2" w:rsidRDefault="00FD2CBB" w:rsidP="00BD4F26">
            <w:pPr>
              <w:spacing w:after="0" w:line="240" w:lineRule="auto"/>
              <w:jc w:val="right"/>
              <w:rPr>
                <w:rFonts w:eastAsia="Calibri" w:cs="Calibri"/>
              </w:rPr>
            </w:pPr>
            <w:r w:rsidRPr="00110AA2">
              <w:rPr>
                <w:rFonts w:eastAsia="Calibri" w:cs="Calibri"/>
              </w:rPr>
              <w:t xml:space="preserve"> 212.483 € </w:t>
            </w:r>
          </w:p>
        </w:tc>
      </w:tr>
      <w:tr w:rsidR="00FD2CBB" w:rsidRPr="00110AA2" w14:paraId="0A8BF887" w14:textId="77777777" w:rsidTr="004943FD">
        <w:trPr>
          <w:trHeight w:val="340"/>
        </w:trPr>
        <w:tc>
          <w:tcPr>
            <w:tcW w:w="2260" w:type="dxa"/>
            <w:tcBorders>
              <w:top w:val="nil"/>
              <w:left w:val="single" w:sz="4" w:space="0" w:color="A6A6A6"/>
              <w:bottom w:val="single" w:sz="4" w:space="0" w:color="A6A6A6"/>
              <w:right w:val="single" w:sz="4" w:space="0" w:color="A6A6A6"/>
            </w:tcBorders>
            <w:noWrap/>
            <w:vAlign w:val="center"/>
            <w:hideMark/>
          </w:tcPr>
          <w:p w14:paraId="70E6C6A0" w14:textId="77777777" w:rsidR="00FD2CBB" w:rsidRPr="00110AA2" w:rsidRDefault="00FD2CBB">
            <w:pPr>
              <w:spacing w:after="0" w:line="240" w:lineRule="auto"/>
              <w:jc w:val="left"/>
              <w:rPr>
                <w:rFonts w:eastAsia="Calibri" w:cs="Calibri"/>
              </w:rPr>
            </w:pPr>
            <w:r w:rsidRPr="00110AA2">
              <w:rPr>
                <w:rFonts w:eastAsia="Calibri" w:cs="Calibri"/>
              </w:rPr>
              <w:t>Lotto Sud</w:t>
            </w:r>
          </w:p>
        </w:tc>
        <w:tc>
          <w:tcPr>
            <w:tcW w:w="1704" w:type="dxa"/>
            <w:tcBorders>
              <w:top w:val="nil"/>
              <w:left w:val="nil"/>
              <w:bottom w:val="single" w:sz="4" w:space="0" w:color="A6A6A6"/>
              <w:right w:val="single" w:sz="4" w:space="0" w:color="A6A6A6"/>
            </w:tcBorders>
            <w:noWrap/>
            <w:vAlign w:val="center"/>
            <w:hideMark/>
          </w:tcPr>
          <w:p w14:paraId="605ECCAD" w14:textId="3419F1D3" w:rsidR="00FD2CBB" w:rsidRPr="00110AA2" w:rsidRDefault="00FD2CBB">
            <w:pPr>
              <w:spacing w:after="0" w:line="240" w:lineRule="auto"/>
              <w:jc w:val="right"/>
              <w:rPr>
                <w:rFonts w:eastAsia="Calibri" w:cs="Calibri"/>
              </w:rPr>
            </w:pPr>
            <w:r w:rsidRPr="00110AA2">
              <w:rPr>
                <w:rFonts w:eastAsia="Calibri" w:cs="Calibri"/>
              </w:rPr>
              <w:t xml:space="preserve"> 52.465 </w:t>
            </w:r>
          </w:p>
        </w:tc>
        <w:tc>
          <w:tcPr>
            <w:tcW w:w="1701" w:type="dxa"/>
            <w:tcBorders>
              <w:top w:val="nil"/>
              <w:left w:val="nil"/>
              <w:bottom w:val="single" w:sz="4" w:space="0" w:color="A6A6A6"/>
              <w:right w:val="single" w:sz="4" w:space="0" w:color="A6A6A6"/>
            </w:tcBorders>
            <w:noWrap/>
            <w:vAlign w:val="center"/>
            <w:hideMark/>
          </w:tcPr>
          <w:p w14:paraId="2FDF000F" w14:textId="2F230B31" w:rsidR="00FD2CBB" w:rsidRPr="00110AA2" w:rsidRDefault="00FD2CBB" w:rsidP="00BD4F26">
            <w:pPr>
              <w:spacing w:after="0" w:line="240" w:lineRule="auto"/>
              <w:jc w:val="right"/>
              <w:rPr>
                <w:rFonts w:eastAsia="Calibri" w:cs="Calibri"/>
              </w:rPr>
            </w:pPr>
            <w:r w:rsidRPr="00110AA2">
              <w:rPr>
                <w:rFonts w:eastAsia="Calibri" w:cs="Calibri"/>
              </w:rPr>
              <w:t xml:space="preserve">142.535 € </w:t>
            </w:r>
          </w:p>
        </w:tc>
        <w:tc>
          <w:tcPr>
            <w:tcW w:w="1675" w:type="dxa"/>
            <w:tcBorders>
              <w:top w:val="nil"/>
              <w:left w:val="nil"/>
              <w:bottom w:val="single" w:sz="4" w:space="0" w:color="A6A6A6"/>
              <w:right w:val="single" w:sz="4" w:space="0" w:color="A6A6A6"/>
            </w:tcBorders>
            <w:noWrap/>
            <w:vAlign w:val="center"/>
            <w:hideMark/>
          </w:tcPr>
          <w:p w14:paraId="191218EB" w14:textId="412C296C" w:rsidR="00FD2CBB" w:rsidRPr="00110AA2" w:rsidRDefault="00FD2CBB" w:rsidP="00BD4F26">
            <w:pPr>
              <w:spacing w:after="0" w:line="240" w:lineRule="auto"/>
              <w:jc w:val="right"/>
              <w:rPr>
                <w:rFonts w:eastAsia="Calibri" w:cs="Calibri"/>
              </w:rPr>
            </w:pPr>
            <w:r w:rsidRPr="00110AA2">
              <w:rPr>
                <w:rFonts w:eastAsia="Calibri" w:cs="Calibri"/>
              </w:rPr>
              <w:t xml:space="preserve">92.647 € </w:t>
            </w:r>
          </w:p>
        </w:tc>
        <w:tc>
          <w:tcPr>
            <w:tcW w:w="1840" w:type="dxa"/>
            <w:tcBorders>
              <w:top w:val="nil"/>
              <w:left w:val="nil"/>
              <w:bottom w:val="single" w:sz="4" w:space="0" w:color="A6A6A6"/>
              <w:right w:val="single" w:sz="4" w:space="0" w:color="A6A6A6"/>
            </w:tcBorders>
            <w:noWrap/>
            <w:vAlign w:val="center"/>
            <w:hideMark/>
          </w:tcPr>
          <w:p w14:paraId="66529E33" w14:textId="20C6DCB5" w:rsidR="00FD2CBB" w:rsidRPr="00110AA2" w:rsidRDefault="00FD2CBB" w:rsidP="00BD4F26">
            <w:pPr>
              <w:spacing w:after="0" w:line="240" w:lineRule="auto"/>
              <w:jc w:val="right"/>
              <w:rPr>
                <w:rFonts w:eastAsia="Calibri" w:cs="Calibri"/>
              </w:rPr>
            </w:pPr>
            <w:r w:rsidRPr="00110AA2">
              <w:rPr>
                <w:rFonts w:eastAsia="Calibri" w:cs="Calibri"/>
              </w:rPr>
              <w:t xml:space="preserve">49.887 € </w:t>
            </w:r>
          </w:p>
        </w:tc>
      </w:tr>
      <w:tr w:rsidR="00FD2CBB" w:rsidRPr="00110AA2" w14:paraId="2CF5E8BD" w14:textId="77777777" w:rsidTr="004943FD">
        <w:trPr>
          <w:trHeight w:val="340"/>
        </w:trPr>
        <w:tc>
          <w:tcPr>
            <w:tcW w:w="2260" w:type="dxa"/>
            <w:tcBorders>
              <w:top w:val="nil"/>
              <w:left w:val="single" w:sz="4" w:space="0" w:color="A6A6A6"/>
              <w:bottom w:val="single" w:sz="4" w:space="0" w:color="A6A6A6"/>
              <w:right w:val="single" w:sz="4" w:space="0" w:color="A6A6A6"/>
            </w:tcBorders>
            <w:noWrap/>
            <w:vAlign w:val="center"/>
            <w:hideMark/>
          </w:tcPr>
          <w:p w14:paraId="36C9F908" w14:textId="77777777" w:rsidR="00FD2CBB" w:rsidRPr="00110AA2" w:rsidRDefault="00FD2CBB">
            <w:pPr>
              <w:spacing w:after="0" w:line="240" w:lineRule="auto"/>
              <w:jc w:val="left"/>
              <w:rPr>
                <w:rFonts w:ascii="Aptos Narrow" w:eastAsia="Times New Roman" w:hAnsi="Aptos Narrow" w:cs="Times New Roman"/>
                <w:b/>
                <w:bCs/>
                <w:color w:val="000000"/>
              </w:rPr>
            </w:pPr>
            <w:r w:rsidRPr="00110AA2">
              <w:rPr>
                <w:rFonts w:ascii="Aptos Narrow" w:eastAsia="Times New Roman" w:hAnsi="Aptos Narrow" w:cs="Times New Roman"/>
                <w:b/>
                <w:bCs/>
                <w:color w:val="000000"/>
              </w:rPr>
              <w:t xml:space="preserve">Totale </w:t>
            </w:r>
          </w:p>
        </w:tc>
        <w:tc>
          <w:tcPr>
            <w:tcW w:w="1704" w:type="dxa"/>
            <w:tcBorders>
              <w:top w:val="nil"/>
              <w:left w:val="nil"/>
              <w:bottom w:val="single" w:sz="4" w:space="0" w:color="A6A6A6"/>
              <w:right w:val="single" w:sz="4" w:space="0" w:color="A6A6A6"/>
            </w:tcBorders>
            <w:noWrap/>
            <w:vAlign w:val="center"/>
            <w:hideMark/>
          </w:tcPr>
          <w:p w14:paraId="7D638543" w14:textId="77777777" w:rsidR="00FD2CBB" w:rsidRPr="00110AA2" w:rsidRDefault="00FD2CBB">
            <w:pPr>
              <w:spacing w:after="0" w:line="240" w:lineRule="auto"/>
              <w:jc w:val="right"/>
              <w:rPr>
                <w:rFonts w:ascii="Aptos Narrow" w:eastAsia="Times New Roman" w:hAnsi="Aptos Narrow" w:cs="Times New Roman"/>
                <w:b/>
                <w:bCs/>
                <w:color w:val="000000"/>
              </w:rPr>
            </w:pPr>
            <w:r w:rsidRPr="00110AA2">
              <w:rPr>
                <w:rFonts w:ascii="Aptos Narrow" w:eastAsia="Times New Roman" w:hAnsi="Aptos Narrow" w:cs="Times New Roman"/>
                <w:b/>
                <w:bCs/>
                <w:color w:val="000000"/>
              </w:rPr>
              <w:t xml:space="preserve">323.661 </w:t>
            </w:r>
          </w:p>
        </w:tc>
        <w:tc>
          <w:tcPr>
            <w:tcW w:w="1701" w:type="dxa"/>
            <w:tcBorders>
              <w:top w:val="nil"/>
              <w:left w:val="nil"/>
              <w:bottom w:val="single" w:sz="4" w:space="0" w:color="A6A6A6"/>
              <w:right w:val="single" w:sz="4" w:space="0" w:color="A6A6A6"/>
            </w:tcBorders>
            <w:noWrap/>
            <w:vAlign w:val="center"/>
            <w:hideMark/>
          </w:tcPr>
          <w:p w14:paraId="6DFC67FA" w14:textId="1047CEF2" w:rsidR="00FD2CBB" w:rsidRPr="00110AA2" w:rsidRDefault="00FD2CBB">
            <w:pPr>
              <w:spacing w:after="0" w:line="240" w:lineRule="auto"/>
              <w:jc w:val="right"/>
              <w:rPr>
                <w:rFonts w:ascii="Aptos Narrow" w:eastAsia="Times New Roman" w:hAnsi="Aptos Narrow" w:cs="Times New Roman"/>
                <w:b/>
                <w:bCs/>
                <w:color w:val="000000"/>
              </w:rPr>
            </w:pPr>
            <w:r w:rsidRPr="00110AA2">
              <w:rPr>
                <w:rFonts w:ascii="Aptos Narrow" w:eastAsia="Times New Roman" w:hAnsi="Aptos Narrow" w:cs="Times New Roman"/>
                <w:b/>
                <w:bCs/>
                <w:color w:val="000000"/>
              </w:rPr>
              <w:t xml:space="preserve">749.630 € </w:t>
            </w:r>
          </w:p>
        </w:tc>
        <w:tc>
          <w:tcPr>
            <w:tcW w:w="1675" w:type="dxa"/>
            <w:tcBorders>
              <w:top w:val="nil"/>
              <w:left w:val="nil"/>
              <w:bottom w:val="single" w:sz="4" w:space="0" w:color="A6A6A6"/>
              <w:right w:val="single" w:sz="4" w:space="0" w:color="A6A6A6"/>
            </w:tcBorders>
            <w:noWrap/>
            <w:vAlign w:val="center"/>
            <w:hideMark/>
          </w:tcPr>
          <w:p w14:paraId="072DDFC7" w14:textId="57193956" w:rsidR="00FD2CBB" w:rsidRPr="00110AA2" w:rsidRDefault="00FD2CBB">
            <w:pPr>
              <w:spacing w:after="0" w:line="240" w:lineRule="auto"/>
              <w:jc w:val="right"/>
              <w:rPr>
                <w:rFonts w:ascii="Aptos Narrow" w:eastAsia="Times New Roman" w:hAnsi="Aptos Narrow" w:cs="Times New Roman"/>
                <w:b/>
                <w:bCs/>
                <w:color w:val="000000"/>
              </w:rPr>
            </w:pPr>
            <w:r w:rsidRPr="00110AA2">
              <w:rPr>
                <w:rFonts w:ascii="Aptos Narrow" w:eastAsia="Times New Roman" w:hAnsi="Aptos Narrow" w:cs="Times New Roman"/>
                <w:b/>
                <w:bCs/>
                <w:color w:val="000000"/>
              </w:rPr>
              <w:t xml:space="preserve"> 487.259 € </w:t>
            </w:r>
          </w:p>
        </w:tc>
        <w:tc>
          <w:tcPr>
            <w:tcW w:w="1840" w:type="dxa"/>
            <w:tcBorders>
              <w:top w:val="nil"/>
              <w:left w:val="nil"/>
              <w:bottom w:val="single" w:sz="4" w:space="0" w:color="A6A6A6"/>
              <w:right w:val="single" w:sz="4" w:space="0" w:color="A6A6A6"/>
            </w:tcBorders>
            <w:noWrap/>
            <w:vAlign w:val="center"/>
            <w:hideMark/>
          </w:tcPr>
          <w:p w14:paraId="05EE95CF" w14:textId="4F03C50E" w:rsidR="00FD2CBB" w:rsidRPr="00110AA2" w:rsidRDefault="00FD2CBB">
            <w:pPr>
              <w:spacing w:after="0" w:line="240" w:lineRule="auto"/>
              <w:jc w:val="right"/>
              <w:rPr>
                <w:rFonts w:ascii="Aptos Narrow" w:eastAsia="Times New Roman" w:hAnsi="Aptos Narrow" w:cs="Times New Roman"/>
                <w:b/>
                <w:bCs/>
                <w:color w:val="000000"/>
              </w:rPr>
            </w:pPr>
            <w:r w:rsidRPr="00110AA2">
              <w:rPr>
                <w:rFonts w:ascii="Aptos Narrow" w:eastAsia="Times New Roman" w:hAnsi="Aptos Narrow" w:cs="Times New Roman"/>
                <w:b/>
                <w:bCs/>
                <w:color w:val="000000"/>
              </w:rPr>
              <w:t xml:space="preserve"> 262.370 € </w:t>
            </w:r>
          </w:p>
        </w:tc>
      </w:tr>
    </w:tbl>
    <w:p w14:paraId="70EE5986" w14:textId="040972F0" w:rsidR="00FD2CBB" w:rsidRPr="00AD01C5" w:rsidRDefault="004D1D38" w:rsidP="00C42725">
      <w:pPr>
        <w:widowControl w:val="0"/>
        <w:spacing w:after="240" w:line="240" w:lineRule="auto"/>
        <w:jc w:val="center"/>
        <w:rPr>
          <w:rFonts w:eastAsia="Calibri"/>
          <w:color w:val="003366"/>
          <w:sz w:val="18"/>
          <w:szCs w:val="18"/>
        </w:rPr>
      </w:pPr>
      <w:bookmarkStart w:id="482" w:name="_Ref212929998"/>
      <w:r w:rsidRPr="00AD01C5">
        <w:rPr>
          <w:rFonts w:eastAsia="Calibri"/>
          <w:i/>
          <w:color w:val="003366"/>
          <w:sz w:val="18"/>
          <w:szCs w:val="18"/>
        </w:rPr>
        <w:t xml:space="preserve">Tabella </w:t>
      </w:r>
      <w:r w:rsidRPr="00BF35BC">
        <w:rPr>
          <w:rFonts w:cstheme="minorHAnsi"/>
          <w:i/>
          <w:color w:val="003366"/>
          <w:sz w:val="18"/>
          <w:szCs w:val="18"/>
        </w:rPr>
        <w:fldChar w:fldCharType="begin"/>
      </w:r>
      <w:r w:rsidRPr="00BF35BC">
        <w:rPr>
          <w:rFonts w:cstheme="minorHAnsi"/>
          <w:i/>
          <w:color w:val="003366"/>
          <w:sz w:val="18"/>
          <w:szCs w:val="18"/>
        </w:rPr>
        <w:instrText xml:space="preserve"> SEQ Tabella \* ARABIC </w:instrText>
      </w:r>
      <w:r w:rsidRPr="00BF35BC">
        <w:rPr>
          <w:rFonts w:cstheme="minorHAnsi"/>
          <w:i/>
          <w:color w:val="003366"/>
          <w:sz w:val="18"/>
          <w:szCs w:val="18"/>
        </w:rPr>
        <w:fldChar w:fldCharType="separate"/>
      </w:r>
      <w:r w:rsidR="00073B6D">
        <w:rPr>
          <w:rFonts w:cstheme="minorHAnsi"/>
          <w:i/>
          <w:noProof/>
          <w:color w:val="003366"/>
          <w:sz w:val="18"/>
          <w:szCs w:val="18"/>
        </w:rPr>
        <w:t>70</w:t>
      </w:r>
      <w:r w:rsidRPr="00BF35BC">
        <w:rPr>
          <w:rFonts w:cstheme="minorHAnsi"/>
          <w:i/>
          <w:color w:val="003366"/>
          <w:sz w:val="18"/>
          <w:szCs w:val="18"/>
        </w:rPr>
        <w:fldChar w:fldCharType="end"/>
      </w:r>
      <w:bookmarkEnd w:id="482"/>
      <w:r w:rsidRPr="00BF35BC">
        <w:rPr>
          <w:rFonts w:cstheme="minorHAnsi"/>
          <w:i/>
          <w:color w:val="003366"/>
          <w:sz w:val="18"/>
          <w:szCs w:val="18"/>
        </w:rPr>
        <w:t xml:space="preserve"> </w:t>
      </w:r>
      <w:r w:rsidRPr="00AD01C5">
        <w:rPr>
          <w:rFonts w:eastAsia="Calibri"/>
          <w:color w:val="003366"/>
          <w:sz w:val="18"/>
          <w:szCs w:val="18"/>
        </w:rPr>
        <w:t>–</w:t>
      </w:r>
      <w:r>
        <w:rPr>
          <w:rFonts w:eastAsia="Calibri"/>
          <w:color w:val="003366"/>
          <w:sz w:val="18"/>
          <w:szCs w:val="18"/>
        </w:rPr>
        <w:t xml:space="preserve"> </w:t>
      </w:r>
      <w:r w:rsidR="00FD2CBB" w:rsidRPr="00AD01C5">
        <w:rPr>
          <w:rFonts w:eastAsia="Calibri"/>
          <w:i/>
          <w:color w:val="003366"/>
          <w:sz w:val="18"/>
          <w:szCs w:val="18"/>
        </w:rPr>
        <w:t xml:space="preserve">Importi a base di gara per </w:t>
      </w:r>
      <w:r w:rsidR="00FD2CBB">
        <w:rPr>
          <w:rFonts w:eastAsia="Calibri"/>
          <w:i/>
          <w:color w:val="003366"/>
          <w:sz w:val="18"/>
          <w:szCs w:val="18"/>
        </w:rPr>
        <w:t>i servizi</w:t>
      </w:r>
      <w:r w:rsidR="00A466A0">
        <w:rPr>
          <w:rFonts w:eastAsia="Calibri"/>
          <w:i/>
          <w:color w:val="003366"/>
          <w:sz w:val="18"/>
          <w:szCs w:val="18"/>
        </w:rPr>
        <w:t xml:space="preserve"> a chiamata</w:t>
      </w:r>
    </w:p>
    <w:p w14:paraId="4087E009" w14:textId="537FCCF2" w:rsidR="002262F3" w:rsidRDefault="00FD2CBB" w:rsidP="002910F6">
      <w:pPr>
        <w:spacing w:before="120" w:after="0" w:line="240" w:lineRule="auto"/>
        <w:rPr>
          <w:rFonts w:eastAsia="Calibri"/>
        </w:rPr>
      </w:pPr>
      <w:r w:rsidRPr="00555449">
        <w:rPr>
          <w:rFonts w:eastAsia="Calibri"/>
        </w:rPr>
        <w:t>Il complesso delle risorse da</w:t>
      </w:r>
      <w:r>
        <w:rPr>
          <w:rFonts w:eastAsia="Calibri"/>
        </w:rPr>
        <w:t xml:space="preserve"> </w:t>
      </w:r>
      <w:r w:rsidRPr="00555449">
        <w:rPr>
          <w:rFonts w:eastAsia="Calibri"/>
        </w:rPr>
        <w:t xml:space="preserve">mettere a base di gara è </w:t>
      </w:r>
      <w:r>
        <w:rPr>
          <w:rFonts w:eastAsia="Calibri"/>
        </w:rPr>
        <w:t xml:space="preserve">pari alla somma del 65% dei costi standard e il 65% dei costi sostenuti per l’erogazione dei servizi a chiamata, i cui valori </w:t>
      </w:r>
      <w:r w:rsidRPr="00BA5BFC">
        <w:rPr>
          <w:rFonts w:eastAsia="Calibri"/>
        </w:rPr>
        <w:t>sono riportati nella</w:t>
      </w:r>
      <w:r w:rsidR="00BA5BFC" w:rsidRPr="00BA5BFC">
        <w:rPr>
          <w:rFonts w:eastAsia="Calibri"/>
        </w:rPr>
        <w:t xml:space="preserve"> </w:t>
      </w:r>
      <w:r w:rsidR="00496CB3" w:rsidRPr="001A6E26">
        <w:rPr>
          <w:rFonts w:eastAsia="Calibri"/>
        </w:rPr>
        <w:fldChar w:fldCharType="begin"/>
      </w:r>
      <w:r w:rsidR="00496CB3" w:rsidRPr="001A6E26">
        <w:rPr>
          <w:rFonts w:eastAsia="Calibri"/>
        </w:rPr>
        <w:instrText xml:space="preserve"> REF _Ref212929998 \h </w:instrText>
      </w:r>
      <w:r w:rsidR="001A6E26" w:rsidRPr="001A6E26">
        <w:rPr>
          <w:rFonts w:eastAsia="Calibri"/>
        </w:rPr>
        <w:instrText xml:space="preserve"> \* MERGEFORMAT </w:instrText>
      </w:r>
      <w:r w:rsidR="00496CB3" w:rsidRPr="001A6E26">
        <w:rPr>
          <w:rFonts w:eastAsia="Calibri"/>
        </w:rPr>
      </w:r>
      <w:r w:rsidR="00496CB3" w:rsidRPr="001A6E26">
        <w:rPr>
          <w:rFonts w:eastAsia="Calibri"/>
        </w:rPr>
        <w:fldChar w:fldCharType="separate"/>
      </w:r>
      <w:r w:rsidR="00073B6D" w:rsidRPr="00073B6D">
        <w:rPr>
          <w:rFonts w:eastAsia="Calibri"/>
        </w:rPr>
        <w:t xml:space="preserve">Tabella </w:t>
      </w:r>
      <w:r w:rsidR="00073B6D" w:rsidRPr="00073B6D">
        <w:rPr>
          <w:rFonts w:cstheme="minorHAnsi"/>
          <w:noProof/>
        </w:rPr>
        <w:t>70</w:t>
      </w:r>
      <w:r w:rsidR="00496CB3" w:rsidRPr="001A6E26">
        <w:rPr>
          <w:rFonts w:eastAsia="Calibri"/>
        </w:rPr>
        <w:fldChar w:fldCharType="end"/>
      </w:r>
      <w:r w:rsidR="00D2051B">
        <w:rPr>
          <w:rFonts w:eastAsia="Calibri"/>
        </w:rPr>
        <w:t>.</w:t>
      </w:r>
    </w:p>
    <w:p w14:paraId="107E7A8C" w14:textId="4E4205F3" w:rsidR="00D2051B" w:rsidRDefault="00D2051B" w:rsidP="002910F6">
      <w:pPr>
        <w:spacing w:before="120" w:after="0" w:line="240" w:lineRule="auto"/>
        <w:rPr>
          <w:rFonts w:eastAsia="Calibri"/>
        </w:rPr>
      </w:pPr>
      <w:r>
        <w:rPr>
          <w:rFonts w:eastAsia="Calibri"/>
        </w:rPr>
        <w:t>L’importo totale da mettere a gara</w:t>
      </w:r>
      <w:r w:rsidR="00FD2CBB" w:rsidRPr="00BA5BFC">
        <w:rPr>
          <w:rFonts w:eastAsia="Calibri"/>
        </w:rPr>
        <w:t xml:space="preserve"> ammonta </w:t>
      </w:r>
      <w:r>
        <w:rPr>
          <w:rFonts w:eastAsia="Calibri"/>
        </w:rPr>
        <w:t xml:space="preserve">pertanto a circa </w:t>
      </w:r>
      <w:r w:rsidR="00FD2CBB" w:rsidRPr="00BA5BFC">
        <w:rPr>
          <w:rFonts w:eastAsia="Calibri"/>
        </w:rPr>
        <w:t xml:space="preserve">35,5 milioni di </w:t>
      </w:r>
      <w:r>
        <w:rPr>
          <w:rFonts w:eastAsia="Calibri"/>
        </w:rPr>
        <w:t>euro l’anno come dettagliato nella tabella seguente</w:t>
      </w:r>
    </w:p>
    <w:p w14:paraId="02ED52BC" w14:textId="55EB0CF3" w:rsidR="00FD2CBB" w:rsidRPr="00BA5BFC" w:rsidRDefault="00FD2CBB" w:rsidP="00FD2CBB">
      <w:pPr>
        <w:spacing w:before="120" w:after="0" w:line="240" w:lineRule="auto"/>
        <w:rPr>
          <w:rFonts w:eastAsia="Calibri"/>
        </w:rPr>
      </w:pPr>
    </w:p>
    <w:tbl>
      <w:tblPr>
        <w:tblW w:w="5000" w:type="pct"/>
        <w:jc w:val="center"/>
        <w:tblCellMar>
          <w:left w:w="70" w:type="dxa"/>
          <w:right w:w="70" w:type="dxa"/>
        </w:tblCellMar>
        <w:tblLook w:val="04A0" w:firstRow="1" w:lastRow="0" w:firstColumn="1" w:lastColumn="0" w:noHBand="0" w:noVBand="1"/>
      </w:tblPr>
      <w:tblGrid>
        <w:gridCol w:w="1709"/>
        <w:gridCol w:w="1875"/>
        <w:gridCol w:w="1875"/>
        <w:gridCol w:w="1875"/>
        <w:gridCol w:w="1716"/>
      </w:tblGrid>
      <w:tr w:rsidR="00756167" w:rsidRPr="00F84CA2" w14:paraId="2381F1BC" w14:textId="77777777" w:rsidTr="00FD7EE5">
        <w:trPr>
          <w:trHeight w:val="340"/>
          <w:jc w:val="center"/>
        </w:trPr>
        <w:tc>
          <w:tcPr>
            <w:tcW w:w="944" w:type="pct"/>
            <w:tcBorders>
              <w:top w:val="single" w:sz="8" w:space="0" w:color="A6A6A6"/>
              <w:left w:val="single" w:sz="8" w:space="0" w:color="A6A6A6"/>
              <w:bottom w:val="single" w:sz="8" w:space="0" w:color="A6A6A6"/>
              <w:right w:val="single" w:sz="8" w:space="0" w:color="A6A6A6"/>
            </w:tcBorders>
            <w:shd w:val="clear" w:color="000000" w:fill="EE3438"/>
            <w:vAlign w:val="center"/>
            <w:hideMark/>
          </w:tcPr>
          <w:p w14:paraId="5AF2AB91" w14:textId="77777777" w:rsidR="00756167" w:rsidRPr="00F84CA2" w:rsidRDefault="00756167" w:rsidP="00025EA3">
            <w:pPr>
              <w:spacing w:after="0" w:line="240" w:lineRule="auto"/>
              <w:jc w:val="center"/>
              <w:rPr>
                <w:rFonts w:eastAsia="Times New Roman" w:cs="Calibri"/>
                <w:b/>
                <w:bCs/>
                <w:color w:val="FFFFFF"/>
              </w:rPr>
            </w:pPr>
            <w:r w:rsidRPr="00F84CA2">
              <w:rPr>
                <w:rFonts w:eastAsia="Times New Roman" w:cs="Calibri"/>
                <w:b/>
                <w:bCs/>
                <w:color w:val="FFFFFF"/>
              </w:rPr>
              <w:t xml:space="preserve">Lotti </w:t>
            </w:r>
          </w:p>
        </w:tc>
        <w:tc>
          <w:tcPr>
            <w:tcW w:w="1036" w:type="pct"/>
            <w:tcBorders>
              <w:top w:val="single" w:sz="8" w:space="0" w:color="A6A6A6"/>
              <w:left w:val="nil"/>
              <w:bottom w:val="single" w:sz="8" w:space="0" w:color="A6A6A6"/>
              <w:right w:val="single" w:sz="8" w:space="0" w:color="A6A6A6"/>
            </w:tcBorders>
            <w:shd w:val="clear" w:color="000000" w:fill="EE3438"/>
            <w:vAlign w:val="center"/>
            <w:hideMark/>
          </w:tcPr>
          <w:p w14:paraId="2AACBB16" w14:textId="77777777" w:rsidR="00756167" w:rsidRPr="00F84CA2" w:rsidRDefault="00756167" w:rsidP="00025EA3">
            <w:pPr>
              <w:spacing w:after="0" w:line="240" w:lineRule="auto"/>
              <w:jc w:val="center"/>
              <w:rPr>
                <w:rFonts w:eastAsia="Times New Roman" w:cs="Calibri"/>
                <w:b/>
                <w:bCs/>
                <w:color w:val="FFFFFF"/>
              </w:rPr>
            </w:pPr>
            <w:r w:rsidRPr="00F84CA2">
              <w:rPr>
                <w:rFonts w:eastAsia="Times New Roman" w:cs="Calibri"/>
                <w:b/>
                <w:bCs/>
                <w:color w:val="FFFFFF"/>
              </w:rPr>
              <w:t>Produzione</w:t>
            </w:r>
          </w:p>
        </w:tc>
        <w:tc>
          <w:tcPr>
            <w:tcW w:w="1036" w:type="pct"/>
            <w:tcBorders>
              <w:top w:val="single" w:sz="8" w:space="0" w:color="A6A6A6"/>
              <w:left w:val="nil"/>
              <w:bottom w:val="single" w:sz="8" w:space="0" w:color="A6A6A6"/>
              <w:right w:val="single" w:sz="8" w:space="0" w:color="A6A6A6"/>
            </w:tcBorders>
            <w:shd w:val="clear" w:color="000000" w:fill="EE3438"/>
            <w:vAlign w:val="center"/>
            <w:hideMark/>
          </w:tcPr>
          <w:p w14:paraId="3F91F390" w14:textId="77777777" w:rsidR="00756167" w:rsidRPr="00F84CA2" w:rsidRDefault="00756167" w:rsidP="00025EA3">
            <w:pPr>
              <w:spacing w:after="0" w:line="240" w:lineRule="auto"/>
              <w:jc w:val="center"/>
              <w:rPr>
                <w:rFonts w:eastAsia="Times New Roman" w:cs="Calibri"/>
                <w:b/>
                <w:bCs/>
                <w:color w:val="FFFFFF"/>
              </w:rPr>
            </w:pPr>
            <w:r w:rsidRPr="00F84CA2">
              <w:rPr>
                <w:rFonts w:eastAsia="Times New Roman" w:cs="Calibri"/>
                <w:b/>
                <w:bCs/>
                <w:color w:val="FFFFFF"/>
              </w:rPr>
              <w:t xml:space="preserve">Costo </w:t>
            </w:r>
            <w:r>
              <w:rPr>
                <w:rFonts w:eastAsia="Times New Roman" w:cs="Calibri"/>
                <w:b/>
                <w:bCs/>
                <w:color w:val="FFFFFF"/>
              </w:rPr>
              <w:t>Standard</w:t>
            </w:r>
          </w:p>
        </w:tc>
        <w:tc>
          <w:tcPr>
            <w:tcW w:w="1036" w:type="pct"/>
            <w:tcBorders>
              <w:top w:val="single" w:sz="8" w:space="0" w:color="A6A6A6"/>
              <w:left w:val="nil"/>
              <w:bottom w:val="single" w:sz="8" w:space="0" w:color="A6A6A6"/>
              <w:right w:val="single" w:sz="8" w:space="0" w:color="A6A6A6"/>
            </w:tcBorders>
            <w:shd w:val="clear" w:color="000000" w:fill="EE3438"/>
            <w:vAlign w:val="center"/>
            <w:hideMark/>
          </w:tcPr>
          <w:p w14:paraId="5D39BA78" w14:textId="77777777" w:rsidR="00756167" w:rsidRPr="00F84CA2" w:rsidRDefault="00756167" w:rsidP="00025EA3">
            <w:pPr>
              <w:spacing w:after="0" w:line="240" w:lineRule="auto"/>
              <w:jc w:val="center"/>
              <w:rPr>
                <w:rFonts w:eastAsia="Times New Roman" w:cs="Calibri"/>
                <w:b/>
                <w:bCs/>
                <w:color w:val="FFFFFF"/>
              </w:rPr>
            </w:pPr>
            <w:r w:rsidRPr="00F84CA2">
              <w:rPr>
                <w:rFonts w:eastAsia="Times New Roman" w:cs="Calibri"/>
                <w:b/>
                <w:bCs/>
                <w:color w:val="FFFFFF"/>
              </w:rPr>
              <w:t>Base Gara 65%</w:t>
            </w:r>
          </w:p>
        </w:tc>
        <w:tc>
          <w:tcPr>
            <w:tcW w:w="949" w:type="pct"/>
            <w:tcBorders>
              <w:top w:val="single" w:sz="8" w:space="0" w:color="A6A6A6"/>
              <w:left w:val="nil"/>
              <w:bottom w:val="single" w:sz="8" w:space="0" w:color="A6A6A6"/>
              <w:right w:val="single" w:sz="8" w:space="0" w:color="A6A6A6"/>
            </w:tcBorders>
            <w:shd w:val="clear" w:color="000000" w:fill="EE3438"/>
            <w:vAlign w:val="center"/>
            <w:hideMark/>
          </w:tcPr>
          <w:p w14:paraId="0AB381A9" w14:textId="77777777" w:rsidR="00756167" w:rsidRPr="00F84CA2" w:rsidRDefault="00756167" w:rsidP="00025EA3">
            <w:pPr>
              <w:spacing w:after="0" w:line="240" w:lineRule="auto"/>
              <w:jc w:val="center"/>
              <w:rPr>
                <w:rFonts w:eastAsia="Times New Roman" w:cs="Calibri"/>
                <w:b/>
                <w:bCs/>
                <w:color w:val="FFFFFF"/>
              </w:rPr>
            </w:pPr>
            <w:r w:rsidRPr="00F84CA2">
              <w:rPr>
                <w:rFonts w:eastAsia="Times New Roman" w:cs="Calibri"/>
                <w:b/>
                <w:bCs/>
                <w:color w:val="FFFFFF"/>
              </w:rPr>
              <w:t>Ricavi 35%</w:t>
            </w:r>
          </w:p>
        </w:tc>
      </w:tr>
      <w:tr w:rsidR="00756167" w:rsidRPr="00F84CA2" w14:paraId="358155AC" w14:textId="77777777" w:rsidTr="00FD7EE5">
        <w:trPr>
          <w:trHeight w:val="340"/>
          <w:jc w:val="center"/>
        </w:trPr>
        <w:tc>
          <w:tcPr>
            <w:tcW w:w="944" w:type="pct"/>
            <w:tcBorders>
              <w:top w:val="nil"/>
              <w:left w:val="single" w:sz="8" w:space="0" w:color="A6A6A6"/>
              <w:bottom w:val="single" w:sz="8" w:space="0" w:color="A6A6A6"/>
              <w:right w:val="single" w:sz="8" w:space="0" w:color="A6A6A6"/>
            </w:tcBorders>
            <w:shd w:val="clear" w:color="000000" w:fill="EE3438"/>
            <w:vAlign w:val="center"/>
            <w:hideMark/>
          </w:tcPr>
          <w:p w14:paraId="4B237BC2" w14:textId="77777777" w:rsidR="00756167" w:rsidRPr="00F84CA2" w:rsidRDefault="00756167" w:rsidP="00025EA3">
            <w:pPr>
              <w:spacing w:after="0" w:line="240" w:lineRule="auto"/>
              <w:jc w:val="left"/>
              <w:rPr>
                <w:rFonts w:eastAsia="Times New Roman" w:cs="Calibri"/>
                <w:color w:val="FFFFFF"/>
              </w:rPr>
            </w:pPr>
            <w:r w:rsidRPr="00F84CA2">
              <w:rPr>
                <w:rFonts w:eastAsia="Times New Roman" w:cs="Calibri"/>
                <w:color w:val="FFFFFF"/>
              </w:rPr>
              <w:t> </w:t>
            </w:r>
          </w:p>
        </w:tc>
        <w:tc>
          <w:tcPr>
            <w:tcW w:w="1036" w:type="pct"/>
            <w:tcBorders>
              <w:top w:val="nil"/>
              <w:left w:val="nil"/>
              <w:bottom w:val="single" w:sz="8" w:space="0" w:color="A6A6A6"/>
              <w:right w:val="single" w:sz="8" w:space="0" w:color="A6A6A6"/>
            </w:tcBorders>
            <w:shd w:val="clear" w:color="000000" w:fill="EE3438"/>
            <w:noWrap/>
            <w:vAlign w:val="center"/>
            <w:hideMark/>
          </w:tcPr>
          <w:p w14:paraId="2B4F9FBD" w14:textId="77777777" w:rsidR="00756167" w:rsidRPr="00F84CA2" w:rsidRDefault="00756167" w:rsidP="00025EA3">
            <w:pPr>
              <w:spacing w:after="0" w:line="240" w:lineRule="auto"/>
              <w:jc w:val="center"/>
              <w:rPr>
                <w:rFonts w:eastAsia="Times New Roman" w:cs="Calibri"/>
                <w:b/>
                <w:bCs/>
                <w:color w:val="FFFFFF"/>
              </w:rPr>
            </w:pPr>
            <w:r w:rsidRPr="00F84CA2">
              <w:rPr>
                <w:rFonts w:eastAsia="Times New Roman" w:cs="Calibri"/>
                <w:b/>
                <w:bCs/>
                <w:color w:val="FFFFFF"/>
              </w:rPr>
              <w:t>(veic-km/anno)</w:t>
            </w:r>
          </w:p>
        </w:tc>
        <w:tc>
          <w:tcPr>
            <w:tcW w:w="1036" w:type="pct"/>
            <w:tcBorders>
              <w:top w:val="nil"/>
              <w:left w:val="nil"/>
              <w:bottom w:val="single" w:sz="8" w:space="0" w:color="A6A6A6"/>
              <w:right w:val="single" w:sz="8" w:space="0" w:color="A6A6A6"/>
            </w:tcBorders>
            <w:shd w:val="clear" w:color="000000" w:fill="EE3438"/>
            <w:vAlign w:val="center"/>
            <w:hideMark/>
          </w:tcPr>
          <w:p w14:paraId="28AFDC78" w14:textId="77777777" w:rsidR="00756167" w:rsidRPr="00F84CA2" w:rsidRDefault="00756167" w:rsidP="00025EA3">
            <w:pPr>
              <w:spacing w:after="0" w:line="240" w:lineRule="auto"/>
              <w:jc w:val="center"/>
              <w:rPr>
                <w:rFonts w:eastAsia="Times New Roman" w:cs="Calibri"/>
                <w:b/>
                <w:bCs/>
                <w:color w:val="FFFFFF"/>
              </w:rPr>
            </w:pPr>
            <w:r w:rsidRPr="00F84CA2">
              <w:rPr>
                <w:rFonts w:eastAsia="Times New Roman" w:cs="Calibri"/>
                <w:b/>
                <w:bCs/>
                <w:color w:val="FFFFFF"/>
              </w:rPr>
              <w:t>(€)</w:t>
            </w:r>
          </w:p>
        </w:tc>
        <w:tc>
          <w:tcPr>
            <w:tcW w:w="1036" w:type="pct"/>
            <w:tcBorders>
              <w:top w:val="nil"/>
              <w:left w:val="nil"/>
              <w:bottom w:val="single" w:sz="8" w:space="0" w:color="A6A6A6"/>
              <w:right w:val="single" w:sz="8" w:space="0" w:color="A6A6A6"/>
            </w:tcBorders>
            <w:shd w:val="clear" w:color="000000" w:fill="EE3438"/>
            <w:vAlign w:val="center"/>
            <w:hideMark/>
          </w:tcPr>
          <w:p w14:paraId="7DA9B404" w14:textId="77777777" w:rsidR="00756167" w:rsidRPr="00F84CA2" w:rsidRDefault="00756167" w:rsidP="00025EA3">
            <w:pPr>
              <w:spacing w:after="0" w:line="240" w:lineRule="auto"/>
              <w:jc w:val="center"/>
              <w:rPr>
                <w:rFonts w:eastAsia="Times New Roman" w:cs="Calibri"/>
                <w:b/>
                <w:bCs/>
                <w:color w:val="FFFFFF"/>
              </w:rPr>
            </w:pPr>
            <w:r w:rsidRPr="00F84CA2">
              <w:rPr>
                <w:rFonts w:eastAsia="Times New Roman" w:cs="Calibri"/>
                <w:b/>
                <w:bCs/>
                <w:color w:val="FFFFFF"/>
              </w:rPr>
              <w:t>(€)</w:t>
            </w:r>
          </w:p>
        </w:tc>
        <w:tc>
          <w:tcPr>
            <w:tcW w:w="949" w:type="pct"/>
            <w:tcBorders>
              <w:top w:val="nil"/>
              <w:left w:val="nil"/>
              <w:bottom w:val="single" w:sz="8" w:space="0" w:color="A6A6A6"/>
              <w:right w:val="single" w:sz="8" w:space="0" w:color="A6A6A6"/>
            </w:tcBorders>
            <w:shd w:val="clear" w:color="000000" w:fill="EE3438"/>
            <w:vAlign w:val="center"/>
            <w:hideMark/>
          </w:tcPr>
          <w:p w14:paraId="726C0825" w14:textId="77777777" w:rsidR="00756167" w:rsidRPr="00F84CA2" w:rsidRDefault="00756167" w:rsidP="00025EA3">
            <w:pPr>
              <w:spacing w:after="0" w:line="240" w:lineRule="auto"/>
              <w:jc w:val="center"/>
              <w:rPr>
                <w:rFonts w:eastAsia="Times New Roman" w:cs="Calibri"/>
                <w:b/>
                <w:bCs/>
                <w:color w:val="FFFFFF"/>
              </w:rPr>
            </w:pPr>
            <w:r w:rsidRPr="00F84CA2">
              <w:rPr>
                <w:rFonts w:eastAsia="Times New Roman" w:cs="Calibri"/>
                <w:b/>
                <w:bCs/>
                <w:color w:val="FFFFFF"/>
              </w:rPr>
              <w:t>(€)</w:t>
            </w:r>
          </w:p>
        </w:tc>
      </w:tr>
      <w:tr w:rsidR="00756167" w:rsidRPr="00F84CA2" w14:paraId="1C20687C" w14:textId="77777777" w:rsidTr="00FD7EE5">
        <w:trPr>
          <w:trHeight w:val="340"/>
          <w:jc w:val="center"/>
        </w:trPr>
        <w:tc>
          <w:tcPr>
            <w:tcW w:w="944" w:type="pct"/>
            <w:tcBorders>
              <w:top w:val="nil"/>
              <w:left w:val="single" w:sz="8" w:space="0" w:color="A6A6A6"/>
              <w:bottom w:val="single" w:sz="8" w:space="0" w:color="A6A6A6"/>
              <w:right w:val="single" w:sz="8" w:space="0" w:color="A6A6A6"/>
            </w:tcBorders>
            <w:noWrap/>
            <w:vAlign w:val="center"/>
            <w:hideMark/>
          </w:tcPr>
          <w:p w14:paraId="3DC0866B" w14:textId="77777777" w:rsidR="00756167" w:rsidRPr="00F84CA2" w:rsidRDefault="00756167" w:rsidP="00025EA3">
            <w:pPr>
              <w:spacing w:after="0" w:line="240" w:lineRule="auto"/>
              <w:jc w:val="left"/>
              <w:rPr>
                <w:rFonts w:ascii="Aptos Narrow" w:eastAsia="Times New Roman" w:hAnsi="Aptos Narrow" w:cs="Times New Roman"/>
                <w:color w:val="000000"/>
              </w:rPr>
            </w:pPr>
            <w:r w:rsidRPr="00F84CA2">
              <w:rPr>
                <w:rFonts w:ascii="Aptos Narrow" w:eastAsia="Times New Roman" w:hAnsi="Aptos Narrow" w:cs="Times New Roman"/>
                <w:color w:val="000000"/>
              </w:rPr>
              <w:t>Lotto Nord</w:t>
            </w:r>
          </w:p>
        </w:tc>
        <w:tc>
          <w:tcPr>
            <w:tcW w:w="1036" w:type="pct"/>
            <w:tcBorders>
              <w:top w:val="nil"/>
              <w:left w:val="nil"/>
              <w:bottom w:val="single" w:sz="8" w:space="0" w:color="A6A6A6"/>
              <w:right w:val="single" w:sz="8" w:space="0" w:color="A6A6A6"/>
            </w:tcBorders>
            <w:noWrap/>
            <w:vAlign w:val="center"/>
            <w:hideMark/>
          </w:tcPr>
          <w:p w14:paraId="1DF19608" w14:textId="253BCB15" w:rsidR="00756167" w:rsidRPr="00F84CA2" w:rsidRDefault="00756167" w:rsidP="00025EA3">
            <w:pPr>
              <w:spacing w:after="0" w:line="240" w:lineRule="auto"/>
              <w:jc w:val="right"/>
              <w:rPr>
                <w:rFonts w:ascii="Aptos Narrow" w:eastAsia="Times New Roman" w:hAnsi="Aptos Narrow" w:cs="Times New Roman"/>
                <w:color w:val="000000"/>
              </w:rPr>
            </w:pPr>
            <w:r w:rsidRPr="00F84CA2">
              <w:rPr>
                <w:rFonts w:ascii="Aptos Narrow" w:eastAsia="Times New Roman" w:hAnsi="Aptos Narrow" w:cs="Times New Roman"/>
                <w:color w:val="000000"/>
              </w:rPr>
              <w:t>9.080.772</w:t>
            </w:r>
          </w:p>
        </w:tc>
        <w:tc>
          <w:tcPr>
            <w:tcW w:w="1036" w:type="pct"/>
            <w:tcBorders>
              <w:top w:val="nil"/>
              <w:left w:val="nil"/>
              <w:bottom w:val="single" w:sz="8" w:space="0" w:color="A6A6A6"/>
              <w:right w:val="single" w:sz="8" w:space="0" w:color="A6A6A6"/>
            </w:tcBorders>
            <w:noWrap/>
            <w:vAlign w:val="center"/>
            <w:hideMark/>
          </w:tcPr>
          <w:p w14:paraId="58157E9B" w14:textId="77777777" w:rsidR="00756167" w:rsidRPr="00F84CA2" w:rsidRDefault="00756167" w:rsidP="00025EA3">
            <w:pPr>
              <w:spacing w:after="0" w:line="240" w:lineRule="auto"/>
              <w:jc w:val="right"/>
              <w:rPr>
                <w:rFonts w:ascii="Aptos Narrow" w:eastAsia="Times New Roman" w:hAnsi="Aptos Narrow" w:cs="Times New Roman"/>
                <w:color w:val="000000"/>
              </w:rPr>
            </w:pPr>
            <w:r w:rsidRPr="00F84CA2">
              <w:rPr>
                <w:rFonts w:ascii="Aptos Narrow" w:eastAsia="Times New Roman" w:hAnsi="Aptos Narrow" w:cs="Times New Roman"/>
                <w:color w:val="000000"/>
              </w:rPr>
              <w:t>27.912.039 €</w:t>
            </w:r>
          </w:p>
        </w:tc>
        <w:tc>
          <w:tcPr>
            <w:tcW w:w="1036" w:type="pct"/>
            <w:tcBorders>
              <w:top w:val="nil"/>
              <w:left w:val="nil"/>
              <w:bottom w:val="single" w:sz="8" w:space="0" w:color="A6A6A6"/>
              <w:right w:val="single" w:sz="8" w:space="0" w:color="A6A6A6"/>
            </w:tcBorders>
            <w:noWrap/>
            <w:vAlign w:val="center"/>
            <w:hideMark/>
          </w:tcPr>
          <w:p w14:paraId="4BA6E802" w14:textId="77777777" w:rsidR="00756167" w:rsidRPr="00F84CA2" w:rsidRDefault="00756167" w:rsidP="00025EA3">
            <w:pPr>
              <w:spacing w:after="0" w:line="240" w:lineRule="auto"/>
              <w:jc w:val="right"/>
              <w:rPr>
                <w:rFonts w:ascii="Aptos Narrow" w:eastAsia="Times New Roman" w:hAnsi="Aptos Narrow" w:cs="Times New Roman"/>
                <w:color w:val="000000"/>
              </w:rPr>
            </w:pPr>
            <w:r w:rsidRPr="00F84CA2">
              <w:rPr>
                <w:rFonts w:ascii="Aptos Narrow" w:eastAsia="Times New Roman" w:hAnsi="Aptos Narrow" w:cs="Times New Roman"/>
                <w:color w:val="000000"/>
              </w:rPr>
              <w:t>18.142.826 €</w:t>
            </w:r>
          </w:p>
        </w:tc>
        <w:tc>
          <w:tcPr>
            <w:tcW w:w="949" w:type="pct"/>
            <w:tcBorders>
              <w:top w:val="nil"/>
              <w:left w:val="nil"/>
              <w:bottom w:val="single" w:sz="8" w:space="0" w:color="A6A6A6"/>
              <w:right w:val="single" w:sz="8" w:space="0" w:color="A6A6A6"/>
            </w:tcBorders>
            <w:noWrap/>
            <w:vAlign w:val="center"/>
            <w:hideMark/>
          </w:tcPr>
          <w:p w14:paraId="5D1F7D8D" w14:textId="77777777" w:rsidR="00756167" w:rsidRPr="00F84CA2" w:rsidRDefault="00756167" w:rsidP="00025EA3">
            <w:pPr>
              <w:spacing w:after="0" w:line="240" w:lineRule="auto"/>
              <w:jc w:val="right"/>
              <w:rPr>
                <w:rFonts w:ascii="Aptos Narrow" w:eastAsia="Times New Roman" w:hAnsi="Aptos Narrow" w:cs="Times New Roman"/>
                <w:color w:val="000000"/>
              </w:rPr>
            </w:pPr>
            <w:r w:rsidRPr="00F84CA2">
              <w:rPr>
                <w:rFonts w:ascii="Aptos Narrow" w:eastAsia="Times New Roman" w:hAnsi="Aptos Narrow" w:cs="Times New Roman"/>
                <w:color w:val="000000"/>
              </w:rPr>
              <w:t>9.769.214 €</w:t>
            </w:r>
          </w:p>
        </w:tc>
      </w:tr>
      <w:tr w:rsidR="00756167" w:rsidRPr="00F84CA2" w14:paraId="566216EC" w14:textId="77777777" w:rsidTr="00FD7EE5">
        <w:trPr>
          <w:trHeight w:val="340"/>
          <w:jc w:val="center"/>
        </w:trPr>
        <w:tc>
          <w:tcPr>
            <w:tcW w:w="944" w:type="pct"/>
            <w:tcBorders>
              <w:top w:val="nil"/>
              <w:left w:val="single" w:sz="8" w:space="0" w:color="A6A6A6"/>
              <w:bottom w:val="single" w:sz="8" w:space="0" w:color="A6A6A6"/>
              <w:right w:val="single" w:sz="8" w:space="0" w:color="A6A6A6"/>
            </w:tcBorders>
            <w:noWrap/>
            <w:vAlign w:val="center"/>
            <w:hideMark/>
          </w:tcPr>
          <w:p w14:paraId="225523DB" w14:textId="77777777" w:rsidR="00756167" w:rsidRPr="00F84CA2" w:rsidRDefault="00756167" w:rsidP="00025EA3">
            <w:pPr>
              <w:spacing w:after="0" w:line="240" w:lineRule="auto"/>
              <w:jc w:val="left"/>
              <w:rPr>
                <w:rFonts w:ascii="Aptos Narrow" w:eastAsia="Times New Roman" w:hAnsi="Aptos Narrow" w:cs="Times New Roman"/>
                <w:color w:val="000000"/>
              </w:rPr>
            </w:pPr>
            <w:r w:rsidRPr="00F84CA2">
              <w:rPr>
                <w:rFonts w:ascii="Aptos Narrow" w:eastAsia="Times New Roman" w:hAnsi="Aptos Narrow" w:cs="Times New Roman"/>
                <w:color w:val="000000"/>
              </w:rPr>
              <w:t>Lotto Sud</w:t>
            </w:r>
          </w:p>
        </w:tc>
        <w:tc>
          <w:tcPr>
            <w:tcW w:w="1036" w:type="pct"/>
            <w:tcBorders>
              <w:top w:val="nil"/>
              <w:left w:val="nil"/>
              <w:bottom w:val="single" w:sz="8" w:space="0" w:color="A6A6A6"/>
              <w:right w:val="single" w:sz="8" w:space="0" w:color="A6A6A6"/>
            </w:tcBorders>
            <w:noWrap/>
            <w:vAlign w:val="center"/>
            <w:hideMark/>
          </w:tcPr>
          <w:p w14:paraId="374D54FC" w14:textId="250A253C" w:rsidR="00756167" w:rsidRPr="00F84CA2" w:rsidRDefault="00756167" w:rsidP="00025EA3">
            <w:pPr>
              <w:spacing w:after="0" w:line="240" w:lineRule="auto"/>
              <w:jc w:val="right"/>
              <w:rPr>
                <w:rFonts w:ascii="Aptos Narrow" w:eastAsia="Times New Roman" w:hAnsi="Aptos Narrow" w:cs="Times New Roman"/>
                <w:color w:val="000000"/>
              </w:rPr>
            </w:pPr>
            <w:r w:rsidRPr="00F84CA2">
              <w:rPr>
                <w:rFonts w:ascii="Aptos Narrow" w:eastAsia="Times New Roman" w:hAnsi="Aptos Narrow" w:cs="Times New Roman"/>
                <w:color w:val="000000"/>
              </w:rPr>
              <w:t>8.322.284</w:t>
            </w:r>
          </w:p>
        </w:tc>
        <w:tc>
          <w:tcPr>
            <w:tcW w:w="1036" w:type="pct"/>
            <w:tcBorders>
              <w:top w:val="nil"/>
              <w:left w:val="nil"/>
              <w:bottom w:val="single" w:sz="8" w:space="0" w:color="A6A6A6"/>
              <w:right w:val="single" w:sz="8" w:space="0" w:color="A6A6A6"/>
            </w:tcBorders>
            <w:noWrap/>
            <w:vAlign w:val="center"/>
            <w:hideMark/>
          </w:tcPr>
          <w:p w14:paraId="2CC22BE1" w14:textId="77777777" w:rsidR="00756167" w:rsidRPr="00F84CA2" w:rsidRDefault="00756167" w:rsidP="00025EA3">
            <w:pPr>
              <w:spacing w:after="0" w:line="240" w:lineRule="auto"/>
              <w:jc w:val="right"/>
              <w:rPr>
                <w:rFonts w:ascii="Aptos Narrow" w:eastAsia="Times New Roman" w:hAnsi="Aptos Narrow" w:cs="Times New Roman"/>
                <w:color w:val="000000"/>
              </w:rPr>
            </w:pPr>
            <w:r w:rsidRPr="00F84CA2">
              <w:rPr>
                <w:rFonts w:ascii="Aptos Narrow" w:eastAsia="Times New Roman" w:hAnsi="Aptos Narrow" w:cs="Times New Roman"/>
                <w:color w:val="000000"/>
              </w:rPr>
              <w:t>26.778.580 €</w:t>
            </w:r>
          </w:p>
        </w:tc>
        <w:tc>
          <w:tcPr>
            <w:tcW w:w="1036" w:type="pct"/>
            <w:tcBorders>
              <w:top w:val="nil"/>
              <w:left w:val="nil"/>
              <w:bottom w:val="single" w:sz="8" w:space="0" w:color="A6A6A6"/>
              <w:right w:val="single" w:sz="8" w:space="0" w:color="A6A6A6"/>
            </w:tcBorders>
            <w:noWrap/>
            <w:vAlign w:val="center"/>
            <w:hideMark/>
          </w:tcPr>
          <w:p w14:paraId="301A1288" w14:textId="77777777" w:rsidR="00756167" w:rsidRPr="00F84CA2" w:rsidRDefault="00756167" w:rsidP="00025EA3">
            <w:pPr>
              <w:spacing w:after="0" w:line="240" w:lineRule="auto"/>
              <w:jc w:val="right"/>
              <w:rPr>
                <w:rFonts w:ascii="Aptos Narrow" w:eastAsia="Times New Roman" w:hAnsi="Aptos Narrow" w:cs="Times New Roman"/>
                <w:color w:val="000000"/>
              </w:rPr>
            </w:pPr>
            <w:r w:rsidRPr="00F84CA2">
              <w:rPr>
                <w:rFonts w:ascii="Aptos Narrow" w:eastAsia="Times New Roman" w:hAnsi="Aptos Narrow" w:cs="Times New Roman"/>
                <w:color w:val="000000"/>
              </w:rPr>
              <w:t>17.406.077 €</w:t>
            </w:r>
          </w:p>
        </w:tc>
        <w:tc>
          <w:tcPr>
            <w:tcW w:w="949" w:type="pct"/>
            <w:tcBorders>
              <w:top w:val="nil"/>
              <w:left w:val="nil"/>
              <w:bottom w:val="single" w:sz="8" w:space="0" w:color="A6A6A6"/>
              <w:right w:val="single" w:sz="8" w:space="0" w:color="A6A6A6"/>
            </w:tcBorders>
            <w:noWrap/>
            <w:vAlign w:val="center"/>
            <w:hideMark/>
          </w:tcPr>
          <w:p w14:paraId="7345C34B" w14:textId="77777777" w:rsidR="00756167" w:rsidRPr="00F84CA2" w:rsidRDefault="00756167" w:rsidP="00025EA3">
            <w:pPr>
              <w:spacing w:after="0" w:line="240" w:lineRule="auto"/>
              <w:jc w:val="right"/>
              <w:rPr>
                <w:rFonts w:ascii="Aptos Narrow" w:eastAsia="Times New Roman" w:hAnsi="Aptos Narrow" w:cs="Times New Roman"/>
                <w:color w:val="000000"/>
              </w:rPr>
            </w:pPr>
            <w:r w:rsidRPr="00F84CA2">
              <w:rPr>
                <w:rFonts w:ascii="Aptos Narrow" w:eastAsia="Times New Roman" w:hAnsi="Aptos Narrow" w:cs="Times New Roman"/>
                <w:color w:val="000000"/>
              </w:rPr>
              <w:t>9.372.503 €</w:t>
            </w:r>
          </w:p>
        </w:tc>
      </w:tr>
      <w:tr w:rsidR="00756167" w:rsidRPr="00F84CA2" w14:paraId="6D703C92" w14:textId="77777777" w:rsidTr="00FD7EE5">
        <w:trPr>
          <w:trHeight w:val="340"/>
          <w:jc w:val="center"/>
        </w:trPr>
        <w:tc>
          <w:tcPr>
            <w:tcW w:w="944" w:type="pct"/>
            <w:tcBorders>
              <w:top w:val="nil"/>
              <w:left w:val="single" w:sz="8" w:space="0" w:color="A6A6A6"/>
              <w:bottom w:val="single" w:sz="8" w:space="0" w:color="A6A6A6"/>
              <w:right w:val="single" w:sz="8" w:space="0" w:color="A6A6A6"/>
            </w:tcBorders>
            <w:noWrap/>
            <w:vAlign w:val="center"/>
            <w:hideMark/>
          </w:tcPr>
          <w:p w14:paraId="0C162D2F" w14:textId="77777777" w:rsidR="00756167" w:rsidRPr="00F84CA2" w:rsidRDefault="00756167" w:rsidP="00025EA3">
            <w:pPr>
              <w:spacing w:after="0" w:line="240" w:lineRule="auto"/>
              <w:jc w:val="left"/>
              <w:rPr>
                <w:rFonts w:ascii="Aptos Narrow" w:eastAsia="Times New Roman" w:hAnsi="Aptos Narrow" w:cs="Times New Roman"/>
                <w:color w:val="000000"/>
              </w:rPr>
            </w:pPr>
            <w:r w:rsidRPr="00F84CA2">
              <w:rPr>
                <w:rFonts w:ascii="Aptos Narrow" w:eastAsia="Times New Roman" w:hAnsi="Aptos Narrow" w:cs="Times New Roman"/>
                <w:color w:val="000000"/>
              </w:rPr>
              <w:t> </w:t>
            </w:r>
          </w:p>
        </w:tc>
        <w:tc>
          <w:tcPr>
            <w:tcW w:w="1036" w:type="pct"/>
            <w:tcBorders>
              <w:top w:val="nil"/>
              <w:left w:val="nil"/>
              <w:bottom w:val="single" w:sz="8" w:space="0" w:color="A6A6A6"/>
              <w:right w:val="single" w:sz="8" w:space="0" w:color="A6A6A6"/>
            </w:tcBorders>
            <w:noWrap/>
            <w:vAlign w:val="center"/>
            <w:hideMark/>
          </w:tcPr>
          <w:p w14:paraId="49D0288F" w14:textId="5BC99F06" w:rsidR="00756167" w:rsidRPr="00F84CA2" w:rsidRDefault="00756167" w:rsidP="00025EA3">
            <w:pPr>
              <w:spacing w:after="0" w:line="240" w:lineRule="auto"/>
              <w:jc w:val="right"/>
              <w:rPr>
                <w:rFonts w:ascii="Aptos Narrow" w:eastAsia="Times New Roman" w:hAnsi="Aptos Narrow" w:cs="Times New Roman"/>
                <w:b/>
                <w:bCs/>
                <w:color w:val="000000"/>
              </w:rPr>
            </w:pPr>
            <w:r w:rsidRPr="00F84CA2">
              <w:rPr>
                <w:rFonts w:ascii="Aptos Narrow" w:eastAsia="Times New Roman" w:hAnsi="Aptos Narrow" w:cs="Times New Roman"/>
                <w:b/>
                <w:bCs/>
                <w:color w:val="000000"/>
              </w:rPr>
              <w:t>17.403.056</w:t>
            </w:r>
          </w:p>
        </w:tc>
        <w:tc>
          <w:tcPr>
            <w:tcW w:w="1036" w:type="pct"/>
            <w:tcBorders>
              <w:top w:val="nil"/>
              <w:left w:val="nil"/>
              <w:bottom w:val="single" w:sz="8" w:space="0" w:color="A6A6A6"/>
              <w:right w:val="single" w:sz="8" w:space="0" w:color="A6A6A6"/>
            </w:tcBorders>
            <w:noWrap/>
            <w:vAlign w:val="center"/>
            <w:hideMark/>
          </w:tcPr>
          <w:p w14:paraId="51B0D089" w14:textId="77777777" w:rsidR="00756167" w:rsidRPr="00F84CA2" w:rsidRDefault="00756167" w:rsidP="00025EA3">
            <w:pPr>
              <w:spacing w:after="0" w:line="240" w:lineRule="auto"/>
              <w:jc w:val="right"/>
              <w:rPr>
                <w:rFonts w:ascii="Aptos Narrow" w:eastAsia="Times New Roman" w:hAnsi="Aptos Narrow" w:cs="Times New Roman"/>
                <w:b/>
                <w:bCs/>
                <w:color w:val="000000"/>
              </w:rPr>
            </w:pPr>
            <w:r w:rsidRPr="00F84CA2">
              <w:rPr>
                <w:rFonts w:ascii="Aptos Narrow" w:eastAsia="Times New Roman" w:hAnsi="Aptos Narrow" w:cs="Times New Roman"/>
                <w:b/>
                <w:bCs/>
                <w:color w:val="000000"/>
              </w:rPr>
              <w:t>54.690.619 €</w:t>
            </w:r>
          </w:p>
        </w:tc>
        <w:tc>
          <w:tcPr>
            <w:tcW w:w="1036" w:type="pct"/>
            <w:tcBorders>
              <w:top w:val="nil"/>
              <w:left w:val="nil"/>
              <w:bottom w:val="single" w:sz="8" w:space="0" w:color="A6A6A6"/>
              <w:right w:val="single" w:sz="8" w:space="0" w:color="A6A6A6"/>
            </w:tcBorders>
            <w:noWrap/>
            <w:vAlign w:val="center"/>
            <w:hideMark/>
          </w:tcPr>
          <w:p w14:paraId="073D08C4" w14:textId="77777777" w:rsidR="00756167" w:rsidRPr="00F84CA2" w:rsidRDefault="00756167" w:rsidP="00025EA3">
            <w:pPr>
              <w:spacing w:after="0" w:line="240" w:lineRule="auto"/>
              <w:jc w:val="right"/>
              <w:rPr>
                <w:rFonts w:ascii="Aptos Narrow" w:eastAsia="Times New Roman" w:hAnsi="Aptos Narrow" w:cs="Times New Roman"/>
                <w:b/>
                <w:bCs/>
                <w:color w:val="000000"/>
              </w:rPr>
            </w:pPr>
            <w:r w:rsidRPr="00F84CA2">
              <w:rPr>
                <w:rFonts w:ascii="Aptos Narrow" w:eastAsia="Times New Roman" w:hAnsi="Aptos Narrow" w:cs="Times New Roman"/>
                <w:b/>
                <w:bCs/>
                <w:color w:val="000000"/>
              </w:rPr>
              <w:t>35.548.902 €</w:t>
            </w:r>
          </w:p>
        </w:tc>
        <w:tc>
          <w:tcPr>
            <w:tcW w:w="949" w:type="pct"/>
            <w:tcBorders>
              <w:top w:val="nil"/>
              <w:left w:val="nil"/>
              <w:bottom w:val="single" w:sz="8" w:space="0" w:color="A6A6A6"/>
              <w:right w:val="single" w:sz="8" w:space="0" w:color="A6A6A6"/>
            </w:tcBorders>
            <w:noWrap/>
            <w:vAlign w:val="center"/>
            <w:hideMark/>
          </w:tcPr>
          <w:p w14:paraId="4B85F762" w14:textId="77777777" w:rsidR="00756167" w:rsidRPr="00F84CA2" w:rsidRDefault="00756167" w:rsidP="00025EA3">
            <w:pPr>
              <w:spacing w:after="0" w:line="240" w:lineRule="auto"/>
              <w:jc w:val="right"/>
              <w:rPr>
                <w:rFonts w:ascii="Aptos Narrow" w:eastAsia="Times New Roman" w:hAnsi="Aptos Narrow" w:cs="Times New Roman"/>
                <w:b/>
                <w:bCs/>
                <w:color w:val="000000"/>
              </w:rPr>
            </w:pPr>
            <w:r w:rsidRPr="00F84CA2">
              <w:rPr>
                <w:rFonts w:ascii="Aptos Narrow" w:eastAsia="Times New Roman" w:hAnsi="Aptos Narrow" w:cs="Times New Roman"/>
                <w:b/>
                <w:bCs/>
                <w:color w:val="000000"/>
              </w:rPr>
              <w:t>19.141.717 €</w:t>
            </w:r>
          </w:p>
        </w:tc>
      </w:tr>
    </w:tbl>
    <w:p w14:paraId="05D0A24E" w14:textId="1BB85EC5" w:rsidR="00756167" w:rsidRPr="001D5603" w:rsidRDefault="00756167" w:rsidP="00756167">
      <w:pPr>
        <w:spacing w:after="200" w:line="240" w:lineRule="auto"/>
        <w:jc w:val="center"/>
        <w:rPr>
          <w:rFonts w:eastAsia="Calibri"/>
          <w:i/>
          <w:iCs/>
          <w:color w:val="003366"/>
          <w:sz w:val="18"/>
          <w:szCs w:val="18"/>
        </w:rPr>
      </w:pPr>
      <w:bookmarkStart w:id="483" w:name="_Ref212967102"/>
      <w:r w:rsidRPr="00BF35BC">
        <w:rPr>
          <w:rFonts w:eastAsia="Calibri"/>
          <w:i/>
          <w:iCs/>
          <w:color w:val="003366"/>
          <w:sz w:val="18"/>
          <w:szCs w:val="18"/>
        </w:rPr>
        <w:t xml:space="preserve">Tabella </w:t>
      </w:r>
      <w:r w:rsidRPr="00BF35BC">
        <w:rPr>
          <w:rFonts w:cstheme="minorHAnsi"/>
          <w:i/>
          <w:iCs/>
          <w:color w:val="003366"/>
          <w:sz w:val="18"/>
          <w:szCs w:val="18"/>
        </w:rPr>
        <w:fldChar w:fldCharType="begin"/>
      </w:r>
      <w:r w:rsidRPr="00BF35BC">
        <w:rPr>
          <w:rFonts w:cstheme="minorHAnsi"/>
          <w:i/>
          <w:iCs/>
          <w:color w:val="003366"/>
          <w:sz w:val="18"/>
          <w:szCs w:val="18"/>
        </w:rPr>
        <w:instrText xml:space="preserve"> SEQ Tabella \* ARABIC </w:instrText>
      </w:r>
      <w:r w:rsidRPr="00BF35BC">
        <w:rPr>
          <w:rFonts w:cstheme="minorHAnsi"/>
          <w:i/>
          <w:iCs/>
          <w:color w:val="003366"/>
          <w:sz w:val="18"/>
          <w:szCs w:val="18"/>
        </w:rPr>
        <w:fldChar w:fldCharType="separate"/>
      </w:r>
      <w:r w:rsidR="00073B6D">
        <w:rPr>
          <w:rFonts w:cstheme="minorHAnsi"/>
          <w:i/>
          <w:iCs/>
          <w:noProof/>
          <w:color w:val="003366"/>
          <w:sz w:val="18"/>
          <w:szCs w:val="18"/>
        </w:rPr>
        <w:t>71</w:t>
      </w:r>
      <w:r w:rsidRPr="00BF35BC">
        <w:rPr>
          <w:rFonts w:cstheme="minorHAnsi"/>
          <w:i/>
          <w:iCs/>
          <w:noProof/>
          <w:color w:val="003366"/>
          <w:sz w:val="18"/>
          <w:szCs w:val="18"/>
        </w:rPr>
        <w:fldChar w:fldCharType="end"/>
      </w:r>
      <w:bookmarkEnd w:id="483"/>
      <w:r w:rsidRPr="00BF35BC">
        <w:rPr>
          <w:rFonts w:cstheme="minorHAnsi"/>
          <w:i/>
          <w:iCs/>
          <w:noProof/>
          <w:color w:val="003366"/>
          <w:sz w:val="18"/>
          <w:szCs w:val="18"/>
        </w:rPr>
        <w:t xml:space="preserve"> </w:t>
      </w:r>
      <w:r w:rsidRPr="00BF35BC">
        <w:rPr>
          <w:rFonts w:eastAsia="Calibri"/>
          <w:iCs/>
          <w:color w:val="003366"/>
          <w:sz w:val="18"/>
          <w:szCs w:val="18"/>
        </w:rPr>
        <w:t xml:space="preserve">– </w:t>
      </w:r>
      <w:r>
        <w:rPr>
          <w:rFonts w:eastAsia="Calibri"/>
          <w:i/>
          <w:iCs/>
          <w:color w:val="003366"/>
          <w:sz w:val="18"/>
          <w:szCs w:val="18"/>
        </w:rPr>
        <w:t>Importi a base di gara per i due lotti del Bacino Metropolitano</w:t>
      </w:r>
    </w:p>
    <w:p w14:paraId="7AF77A49" w14:textId="51A19802" w:rsidR="00F73F4F" w:rsidRDefault="00044797" w:rsidP="002910F6">
      <w:pPr>
        <w:spacing w:before="120" w:after="0" w:line="240" w:lineRule="auto"/>
        <w:rPr>
          <w:rFonts w:eastAsia="Calibri"/>
        </w:rPr>
      </w:pPr>
      <w:r w:rsidRPr="00044797">
        <w:rPr>
          <w:rFonts w:eastAsia="Calibri"/>
        </w:rPr>
        <w:t>Per il lotto a domanda debole della Val Chisone e Germanasca, con una produzione programmata pari a 100.970 veicoli-km/anno, le cui modalità di affidamento saranno definite attraverso uno specifico Accordo di Programma (AdP), si prevede un impegno economico di circa € 200.000/anno, in linea con gli attuali trasferimenti, nonostante i ricavi attuali risultino significativamente inferiori. Il Piano Economico-Finanziario simulato approfondirà la sostenibilità complessiva del programma di esercizio, che costituirà oggetto dell’AdP, integrando costi, ricavi e compensazioni necessarie per garantire l</w:t>
      </w:r>
      <w:r>
        <w:rPr>
          <w:rFonts w:eastAsia="Calibri"/>
        </w:rPr>
        <w:t>a sostenibilità del servizio</w:t>
      </w:r>
      <w:r w:rsidRPr="00044797">
        <w:rPr>
          <w:rFonts w:eastAsia="Calibri"/>
        </w:rPr>
        <w:t>.</w:t>
      </w:r>
    </w:p>
    <w:p w14:paraId="34EBD1D6" w14:textId="77777777" w:rsidR="00044797" w:rsidRPr="00E97118" w:rsidRDefault="00044797" w:rsidP="002910F6">
      <w:pPr>
        <w:spacing w:before="120" w:after="0" w:line="240" w:lineRule="auto"/>
        <w:rPr>
          <w:rFonts w:eastAsia="Calibri"/>
        </w:rPr>
      </w:pPr>
    </w:p>
    <w:tbl>
      <w:tblPr>
        <w:tblW w:w="5000" w:type="pct"/>
        <w:jc w:val="center"/>
        <w:tblCellMar>
          <w:left w:w="70" w:type="dxa"/>
          <w:right w:w="70" w:type="dxa"/>
        </w:tblCellMar>
        <w:tblLook w:val="04A0" w:firstRow="1" w:lastRow="0" w:firstColumn="1" w:lastColumn="0" w:noHBand="0" w:noVBand="1"/>
      </w:tblPr>
      <w:tblGrid>
        <w:gridCol w:w="2079"/>
        <w:gridCol w:w="1621"/>
        <w:gridCol w:w="1779"/>
        <w:gridCol w:w="1940"/>
        <w:gridCol w:w="1631"/>
      </w:tblGrid>
      <w:tr w:rsidR="00F73F4F" w:rsidRPr="00E97118" w14:paraId="73B962EC" w14:textId="77777777" w:rsidTr="00FD7EE5">
        <w:trPr>
          <w:trHeight w:val="510"/>
          <w:jc w:val="center"/>
        </w:trPr>
        <w:tc>
          <w:tcPr>
            <w:tcW w:w="1148" w:type="pct"/>
            <w:tcBorders>
              <w:top w:val="single" w:sz="8" w:space="0" w:color="A6A6A6"/>
              <w:left w:val="single" w:sz="8" w:space="0" w:color="A6A6A6"/>
              <w:bottom w:val="single" w:sz="8" w:space="0" w:color="A6A6A6"/>
              <w:right w:val="single" w:sz="8" w:space="0" w:color="A6A6A6"/>
            </w:tcBorders>
            <w:shd w:val="clear" w:color="000000" w:fill="EE3438"/>
            <w:vAlign w:val="center"/>
            <w:hideMark/>
          </w:tcPr>
          <w:p w14:paraId="1EF3F847" w14:textId="77777777" w:rsidR="00F73F4F" w:rsidRPr="00E97118" w:rsidRDefault="00F73F4F" w:rsidP="00025EA3">
            <w:pPr>
              <w:spacing w:after="0" w:line="240" w:lineRule="auto"/>
              <w:jc w:val="center"/>
              <w:rPr>
                <w:rFonts w:asciiTheme="majorHAnsi" w:eastAsia="Times New Roman" w:hAnsiTheme="majorHAnsi" w:cstheme="majorHAnsi"/>
                <w:b/>
                <w:bCs/>
                <w:color w:val="FFFFFF"/>
              </w:rPr>
            </w:pPr>
            <w:r w:rsidRPr="00E97118">
              <w:rPr>
                <w:rFonts w:asciiTheme="majorHAnsi" w:eastAsia="Times New Roman" w:hAnsiTheme="majorHAnsi" w:cstheme="majorHAnsi"/>
                <w:b/>
                <w:bCs/>
                <w:color w:val="FFFFFF"/>
              </w:rPr>
              <w:t xml:space="preserve">Lotti </w:t>
            </w:r>
          </w:p>
        </w:tc>
        <w:tc>
          <w:tcPr>
            <w:tcW w:w="895" w:type="pct"/>
            <w:tcBorders>
              <w:top w:val="single" w:sz="8" w:space="0" w:color="A6A6A6"/>
              <w:left w:val="nil"/>
              <w:bottom w:val="single" w:sz="8" w:space="0" w:color="A6A6A6"/>
              <w:right w:val="single" w:sz="8" w:space="0" w:color="A6A6A6"/>
            </w:tcBorders>
            <w:shd w:val="clear" w:color="000000" w:fill="EE3438"/>
            <w:vAlign w:val="center"/>
            <w:hideMark/>
          </w:tcPr>
          <w:p w14:paraId="10886F0C" w14:textId="77777777" w:rsidR="00F73F4F" w:rsidRPr="00E97118" w:rsidRDefault="00F73F4F" w:rsidP="00025EA3">
            <w:pPr>
              <w:spacing w:after="0" w:line="240" w:lineRule="auto"/>
              <w:jc w:val="center"/>
              <w:rPr>
                <w:rFonts w:asciiTheme="majorHAnsi" w:eastAsia="Times New Roman" w:hAnsiTheme="majorHAnsi" w:cstheme="majorHAnsi"/>
                <w:b/>
                <w:bCs/>
                <w:color w:val="FFFFFF"/>
              </w:rPr>
            </w:pPr>
            <w:r w:rsidRPr="00E97118">
              <w:rPr>
                <w:rFonts w:asciiTheme="majorHAnsi" w:eastAsia="Times New Roman" w:hAnsiTheme="majorHAnsi" w:cstheme="majorHAnsi"/>
                <w:b/>
                <w:bCs/>
                <w:color w:val="FFFFFF"/>
              </w:rPr>
              <w:t>Produzione</w:t>
            </w:r>
          </w:p>
        </w:tc>
        <w:tc>
          <w:tcPr>
            <w:tcW w:w="983" w:type="pct"/>
            <w:tcBorders>
              <w:top w:val="single" w:sz="8" w:space="0" w:color="A6A6A6"/>
              <w:left w:val="nil"/>
              <w:bottom w:val="single" w:sz="8" w:space="0" w:color="A6A6A6"/>
              <w:right w:val="single" w:sz="8" w:space="0" w:color="A6A6A6"/>
            </w:tcBorders>
            <w:shd w:val="clear" w:color="000000" w:fill="EE3438"/>
            <w:vAlign w:val="center"/>
            <w:hideMark/>
          </w:tcPr>
          <w:p w14:paraId="5D18DC20" w14:textId="77777777" w:rsidR="00F73F4F" w:rsidRPr="00E97118" w:rsidRDefault="00F73F4F" w:rsidP="00025EA3">
            <w:pPr>
              <w:spacing w:after="0" w:line="240" w:lineRule="auto"/>
              <w:jc w:val="center"/>
              <w:rPr>
                <w:rFonts w:asciiTheme="majorHAnsi" w:eastAsia="Times New Roman" w:hAnsiTheme="majorHAnsi" w:cstheme="majorHAnsi"/>
                <w:b/>
                <w:bCs/>
                <w:color w:val="FFFFFF"/>
              </w:rPr>
            </w:pPr>
            <w:r w:rsidRPr="00E97118">
              <w:rPr>
                <w:rFonts w:asciiTheme="majorHAnsi" w:eastAsia="Times New Roman" w:hAnsiTheme="majorHAnsi" w:cstheme="majorHAnsi"/>
                <w:b/>
                <w:bCs/>
                <w:color w:val="FFFFFF"/>
              </w:rPr>
              <w:t>Costo Standard</w:t>
            </w:r>
          </w:p>
        </w:tc>
        <w:tc>
          <w:tcPr>
            <w:tcW w:w="1072" w:type="pct"/>
            <w:tcBorders>
              <w:top w:val="single" w:sz="8" w:space="0" w:color="A6A6A6"/>
              <w:left w:val="nil"/>
              <w:bottom w:val="single" w:sz="8" w:space="0" w:color="A6A6A6"/>
              <w:right w:val="single" w:sz="8" w:space="0" w:color="A6A6A6"/>
            </w:tcBorders>
            <w:shd w:val="clear" w:color="000000" w:fill="EE3438"/>
            <w:vAlign w:val="center"/>
            <w:hideMark/>
          </w:tcPr>
          <w:p w14:paraId="1DC19D61" w14:textId="73D295D2" w:rsidR="00F73F4F" w:rsidRPr="00E97118" w:rsidRDefault="00F73F4F" w:rsidP="00025EA3">
            <w:pPr>
              <w:spacing w:after="0" w:line="240" w:lineRule="auto"/>
              <w:jc w:val="center"/>
              <w:rPr>
                <w:rFonts w:asciiTheme="majorHAnsi" w:eastAsia="Times New Roman" w:hAnsiTheme="majorHAnsi" w:cstheme="majorHAnsi"/>
                <w:b/>
                <w:bCs/>
                <w:color w:val="FFFFFF"/>
              </w:rPr>
            </w:pPr>
            <w:r w:rsidRPr="00E97118">
              <w:rPr>
                <w:rFonts w:asciiTheme="majorHAnsi" w:eastAsia="Times New Roman" w:hAnsiTheme="majorHAnsi" w:cstheme="majorHAnsi"/>
                <w:b/>
                <w:bCs/>
                <w:color w:val="FFFFFF"/>
              </w:rPr>
              <w:t xml:space="preserve">Base </w:t>
            </w:r>
            <w:r w:rsidR="001A3A5B" w:rsidRPr="00E97118">
              <w:rPr>
                <w:rFonts w:asciiTheme="majorHAnsi" w:eastAsia="Times New Roman" w:hAnsiTheme="majorHAnsi" w:cstheme="majorHAnsi"/>
                <w:b/>
                <w:bCs/>
                <w:color w:val="FFFFFF"/>
              </w:rPr>
              <w:t>Affidamento</w:t>
            </w:r>
            <w:r w:rsidRPr="00E97118">
              <w:rPr>
                <w:rFonts w:asciiTheme="majorHAnsi" w:eastAsia="Times New Roman" w:hAnsiTheme="majorHAnsi" w:cstheme="majorHAnsi"/>
                <w:b/>
                <w:bCs/>
                <w:color w:val="FFFFFF"/>
              </w:rPr>
              <w:t xml:space="preserve"> 65%</w:t>
            </w:r>
          </w:p>
        </w:tc>
        <w:tc>
          <w:tcPr>
            <w:tcW w:w="901" w:type="pct"/>
            <w:tcBorders>
              <w:top w:val="single" w:sz="8" w:space="0" w:color="A6A6A6"/>
              <w:left w:val="nil"/>
              <w:bottom w:val="single" w:sz="8" w:space="0" w:color="A6A6A6"/>
              <w:right w:val="single" w:sz="8" w:space="0" w:color="A6A6A6"/>
            </w:tcBorders>
            <w:shd w:val="clear" w:color="000000" w:fill="EE3438"/>
            <w:vAlign w:val="center"/>
            <w:hideMark/>
          </w:tcPr>
          <w:p w14:paraId="27BF5F57" w14:textId="7C3F6530" w:rsidR="00F73F4F" w:rsidRPr="00E97118" w:rsidRDefault="00F73F4F" w:rsidP="00025EA3">
            <w:pPr>
              <w:spacing w:after="0" w:line="240" w:lineRule="auto"/>
              <w:jc w:val="center"/>
              <w:rPr>
                <w:rFonts w:asciiTheme="majorHAnsi" w:eastAsia="Times New Roman" w:hAnsiTheme="majorHAnsi" w:cstheme="majorHAnsi"/>
                <w:b/>
                <w:bCs/>
                <w:color w:val="FFFFFF"/>
              </w:rPr>
            </w:pPr>
            <w:r w:rsidRPr="00E97118">
              <w:rPr>
                <w:rFonts w:asciiTheme="majorHAnsi" w:eastAsia="Times New Roman" w:hAnsiTheme="majorHAnsi" w:cstheme="majorHAnsi"/>
                <w:b/>
                <w:bCs/>
                <w:color w:val="FFFFFF"/>
              </w:rPr>
              <w:t xml:space="preserve">Ricavi </w:t>
            </w:r>
            <w:r w:rsidR="001A3A5B" w:rsidRPr="00E97118">
              <w:rPr>
                <w:rFonts w:asciiTheme="majorHAnsi" w:eastAsia="Times New Roman" w:hAnsiTheme="majorHAnsi" w:cstheme="majorHAnsi"/>
                <w:b/>
                <w:bCs/>
                <w:color w:val="FFFFFF"/>
              </w:rPr>
              <w:t xml:space="preserve">Standard </w:t>
            </w:r>
            <w:r w:rsidRPr="00E97118">
              <w:rPr>
                <w:rFonts w:asciiTheme="majorHAnsi" w:eastAsia="Times New Roman" w:hAnsiTheme="majorHAnsi" w:cstheme="majorHAnsi"/>
                <w:b/>
                <w:bCs/>
                <w:color w:val="FFFFFF"/>
              </w:rPr>
              <w:t>35%</w:t>
            </w:r>
          </w:p>
        </w:tc>
      </w:tr>
      <w:tr w:rsidR="00F73F4F" w:rsidRPr="00E97118" w14:paraId="77C30D44" w14:textId="77777777" w:rsidTr="00FD7EE5">
        <w:trPr>
          <w:trHeight w:val="20"/>
          <w:jc w:val="center"/>
        </w:trPr>
        <w:tc>
          <w:tcPr>
            <w:tcW w:w="1148" w:type="pct"/>
            <w:tcBorders>
              <w:top w:val="nil"/>
              <w:left w:val="single" w:sz="8" w:space="0" w:color="A6A6A6"/>
              <w:bottom w:val="single" w:sz="8" w:space="0" w:color="A6A6A6"/>
              <w:right w:val="single" w:sz="8" w:space="0" w:color="A6A6A6"/>
            </w:tcBorders>
            <w:shd w:val="clear" w:color="000000" w:fill="EE3438"/>
            <w:vAlign w:val="center"/>
            <w:hideMark/>
          </w:tcPr>
          <w:p w14:paraId="2A14DB2A" w14:textId="77777777" w:rsidR="00F73F4F" w:rsidRPr="00E97118" w:rsidRDefault="00F73F4F" w:rsidP="00025EA3">
            <w:pPr>
              <w:spacing w:after="0" w:line="240" w:lineRule="auto"/>
              <w:jc w:val="left"/>
              <w:rPr>
                <w:rFonts w:asciiTheme="majorHAnsi" w:eastAsia="Times New Roman" w:hAnsiTheme="majorHAnsi" w:cstheme="majorHAnsi"/>
                <w:color w:val="FFFFFF"/>
              </w:rPr>
            </w:pPr>
            <w:r w:rsidRPr="00E97118">
              <w:rPr>
                <w:rFonts w:asciiTheme="majorHAnsi" w:eastAsia="Times New Roman" w:hAnsiTheme="majorHAnsi" w:cstheme="majorHAnsi"/>
                <w:color w:val="FFFFFF"/>
              </w:rPr>
              <w:t> </w:t>
            </w:r>
          </w:p>
        </w:tc>
        <w:tc>
          <w:tcPr>
            <w:tcW w:w="895" w:type="pct"/>
            <w:tcBorders>
              <w:top w:val="nil"/>
              <w:left w:val="nil"/>
              <w:bottom w:val="single" w:sz="8" w:space="0" w:color="A6A6A6"/>
              <w:right w:val="single" w:sz="8" w:space="0" w:color="A6A6A6"/>
            </w:tcBorders>
            <w:shd w:val="clear" w:color="000000" w:fill="EE3438"/>
            <w:noWrap/>
            <w:vAlign w:val="center"/>
            <w:hideMark/>
          </w:tcPr>
          <w:p w14:paraId="7D28B598" w14:textId="77777777" w:rsidR="00F73F4F" w:rsidRPr="00E97118" w:rsidRDefault="00F73F4F" w:rsidP="00025EA3">
            <w:pPr>
              <w:spacing w:after="0" w:line="240" w:lineRule="auto"/>
              <w:jc w:val="center"/>
              <w:rPr>
                <w:rFonts w:asciiTheme="majorHAnsi" w:eastAsia="Times New Roman" w:hAnsiTheme="majorHAnsi" w:cstheme="majorHAnsi"/>
                <w:b/>
                <w:bCs/>
                <w:color w:val="FFFFFF"/>
              </w:rPr>
            </w:pPr>
            <w:r w:rsidRPr="00E97118">
              <w:rPr>
                <w:rFonts w:asciiTheme="majorHAnsi" w:eastAsia="Times New Roman" w:hAnsiTheme="majorHAnsi" w:cstheme="majorHAnsi"/>
                <w:b/>
                <w:bCs/>
                <w:color w:val="FFFFFF"/>
              </w:rPr>
              <w:t>(veic-km/anno)</w:t>
            </w:r>
          </w:p>
        </w:tc>
        <w:tc>
          <w:tcPr>
            <w:tcW w:w="983" w:type="pct"/>
            <w:tcBorders>
              <w:top w:val="nil"/>
              <w:left w:val="nil"/>
              <w:bottom w:val="single" w:sz="8" w:space="0" w:color="A6A6A6"/>
              <w:right w:val="single" w:sz="8" w:space="0" w:color="A6A6A6"/>
            </w:tcBorders>
            <w:shd w:val="clear" w:color="000000" w:fill="EE3438"/>
            <w:vAlign w:val="center"/>
            <w:hideMark/>
          </w:tcPr>
          <w:p w14:paraId="1DCB722B" w14:textId="77777777" w:rsidR="00F73F4F" w:rsidRPr="00E97118" w:rsidRDefault="00F73F4F" w:rsidP="00025EA3">
            <w:pPr>
              <w:spacing w:after="0" w:line="240" w:lineRule="auto"/>
              <w:jc w:val="center"/>
              <w:rPr>
                <w:rFonts w:asciiTheme="majorHAnsi" w:eastAsia="Times New Roman" w:hAnsiTheme="majorHAnsi" w:cstheme="majorHAnsi"/>
                <w:b/>
                <w:bCs/>
                <w:color w:val="FFFFFF"/>
              </w:rPr>
            </w:pPr>
            <w:r w:rsidRPr="00E97118">
              <w:rPr>
                <w:rFonts w:asciiTheme="majorHAnsi" w:eastAsia="Times New Roman" w:hAnsiTheme="majorHAnsi" w:cstheme="majorHAnsi"/>
                <w:b/>
                <w:bCs/>
                <w:color w:val="FFFFFF"/>
              </w:rPr>
              <w:t>(€)</w:t>
            </w:r>
          </w:p>
        </w:tc>
        <w:tc>
          <w:tcPr>
            <w:tcW w:w="1072" w:type="pct"/>
            <w:tcBorders>
              <w:top w:val="nil"/>
              <w:left w:val="nil"/>
              <w:bottom w:val="single" w:sz="8" w:space="0" w:color="A6A6A6"/>
              <w:right w:val="single" w:sz="8" w:space="0" w:color="A6A6A6"/>
            </w:tcBorders>
            <w:shd w:val="clear" w:color="000000" w:fill="EE3438"/>
            <w:vAlign w:val="center"/>
            <w:hideMark/>
          </w:tcPr>
          <w:p w14:paraId="20E7AF78" w14:textId="77777777" w:rsidR="00F73F4F" w:rsidRPr="00E97118" w:rsidRDefault="00F73F4F" w:rsidP="00025EA3">
            <w:pPr>
              <w:spacing w:after="0" w:line="240" w:lineRule="auto"/>
              <w:jc w:val="center"/>
              <w:rPr>
                <w:rFonts w:asciiTheme="majorHAnsi" w:eastAsia="Times New Roman" w:hAnsiTheme="majorHAnsi" w:cstheme="majorHAnsi"/>
                <w:b/>
                <w:bCs/>
                <w:color w:val="FFFFFF"/>
              </w:rPr>
            </w:pPr>
            <w:r w:rsidRPr="00E97118">
              <w:rPr>
                <w:rFonts w:asciiTheme="majorHAnsi" w:eastAsia="Times New Roman" w:hAnsiTheme="majorHAnsi" w:cstheme="majorHAnsi"/>
                <w:b/>
                <w:bCs/>
                <w:color w:val="FFFFFF"/>
              </w:rPr>
              <w:t>(€)</w:t>
            </w:r>
          </w:p>
        </w:tc>
        <w:tc>
          <w:tcPr>
            <w:tcW w:w="901" w:type="pct"/>
            <w:tcBorders>
              <w:top w:val="nil"/>
              <w:left w:val="nil"/>
              <w:bottom w:val="single" w:sz="8" w:space="0" w:color="A6A6A6"/>
              <w:right w:val="single" w:sz="8" w:space="0" w:color="A6A6A6"/>
            </w:tcBorders>
            <w:shd w:val="clear" w:color="000000" w:fill="EE3438"/>
            <w:vAlign w:val="center"/>
            <w:hideMark/>
          </w:tcPr>
          <w:p w14:paraId="73434BE2" w14:textId="77777777" w:rsidR="00F73F4F" w:rsidRPr="00E97118" w:rsidRDefault="00F73F4F" w:rsidP="00025EA3">
            <w:pPr>
              <w:spacing w:after="0" w:line="240" w:lineRule="auto"/>
              <w:jc w:val="center"/>
              <w:rPr>
                <w:rFonts w:asciiTheme="majorHAnsi" w:eastAsia="Times New Roman" w:hAnsiTheme="majorHAnsi" w:cstheme="majorHAnsi"/>
                <w:b/>
                <w:bCs/>
                <w:color w:val="FFFFFF"/>
              </w:rPr>
            </w:pPr>
            <w:r w:rsidRPr="00E97118">
              <w:rPr>
                <w:rFonts w:asciiTheme="majorHAnsi" w:eastAsia="Times New Roman" w:hAnsiTheme="majorHAnsi" w:cstheme="majorHAnsi"/>
                <w:b/>
                <w:bCs/>
                <w:color w:val="FFFFFF"/>
              </w:rPr>
              <w:t>(€)</w:t>
            </w:r>
          </w:p>
        </w:tc>
      </w:tr>
      <w:tr w:rsidR="00F73F4F" w:rsidRPr="00E97118" w14:paraId="32E4BE3C" w14:textId="77777777" w:rsidTr="00FD7EE5">
        <w:trPr>
          <w:trHeight w:val="20"/>
          <w:jc w:val="center"/>
        </w:trPr>
        <w:tc>
          <w:tcPr>
            <w:tcW w:w="1148" w:type="pct"/>
            <w:tcBorders>
              <w:top w:val="nil"/>
              <w:left w:val="single" w:sz="8" w:space="0" w:color="A6A6A6"/>
              <w:bottom w:val="single" w:sz="8" w:space="0" w:color="A6A6A6"/>
              <w:right w:val="single" w:sz="8" w:space="0" w:color="A6A6A6"/>
            </w:tcBorders>
            <w:noWrap/>
            <w:vAlign w:val="center"/>
            <w:hideMark/>
          </w:tcPr>
          <w:p w14:paraId="10E0E6C3" w14:textId="4B347233" w:rsidR="00F73F4F" w:rsidRPr="00E97118" w:rsidRDefault="00F73F4F" w:rsidP="00025EA3">
            <w:pPr>
              <w:spacing w:after="0" w:line="240" w:lineRule="auto"/>
              <w:jc w:val="left"/>
              <w:rPr>
                <w:rFonts w:asciiTheme="majorHAnsi" w:eastAsia="Times New Roman" w:hAnsiTheme="majorHAnsi" w:cstheme="majorHAnsi"/>
                <w:color w:val="000000"/>
              </w:rPr>
            </w:pPr>
            <w:r w:rsidRPr="00E97118">
              <w:rPr>
                <w:rFonts w:asciiTheme="majorHAnsi" w:eastAsia="Times New Roman" w:hAnsiTheme="majorHAnsi" w:cstheme="majorHAnsi"/>
                <w:color w:val="000000"/>
              </w:rPr>
              <w:t>Sublotto UR 3 - ADD</w:t>
            </w:r>
          </w:p>
        </w:tc>
        <w:tc>
          <w:tcPr>
            <w:tcW w:w="895" w:type="pct"/>
            <w:tcBorders>
              <w:top w:val="nil"/>
              <w:left w:val="nil"/>
              <w:bottom w:val="single" w:sz="8" w:space="0" w:color="A6A6A6"/>
              <w:right w:val="single" w:sz="8" w:space="0" w:color="A6A6A6"/>
            </w:tcBorders>
            <w:noWrap/>
            <w:vAlign w:val="center"/>
            <w:hideMark/>
          </w:tcPr>
          <w:p w14:paraId="1F018076" w14:textId="248D139D" w:rsidR="00F73F4F" w:rsidRPr="00E97118" w:rsidRDefault="001A3A5B" w:rsidP="00025EA3">
            <w:pPr>
              <w:spacing w:after="0" w:line="240" w:lineRule="auto"/>
              <w:jc w:val="right"/>
              <w:rPr>
                <w:rFonts w:asciiTheme="majorHAnsi" w:eastAsia="Times New Roman" w:hAnsiTheme="majorHAnsi" w:cstheme="majorHAnsi"/>
                <w:color w:val="000000"/>
              </w:rPr>
            </w:pPr>
            <w:r w:rsidRPr="00E97118">
              <w:rPr>
                <w:rFonts w:asciiTheme="majorHAnsi" w:eastAsia="Times New Roman" w:hAnsiTheme="majorHAnsi" w:cstheme="majorHAnsi"/>
                <w:color w:val="000000"/>
              </w:rPr>
              <w:t>100.970</w:t>
            </w:r>
          </w:p>
        </w:tc>
        <w:tc>
          <w:tcPr>
            <w:tcW w:w="983" w:type="pct"/>
            <w:tcBorders>
              <w:top w:val="nil"/>
              <w:left w:val="nil"/>
              <w:bottom w:val="single" w:sz="8" w:space="0" w:color="A6A6A6"/>
              <w:right w:val="single" w:sz="8" w:space="0" w:color="A6A6A6"/>
            </w:tcBorders>
            <w:noWrap/>
            <w:vAlign w:val="center"/>
            <w:hideMark/>
          </w:tcPr>
          <w:p w14:paraId="17A9FC7F" w14:textId="7E89ABB3" w:rsidR="00F73F4F" w:rsidRPr="00E97118" w:rsidRDefault="001A3A5B" w:rsidP="00025EA3">
            <w:pPr>
              <w:spacing w:after="0" w:line="240" w:lineRule="auto"/>
              <w:jc w:val="right"/>
              <w:rPr>
                <w:rFonts w:asciiTheme="majorHAnsi" w:eastAsia="Times New Roman" w:hAnsiTheme="majorHAnsi" w:cstheme="majorHAnsi"/>
                <w:color w:val="000000"/>
              </w:rPr>
            </w:pPr>
            <w:r w:rsidRPr="00E97118">
              <w:rPr>
                <w:rFonts w:asciiTheme="majorHAnsi" w:eastAsia="Times New Roman" w:hAnsiTheme="majorHAnsi" w:cstheme="majorHAnsi"/>
                <w:color w:val="000000"/>
              </w:rPr>
              <w:t>309.137</w:t>
            </w:r>
            <w:r w:rsidR="00F73F4F" w:rsidRPr="00E97118">
              <w:rPr>
                <w:rFonts w:asciiTheme="majorHAnsi" w:eastAsia="Times New Roman" w:hAnsiTheme="majorHAnsi" w:cstheme="majorHAnsi"/>
                <w:color w:val="000000"/>
              </w:rPr>
              <w:t xml:space="preserve"> €</w:t>
            </w:r>
          </w:p>
        </w:tc>
        <w:tc>
          <w:tcPr>
            <w:tcW w:w="1072" w:type="pct"/>
            <w:tcBorders>
              <w:top w:val="nil"/>
              <w:left w:val="nil"/>
              <w:bottom w:val="single" w:sz="8" w:space="0" w:color="A6A6A6"/>
              <w:right w:val="single" w:sz="8" w:space="0" w:color="A6A6A6"/>
            </w:tcBorders>
            <w:noWrap/>
            <w:vAlign w:val="center"/>
            <w:hideMark/>
          </w:tcPr>
          <w:p w14:paraId="6F484E81" w14:textId="0A009C53" w:rsidR="00F73F4F" w:rsidRPr="00E97118" w:rsidRDefault="001A3A5B" w:rsidP="00025EA3">
            <w:pPr>
              <w:spacing w:after="0" w:line="240" w:lineRule="auto"/>
              <w:jc w:val="right"/>
              <w:rPr>
                <w:rFonts w:asciiTheme="majorHAnsi" w:eastAsia="Times New Roman" w:hAnsiTheme="majorHAnsi" w:cstheme="majorHAnsi"/>
                <w:color w:val="000000"/>
              </w:rPr>
            </w:pPr>
            <w:r w:rsidRPr="00E97118">
              <w:rPr>
                <w:rFonts w:asciiTheme="majorHAnsi" w:eastAsia="Times New Roman" w:hAnsiTheme="majorHAnsi" w:cstheme="majorHAnsi"/>
                <w:color w:val="000000"/>
              </w:rPr>
              <w:t>200.939</w:t>
            </w:r>
            <w:r w:rsidR="00F73F4F" w:rsidRPr="00E97118">
              <w:rPr>
                <w:rFonts w:asciiTheme="majorHAnsi" w:eastAsia="Times New Roman" w:hAnsiTheme="majorHAnsi" w:cstheme="majorHAnsi"/>
                <w:color w:val="000000"/>
              </w:rPr>
              <w:t xml:space="preserve"> €</w:t>
            </w:r>
          </w:p>
        </w:tc>
        <w:tc>
          <w:tcPr>
            <w:tcW w:w="901" w:type="pct"/>
            <w:tcBorders>
              <w:top w:val="nil"/>
              <w:left w:val="nil"/>
              <w:bottom w:val="single" w:sz="8" w:space="0" w:color="A6A6A6"/>
              <w:right w:val="single" w:sz="8" w:space="0" w:color="A6A6A6"/>
            </w:tcBorders>
            <w:noWrap/>
            <w:vAlign w:val="center"/>
            <w:hideMark/>
          </w:tcPr>
          <w:p w14:paraId="43F897CF" w14:textId="360E501F" w:rsidR="00F73F4F" w:rsidRPr="00E97118" w:rsidRDefault="001A3A5B" w:rsidP="00025EA3">
            <w:pPr>
              <w:spacing w:after="0" w:line="240" w:lineRule="auto"/>
              <w:jc w:val="right"/>
              <w:rPr>
                <w:rFonts w:asciiTheme="majorHAnsi" w:eastAsia="Times New Roman" w:hAnsiTheme="majorHAnsi" w:cstheme="majorHAnsi"/>
                <w:color w:val="000000"/>
              </w:rPr>
            </w:pPr>
            <w:r w:rsidRPr="00E97118">
              <w:rPr>
                <w:rFonts w:asciiTheme="majorHAnsi" w:eastAsia="Times New Roman" w:hAnsiTheme="majorHAnsi" w:cstheme="majorHAnsi"/>
                <w:color w:val="000000"/>
              </w:rPr>
              <w:t>108.198</w:t>
            </w:r>
            <w:r w:rsidR="00F73F4F" w:rsidRPr="00E97118">
              <w:rPr>
                <w:rFonts w:asciiTheme="majorHAnsi" w:eastAsia="Times New Roman" w:hAnsiTheme="majorHAnsi" w:cstheme="majorHAnsi"/>
                <w:color w:val="000000"/>
              </w:rPr>
              <w:t xml:space="preserve"> €</w:t>
            </w:r>
          </w:p>
        </w:tc>
      </w:tr>
    </w:tbl>
    <w:p w14:paraId="39454481" w14:textId="3BC80318" w:rsidR="008B1EDA" w:rsidRPr="001D5603" w:rsidRDefault="008B1EDA" w:rsidP="008B1EDA">
      <w:pPr>
        <w:spacing w:after="200" w:line="240" w:lineRule="auto"/>
        <w:jc w:val="center"/>
        <w:rPr>
          <w:rFonts w:eastAsia="Calibri"/>
          <w:i/>
          <w:iCs/>
          <w:color w:val="003366"/>
          <w:sz w:val="18"/>
          <w:szCs w:val="18"/>
        </w:rPr>
      </w:pPr>
      <w:r w:rsidRPr="00BF35BC">
        <w:rPr>
          <w:rFonts w:eastAsia="Calibri"/>
          <w:i/>
          <w:iCs/>
          <w:color w:val="003366"/>
          <w:sz w:val="18"/>
          <w:szCs w:val="18"/>
        </w:rPr>
        <w:t xml:space="preserve">Tabella </w:t>
      </w:r>
      <w:r w:rsidRPr="00BF35BC">
        <w:rPr>
          <w:rFonts w:cstheme="minorHAnsi"/>
          <w:i/>
          <w:iCs/>
          <w:color w:val="003366"/>
          <w:sz w:val="18"/>
          <w:szCs w:val="18"/>
        </w:rPr>
        <w:fldChar w:fldCharType="begin"/>
      </w:r>
      <w:r w:rsidRPr="00BF35BC">
        <w:rPr>
          <w:rFonts w:cstheme="minorHAnsi"/>
          <w:i/>
          <w:iCs/>
          <w:color w:val="003366"/>
          <w:sz w:val="18"/>
          <w:szCs w:val="18"/>
        </w:rPr>
        <w:instrText xml:space="preserve"> SEQ Tabella \* ARABIC </w:instrText>
      </w:r>
      <w:r w:rsidRPr="00BF35BC">
        <w:rPr>
          <w:rFonts w:cstheme="minorHAnsi"/>
          <w:i/>
          <w:iCs/>
          <w:color w:val="003366"/>
          <w:sz w:val="18"/>
          <w:szCs w:val="18"/>
        </w:rPr>
        <w:fldChar w:fldCharType="separate"/>
      </w:r>
      <w:r w:rsidR="00073B6D">
        <w:rPr>
          <w:rFonts w:cstheme="minorHAnsi"/>
          <w:i/>
          <w:iCs/>
          <w:noProof/>
          <w:color w:val="003366"/>
          <w:sz w:val="18"/>
          <w:szCs w:val="18"/>
        </w:rPr>
        <w:t>72</w:t>
      </w:r>
      <w:r w:rsidRPr="00BF35BC">
        <w:rPr>
          <w:rFonts w:cstheme="minorHAnsi"/>
          <w:i/>
          <w:iCs/>
          <w:noProof/>
          <w:color w:val="003366"/>
          <w:sz w:val="18"/>
          <w:szCs w:val="18"/>
        </w:rPr>
        <w:fldChar w:fldCharType="end"/>
      </w:r>
      <w:r w:rsidRPr="00BF35BC">
        <w:rPr>
          <w:rFonts w:cstheme="minorHAnsi"/>
          <w:i/>
          <w:iCs/>
          <w:noProof/>
          <w:color w:val="003366"/>
          <w:sz w:val="18"/>
          <w:szCs w:val="18"/>
        </w:rPr>
        <w:t xml:space="preserve"> </w:t>
      </w:r>
      <w:r w:rsidRPr="00BF35BC">
        <w:rPr>
          <w:rFonts w:eastAsia="Calibri"/>
          <w:iCs/>
          <w:color w:val="003366"/>
          <w:sz w:val="18"/>
          <w:szCs w:val="18"/>
        </w:rPr>
        <w:t xml:space="preserve">– </w:t>
      </w:r>
      <w:r>
        <w:rPr>
          <w:rFonts w:eastAsia="Calibri"/>
          <w:i/>
          <w:iCs/>
          <w:color w:val="003366"/>
          <w:sz w:val="18"/>
          <w:szCs w:val="18"/>
        </w:rPr>
        <w:t xml:space="preserve">Importi a </w:t>
      </w:r>
      <w:r w:rsidR="00BB6A96">
        <w:rPr>
          <w:rFonts w:eastAsia="Calibri"/>
          <w:i/>
          <w:iCs/>
          <w:color w:val="003366"/>
          <w:sz w:val="18"/>
          <w:szCs w:val="18"/>
        </w:rPr>
        <w:t xml:space="preserve">base </w:t>
      </w:r>
      <w:r>
        <w:rPr>
          <w:rFonts w:eastAsia="Calibri"/>
          <w:i/>
          <w:iCs/>
          <w:color w:val="003366"/>
          <w:sz w:val="18"/>
          <w:szCs w:val="18"/>
        </w:rPr>
        <w:t>affidamento servizio in Area a domanda debole</w:t>
      </w:r>
    </w:p>
    <w:p w14:paraId="166FFFB5" w14:textId="7C13170E" w:rsidR="001A3A5B" w:rsidRDefault="001A3A5B" w:rsidP="001A3A5B">
      <w:pPr>
        <w:spacing w:before="120" w:after="0" w:line="240" w:lineRule="auto"/>
        <w:rPr>
          <w:rFonts w:eastAsia="Calibri"/>
        </w:rPr>
      </w:pPr>
      <w:r w:rsidRPr="00555449">
        <w:rPr>
          <w:rFonts w:eastAsia="Calibri"/>
        </w:rPr>
        <w:t xml:space="preserve">Per </w:t>
      </w:r>
      <w:r>
        <w:rPr>
          <w:rFonts w:eastAsia="Calibri"/>
        </w:rPr>
        <w:t xml:space="preserve">il lotto UR5 in House, con una produzione di </w:t>
      </w:r>
      <w:r w:rsidRPr="00A845CA">
        <w:rPr>
          <w:rFonts w:eastAsia="Calibri"/>
        </w:rPr>
        <w:t>4.187.640</w:t>
      </w:r>
      <w:r>
        <w:rPr>
          <w:rFonts w:eastAsia="Calibri"/>
        </w:rPr>
        <w:t xml:space="preserve"> </w:t>
      </w:r>
      <w:r w:rsidRPr="00555449">
        <w:rPr>
          <w:rFonts w:eastAsia="Calibri"/>
        </w:rPr>
        <w:t>veic-km/anno</w:t>
      </w:r>
      <w:r>
        <w:rPr>
          <w:rFonts w:eastAsia="Calibri"/>
        </w:rPr>
        <w:t xml:space="preserve">, il valore della compensazione derivante dal calcolo del costo standard, con ipotesi di ricavi del 35% è di 10,9 milioni di €/anno oltre iva </w:t>
      </w:r>
      <w:r w:rsidRPr="00555449">
        <w:rPr>
          <w:rFonts w:eastAsia="Calibri"/>
        </w:rPr>
        <w:t xml:space="preserve">per un totale di </w:t>
      </w:r>
      <w:r>
        <w:rPr>
          <w:rFonts w:eastAsia="Calibri"/>
        </w:rPr>
        <w:t xml:space="preserve">circa 12 </w:t>
      </w:r>
      <w:r w:rsidRPr="00555449">
        <w:rPr>
          <w:rFonts w:eastAsia="Calibri"/>
        </w:rPr>
        <w:t>milioni di €/anno</w:t>
      </w:r>
      <w:r>
        <w:rPr>
          <w:rFonts w:eastAsia="Calibri"/>
        </w:rPr>
        <w:t>.</w:t>
      </w:r>
    </w:p>
    <w:p w14:paraId="30311560" w14:textId="77777777" w:rsidR="009A4A45" w:rsidRDefault="009A4A45" w:rsidP="001A3A5B">
      <w:pPr>
        <w:spacing w:before="120" w:after="0" w:line="240" w:lineRule="auto"/>
        <w:rPr>
          <w:rFonts w:eastAsia="Calibri"/>
        </w:rPr>
      </w:pPr>
    </w:p>
    <w:tbl>
      <w:tblPr>
        <w:tblW w:w="5000" w:type="pct"/>
        <w:jc w:val="center"/>
        <w:tblCellMar>
          <w:left w:w="70" w:type="dxa"/>
          <w:right w:w="70" w:type="dxa"/>
        </w:tblCellMar>
        <w:tblLook w:val="04A0" w:firstRow="1" w:lastRow="0" w:firstColumn="1" w:lastColumn="0" w:noHBand="0" w:noVBand="1"/>
      </w:tblPr>
      <w:tblGrid>
        <w:gridCol w:w="1801"/>
        <w:gridCol w:w="1862"/>
        <w:gridCol w:w="1761"/>
        <w:gridCol w:w="1964"/>
        <w:gridCol w:w="1662"/>
      </w:tblGrid>
      <w:tr w:rsidR="002C010E" w:rsidRPr="002C010E" w14:paraId="1EC5DB5E" w14:textId="77777777" w:rsidTr="00FD7EE5">
        <w:trPr>
          <w:trHeight w:val="20"/>
          <w:jc w:val="center"/>
        </w:trPr>
        <w:tc>
          <w:tcPr>
            <w:tcW w:w="995" w:type="pct"/>
            <w:tcBorders>
              <w:top w:val="single" w:sz="8" w:space="0" w:color="A6A6A6"/>
              <w:left w:val="single" w:sz="8" w:space="0" w:color="A6A6A6"/>
              <w:bottom w:val="single" w:sz="8" w:space="0" w:color="A6A6A6"/>
              <w:right w:val="single" w:sz="8" w:space="0" w:color="A6A6A6"/>
            </w:tcBorders>
            <w:shd w:val="clear" w:color="000000" w:fill="EE3438"/>
            <w:vAlign w:val="center"/>
            <w:hideMark/>
          </w:tcPr>
          <w:p w14:paraId="2F9D5440" w14:textId="77777777" w:rsidR="002C010E" w:rsidRPr="002C010E" w:rsidRDefault="002C010E" w:rsidP="002C010E">
            <w:pPr>
              <w:spacing w:after="0" w:line="240" w:lineRule="auto"/>
              <w:jc w:val="center"/>
              <w:rPr>
                <w:rFonts w:eastAsia="Times New Roman" w:cs="Calibri"/>
                <w:b/>
                <w:bCs/>
                <w:color w:val="FFFFFF"/>
              </w:rPr>
            </w:pPr>
            <w:r w:rsidRPr="002C010E">
              <w:rPr>
                <w:rFonts w:eastAsia="Times New Roman" w:cs="Calibri"/>
                <w:b/>
                <w:bCs/>
                <w:color w:val="FFFFFF"/>
              </w:rPr>
              <w:t xml:space="preserve">Lotti </w:t>
            </w:r>
          </w:p>
        </w:tc>
        <w:tc>
          <w:tcPr>
            <w:tcW w:w="1029" w:type="pct"/>
            <w:tcBorders>
              <w:top w:val="single" w:sz="8" w:space="0" w:color="A6A6A6"/>
              <w:left w:val="nil"/>
              <w:bottom w:val="single" w:sz="8" w:space="0" w:color="A6A6A6"/>
              <w:right w:val="single" w:sz="8" w:space="0" w:color="A6A6A6"/>
            </w:tcBorders>
            <w:shd w:val="clear" w:color="000000" w:fill="EE3438"/>
            <w:vAlign w:val="center"/>
            <w:hideMark/>
          </w:tcPr>
          <w:p w14:paraId="41B5DBEA" w14:textId="77777777" w:rsidR="002C010E" w:rsidRPr="002C010E" w:rsidRDefault="002C010E" w:rsidP="002C010E">
            <w:pPr>
              <w:spacing w:after="0" w:line="240" w:lineRule="auto"/>
              <w:jc w:val="center"/>
              <w:rPr>
                <w:rFonts w:eastAsia="Times New Roman" w:cs="Calibri"/>
                <w:b/>
                <w:bCs/>
                <w:color w:val="FFFFFF"/>
              </w:rPr>
            </w:pPr>
            <w:r w:rsidRPr="002C010E">
              <w:rPr>
                <w:rFonts w:eastAsia="Times New Roman" w:cs="Calibri"/>
                <w:b/>
                <w:bCs/>
                <w:color w:val="FFFFFF"/>
              </w:rPr>
              <w:t>Produzione</w:t>
            </w:r>
          </w:p>
        </w:tc>
        <w:tc>
          <w:tcPr>
            <w:tcW w:w="973" w:type="pct"/>
            <w:tcBorders>
              <w:top w:val="single" w:sz="8" w:space="0" w:color="A6A6A6"/>
              <w:left w:val="nil"/>
              <w:bottom w:val="single" w:sz="8" w:space="0" w:color="A6A6A6"/>
              <w:right w:val="single" w:sz="8" w:space="0" w:color="A6A6A6"/>
            </w:tcBorders>
            <w:shd w:val="clear" w:color="000000" w:fill="EE3438"/>
            <w:vAlign w:val="center"/>
            <w:hideMark/>
          </w:tcPr>
          <w:p w14:paraId="78C2707A" w14:textId="268FD874" w:rsidR="002C010E" w:rsidRPr="002C010E" w:rsidRDefault="002C010E" w:rsidP="002C010E">
            <w:pPr>
              <w:spacing w:after="0" w:line="240" w:lineRule="auto"/>
              <w:jc w:val="center"/>
              <w:rPr>
                <w:rFonts w:eastAsia="Times New Roman" w:cs="Calibri"/>
                <w:b/>
                <w:bCs/>
                <w:color w:val="FFFFFF"/>
              </w:rPr>
            </w:pPr>
            <w:r w:rsidRPr="002C010E">
              <w:rPr>
                <w:rFonts w:eastAsia="Times New Roman" w:cs="Calibri"/>
                <w:b/>
                <w:bCs/>
                <w:color w:val="FFFFFF"/>
              </w:rPr>
              <w:t xml:space="preserve">Costo </w:t>
            </w:r>
            <w:r w:rsidR="009A4A45">
              <w:rPr>
                <w:rFonts w:eastAsia="Times New Roman" w:cs="Calibri"/>
                <w:b/>
                <w:bCs/>
                <w:color w:val="FFFFFF"/>
              </w:rPr>
              <w:t>Standard</w:t>
            </w:r>
          </w:p>
        </w:tc>
        <w:tc>
          <w:tcPr>
            <w:tcW w:w="1085" w:type="pct"/>
            <w:tcBorders>
              <w:top w:val="single" w:sz="8" w:space="0" w:color="A6A6A6"/>
              <w:left w:val="nil"/>
              <w:bottom w:val="single" w:sz="8" w:space="0" w:color="A6A6A6"/>
              <w:right w:val="single" w:sz="8" w:space="0" w:color="A6A6A6"/>
            </w:tcBorders>
            <w:shd w:val="clear" w:color="000000" w:fill="EE3438"/>
            <w:vAlign w:val="center"/>
            <w:hideMark/>
          </w:tcPr>
          <w:p w14:paraId="5661FBAB" w14:textId="53B336EC" w:rsidR="002C010E" w:rsidRPr="002C010E" w:rsidRDefault="002C010E" w:rsidP="002C010E">
            <w:pPr>
              <w:spacing w:after="0" w:line="240" w:lineRule="auto"/>
              <w:jc w:val="center"/>
              <w:rPr>
                <w:rFonts w:eastAsia="Times New Roman" w:cs="Calibri"/>
                <w:b/>
                <w:bCs/>
                <w:color w:val="FFFFFF"/>
              </w:rPr>
            </w:pPr>
            <w:r w:rsidRPr="002C010E">
              <w:rPr>
                <w:rFonts w:eastAsia="Times New Roman" w:cs="Calibri"/>
                <w:b/>
                <w:bCs/>
                <w:color w:val="FFFFFF"/>
              </w:rPr>
              <w:t xml:space="preserve">Base </w:t>
            </w:r>
            <w:r w:rsidR="009A4A45">
              <w:rPr>
                <w:rFonts w:eastAsia="Times New Roman" w:cs="Calibri"/>
                <w:b/>
                <w:bCs/>
                <w:color w:val="FFFFFF"/>
              </w:rPr>
              <w:t>Affidamento</w:t>
            </w:r>
            <w:r w:rsidRPr="002C010E">
              <w:rPr>
                <w:rFonts w:eastAsia="Times New Roman" w:cs="Calibri"/>
                <w:b/>
                <w:bCs/>
                <w:color w:val="FFFFFF"/>
              </w:rPr>
              <w:t xml:space="preserve"> 6</w:t>
            </w:r>
            <w:r w:rsidR="009A4A45">
              <w:rPr>
                <w:rFonts w:eastAsia="Times New Roman" w:cs="Calibri"/>
                <w:b/>
                <w:bCs/>
                <w:color w:val="FFFFFF"/>
              </w:rPr>
              <w:t>5</w:t>
            </w:r>
            <w:r w:rsidRPr="002C010E">
              <w:rPr>
                <w:rFonts w:eastAsia="Times New Roman" w:cs="Calibri"/>
                <w:b/>
                <w:bCs/>
                <w:color w:val="FFFFFF"/>
              </w:rPr>
              <w:t>%</w:t>
            </w:r>
          </w:p>
        </w:tc>
        <w:tc>
          <w:tcPr>
            <w:tcW w:w="918" w:type="pct"/>
            <w:tcBorders>
              <w:top w:val="single" w:sz="8" w:space="0" w:color="A6A6A6"/>
              <w:left w:val="nil"/>
              <w:bottom w:val="single" w:sz="8" w:space="0" w:color="A6A6A6"/>
              <w:right w:val="single" w:sz="8" w:space="0" w:color="A6A6A6"/>
            </w:tcBorders>
            <w:shd w:val="clear" w:color="000000" w:fill="EE3438"/>
            <w:vAlign w:val="center"/>
            <w:hideMark/>
          </w:tcPr>
          <w:p w14:paraId="0800B900" w14:textId="62C4FCDE" w:rsidR="002C010E" w:rsidRPr="002C010E" w:rsidRDefault="002C010E" w:rsidP="002C010E">
            <w:pPr>
              <w:spacing w:after="0" w:line="240" w:lineRule="auto"/>
              <w:jc w:val="center"/>
              <w:rPr>
                <w:rFonts w:eastAsia="Times New Roman" w:cs="Calibri"/>
                <w:b/>
                <w:bCs/>
                <w:color w:val="FFFFFF"/>
              </w:rPr>
            </w:pPr>
            <w:r w:rsidRPr="002C010E">
              <w:rPr>
                <w:rFonts w:eastAsia="Times New Roman" w:cs="Calibri"/>
                <w:b/>
                <w:bCs/>
                <w:color w:val="FFFFFF"/>
              </w:rPr>
              <w:t xml:space="preserve">Ricavi </w:t>
            </w:r>
            <w:r w:rsidR="009A4A45">
              <w:rPr>
                <w:rFonts w:eastAsia="Times New Roman" w:cs="Calibri"/>
                <w:b/>
                <w:bCs/>
                <w:color w:val="FFFFFF"/>
              </w:rPr>
              <w:t xml:space="preserve">Standard </w:t>
            </w:r>
            <w:r w:rsidRPr="002C010E">
              <w:rPr>
                <w:rFonts w:eastAsia="Times New Roman" w:cs="Calibri"/>
                <w:b/>
                <w:bCs/>
                <w:color w:val="FFFFFF"/>
              </w:rPr>
              <w:t>35%</w:t>
            </w:r>
          </w:p>
        </w:tc>
      </w:tr>
      <w:tr w:rsidR="002C010E" w:rsidRPr="002C010E" w14:paraId="563C8121" w14:textId="77777777" w:rsidTr="00FD7EE5">
        <w:trPr>
          <w:trHeight w:val="20"/>
          <w:jc w:val="center"/>
        </w:trPr>
        <w:tc>
          <w:tcPr>
            <w:tcW w:w="995" w:type="pct"/>
            <w:tcBorders>
              <w:top w:val="nil"/>
              <w:left w:val="single" w:sz="8" w:space="0" w:color="A6A6A6"/>
              <w:bottom w:val="single" w:sz="8" w:space="0" w:color="A6A6A6"/>
              <w:right w:val="single" w:sz="8" w:space="0" w:color="A6A6A6"/>
            </w:tcBorders>
            <w:shd w:val="clear" w:color="000000" w:fill="EE3438"/>
            <w:vAlign w:val="center"/>
            <w:hideMark/>
          </w:tcPr>
          <w:p w14:paraId="277D58A0" w14:textId="77777777" w:rsidR="002C010E" w:rsidRPr="002C010E" w:rsidRDefault="002C010E" w:rsidP="002C010E">
            <w:pPr>
              <w:spacing w:after="0" w:line="240" w:lineRule="auto"/>
              <w:jc w:val="left"/>
              <w:rPr>
                <w:rFonts w:eastAsia="Times New Roman" w:cs="Calibri"/>
                <w:color w:val="FFFFFF"/>
              </w:rPr>
            </w:pPr>
            <w:r w:rsidRPr="002C010E">
              <w:rPr>
                <w:rFonts w:eastAsia="Times New Roman" w:cs="Calibri"/>
                <w:color w:val="FFFFFF"/>
              </w:rPr>
              <w:t> </w:t>
            </w:r>
          </w:p>
        </w:tc>
        <w:tc>
          <w:tcPr>
            <w:tcW w:w="1029" w:type="pct"/>
            <w:tcBorders>
              <w:top w:val="nil"/>
              <w:left w:val="nil"/>
              <w:bottom w:val="single" w:sz="8" w:space="0" w:color="A6A6A6"/>
              <w:right w:val="single" w:sz="8" w:space="0" w:color="A6A6A6"/>
            </w:tcBorders>
            <w:shd w:val="clear" w:color="000000" w:fill="EE3438"/>
            <w:noWrap/>
            <w:vAlign w:val="center"/>
            <w:hideMark/>
          </w:tcPr>
          <w:p w14:paraId="0EBDC3CD" w14:textId="77777777" w:rsidR="002C010E" w:rsidRPr="002C010E" w:rsidRDefault="002C010E" w:rsidP="002C010E">
            <w:pPr>
              <w:spacing w:after="0" w:line="240" w:lineRule="auto"/>
              <w:jc w:val="center"/>
              <w:rPr>
                <w:rFonts w:eastAsia="Times New Roman" w:cs="Calibri"/>
                <w:b/>
                <w:bCs/>
                <w:color w:val="FFFFFF"/>
              </w:rPr>
            </w:pPr>
            <w:r w:rsidRPr="002C010E">
              <w:rPr>
                <w:rFonts w:eastAsia="Times New Roman" w:cs="Calibri"/>
                <w:b/>
                <w:bCs/>
                <w:color w:val="FFFFFF"/>
              </w:rPr>
              <w:t>(veic-km/anno)</w:t>
            </w:r>
          </w:p>
        </w:tc>
        <w:tc>
          <w:tcPr>
            <w:tcW w:w="973" w:type="pct"/>
            <w:tcBorders>
              <w:top w:val="nil"/>
              <w:left w:val="nil"/>
              <w:bottom w:val="single" w:sz="8" w:space="0" w:color="A6A6A6"/>
              <w:right w:val="single" w:sz="8" w:space="0" w:color="A6A6A6"/>
            </w:tcBorders>
            <w:shd w:val="clear" w:color="000000" w:fill="EE3438"/>
            <w:vAlign w:val="center"/>
            <w:hideMark/>
          </w:tcPr>
          <w:p w14:paraId="210D4280" w14:textId="77777777" w:rsidR="002C010E" w:rsidRPr="002C010E" w:rsidRDefault="002C010E" w:rsidP="002C010E">
            <w:pPr>
              <w:spacing w:after="0" w:line="240" w:lineRule="auto"/>
              <w:jc w:val="center"/>
              <w:rPr>
                <w:rFonts w:eastAsia="Times New Roman" w:cs="Calibri"/>
                <w:b/>
                <w:bCs/>
                <w:color w:val="FFFFFF"/>
              </w:rPr>
            </w:pPr>
            <w:r w:rsidRPr="002C010E">
              <w:rPr>
                <w:rFonts w:eastAsia="Times New Roman" w:cs="Calibri"/>
                <w:b/>
                <w:bCs/>
                <w:color w:val="FFFFFF"/>
              </w:rPr>
              <w:t>(€)</w:t>
            </w:r>
          </w:p>
        </w:tc>
        <w:tc>
          <w:tcPr>
            <w:tcW w:w="1085" w:type="pct"/>
            <w:tcBorders>
              <w:top w:val="nil"/>
              <w:left w:val="nil"/>
              <w:bottom w:val="single" w:sz="8" w:space="0" w:color="A6A6A6"/>
              <w:right w:val="single" w:sz="8" w:space="0" w:color="A6A6A6"/>
            </w:tcBorders>
            <w:shd w:val="clear" w:color="000000" w:fill="EE3438"/>
            <w:vAlign w:val="center"/>
            <w:hideMark/>
          </w:tcPr>
          <w:p w14:paraId="14BCF6BA" w14:textId="77777777" w:rsidR="002C010E" w:rsidRPr="002C010E" w:rsidRDefault="002C010E" w:rsidP="002C010E">
            <w:pPr>
              <w:spacing w:after="0" w:line="240" w:lineRule="auto"/>
              <w:jc w:val="center"/>
              <w:rPr>
                <w:rFonts w:eastAsia="Times New Roman" w:cs="Calibri"/>
                <w:b/>
                <w:bCs/>
                <w:color w:val="FFFFFF"/>
              </w:rPr>
            </w:pPr>
            <w:r w:rsidRPr="002C010E">
              <w:rPr>
                <w:rFonts w:eastAsia="Times New Roman" w:cs="Calibri"/>
                <w:b/>
                <w:bCs/>
                <w:color w:val="FFFFFF"/>
              </w:rPr>
              <w:t>(€)</w:t>
            </w:r>
          </w:p>
        </w:tc>
        <w:tc>
          <w:tcPr>
            <w:tcW w:w="918" w:type="pct"/>
            <w:tcBorders>
              <w:top w:val="nil"/>
              <w:left w:val="nil"/>
              <w:bottom w:val="single" w:sz="8" w:space="0" w:color="A6A6A6"/>
              <w:right w:val="single" w:sz="8" w:space="0" w:color="A6A6A6"/>
            </w:tcBorders>
            <w:shd w:val="clear" w:color="000000" w:fill="EE3438"/>
            <w:vAlign w:val="center"/>
            <w:hideMark/>
          </w:tcPr>
          <w:p w14:paraId="30520953" w14:textId="77777777" w:rsidR="002C010E" w:rsidRPr="002C010E" w:rsidRDefault="002C010E" w:rsidP="002C010E">
            <w:pPr>
              <w:spacing w:after="0" w:line="240" w:lineRule="auto"/>
              <w:jc w:val="center"/>
              <w:rPr>
                <w:rFonts w:eastAsia="Times New Roman" w:cs="Calibri"/>
                <w:b/>
                <w:bCs/>
                <w:color w:val="FFFFFF"/>
              </w:rPr>
            </w:pPr>
            <w:r w:rsidRPr="002C010E">
              <w:rPr>
                <w:rFonts w:eastAsia="Times New Roman" w:cs="Calibri"/>
                <w:b/>
                <w:bCs/>
                <w:color w:val="FFFFFF"/>
              </w:rPr>
              <w:t>(€)</w:t>
            </w:r>
          </w:p>
        </w:tc>
      </w:tr>
      <w:tr w:rsidR="002C010E" w:rsidRPr="002C010E" w14:paraId="0BE2827B" w14:textId="77777777" w:rsidTr="00FD7EE5">
        <w:trPr>
          <w:trHeight w:val="20"/>
          <w:jc w:val="center"/>
        </w:trPr>
        <w:tc>
          <w:tcPr>
            <w:tcW w:w="995" w:type="pct"/>
            <w:tcBorders>
              <w:top w:val="nil"/>
              <w:left w:val="single" w:sz="8" w:space="0" w:color="A6A6A6"/>
              <w:bottom w:val="single" w:sz="8" w:space="0" w:color="A6A6A6"/>
              <w:right w:val="single" w:sz="8" w:space="0" w:color="A6A6A6"/>
            </w:tcBorders>
            <w:noWrap/>
            <w:vAlign w:val="center"/>
            <w:hideMark/>
          </w:tcPr>
          <w:p w14:paraId="6A32AFDE" w14:textId="77777777" w:rsidR="002C010E" w:rsidRPr="002C010E" w:rsidRDefault="002C010E" w:rsidP="002C010E">
            <w:pPr>
              <w:spacing w:after="0" w:line="240" w:lineRule="auto"/>
              <w:jc w:val="left"/>
              <w:rPr>
                <w:rFonts w:eastAsia="Times New Roman" w:cs="Calibri"/>
                <w:color w:val="000000"/>
              </w:rPr>
            </w:pPr>
            <w:r w:rsidRPr="002C010E">
              <w:rPr>
                <w:rFonts w:eastAsia="Times New Roman" w:cs="Calibri"/>
                <w:color w:val="000000"/>
              </w:rPr>
              <w:t xml:space="preserve">Lotto </w:t>
            </w:r>
            <w:r w:rsidRPr="002C010E">
              <w:rPr>
                <w:rFonts w:eastAsia="Times New Roman" w:cs="Calibri"/>
                <w:i/>
                <w:iCs/>
                <w:color w:val="000000"/>
              </w:rPr>
              <w:t>in-house</w:t>
            </w:r>
          </w:p>
        </w:tc>
        <w:tc>
          <w:tcPr>
            <w:tcW w:w="1029" w:type="pct"/>
            <w:tcBorders>
              <w:top w:val="nil"/>
              <w:left w:val="nil"/>
              <w:bottom w:val="single" w:sz="8" w:space="0" w:color="A6A6A6"/>
              <w:right w:val="single" w:sz="8" w:space="0" w:color="A6A6A6"/>
            </w:tcBorders>
            <w:noWrap/>
            <w:vAlign w:val="center"/>
            <w:hideMark/>
          </w:tcPr>
          <w:p w14:paraId="3591D288" w14:textId="77777777" w:rsidR="002C010E" w:rsidRPr="002C010E" w:rsidRDefault="002C010E" w:rsidP="002C010E">
            <w:pPr>
              <w:spacing w:after="0" w:line="240" w:lineRule="auto"/>
              <w:jc w:val="right"/>
              <w:rPr>
                <w:rFonts w:eastAsia="Times New Roman" w:cs="Calibri"/>
                <w:color w:val="000000"/>
              </w:rPr>
            </w:pPr>
            <w:r w:rsidRPr="002C010E">
              <w:rPr>
                <w:rFonts w:eastAsia="Times New Roman" w:cs="Calibri"/>
                <w:color w:val="000000"/>
              </w:rPr>
              <w:t>4.187.640</w:t>
            </w:r>
          </w:p>
        </w:tc>
        <w:tc>
          <w:tcPr>
            <w:tcW w:w="973" w:type="pct"/>
            <w:tcBorders>
              <w:top w:val="nil"/>
              <w:left w:val="nil"/>
              <w:bottom w:val="single" w:sz="8" w:space="0" w:color="A6A6A6"/>
              <w:right w:val="single" w:sz="8" w:space="0" w:color="A6A6A6"/>
            </w:tcBorders>
            <w:noWrap/>
            <w:vAlign w:val="center"/>
            <w:hideMark/>
          </w:tcPr>
          <w:p w14:paraId="3646810D" w14:textId="77777777" w:rsidR="002C010E" w:rsidRPr="002C010E" w:rsidRDefault="002C010E" w:rsidP="002C010E">
            <w:pPr>
              <w:spacing w:after="0" w:line="240" w:lineRule="auto"/>
              <w:jc w:val="right"/>
              <w:rPr>
                <w:rFonts w:eastAsia="Times New Roman" w:cs="Calibri"/>
                <w:color w:val="000000"/>
              </w:rPr>
            </w:pPr>
            <w:r w:rsidRPr="002C010E">
              <w:rPr>
                <w:rFonts w:eastAsia="Times New Roman" w:cs="Calibri"/>
                <w:color w:val="000000"/>
              </w:rPr>
              <w:t>16.881.564 €</w:t>
            </w:r>
          </w:p>
        </w:tc>
        <w:tc>
          <w:tcPr>
            <w:tcW w:w="1085" w:type="pct"/>
            <w:tcBorders>
              <w:top w:val="nil"/>
              <w:left w:val="nil"/>
              <w:bottom w:val="single" w:sz="8" w:space="0" w:color="A6A6A6"/>
              <w:right w:val="single" w:sz="8" w:space="0" w:color="A6A6A6"/>
            </w:tcBorders>
            <w:vAlign w:val="center"/>
            <w:hideMark/>
          </w:tcPr>
          <w:p w14:paraId="49D19ACD" w14:textId="62BBFEAB" w:rsidR="002C010E" w:rsidRPr="002C010E" w:rsidRDefault="008818ED" w:rsidP="002C010E">
            <w:pPr>
              <w:spacing w:after="0" w:line="240" w:lineRule="auto"/>
              <w:jc w:val="right"/>
              <w:rPr>
                <w:rFonts w:eastAsia="Times New Roman" w:cs="Calibri"/>
                <w:color w:val="000000"/>
              </w:rPr>
            </w:pPr>
            <w:r w:rsidRPr="008818ED">
              <w:rPr>
                <w:rFonts w:eastAsia="Times New Roman" w:cs="Calibri"/>
                <w:color w:val="000000"/>
              </w:rPr>
              <w:t>10</w:t>
            </w:r>
            <w:r>
              <w:rPr>
                <w:rFonts w:eastAsia="Times New Roman" w:cs="Calibri"/>
                <w:color w:val="000000"/>
              </w:rPr>
              <w:t>.</w:t>
            </w:r>
            <w:r w:rsidRPr="008818ED">
              <w:rPr>
                <w:rFonts w:eastAsia="Times New Roman" w:cs="Calibri"/>
                <w:color w:val="000000"/>
              </w:rPr>
              <w:t>973</w:t>
            </w:r>
            <w:r>
              <w:rPr>
                <w:rFonts w:eastAsia="Times New Roman" w:cs="Calibri"/>
                <w:color w:val="000000"/>
              </w:rPr>
              <w:t>.</w:t>
            </w:r>
            <w:r w:rsidRPr="008818ED">
              <w:rPr>
                <w:rFonts w:eastAsia="Times New Roman" w:cs="Calibri"/>
                <w:color w:val="000000"/>
              </w:rPr>
              <w:t>016</w:t>
            </w:r>
            <w:r w:rsidR="00E367D2">
              <w:rPr>
                <w:rFonts w:eastAsia="Times New Roman" w:cs="Calibri"/>
                <w:color w:val="000000"/>
              </w:rPr>
              <w:t xml:space="preserve"> </w:t>
            </w:r>
            <w:r w:rsidR="002C010E" w:rsidRPr="002C010E">
              <w:rPr>
                <w:rFonts w:eastAsia="Times New Roman" w:cs="Calibri"/>
                <w:color w:val="000000"/>
              </w:rPr>
              <w:t>€</w:t>
            </w:r>
          </w:p>
        </w:tc>
        <w:tc>
          <w:tcPr>
            <w:tcW w:w="918" w:type="pct"/>
            <w:tcBorders>
              <w:top w:val="nil"/>
              <w:left w:val="nil"/>
              <w:bottom w:val="single" w:sz="8" w:space="0" w:color="A6A6A6"/>
              <w:right w:val="single" w:sz="8" w:space="0" w:color="A6A6A6"/>
            </w:tcBorders>
            <w:noWrap/>
            <w:vAlign w:val="center"/>
            <w:hideMark/>
          </w:tcPr>
          <w:p w14:paraId="092C8477" w14:textId="31C4B762" w:rsidR="002C010E" w:rsidRPr="002C010E" w:rsidRDefault="00E367D2" w:rsidP="002C010E">
            <w:pPr>
              <w:spacing w:after="0" w:line="240" w:lineRule="auto"/>
              <w:jc w:val="right"/>
              <w:rPr>
                <w:rFonts w:eastAsia="Times New Roman" w:cs="Calibri"/>
                <w:color w:val="000000"/>
              </w:rPr>
            </w:pPr>
            <w:r w:rsidRPr="00E367D2">
              <w:rPr>
                <w:rFonts w:eastAsia="Times New Roman" w:cs="Calibri"/>
                <w:color w:val="000000"/>
              </w:rPr>
              <w:t>5</w:t>
            </w:r>
            <w:r>
              <w:rPr>
                <w:rFonts w:eastAsia="Times New Roman" w:cs="Calibri"/>
                <w:color w:val="000000"/>
              </w:rPr>
              <w:t>.</w:t>
            </w:r>
            <w:r w:rsidRPr="00E367D2">
              <w:rPr>
                <w:rFonts w:eastAsia="Times New Roman" w:cs="Calibri"/>
                <w:color w:val="000000"/>
              </w:rPr>
              <w:t>908</w:t>
            </w:r>
            <w:r>
              <w:rPr>
                <w:rFonts w:eastAsia="Times New Roman" w:cs="Calibri"/>
                <w:color w:val="000000"/>
              </w:rPr>
              <w:t>.</w:t>
            </w:r>
            <w:r w:rsidRPr="00E367D2">
              <w:rPr>
                <w:rFonts w:eastAsia="Times New Roman" w:cs="Calibri"/>
                <w:color w:val="000000"/>
              </w:rPr>
              <w:t>547</w:t>
            </w:r>
            <w:r>
              <w:rPr>
                <w:rFonts w:eastAsia="Times New Roman" w:cs="Calibri"/>
                <w:color w:val="000000"/>
              </w:rPr>
              <w:t xml:space="preserve"> </w:t>
            </w:r>
            <w:r w:rsidR="002C010E" w:rsidRPr="002C010E">
              <w:rPr>
                <w:rFonts w:eastAsia="Times New Roman" w:cs="Calibri"/>
                <w:color w:val="000000"/>
              </w:rPr>
              <w:t>€</w:t>
            </w:r>
          </w:p>
        </w:tc>
      </w:tr>
    </w:tbl>
    <w:p w14:paraId="3161DA29" w14:textId="62E4019F" w:rsidR="008B1EDA" w:rsidRPr="001D5603" w:rsidRDefault="008B1EDA" w:rsidP="008B1EDA">
      <w:pPr>
        <w:spacing w:after="200" w:line="240" w:lineRule="auto"/>
        <w:jc w:val="center"/>
        <w:rPr>
          <w:rFonts w:eastAsia="Calibri"/>
          <w:i/>
          <w:iCs/>
          <w:color w:val="003366"/>
          <w:sz w:val="18"/>
          <w:szCs w:val="18"/>
        </w:rPr>
      </w:pPr>
      <w:r w:rsidRPr="00BF35BC">
        <w:rPr>
          <w:rFonts w:eastAsia="Calibri"/>
          <w:i/>
          <w:iCs/>
          <w:color w:val="003366"/>
          <w:sz w:val="18"/>
          <w:szCs w:val="18"/>
        </w:rPr>
        <w:t xml:space="preserve">Tabella </w:t>
      </w:r>
      <w:r w:rsidRPr="00BF35BC">
        <w:rPr>
          <w:rFonts w:cstheme="minorHAnsi"/>
          <w:i/>
          <w:iCs/>
          <w:color w:val="003366"/>
          <w:sz w:val="18"/>
          <w:szCs w:val="18"/>
        </w:rPr>
        <w:fldChar w:fldCharType="begin"/>
      </w:r>
      <w:r w:rsidRPr="00BF35BC">
        <w:rPr>
          <w:rFonts w:cstheme="minorHAnsi"/>
          <w:i/>
          <w:iCs/>
          <w:color w:val="003366"/>
          <w:sz w:val="18"/>
          <w:szCs w:val="18"/>
        </w:rPr>
        <w:instrText xml:space="preserve"> SEQ Tabella \* ARABIC </w:instrText>
      </w:r>
      <w:r w:rsidRPr="00BF35BC">
        <w:rPr>
          <w:rFonts w:cstheme="minorHAnsi"/>
          <w:i/>
          <w:iCs/>
          <w:color w:val="003366"/>
          <w:sz w:val="18"/>
          <w:szCs w:val="18"/>
        </w:rPr>
        <w:fldChar w:fldCharType="separate"/>
      </w:r>
      <w:r w:rsidR="00073B6D">
        <w:rPr>
          <w:rFonts w:cstheme="minorHAnsi"/>
          <w:i/>
          <w:iCs/>
          <w:noProof/>
          <w:color w:val="003366"/>
          <w:sz w:val="18"/>
          <w:szCs w:val="18"/>
        </w:rPr>
        <w:t>73</w:t>
      </w:r>
      <w:r w:rsidRPr="00BF35BC">
        <w:rPr>
          <w:rFonts w:cstheme="minorHAnsi"/>
          <w:i/>
          <w:iCs/>
          <w:noProof/>
          <w:color w:val="003366"/>
          <w:sz w:val="18"/>
          <w:szCs w:val="18"/>
        </w:rPr>
        <w:fldChar w:fldCharType="end"/>
      </w:r>
      <w:r w:rsidRPr="00BF35BC">
        <w:rPr>
          <w:rFonts w:cstheme="minorHAnsi"/>
          <w:i/>
          <w:iCs/>
          <w:noProof/>
          <w:color w:val="003366"/>
          <w:sz w:val="18"/>
          <w:szCs w:val="18"/>
        </w:rPr>
        <w:t xml:space="preserve"> </w:t>
      </w:r>
      <w:r w:rsidRPr="00BF35BC">
        <w:rPr>
          <w:rFonts w:eastAsia="Calibri"/>
          <w:iCs/>
          <w:color w:val="003366"/>
          <w:sz w:val="18"/>
          <w:szCs w:val="18"/>
        </w:rPr>
        <w:t xml:space="preserve">– </w:t>
      </w:r>
      <w:r w:rsidR="00BB6A96">
        <w:rPr>
          <w:rFonts w:eastAsia="Calibri"/>
          <w:i/>
          <w:iCs/>
          <w:color w:val="003366"/>
          <w:sz w:val="18"/>
          <w:szCs w:val="18"/>
        </w:rPr>
        <w:t>Importi a base affidamento servizio in-house</w:t>
      </w:r>
      <w:r w:rsidR="00181D41">
        <w:rPr>
          <w:rFonts w:eastAsia="Calibri"/>
          <w:i/>
          <w:iCs/>
          <w:color w:val="003366"/>
          <w:sz w:val="18"/>
          <w:szCs w:val="18"/>
        </w:rPr>
        <w:t xml:space="preserve"> (R/C 35%)</w:t>
      </w:r>
    </w:p>
    <w:p w14:paraId="3241FF0F" w14:textId="44B55FB2" w:rsidR="0074307D" w:rsidRPr="003C247E" w:rsidRDefault="0074307D" w:rsidP="0074307D">
      <w:pPr>
        <w:spacing w:before="120" w:after="0" w:line="240" w:lineRule="auto"/>
        <w:rPr>
          <w:rFonts w:eastAsia="Calibri"/>
        </w:rPr>
      </w:pPr>
      <w:r w:rsidRPr="003C247E">
        <w:rPr>
          <w:rFonts w:eastAsia="Calibri"/>
        </w:rPr>
        <w:t>Per quanto riguarda i ricavi, occorre considerare che nelle gestioni pregresse i servizi che compongono il lotto UR-5 presentano rapporti ricavi/costi differenziati: i servizi provenienti dai contratti afferenti al territorio della Città Metropolitana si attestano intorno al 3</w:t>
      </w:r>
      <w:r>
        <w:rPr>
          <w:rFonts w:eastAsia="Calibri"/>
        </w:rPr>
        <w:t>6</w:t>
      </w:r>
      <w:r w:rsidRPr="003C247E">
        <w:rPr>
          <w:rFonts w:eastAsia="Calibri"/>
        </w:rPr>
        <w:t>% (</w:t>
      </w:r>
      <w:r w:rsidRPr="00EF5D87">
        <w:rPr>
          <w:rFonts w:eastAsia="Calibri"/>
        </w:rPr>
        <w:t xml:space="preserve">cfr. </w:t>
      </w:r>
      <w:r w:rsidRPr="00EF5D87">
        <w:rPr>
          <w:rFonts w:eastAsia="Calibri"/>
        </w:rPr>
        <w:fldChar w:fldCharType="begin"/>
      </w:r>
      <w:r w:rsidRPr="00EF5D87">
        <w:rPr>
          <w:rFonts w:eastAsia="Calibri"/>
        </w:rPr>
        <w:instrText xml:space="preserve"> REF _Ref212972091 \h  \* MERGEFORMAT </w:instrText>
      </w:r>
      <w:r w:rsidRPr="00EF5D87">
        <w:rPr>
          <w:rFonts w:eastAsia="Calibri"/>
        </w:rPr>
      </w:r>
      <w:r w:rsidRPr="00EF5D87">
        <w:rPr>
          <w:rFonts w:eastAsia="Calibri"/>
        </w:rPr>
        <w:fldChar w:fldCharType="separate"/>
      </w:r>
      <w:r w:rsidR="00073B6D" w:rsidRPr="00073B6D">
        <w:rPr>
          <w:rFonts w:eastAsia="Calibri"/>
        </w:rPr>
        <w:t xml:space="preserve">Tabella </w:t>
      </w:r>
      <w:r w:rsidR="00073B6D" w:rsidRPr="00073B6D">
        <w:rPr>
          <w:rFonts w:cstheme="minorHAnsi"/>
          <w:noProof/>
        </w:rPr>
        <w:t>36</w:t>
      </w:r>
      <w:r w:rsidRPr="00EF5D87">
        <w:rPr>
          <w:rFonts w:eastAsia="Calibri"/>
        </w:rPr>
        <w:fldChar w:fldCharType="end"/>
      </w:r>
      <w:r w:rsidRPr="00EF5D87">
        <w:rPr>
          <w:rFonts w:eastAsia="Calibri"/>
        </w:rPr>
        <w:t xml:space="preserve"> e </w:t>
      </w:r>
      <w:r w:rsidRPr="00EF5D87">
        <w:rPr>
          <w:rFonts w:eastAsia="Calibri"/>
        </w:rPr>
        <w:fldChar w:fldCharType="begin"/>
      </w:r>
      <w:r w:rsidRPr="00EF5D87">
        <w:rPr>
          <w:rFonts w:eastAsia="Calibri"/>
        </w:rPr>
        <w:instrText xml:space="preserve"> REF _Ref212971661 \h  \* MERGEFORMAT </w:instrText>
      </w:r>
      <w:r w:rsidRPr="00EF5D87">
        <w:rPr>
          <w:rFonts w:eastAsia="Calibri"/>
        </w:rPr>
      </w:r>
      <w:r w:rsidRPr="00EF5D87">
        <w:rPr>
          <w:rFonts w:eastAsia="Calibri"/>
        </w:rPr>
        <w:fldChar w:fldCharType="separate"/>
      </w:r>
      <w:r w:rsidR="00073B6D" w:rsidRPr="00073B6D">
        <w:rPr>
          <w:rFonts w:eastAsia="Calibri"/>
        </w:rPr>
        <w:t xml:space="preserve">Tabella </w:t>
      </w:r>
      <w:r w:rsidR="00073B6D" w:rsidRPr="00073B6D">
        <w:rPr>
          <w:rFonts w:cstheme="minorHAnsi"/>
          <w:noProof/>
        </w:rPr>
        <w:t>54</w:t>
      </w:r>
      <w:r w:rsidRPr="00EF5D87">
        <w:rPr>
          <w:rFonts w:eastAsia="Calibri"/>
        </w:rPr>
        <w:fldChar w:fldCharType="end"/>
      </w:r>
      <w:r>
        <w:rPr>
          <w:rFonts w:eastAsia="Calibri"/>
        </w:rPr>
        <w:t>)</w:t>
      </w:r>
      <w:r w:rsidRPr="003C247E">
        <w:rPr>
          <w:rFonts w:eastAsia="Calibri"/>
        </w:rPr>
        <w:t xml:space="preserve"> mentre </w:t>
      </w:r>
      <w:r w:rsidRPr="003C247E">
        <w:rPr>
          <w:rFonts w:eastAsia="Calibri"/>
        </w:rPr>
        <w:lastRenderedPageBreak/>
        <w:t xml:space="preserve">quelli derivanti dal contratto urbano e metropolitano di Torino si attestano intorno </w:t>
      </w:r>
      <w:r>
        <w:rPr>
          <w:rFonts w:eastAsia="Calibri"/>
        </w:rPr>
        <w:t xml:space="preserve">al </w:t>
      </w:r>
      <w:r w:rsidRPr="003C247E">
        <w:rPr>
          <w:rFonts w:eastAsia="Calibri"/>
        </w:rPr>
        <w:t>4</w:t>
      </w:r>
      <w:r>
        <w:rPr>
          <w:rFonts w:eastAsia="Calibri"/>
        </w:rPr>
        <w:t>4</w:t>
      </w:r>
      <w:r w:rsidRPr="003C247E">
        <w:rPr>
          <w:rFonts w:eastAsia="Calibri"/>
        </w:rPr>
        <w:t xml:space="preserve">%. Alla luce di queste evidenze, si assume come valore atteso per il lotto UR-5 un rapporto ricavi/costi </w:t>
      </w:r>
      <w:r>
        <w:rPr>
          <w:rFonts w:eastAsia="Calibri"/>
        </w:rPr>
        <w:t xml:space="preserve">medio </w:t>
      </w:r>
      <w:r w:rsidRPr="003C247E">
        <w:rPr>
          <w:rFonts w:eastAsia="Calibri"/>
        </w:rPr>
        <w:t xml:space="preserve">pari al </w:t>
      </w:r>
      <w:r>
        <w:rPr>
          <w:rFonts w:eastAsia="Calibri"/>
        </w:rPr>
        <w:t>40</w:t>
      </w:r>
      <w:r w:rsidRPr="003C247E">
        <w:rPr>
          <w:rFonts w:eastAsia="Calibri"/>
        </w:rPr>
        <w:t xml:space="preserve">%, quale </w:t>
      </w:r>
      <w:r>
        <w:rPr>
          <w:rFonts w:eastAsia="Calibri"/>
        </w:rPr>
        <w:t>valore</w:t>
      </w:r>
      <w:r w:rsidRPr="003C247E">
        <w:rPr>
          <w:rFonts w:eastAsia="Calibri"/>
        </w:rPr>
        <w:t xml:space="preserve"> di riferimento per la </w:t>
      </w:r>
      <w:r>
        <w:rPr>
          <w:rFonts w:eastAsia="Calibri"/>
        </w:rPr>
        <w:t xml:space="preserve">stima </w:t>
      </w:r>
      <w:r w:rsidRPr="003C247E">
        <w:rPr>
          <w:rFonts w:eastAsia="Calibri"/>
        </w:rPr>
        <w:t>economico-finanziaria.</w:t>
      </w:r>
    </w:p>
    <w:p w14:paraId="28E2B818" w14:textId="77777777" w:rsidR="0074307D" w:rsidRDefault="0074307D" w:rsidP="0074307D">
      <w:pPr>
        <w:spacing w:before="120" w:after="0" w:line="240" w:lineRule="auto"/>
        <w:rPr>
          <w:rFonts w:eastAsia="Calibri"/>
        </w:rPr>
      </w:pPr>
    </w:p>
    <w:tbl>
      <w:tblPr>
        <w:tblW w:w="5000" w:type="pct"/>
        <w:jc w:val="center"/>
        <w:tblCellMar>
          <w:left w:w="70" w:type="dxa"/>
          <w:right w:w="70" w:type="dxa"/>
        </w:tblCellMar>
        <w:tblLook w:val="04A0" w:firstRow="1" w:lastRow="0" w:firstColumn="1" w:lastColumn="0" w:noHBand="0" w:noVBand="1"/>
      </w:tblPr>
      <w:tblGrid>
        <w:gridCol w:w="1691"/>
        <w:gridCol w:w="2290"/>
        <w:gridCol w:w="1689"/>
        <w:gridCol w:w="1843"/>
        <w:gridCol w:w="1537"/>
      </w:tblGrid>
      <w:tr w:rsidR="0074307D" w:rsidRPr="00144A7C" w14:paraId="40DB82D3" w14:textId="77777777" w:rsidTr="00FD7EE5">
        <w:trPr>
          <w:trHeight w:val="588"/>
          <w:jc w:val="center"/>
        </w:trPr>
        <w:tc>
          <w:tcPr>
            <w:tcW w:w="934" w:type="pct"/>
            <w:tcBorders>
              <w:top w:val="single" w:sz="8" w:space="0" w:color="A6A6A6"/>
              <w:left w:val="single" w:sz="8" w:space="0" w:color="A6A6A6"/>
              <w:bottom w:val="single" w:sz="8" w:space="0" w:color="A6A6A6"/>
              <w:right w:val="single" w:sz="8" w:space="0" w:color="A6A6A6"/>
            </w:tcBorders>
            <w:shd w:val="clear" w:color="000000" w:fill="EE3438"/>
            <w:vAlign w:val="center"/>
            <w:hideMark/>
          </w:tcPr>
          <w:p w14:paraId="1CBD3BCD" w14:textId="77777777" w:rsidR="0074307D" w:rsidRPr="00144A7C" w:rsidRDefault="0074307D" w:rsidP="00025EA3">
            <w:pPr>
              <w:spacing w:after="0" w:line="240" w:lineRule="auto"/>
              <w:jc w:val="center"/>
              <w:rPr>
                <w:rFonts w:eastAsia="Times New Roman" w:cs="Calibri"/>
                <w:b/>
                <w:bCs/>
                <w:color w:val="FFFFFF"/>
              </w:rPr>
            </w:pPr>
            <w:r w:rsidRPr="00144A7C">
              <w:rPr>
                <w:rFonts w:eastAsia="Times New Roman" w:cs="Calibri"/>
                <w:b/>
                <w:bCs/>
                <w:color w:val="FFFFFF"/>
              </w:rPr>
              <w:t xml:space="preserve">Lotti </w:t>
            </w:r>
          </w:p>
        </w:tc>
        <w:tc>
          <w:tcPr>
            <w:tcW w:w="1265" w:type="pct"/>
            <w:tcBorders>
              <w:top w:val="single" w:sz="8" w:space="0" w:color="A6A6A6"/>
              <w:left w:val="nil"/>
              <w:bottom w:val="single" w:sz="8" w:space="0" w:color="A6A6A6"/>
              <w:right w:val="single" w:sz="8" w:space="0" w:color="A6A6A6"/>
            </w:tcBorders>
            <w:shd w:val="clear" w:color="000000" w:fill="EE3438"/>
            <w:vAlign w:val="center"/>
            <w:hideMark/>
          </w:tcPr>
          <w:p w14:paraId="22ABDB1A" w14:textId="77777777" w:rsidR="0074307D" w:rsidRPr="00144A7C" w:rsidRDefault="0074307D" w:rsidP="00025EA3">
            <w:pPr>
              <w:spacing w:after="0" w:line="240" w:lineRule="auto"/>
              <w:jc w:val="center"/>
              <w:rPr>
                <w:rFonts w:eastAsia="Times New Roman" w:cs="Calibri"/>
                <w:b/>
                <w:bCs/>
                <w:color w:val="FFFFFF"/>
              </w:rPr>
            </w:pPr>
            <w:r w:rsidRPr="00144A7C">
              <w:rPr>
                <w:rFonts w:eastAsia="Times New Roman" w:cs="Calibri"/>
                <w:b/>
                <w:bCs/>
                <w:color w:val="FFFFFF"/>
              </w:rPr>
              <w:t>Produzione</w:t>
            </w:r>
          </w:p>
        </w:tc>
        <w:tc>
          <w:tcPr>
            <w:tcW w:w="933" w:type="pct"/>
            <w:tcBorders>
              <w:top w:val="single" w:sz="8" w:space="0" w:color="A6A6A6"/>
              <w:left w:val="nil"/>
              <w:bottom w:val="single" w:sz="8" w:space="0" w:color="A6A6A6"/>
              <w:right w:val="single" w:sz="8" w:space="0" w:color="A6A6A6"/>
            </w:tcBorders>
            <w:shd w:val="clear" w:color="000000" w:fill="EE3438"/>
            <w:vAlign w:val="center"/>
            <w:hideMark/>
          </w:tcPr>
          <w:p w14:paraId="36012DB1" w14:textId="77777777" w:rsidR="0074307D" w:rsidRPr="00144A7C" w:rsidRDefault="0074307D" w:rsidP="00025EA3">
            <w:pPr>
              <w:spacing w:after="0" w:line="240" w:lineRule="auto"/>
              <w:jc w:val="center"/>
              <w:rPr>
                <w:rFonts w:eastAsia="Times New Roman" w:cs="Calibri"/>
                <w:b/>
                <w:bCs/>
                <w:color w:val="FFFFFF"/>
              </w:rPr>
            </w:pPr>
            <w:r w:rsidRPr="00144A7C">
              <w:rPr>
                <w:rFonts w:eastAsia="Times New Roman" w:cs="Calibri"/>
                <w:b/>
                <w:bCs/>
                <w:color w:val="FFFFFF"/>
              </w:rPr>
              <w:t xml:space="preserve">Costo </w:t>
            </w:r>
          </w:p>
        </w:tc>
        <w:tc>
          <w:tcPr>
            <w:tcW w:w="1018" w:type="pct"/>
            <w:tcBorders>
              <w:top w:val="single" w:sz="8" w:space="0" w:color="A6A6A6"/>
              <w:left w:val="nil"/>
              <w:bottom w:val="single" w:sz="8" w:space="0" w:color="A6A6A6"/>
              <w:right w:val="single" w:sz="8" w:space="0" w:color="A6A6A6"/>
            </w:tcBorders>
            <w:shd w:val="clear" w:color="000000" w:fill="EE3438"/>
            <w:vAlign w:val="center"/>
            <w:hideMark/>
          </w:tcPr>
          <w:p w14:paraId="6642B072" w14:textId="4C8093D8" w:rsidR="0074307D" w:rsidRPr="00144A7C" w:rsidRDefault="0074307D" w:rsidP="00025EA3">
            <w:pPr>
              <w:spacing w:after="0" w:line="240" w:lineRule="auto"/>
              <w:jc w:val="center"/>
              <w:rPr>
                <w:rFonts w:eastAsia="Times New Roman" w:cs="Calibri"/>
                <w:b/>
                <w:bCs/>
                <w:color w:val="FFFFFF"/>
              </w:rPr>
            </w:pPr>
            <w:r w:rsidRPr="00144A7C">
              <w:rPr>
                <w:rFonts w:eastAsia="Times New Roman" w:cs="Calibri"/>
                <w:b/>
                <w:bCs/>
                <w:color w:val="FFFFFF"/>
              </w:rPr>
              <w:t xml:space="preserve">Base </w:t>
            </w:r>
            <w:r w:rsidR="00FD7EE5">
              <w:rPr>
                <w:rFonts w:eastAsia="Times New Roman" w:cs="Calibri"/>
                <w:b/>
                <w:bCs/>
                <w:color w:val="FFFFFF"/>
              </w:rPr>
              <w:t>Affidamento</w:t>
            </w:r>
            <w:r w:rsidRPr="00144A7C">
              <w:rPr>
                <w:rFonts w:eastAsia="Times New Roman" w:cs="Calibri"/>
                <w:b/>
                <w:bCs/>
                <w:color w:val="FFFFFF"/>
              </w:rPr>
              <w:t xml:space="preserve"> 60%</w:t>
            </w:r>
          </w:p>
        </w:tc>
        <w:tc>
          <w:tcPr>
            <w:tcW w:w="849" w:type="pct"/>
            <w:tcBorders>
              <w:top w:val="single" w:sz="8" w:space="0" w:color="A6A6A6"/>
              <w:left w:val="nil"/>
              <w:bottom w:val="single" w:sz="8" w:space="0" w:color="A6A6A6"/>
              <w:right w:val="single" w:sz="8" w:space="0" w:color="A6A6A6"/>
            </w:tcBorders>
            <w:shd w:val="clear" w:color="000000" w:fill="EE3438"/>
            <w:vAlign w:val="center"/>
            <w:hideMark/>
          </w:tcPr>
          <w:p w14:paraId="2777FAC1" w14:textId="77777777" w:rsidR="0074307D" w:rsidRPr="00144A7C" w:rsidRDefault="0074307D" w:rsidP="00025EA3">
            <w:pPr>
              <w:spacing w:after="0" w:line="240" w:lineRule="auto"/>
              <w:jc w:val="center"/>
              <w:rPr>
                <w:rFonts w:eastAsia="Times New Roman" w:cs="Calibri"/>
                <w:b/>
                <w:bCs/>
                <w:color w:val="FFFFFF"/>
              </w:rPr>
            </w:pPr>
            <w:r w:rsidRPr="00144A7C">
              <w:rPr>
                <w:rFonts w:eastAsia="Times New Roman" w:cs="Calibri"/>
                <w:b/>
                <w:bCs/>
                <w:color w:val="FFFFFF"/>
              </w:rPr>
              <w:t xml:space="preserve">Ricavi </w:t>
            </w:r>
            <w:r>
              <w:rPr>
                <w:rFonts w:eastAsia="Times New Roman" w:cs="Calibri"/>
                <w:b/>
                <w:bCs/>
                <w:color w:val="FFFFFF"/>
              </w:rPr>
              <w:t>40</w:t>
            </w:r>
            <w:r w:rsidRPr="00144A7C">
              <w:rPr>
                <w:rFonts w:eastAsia="Times New Roman" w:cs="Calibri"/>
                <w:b/>
                <w:bCs/>
                <w:color w:val="FFFFFF"/>
              </w:rPr>
              <w:t>%</w:t>
            </w:r>
          </w:p>
        </w:tc>
      </w:tr>
      <w:tr w:rsidR="0074307D" w:rsidRPr="00144A7C" w14:paraId="39A37384" w14:textId="77777777" w:rsidTr="00FD7EE5">
        <w:trPr>
          <w:trHeight w:val="300"/>
          <w:jc w:val="center"/>
        </w:trPr>
        <w:tc>
          <w:tcPr>
            <w:tcW w:w="934" w:type="pct"/>
            <w:tcBorders>
              <w:top w:val="nil"/>
              <w:left w:val="single" w:sz="8" w:space="0" w:color="A6A6A6"/>
              <w:bottom w:val="single" w:sz="8" w:space="0" w:color="A6A6A6"/>
              <w:right w:val="single" w:sz="8" w:space="0" w:color="A6A6A6"/>
            </w:tcBorders>
            <w:shd w:val="clear" w:color="000000" w:fill="EE3438"/>
            <w:vAlign w:val="center"/>
            <w:hideMark/>
          </w:tcPr>
          <w:p w14:paraId="4036A1C8" w14:textId="77777777" w:rsidR="0074307D" w:rsidRPr="00144A7C" w:rsidRDefault="0074307D" w:rsidP="00025EA3">
            <w:pPr>
              <w:spacing w:after="0" w:line="240" w:lineRule="auto"/>
              <w:jc w:val="left"/>
              <w:rPr>
                <w:rFonts w:eastAsia="Times New Roman" w:cs="Calibri"/>
                <w:color w:val="FFFFFF"/>
              </w:rPr>
            </w:pPr>
            <w:r w:rsidRPr="00144A7C">
              <w:rPr>
                <w:rFonts w:eastAsia="Times New Roman" w:cs="Calibri"/>
                <w:color w:val="FFFFFF"/>
              </w:rPr>
              <w:t> </w:t>
            </w:r>
          </w:p>
        </w:tc>
        <w:tc>
          <w:tcPr>
            <w:tcW w:w="1265" w:type="pct"/>
            <w:tcBorders>
              <w:top w:val="nil"/>
              <w:left w:val="nil"/>
              <w:bottom w:val="single" w:sz="8" w:space="0" w:color="A6A6A6"/>
              <w:right w:val="single" w:sz="8" w:space="0" w:color="A6A6A6"/>
            </w:tcBorders>
            <w:shd w:val="clear" w:color="000000" w:fill="EE3438"/>
            <w:noWrap/>
            <w:vAlign w:val="center"/>
            <w:hideMark/>
          </w:tcPr>
          <w:p w14:paraId="0AE95A4A" w14:textId="77777777" w:rsidR="0074307D" w:rsidRPr="00144A7C" w:rsidRDefault="0074307D" w:rsidP="00025EA3">
            <w:pPr>
              <w:spacing w:after="0" w:line="240" w:lineRule="auto"/>
              <w:jc w:val="center"/>
              <w:rPr>
                <w:rFonts w:eastAsia="Times New Roman" w:cs="Calibri"/>
                <w:b/>
                <w:bCs/>
                <w:color w:val="FFFFFF"/>
              </w:rPr>
            </w:pPr>
            <w:r w:rsidRPr="00144A7C">
              <w:rPr>
                <w:rFonts w:eastAsia="Times New Roman" w:cs="Calibri"/>
                <w:b/>
                <w:bCs/>
                <w:color w:val="FFFFFF"/>
              </w:rPr>
              <w:t>(veic-km/anno)</w:t>
            </w:r>
          </w:p>
        </w:tc>
        <w:tc>
          <w:tcPr>
            <w:tcW w:w="933" w:type="pct"/>
            <w:tcBorders>
              <w:top w:val="nil"/>
              <w:left w:val="nil"/>
              <w:bottom w:val="single" w:sz="8" w:space="0" w:color="A6A6A6"/>
              <w:right w:val="single" w:sz="8" w:space="0" w:color="A6A6A6"/>
            </w:tcBorders>
            <w:shd w:val="clear" w:color="000000" w:fill="EE3438"/>
            <w:vAlign w:val="center"/>
            <w:hideMark/>
          </w:tcPr>
          <w:p w14:paraId="35397A30" w14:textId="77777777" w:rsidR="0074307D" w:rsidRPr="00144A7C" w:rsidRDefault="0074307D" w:rsidP="00025EA3">
            <w:pPr>
              <w:spacing w:after="0" w:line="240" w:lineRule="auto"/>
              <w:jc w:val="center"/>
              <w:rPr>
                <w:rFonts w:eastAsia="Times New Roman" w:cs="Calibri"/>
                <w:b/>
                <w:bCs/>
                <w:color w:val="FFFFFF"/>
              </w:rPr>
            </w:pPr>
            <w:r w:rsidRPr="00144A7C">
              <w:rPr>
                <w:rFonts w:eastAsia="Times New Roman" w:cs="Calibri"/>
                <w:b/>
                <w:bCs/>
                <w:color w:val="FFFFFF"/>
              </w:rPr>
              <w:t>(€)</w:t>
            </w:r>
          </w:p>
        </w:tc>
        <w:tc>
          <w:tcPr>
            <w:tcW w:w="1018" w:type="pct"/>
            <w:tcBorders>
              <w:top w:val="nil"/>
              <w:left w:val="nil"/>
              <w:bottom w:val="single" w:sz="8" w:space="0" w:color="A6A6A6"/>
              <w:right w:val="single" w:sz="8" w:space="0" w:color="A6A6A6"/>
            </w:tcBorders>
            <w:shd w:val="clear" w:color="000000" w:fill="EE3438"/>
            <w:vAlign w:val="center"/>
            <w:hideMark/>
          </w:tcPr>
          <w:p w14:paraId="79114AD7" w14:textId="77777777" w:rsidR="0074307D" w:rsidRPr="00144A7C" w:rsidRDefault="0074307D" w:rsidP="00025EA3">
            <w:pPr>
              <w:spacing w:after="0" w:line="240" w:lineRule="auto"/>
              <w:jc w:val="center"/>
              <w:rPr>
                <w:rFonts w:eastAsia="Times New Roman" w:cs="Calibri"/>
                <w:b/>
                <w:bCs/>
                <w:color w:val="FFFFFF"/>
              </w:rPr>
            </w:pPr>
            <w:r w:rsidRPr="00144A7C">
              <w:rPr>
                <w:rFonts w:eastAsia="Times New Roman" w:cs="Calibri"/>
                <w:b/>
                <w:bCs/>
                <w:color w:val="FFFFFF"/>
              </w:rPr>
              <w:t>(€)</w:t>
            </w:r>
          </w:p>
        </w:tc>
        <w:tc>
          <w:tcPr>
            <w:tcW w:w="849" w:type="pct"/>
            <w:tcBorders>
              <w:top w:val="nil"/>
              <w:left w:val="nil"/>
              <w:bottom w:val="single" w:sz="8" w:space="0" w:color="A6A6A6"/>
              <w:right w:val="single" w:sz="8" w:space="0" w:color="A6A6A6"/>
            </w:tcBorders>
            <w:shd w:val="clear" w:color="000000" w:fill="EE3438"/>
            <w:vAlign w:val="center"/>
            <w:hideMark/>
          </w:tcPr>
          <w:p w14:paraId="27711E48" w14:textId="77777777" w:rsidR="0074307D" w:rsidRPr="00144A7C" w:rsidRDefault="0074307D" w:rsidP="00025EA3">
            <w:pPr>
              <w:spacing w:after="0" w:line="240" w:lineRule="auto"/>
              <w:jc w:val="center"/>
              <w:rPr>
                <w:rFonts w:eastAsia="Times New Roman" w:cs="Calibri"/>
                <w:b/>
                <w:bCs/>
                <w:color w:val="FFFFFF"/>
              </w:rPr>
            </w:pPr>
            <w:r w:rsidRPr="00144A7C">
              <w:rPr>
                <w:rFonts w:eastAsia="Times New Roman" w:cs="Calibri"/>
                <w:b/>
                <w:bCs/>
                <w:color w:val="FFFFFF"/>
              </w:rPr>
              <w:t>(€)</w:t>
            </w:r>
          </w:p>
        </w:tc>
      </w:tr>
      <w:tr w:rsidR="0074307D" w:rsidRPr="00144A7C" w14:paraId="561483CF" w14:textId="77777777" w:rsidTr="00FD7EE5">
        <w:trPr>
          <w:trHeight w:val="300"/>
          <w:jc w:val="center"/>
        </w:trPr>
        <w:tc>
          <w:tcPr>
            <w:tcW w:w="934" w:type="pct"/>
            <w:tcBorders>
              <w:top w:val="nil"/>
              <w:left w:val="single" w:sz="8" w:space="0" w:color="A6A6A6"/>
              <w:bottom w:val="single" w:sz="8" w:space="0" w:color="A6A6A6"/>
              <w:right w:val="single" w:sz="8" w:space="0" w:color="A6A6A6"/>
            </w:tcBorders>
            <w:noWrap/>
            <w:vAlign w:val="center"/>
            <w:hideMark/>
          </w:tcPr>
          <w:p w14:paraId="4E93741B" w14:textId="77777777" w:rsidR="0074307D" w:rsidRPr="00144A7C" w:rsidRDefault="0074307D" w:rsidP="00025EA3">
            <w:pPr>
              <w:spacing w:after="0" w:line="240" w:lineRule="auto"/>
              <w:jc w:val="left"/>
              <w:rPr>
                <w:rFonts w:eastAsia="Times New Roman" w:cs="Calibri"/>
                <w:color w:val="000000"/>
              </w:rPr>
            </w:pPr>
            <w:r w:rsidRPr="00144A7C">
              <w:rPr>
                <w:rFonts w:eastAsia="Times New Roman" w:cs="Calibri"/>
                <w:color w:val="000000"/>
              </w:rPr>
              <w:t xml:space="preserve">Lotto </w:t>
            </w:r>
            <w:r w:rsidRPr="00144A7C">
              <w:rPr>
                <w:rFonts w:eastAsia="Times New Roman" w:cs="Calibri"/>
                <w:i/>
                <w:iCs/>
                <w:color w:val="000000"/>
              </w:rPr>
              <w:t>in-house</w:t>
            </w:r>
          </w:p>
        </w:tc>
        <w:tc>
          <w:tcPr>
            <w:tcW w:w="1265" w:type="pct"/>
            <w:tcBorders>
              <w:top w:val="nil"/>
              <w:left w:val="nil"/>
              <w:bottom w:val="single" w:sz="8" w:space="0" w:color="A6A6A6"/>
              <w:right w:val="single" w:sz="8" w:space="0" w:color="A6A6A6"/>
            </w:tcBorders>
            <w:noWrap/>
            <w:vAlign w:val="center"/>
            <w:hideMark/>
          </w:tcPr>
          <w:p w14:paraId="09DA11E5" w14:textId="77777777" w:rsidR="0074307D" w:rsidRPr="00144A7C" w:rsidRDefault="0074307D" w:rsidP="00025EA3">
            <w:pPr>
              <w:spacing w:after="0" w:line="240" w:lineRule="auto"/>
              <w:jc w:val="right"/>
              <w:rPr>
                <w:rFonts w:eastAsia="Times New Roman" w:cs="Calibri"/>
                <w:color w:val="000000"/>
              </w:rPr>
            </w:pPr>
            <w:r w:rsidRPr="00144A7C">
              <w:rPr>
                <w:rFonts w:eastAsia="Times New Roman" w:cs="Calibri"/>
                <w:color w:val="000000"/>
              </w:rPr>
              <w:t>4.187.640</w:t>
            </w:r>
          </w:p>
        </w:tc>
        <w:tc>
          <w:tcPr>
            <w:tcW w:w="933" w:type="pct"/>
            <w:tcBorders>
              <w:top w:val="nil"/>
              <w:left w:val="nil"/>
              <w:bottom w:val="single" w:sz="8" w:space="0" w:color="A6A6A6"/>
              <w:right w:val="single" w:sz="8" w:space="0" w:color="A6A6A6"/>
            </w:tcBorders>
            <w:noWrap/>
            <w:vAlign w:val="center"/>
            <w:hideMark/>
          </w:tcPr>
          <w:p w14:paraId="0DED28C1" w14:textId="77777777" w:rsidR="0074307D" w:rsidRPr="00144A7C" w:rsidRDefault="0074307D" w:rsidP="00025EA3">
            <w:pPr>
              <w:spacing w:after="0" w:line="240" w:lineRule="auto"/>
              <w:jc w:val="right"/>
              <w:rPr>
                <w:rFonts w:eastAsia="Times New Roman" w:cs="Calibri"/>
                <w:color w:val="000000"/>
              </w:rPr>
            </w:pPr>
            <w:r w:rsidRPr="00144A7C">
              <w:rPr>
                <w:rFonts w:eastAsia="Times New Roman" w:cs="Calibri"/>
                <w:color w:val="000000"/>
              </w:rPr>
              <w:t>16.881.564 €</w:t>
            </w:r>
          </w:p>
        </w:tc>
        <w:tc>
          <w:tcPr>
            <w:tcW w:w="1018" w:type="pct"/>
            <w:tcBorders>
              <w:top w:val="nil"/>
              <w:left w:val="nil"/>
              <w:bottom w:val="single" w:sz="8" w:space="0" w:color="A6A6A6"/>
              <w:right w:val="single" w:sz="8" w:space="0" w:color="A6A6A6"/>
            </w:tcBorders>
            <w:vAlign w:val="center"/>
            <w:hideMark/>
          </w:tcPr>
          <w:p w14:paraId="5E412E2E" w14:textId="77777777" w:rsidR="0074307D" w:rsidRPr="00144A7C" w:rsidRDefault="0074307D" w:rsidP="00025EA3">
            <w:pPr>
              <w:spacing w:after="0" w:line="240" w:lineRule="auto"/>
              <w:jc w:val="right"/>
              <w:rPr>
                <w:rFonts w:eastAsia="Times New Roman" w:cs="Calibri"/>
                <w:color w:val="000000"/>
              </w:rPr>
            </w:pPr>
            <w:r w:rsidRPr="00144A7C">
              <w:rPr>
                <w:rFonts w:eastAsia="Times New Roman" w:cs="Calibri"/>
                <w:color w:val="000000"/>
              </w:rPr>
              <w:t>10.128.938 €</w:t>
            </w:r>
          </w:p>
        </w:tc>
        <w:tc>
          <w:tcPr>
            <w:tcW w:w="849" w:type="pct"/>
            <w:tcBorders>
              <w:top w:val="nil"/>
              <w:left w:val="nil"/>
              <w:bottom w:val="single" w:sz="8" w:space="0" w:color="A6A6A6"/>
              <w:right w:val="single" w:sz="8" w:space="0" w:color="A6A6A6"/>
            </w:tcBorders>
            <w:noWrap/>
            <w:vAlign w:val="center"/>
            <w:hideMark/>
          </w:tcPr>
          <w:p w14:paraId="05959227" w14:textId="77777777" w:rsidR="0074307D" w:rsidRPr="00144A7C" w:rsidRDefault="0074307D" w:rsidP="00025EA3">
            <w:pPr>
              <w:spacing w:after="0" w:line="240" w:lineRule="auto"/>
              <w:jc w:val="right"/>
              <w:rPr>
                <w:rFonts w:eastAsia="Times New Roman" w:cs="Calibri"/>
                <w:color w:val="000000"/>
              </w:rPr>
            </w:pPr>
            <w:r w:rsidRPr="00144A7C">
              <w:rPr>
                <w:rFonts w:eastAsia="Times New Roman" w:cs="Calibri"/>
                <w:color w:val="000000"/>
              </w:rPr>
              <w:t>6.752.626 €</w:t>
            </w:r>
          </w:p>
        </w:tc>
      </w:tr>
    </w:tbl>
    <w:p w14:paraId="4FD47D8D" w14:textId="1C987AF9" w:rsidR="00214C0D" w:rsidRPr="001D5603" w:rsidRDefault="00214C0D" w:rsidP="00214C0D">
      <w:pPr>
        <w:spacing w:after="200" w:line="240" w:lineRule="auto"/>
        <w:jc w:val="center"/>
        <w:rPr>
          <w:rFonts w:eastAsia="Calibri"/>
          <w:i/>
          <w:iCs/>
          <w:color w:val="003366"/>
          <w:sz w:val="18"/>
          <w:szCs w:val="18"/>
        </w:rPr>
      </w:pPr>
      <w:r w:rsidRPr="00BF35BC">
        <w:rPr>
          <w:rFonts w:eastAsia="Calibri"/>
          <w:i/>
          <w:iCs/>
          <w:color w:val="003366"/>
          <w:sz w:val="18"/>
          <w:szCs w:val="18"/>
        </w:rPr>
        <w:t xml:space="preserve">Tabella </w:t>
      </w:r>
      <w:r w:rsidRPr="00BF35BC">
        <w:rPr>
          <w:rFonts w:cstheme="minorHAnsi"/>
          <w:i/>
          <w:iCs/>
          <w:color w:val="003366"/>
          <w:sz w:val="18"/>
          <w:szCs w:val="18"/>
        </w:rPr>
        <w:fldChar w:fldCharType="begin"/>
      </w:r>
      <w:r w:rsidRPr="00BF35BC">
        <w:rPr>
          <w:rFonts w:cstheme="minorHAnsi"/>
          <w:i/>
          <w:iCs/>
          <w:color w:val="003366"/>
          <w:sz w:val="18"/>
          <w:szCs w:val="18"/>
        </w:rPr>
        <w:instrText xml:space="preserve"> SEQ Tabella \* ARABIC </w:instrText>
      </w:r>
      <w:r w:rsidRPr="00BF35BC">
        <w:rPr>
          <w:rFonts w:cstheme="minorHAnsi"/>
          <w:i/>
          <w:iCs/>
          <w:color w:val="003366"/>
          <w:sz w:val="18"/>
          <w:szCs w:val="18"/>
        </w:rPr>
        <w:fldChar w:fldCharType="separate"/>
      </w:r>
      <w:r w:rsidR="00073B6D">
        <w:rPr>
          <w:rFonts w:cstheme="minorHAnsi"/>
          <w:i/>
          <w:iCs/>
          <w:noProof/>
          <w:color w:val="003366"/>
          <w:sz w:val="18"/>
          <w:szCs w:val="18"/>
        </w:rPr>
        <w:t>74</w:t>
      </w:r>
      <w:r w:rsidRPr="00BF35BC">
        <w:rPr>
          <w:rFonts w:cstheme="minorHAnsi"/>
          <w:i/>
          <w:iCs/>
          <w:noProof/>
          <w:color w:val="003366"/>
          <w:sz w:val="18"/>
          <w:szCs w:val="18"/>
        </w:rPr>
        <w:fldChar w:fldCharType="end"/>
      </w:r>
      <w:r w:rsidRPr="00BF35BC">
        <w:rPr>
          <w:rFonts w:cstheme="minorHAnsi"/>
          <w:i/>
          <w:iCs/>
          <w:noProof/>
          <w:color w:val="003366"/>
          <w:sz w:val="18"/>
          <w:szCs w:val="18"/>
        </w:rPr>
        <w:t xml:space="preserve"> </w:t>
      </w:r>
      <w:r w:rsidRPr="00BF35BC">
        <w:rPr>
          <w:rFonts w:eastAsia="Calibri"/>
          <w:iCs/>
          <w:color w:val="003366"/>
          <w:sz w:val="18"/>
          <w:szCs w:val="18"/>
        </w:rPr>
        <w:t xml:space="preserve">– </w:t>
      </w:r>
      <w:r>
        <w:rPr>
          <w:rFonts w:eastAsia="Calibri"/>
          <w:i/>
          <w:iCs/>
          <w:color w:val="003366"/>
          <w:sz w:val="18"/>
          <w:szCs w:val="18"/>
        </w:rPr>
        <w:t>Importi a base affidamento servizio in-house (R/C 40%)</w:t>
      </w:r>
    </w:p>
    <w:p w14:paraId="781D6A72" w14:textId="63B32B8C" w:rsidR="0074307D" w:rsidRDefault="00B8573E" w:rsidP="0074307D">
      <w:pPr>
        <w:spacing w:before="120" w:after="0" w:line="240" w:lineRule="auto"/>
        <w:rPr>
          <w:rFonts w:eastAsia="Calibri"/>
        </w:rPr>
      </w:pPr>
      <w:r>
        <w:rPr>
          <w:rFonts w:eastAsia="Calibri"/>
        </w:rPr>
        <w:t xml:space="preserve">La verifica del rapporto fra Ricavi e Costi </w:t>
      </w:r>
      <w:r w:rsidR="008E21E2">
        <w:rPr>
          <w:rFonts w:eastAsia="Calibri"/>
        </w:rPr>
        <w:t xml:space="preserve">nel lotto </w:t>
      </w:r>
      <w:r w:rsidR="008E21E2" w:rsidRPr="00E772EE">
        <w:rPr>
          <w:rFonts w:eastAsia="Calibri"/>
          <w:i/>
        </w:rPr>
        <w:t>in-house</w:t>
      </w:r>
      <w:r w:rsidR="00F25DF8">
        <w:rPr>
          <w:rFonts w:eastAsia="Calibri"/>
        </w:rPr>
        <w:t xml:space="preserve"> sarà oggetto di valutazione specifica nell’ambito de</w:t>
      </w:r>
      <w:r w:rsidR="00ED5190">
        <w:rPr>
          <w:rFonts w:eastAsia="Calibri"/>
        </w:rPr>
        <w:t>i Pef simulati che approfon</w:t>
      </w:r>
      <w:r w:rsidR="00F43914">
        <w:rPr>
          <w:rFonts w:eastAsia="Calibri"/>
        </w:rPr>
        <w:t>d</w:t>
      </w:r>
      <w:r w:rsidR="00ED5190">
        <w:rPr>
          <w:rFonts w:eastAsia="Calibri"/>
        </w:rPr>
        <w:t>iranno</w:t>
      </w:r>
      <w:r w:rsidR="00F43914">
        <w:rPr>
          <w:rFonts w:eastAsia="Calibri"/>
        </w:rPr>
        <w:t xml:space="preserve"> sia la gestione del singolo lotto, sia la gestione complessiva dell’intero </w:t>
      </w:r>
      <w:r w:rsidR="00AB0D2F">
        <w:rPr>
          <w:rFonts w:eastAsia="Calibri"/>
        </w:rPr>
        <w:t>contratto di servizio</w:t>
      </w:r>
      <w:r w:rsidR="00864496">
        <w:rPr>
          <w:rFonts w:eastAsia="Calibri"/>
        </w:rPr>
        <w:t>.</w:t>
      </w:r>
    </w:p>
    <w:p w14:paraId="1E3EF925" w14:textId="0B920AF2" w:rsidR="00FD2CBB" w:rsidRPr="00555449" w:rsidRDefault="004B19C8" w:rsidP="00FD2CBB">
      <w:pPr>
        <w:spacing w:before="120" w:after="0" w:line="240" w:lineRule="auto"/>
        <w:rPr>
          <w:rFonts w:eastAsia="Calibri"/>
        </w:rPr>
      </w:pPr>
      <w:r>
        <w:rPr>
          <w:rFonts w:eastAsia="Calibri"/>
        </w:rPr>
        <w:t xml:space="preserve">Sia per il lotto </w:t>
      </w:r>
      <w:r w:rsidRPr="00E772EE">
        <w:rPr>
          <w:rFonts w:eastAsia="Calibri"/>
          <w:i/>
        </w:rPr>
        <w:t>in-house</w:t>
      </w:r>
      <w:r>
        <w:rPr>
          <w:rFonts w:eastAsia="Calibri"/>
        </w:rPr>
        <w:t xml:space="preserve">, sia per </w:t>
      </w:r>
      <w:r w:rsidR="007E468E">
        <w:rPr>
          <w:rFonts w:eastAsia="Calibri"/>
        </w:rPr>
        <w:t xml:space="preserve">lotto in area a domanda debole il valore del costo standard rappresenta </w:t>
      </w:r>
      <w:r w:rsidR="00774ACC">
        <w:rPr>
          <w:rFonts w:eastAsia="Calibri"/>
        </w:rPr>
        <w:t xml:space="preserve">un valore </w:t>
      </w:r>
      <w:r w:rsidR="00382E03">
        <w:rPr>
          <w:rFonts w:eastAsia="Calibri"/>
        </w:rPr>
        <w:t xml:space="preserve">soglia </w:t>
      </w:r>
      <w:r w:rsidR="00774ACC">
        <w:rPr>
          <w:rFonts w:eastAsia="Calibri"/>
        </w:rPr>
        <w:t>di riferimento</w:t>
      </w:r>
      <w:r w:rsidR="007E468E">
        <w:rPr>
          <w:rFonts w:eastAsia="Calibri"/>
        </w:rPr>
        <w:t xml:space="preserve"> ed </w:t>
      </w:r>
      <w:r w:rsidR="00774ACC">
        <w:rPr>
          <w:rFonts w:eastAsia="Calibri"/>
        </w:rPr>
        <w:t>i</w:t>
      </w:r>
      <w:r w:rsidR="00FD2CBB" w:rsidRPr="00CC3A3D">
        <w:rPr>
          <w:rFonts w:eastAsia="Calibri"/>
        </w:rPr>
        <w:t xml:space="preserve">n entrambi i casi sarà necessario definire un importo equo e sostenibile, </w:t>
      </w:r>
      <w:r w:rsidR="00774ACC">
        <w:rPr>
          <w:rFonts w:eastAsia="Calibri"/>
        </w:rPr>
        <w:t>sulla base dei costi dei fattori della produzione</w:t>
      </w:r>
      <w:r w:rsidR="00FD2CBB">
        <w:rPr>
          <w:rFonts w:eastAsia="Calibri"/>
        </w:rPr>
        <w:t xml:space="preserve"> e </w:t>
      </w:r>
      <w:r w:rsidR="00774ACC">
        <w:rPr>
          <w:rFonts w:eastAsia="Calibri"/>
        </w:rPr>
        <w:t>che</w:t>
      </w:r>
      <w:r w:rsidR="00FD2CBB">
        <w:rPr>
          <w:rFonts w:eastAsia="Calibri"/>
        </w:rPr>
        <w:t xml:space="preserve"> persegua gli obiettivi di economicità, efficacia ed efficienza per i servizi affidati direttamente o gestiti in economia.</w:t>
      </w:r>
    </w:p>
    <w:p w14:paraId="70E8D1E3" w14:textId="77777777" w:rsidR="00FD2CBB" w:rsidRPr="00F912C7" w:rsidRDefault="00FD2CBB" w:rsidP="00FD2CBB">
      <w:pPr>
        <w:pStyle w:val="Titolo3"/>
        <w:ind w:left="720"/>
      </w:pPr>
      <w:bookmarkStart w:id="484" w:name="_Toc1956863428"/>
      <w:bookmarkStart w:id="485" w:name="_Toc197695732"/>
      <w:bookmarkStart w:id="486" w:name="_Toc204616541"/>
      <w:bookmarkStart w:id="487" w:name="_Toc213078417"/>
      <w:bookmarkEnd w:id="480"/>
      <w:r w:rsidRPr="00F912C7">
        <w:t>Congruità delle risorse</w:t>
      </w:r>
      <w:bookmarkEnd w:id="484"/>
      <w:bookmarkEnd w:id="485"/>
      <w:bookmarkEnd w:id="486"/>
      <w:bookmarkEnd w:id="487"/>
    </w:p>
    <w:p w14:paraId="2EC8DC50" w14:textId="6CB52109" w:rsidR="00FD2CBB" w:rsidRPr="00AD01C5" w:rsidRDefault="00FD2CBB" w:rsidP="00FD2CBB">
      <w:pPr>
        <w:spacing w:before="120" w:after="0" w:line="240" w:lineRule="auto"/>
        <w:rPr>
          <w:rFonts w:eastAsia="Calibri"/>
        </w:rPr>
      </w:pPr>
      <w:r w:rsidRPr="00AD01C5">
        <w:rPr>
          <w:rFonts w:eastAsia="Calibri"/>
        </w:rPr>
        <w:t xml:space="preserve">Nel paragrafo </w:t>
      </w:r>
      <w:r w:rsidR="00A05940">
        <w:rPr>
          <w:rFonts w:eastAsia="Calibri"/>
        </w:rPr>
        <w:fldChar w:fldCharType="begin"/>
      </w:r>
      <w:r w:rsidR="00A05940">
        <w:rPr>
          <w:rFonts w:eastAsia="Calibri"/>
        </w:rPr>
        <w:instrText xml:space="preserve"> REF _Ref212805284 \r \h </w:instrText>
      </w:r>
      <w:r w:rsidR="00A05940">
        <w:rPr>
          <w:rFonts w:eastAsia="Calibri"/>
        </w:rPr>
      </w:r>
      <w:r w:rsidR="00A05940">
        <w:rPr>
          <w:rFonts w:eastAsia="Calibri"/>
        </w:rPr>
        <w:fldChar w:fldCharType="separate"/>
      </w:r>
      <w:r w:rsidR="00073B6D">
        <w:rPr>
          <w:rFonts w:eastAsia="Calibri"/>
        </w:rPr>
        <w:t>5.4</w:t>
      </w:r>
      <w:r w:rsidR="00A05940">
        <w:rPr>
          <w:rFonts w:eastAsia="Calibri"/>
        </w:rPr>
        <w:fldChar w:fldCharType="end"/>
      </w:r>
      <w:r w:rsidRPr="00AD01C5">
        <w:rPr>
          <w:rFonts w:eastAsia="Calibri"/>
        </w:rPr>
        <w:t xml:space="preserve"> è stato presentato il quadro delle risorse attualmente impegnate per i servizi operati nell’ambito dei servizi del Bacino </w:t>
      </w:r>
      <w:r>
        <w:rPr>
          <w:rFonts w:eastAsia="Calibri"/>
        </w:rPr>
        <w:t>Metropolitano</w:t>
      </w:r>
      <w:r w:rsidRPr="00AD01C5">
        <w:rPr>
          <w:rFonts w:eastAsia="Calibri"/>
        </w:rPr>
        <w:t xml:space="preserve"> che ammontano a circa </w:t>
      </w:r>
      <w:r w:rsidRPr="003F4184">
        <w:rPr>
          <w:rFonts w:eastAsia="Calibri"/>
        </w:rPr>
        <w:t>44</w:t>
      </w:r>
      <w:r w:rsidR="00146824">
        <w:rPr>
          <w:rFonts w:eastAsia="Calibri"/>
        </w:rPr>
        <w:t>,0</w:t>
      </w:r>
      <w:r w:rsidRPr="00AD01C5">
        <w:rPr>
          <w:rFonts w:eastAsia="Calibri"/>
        </w:rPr>
        <w:t xml:space="preserve"> milioni di euro, nonché la sintesi ricavi per gli stessi servizi che nel 2023 ammontavano a circa </w:t>
      </w:r>
      <w:r w:rsidRPr="003F4184">
        <w:rPr>
          <w:rFonts w:eastAsia="Calibri"/>
        </w:rPr>
        <w:t>2</w:t>
      </w:r>
      <w:r w:rsidR="005F0D41" w:rsidRPr="003F4184">
        <w:rPr>
          <w:rFonts w:eastAsia="Calibri"/>
        </w:rPr>
        <w:t>0</w:t>
      </w:r>
      <w:r w:rsidRPr="003F4184">
        <w:rPr>
          <w:rFonts w:eastAsia="Calibri"/>
        </w:rPr>
        <w:t>,</w:t>
      </w:r>
      <w:r w:rsidR="005F0D41" w:rsidRPr="003F4184">
        <w:rPr>
          <w:rFonts w:eastAsia="Calibri"/>
        </w:rPr>
        <w:t>1</w:t>
      </w:r>
      <w:r w:rsidRPr="00AD01C5">
        <w:rPr>
          <w:rFonts w:eastAsia="Calibri"/>
        </w:rPr>
        <w:t xml:space="preserve"> milioni di euro</w:t>
      </w:r>
      <w:r w:rsidR="007D1C2F">
        <w:rPr>
          <w:rFonts w:eastAsia="Calibri"/>
        </w:rPr>
        <w:t xml:space="preserve"> (importi al netto dell’iva</w:t>
      </w:r>
      <w:r w:rsidR="00936727">
        <w:rPr>
          <w:rFonts w:eastAsia="Calibri"/>
        </w:rPr>
        <w:t>)</w:t>
      </w:r>
      <w:r w:rsidR="007D1C2F">
        <w:rPr>
          <w:rFonts w:eastAsia="Calibri"/>
        </w:rPr>
        <w:t>.</w:t>
      </w:r>
    </w:p>
    <w:p w14:paraId="6AB8C3CC" w14:textId="18D17A15" w:rsidR="00FD2CBB" w:rsidRPr="00AD01C5" w:rsidRDefault="00FD2CBB" w:rsidP="00FD2CBB">
      <w:pPr>
        <w:spacing w:before="120" w:after="0" w:line="240" w:lineRule="auto"/>
        <w:rPr>
          <w:rFonts w:eastAsia="Calibri"/>
        </w:rPr>
      </w:pPr>
      <w:r w:rsidRPr="00AD01C5">
        <w:rPr>
          <w:rFonts w:eastAsia="Calibri"/>
        </w:rPr>
        <w:t xml:space="preserve">Le unità di rete definite, secondo la metodologia precedentemente descritta, </w:t>
      </w:r>
      <w:r>
        <w:rPr>
          <w:rFonts w:eastAsia="Calibri"/>
        </w:rPr>
        <w:t>le valutazioni sulle linee interbacino</w:t>
      </w:r>
      <w:r w:rsidRPr="00AD01C5">
        <w:rPr>
          <w:rFonts w:eastAsia="Calibri"/>
        </w:rPr>
        <w:t xml:space="preserve"> </w:t>
      </w:r>
      <w:r>
        <w:rPr>
          <w:rFonts w:eastAsia="Calibri"/>
        </w:rPr>
        <w:t>e l’accorpamento delle linee periurbane del lotto in house comportano un assetto di servizio differente dallo stato attuale</w:t>
      </w:r>
      <w:r w:rsidR="00A12C4B">
        <w:rPr>
          <w:rFonts w:eastAsia="Calibri"/>
        </w:rPr>
        <w:t>; pertanto,</w:t>
      </w:r>
      <w:r>
        <w:rPr>
          <w:rFonts w:eastAsia="Calibri"/>
        </w:rPr>
        <w:t xml:space="preserve"> è necessario definire il quadro delle risorse ad oggi utilizzate per i servizi presi in considerazione nella definizione delle unità di rete descritte nei paragrafi precedenti.</w:t>
      </w:r>
    </w:p>
    <w:p w14:paraId="4D3C680A" w14:textId="467D9900" w:rsidR="00FD2CBB" w:rsidRPr="0087783A" w:rsidRDefault="00FD2CBB" w:rsidP="00FD2CBB">
      <w:pPr>
        <w:spacing w:before="120" w:after="0" w:line="240" w:lineRule="auto"/>
        <w:rPr>
          <w:rFonts w:eastAsia="Calibri"/>
        </w:rPr>
      </w:pPr>
      <w:r w:rsidRPr="00902201">
        <w:rPr>
          <w:rFonts w:eastAsia="Calibri"/>
        </w:rPr>
        <w:t xml:space="preserve">Si è proceduto, avvalendosi delle informazioni messe a disposizione dall’Autorità di Regolazione </w:t>
      </w:r>
      <w:r w:rsidR="005F5300">
        <w:rPr>
          <w:rFonts w:eastAsia="Calibri"/>
        </w:rPr>
        <w:t xml:space="preserve">dei Trasporti </w:t>
      </w:r>
      <w:r w:rsidRPr="00902201">
        <w:rPr>
          <w:rFonts w:eastAsia="Calibri"/>
        </w:rPr>
        <w:t xml:space="preserve">attraverso il </w:t>
      </w:r>
      <w:r w:rsidRPr="0087783A">
        <w:rPr>
          <w:rFonts w:eastAsia="Calibri"/>
        </w:rPr>
        <w:t xml:space="preserve">monitoraggio della contabilità regolatoria annualità 2023 (COREG), a stimare i ricavi da traffico, i ricavi totali e le compensazioni per le 17 linee interbacino e per le 16 linee periurbane di GTT, di cui alla </w:t>
      </w:r>
      <w:r w:rsidR="00513325" w:rsidRPr="0087783A">
        <w:rPr>
          <w:rFonts w:eastAsia="Calibri"/>
        </w:rPr>
        <w:fldChar w:fldCharType="begin"/>
      </w:r>
      <w:r w:rsidR="00513325" w:rsidRPr="0087783A">
        <w:rPr>
          <w:rFonts w:eastAsia="Calibri"/>
        </w:rPr>
        <w:instrText xml:space="preserve"> REF _Ref212965802 \h </w:instrText>
      </w:r>
      <w:r w:rsidR="0087783A" w:rsidRPr="0087783A">
        <w:rPr>
          <w:rFonts w:eastAsia="Calibri"/>
        </w:rPr>
        <w:instrText xml:space="preserve"> \* MERGEFORMAT </w:instrText>
      </w:r>
      <w:r w:rsidR="00513325" w:rsidRPr="0087783A">
        <w:rPr>
          <w:rFonts w:eastAsia="Calibri"/>
        </w:rPr>
      </w:r>
      <w:r w:rsidR="00513325" w:rsidRPr="0087783A">
        <w:rPr>
          <w:rFonts w:eastAsia="Calibri"/>
        </w:rPr>
        <w:fldChar w:fldCharType="separate"/>
      </w:r>
      <w:r w:rsidR="00073B6D" w:rsidRPr="00073B6D">
        <w:rPr>
          <w:rFonts w:eastAsia="Calibri"/>
        </w:rPr>
        <w:t xml:space="preserve">Tabella </w:t>
      </w:r>
      <w:r w:rsidR="00073B6D" w:rsidRPr="00073B6D">
        <w:rPr>
          <w:rFonts w:eastAsia="Calibri" w:cs="Calibri"/>
          <w:noProof/>
        </w:rPr>
        <w:t>55</w:t>
      </w:r>
      <w:r w:rsidR="00513325" w:rsidRPr="0087783A">
        <w:rPr>
          <w:rFonts w:eastAsia="Calibri"/>
        </w:rPr>
        <w:fldChar w:fldCharType="end"/>
      </w:r>
      <w:r w:rsidRPr="0087783A">
        <w:rPr>
          <w:rFonts w:eastAsia="Calibri"/>
        </w:rPr>
        <w:t xml:space="preserve">e alla </w:t>
      </w:r>
      <w:r w:rsidR="00513325" w:rsidRPr="0087783A">
        <w:rPr>
          <w:rFonts w:eastAsia="Calibri"/>
        </w:rPr>
        <w:fldChar w:fldCharType="begin"/>
      </w:r>
      <w:r w:rsidR="00513325" w:rsidRPr="0087783A">
        <w:rPr>
          <w:rFonts w:eastAsia="Calibri"/>
        </w:rPr>
        <w:instrText xml:space="preserve"> REF _Ref212976149 \h </w:instrText>
      </w:r>
      <w:r w:rsidR="0087783A" w:rsidRPr="0087783A">
        <w:rPr>
          <w:rFonts w:eastAsia="Calibri"/>
        </w:rPr>
        <w:instrText xml:space="preserve"> \* MERGEFORMAT </w:instrText>
      </w:r>
      <w:r w:rsidR="00513325" w:rsidRPr="0087783A">
        <w:rPr>
          <w:rFonts w:eastAsia="Calibri"/>
        </w:rPr>
      </w:r>
      <w:r w:rsidR="00513325" w:rsidRPr="0087783A">
        <w:rPr>
          <w:rFonts w:eastAsia="Calibri"/>
        </w:rPr>
        <w:fldChar w:fldCharType="separate"/>
      </w:r>
      <w:r w:rsidR="00073B6D" w:rsidRPr="00073B6D">
        <w:rPr>
          <w:rFonts w:eastAsia="Calibri"/>
        </w:rPr>
        <w:t xml:space="preserve">Tabella </w:t>
      </w:r>
      <w:r w:rsidR="00073B6D" w:rsidRPr="00073B6D">
        <w:rPr>
          <w:rFonts w:eastAsia="Calibri"/>
          <w:noProof/>
        </w:rPr>
        <w:t>56</w:t>
      </w:r>
      <w:r w:rsidR="00513325" w:rsidRPr="0087783A">
        <w:rPr>
          <w:rFonts w:eastAsia="Calibri"/>
        </w:rPr>
        <w:fldChar w:fldCharType="end"/>
      </w:r>
      <w:r w:rsidRPr="0087783A">
        <w:rPr>
          <w:rFonts w:eastAsia="Calibri"/>
        </w:rPr>
        <w:t>. Si ricorda che le compensazioni pubbliche per CCNL non sono state considerate come Ricavi ma confluiscono nelle compensazioni</w:t>
      </w:r>
      <w:r w:rsidR="0014688B" w:rsidRPr="0087783A">
        <w:rPr>
          <w:rFonts w:eastAsia="Calibri"/>
        </w:rPr>
        <w:t xml:space="preserve"> per obblighi di servizio</w:t>
      </w:r>
      <w:r w:rsidRPr="0087783A">
        <w:rPr>
          <w:rFonts w:eastAsia="Calibri"/>
        </w:rPr>
        <w:t>.</w:t>
      </w:r>
    </w:p>
    <w:p w14:paraId="217015EF" w14:textId="32809482" w:rsidR="00FD2CBB" w:rsidRPr="00C62445" w:rsidRDefault="00FD2CBB" w:rsidP="00FD2CBB">
      <w:pPr>
        <w:spacing w:before="120" w:after="0" w:line="240" w:lineRule="auto"/>
        <w:rPr>
          <w:rFonts w:eastAsia="Calibri"/>
        </w:rPr>
      </w:pPr>
      <w:r w:rsidRPr="00C62445">
        <w:rPr>
          <w:rFonts w:eastAsia="Calibri"/>
        </w:rPr>
        <w:t xml:space="preserve">Si sono estratti i valori del conto economico e i dati tecnici per le aziende e per i contratti all’interno dei quali sono operate le linee in questione; sono stati calcolati i seguenti indicatori (per soggetto e per contratto): (RICAVITRAFFICO)/KM, (RICAVITOTALIesclusoCCNL)/KM, (CORRISPETTIVO)/KM. Questi tre indicatori sono stati </w:t>
      </w:r>
      <w:r w:rsidR="006D55FD">
        <w:rPr>
          <w:rFonts w:eastAsia="Calibri"/>
        </w:rPr>
        <w:t>applicati</w:t>
      </w:r>
      <w:r w:rsidRPr="00C62445">
        <w:rPr>
          <w:rFonts w:eastAsia="Calibri"/>
        </w:rPr>
        <w:t xml:space="preserve"> </w:t>
      </w:r>
      <w:r w:rsidR="006D55FD">
        <w:rPr>
          <w:rFonts w:eastAsia="Calibri"/>
        </w:rPr>
        <w:t>ai</w:t>
      </w:r>
      <w:r w:rsidRPr="00C62445">
        <w:rPr>
          <w:rFonts w:eastAsia="Calibri"/>
        </w:rPr>
        <w:t xml:space="preserve"> </w:t>
      </w:r>
      <w:r w:rsidR="006D55FD">
        <w:rPr>
          <w:rFonts w:eastAsia="Calibri"/>
        </w:rPr>
        <w:t>veicoli-</w:t>
      </w:r>
      <w:r w:rsidRPr="00C62445">
        <w:rPr>
          <w:rFonts w:eastAsia="Calibri"/>
        </w:rPr>
        <w:t>KM</w:t>
      </w:r>
      <w:r>
        <w:rPr>
          <w:rFonts w:eastAsia="Calibri"/>
        </w:rPr>
        <w:t xml:space="preserve"> </w:t>
      </w:r>
      <w:r w:rsidR="006D55FD">
        <w:rPr>
          <w:rFonts w:eastAsia="Calibri"/>
        </w:rPr>
        <w:t>dei</w:t>
      </w:r>
      <w:r>
        <w:rPr>
          <w:rFonts w:eastAsia="Calibri"/>
        </w:rPr>
        <w:t xml:space="preserve"> </w:t>
      </w:r>
      <w:r w:rsidRPr="00C62445">
        <w:rPr>
          <w:rFonts w:eastAsia="Calibri"/>
        </w:rPr>
        <w:t xml:space="preserve">PEA </w:t>
      </w:r>
      <w:r>
        <w:rPr>
          <w:rFonts w:eastAsia="Calibri"/>
        </w:rPr>
        <w:t xml:space="preserve">delle </w:t>
      </w:r>
      <w:r w:rsidRPr="00C62445">
        <w:rPr>
          <w:rFonts w:eastAsia="Calibri"/>
        </w:rPr>
        <w:t>linee</w:t>
      </w:r>
      <w:r>
        <w:rPr>
          <w:rFonts w:eastAsia="Calibri"/>
        </w:rPr>
        <w:t xml:space="preserve"> oggetto di assegnazione</w:t>
      </w:r>
      <w:r w:rsidRPr="00D61985">
        <w:rPr>
          <w:rFonts w:eastAsia="Calibri"/>
        </w:rPr>
        <w:t xml:space="preserve">. </w:t>
      </w:r>
    </w:p>
    <w:p w14:paraId="6406448B" w14:textId="32A4D3F5" w:rsidR="00FD2CBB" w:rsidRDefault="00FD2CBB" w:rsidP="00FD2CBB">
      <w:pPr>
        <w:spacing w:before="120" w:after="0" w:line="240" w:lineRule="auto"/>
        <w:rPr>
          <w:rFonts w:eastAsia="Calibri"/>
        </w:rPr>
      </w:pPr>
      <w:r w:rsidRPr="00AD01C5">
        <w:rPr>
          <w:rFonts w:eastAsia="Calibri"/>
        </w:rPr>
        <w:t xml:space="preserve">Nella tabella seguente si riporta un quadro complessivo delle risorse pubbliche destinate </w:t>
      </w:r>
      <w:r>
        <w:rPr>
          <w:rFonts w:eastAsia="Calibri"/>
        </w:rPr>
        <w:t>ai servizi del</w:t>
      </w:r>
      <w:r w:rsidRPr="00AD01C5">
        <w:rPr>
          <w:rFonts w:eastAsia="Calibri"/>
        </w:rPr>
        <w:t xml:space="preserve"> Bacino </w:t>
      </w:r>
      <w:r>
        <w:rPr>
          <w:rFonts w:eastAsia="Calibri"/>
        </w:rPr>
        <w:t>Metropolitano</w:t>
      </w:r>
      <w:r w:rsidR="00420FD7">
        <w:rPr>
          <w:rFonts w:eastAsia="Calibri"/>
        </w:rPr>
        <w:t xml:space="preserve"> </w:t>
      </w:r>
      <w:r w:rsidR="00420FD7" w:rsidRPr="00FF77C9">
        <w:rPr>
          <w:rFonts w:eastAsia="Calibri"/>
        </w:rPr>
        <w:t>per l’anno</w:t>
      </w:r>
      <w:r w:rsidR="00420FD7" w:rsidRPr="00AD01C5">
        <w:rPr>
          <w:rFonts w:eastAsia="Calibri"/>
        </w:rPr>
        <w:t xml:space="preserve"> 2023</w:t>
      </w:r>
      <w:r w:rsidR="00486F7C">
        <w:rPr>
          <w:rFonts w:eastAsia="Calibri"/>
        </w:rPr>
        <w:t xml:space="preserve">, </w:t>
      </w:r>
      <w:r>
        <w:rPr>
          <w:rFonts w:eastAsia="Calibri"/>
        </w:rPr>
        <w:t>al netto d</w:t>
      </w:r>
      <w:r w:rsidR="0059337A">
        <w:rPr>
          <w:rFonts w:eastAsia="Calibri"/>
        </w:rPr>
        <w:t xml:space="preserve">i quota parte </w:t>
      </w:r>
      <w:r>
        <w:rPr>
          <w:rFonts w:eastAsia="Calibri"/>
        </w:rPr>
        <w:t>dei servizi suburbani del</w:t>
      </w:r>
      <w:r w:rsidR="0059337A">
        <w:rPr>
          <w:rFonts w:eastAsia="Calibri"/>
        </w:rPr>
        <w:t xml:space="preserve"> CdS TO</w:t>
      </w:r>
      <w:r w:rsidR="008B7FE3" w:rsidRPr="008B7FE3">
        <w:rPr>
          <w:rStyle w:val="Rimandonotaapidipagina"/>
          <w:rFonts w:eastAsia="Calibri"/>
          <w:iCs/>
        </w:rPr>
        <w:footnoteReference w:id="61"/>
      </w:r>
      <w:r w:rsidR="00560F76">
        <w:rPr>
          <w:rFonts w:eastAsia="Calibri"/>
        </w:rPr>
        <w:t xml:space="preserve"> che </w:t>
      </w:r>
      <w:r w:rsidR="002D0095">
        <w:rPr>
          <w:rFonts w:eastAsia="Calibri"/>
        </w:rPr>
        <w:lastRenderedPageBreak/>
        <w:t xml:space="preserve">confluisco nell’unità di rete 5 </w:t>
      </w:r>
      <w:r w:rsidR="00486F7C">
        <w:rPr>
          <w:rFonts w:eastAsia="Calibri"/>
        </w:rPr>
        <w:t>lotto in-house</w:t>
      </w:r>
      <w:r w:rsidRPr="00AD01C5">
        <w:rPr>
          <w:rFonts w:eastAsia="Calibri"/>
        </w:rPr>
        <w:t xml:space="preserve"> (base dati</w:t>
      </w:r>
      <w:r>
        <w:rPr>
          <w:rFonts w:eastAsia="Calibri"/>
        </w:rPr>
        <w:t xml:space="preserve">: </w:t>
      </w:r>
      <w:r w:rsidRPr="00AD01C5">
        <w:rPr>
          <w:rFonts w:eastAsia="Calibri"/>
        </w:rPr>
        <w:t>Osservatorio Nazionale per il TPL e contabilità Regolatoria ART come sopra specificato</w:t>
      </w:r>
      <w:r>
        <w:rPr>
          <w:rFonts w:eastAsia="Calibri"/>
        </w:rPr>
        <w:t>)</w:t>
      </w:r>
      <w:r w:rsidR="005B5428">
        <w:rPr>
          <w:rStyle w:val="Rimandonotaapidipagina"/>
          <w:rFonts w:eastAsia="Calibri"/>
        </w:rPr>
        <w:footnoteReference w:id="62"/>
      </w:r>
      <w:r w:rsidRPr="00AD01C5">
        <w:rPr>
          <w:rFonts w:eastAsia="Calibri"/>
        </w:rPr>
        <w:t>.</w:t>
      </w:r>
    </w:p>
    <w:p w14:paraId="357B3622" w14:textId="77777777" w:rsidR="00191157" w:rsidRDefault="00191157" w:rsidP="00FD2CBB">
      <w:pPr>
        <w:spacing w:before="120" w:after="0" w:line="240" w:lineRule="auto"/>
        <w:rPr>
          <w:rFonts w:eastAsia="Calibri"/>
        </w:rPr>
      </w:pPr>
    </w:p>
    <w:tbl>
      <w:tblPr>
        <w:tblW w:w="5346" w:type="dxa"/>
        <w:jc w:val="center"/>
        <w:tblCellMar>
          <w:left w:w="70" w:type="dxa"/>
          <w:right w:w="70" w:type="dxa"/>
        </w:tblCellMar>
        <w:tblLook w:val="04A0" w:firstRow="1" w:lastRow="0" w:firstColumn="1" w:lastColumn="0" w:noHBand="0" w:noVBand="1"/>
      </w:tblPr>
      <w:tblGrid>
        <w:gridCol w:w="3220"/>
        <w:gridCol w:w="2126"/>
      </w:tblGrid>
      <w:tr w:rsidR="00191157" w:rsidRPr="00191157" w14:paraId="08E8D768" w14:textId="77777777" w:rsidTr="00486F7C">
        <w:trPr>
          <w:trHeight w:val="20"/>
          <w:jc w:val="center"/>
        </w:trPr>
        <w:tc>
          <w:tcPr>
            <w:tcW w:w="3220" w:type="dxa"/>
            <w:tcBorders>
              <w:top w:val="single" w:sz="8" w:space="0" w:color="A6A6A6"/>
              <w:left w:val="nil"/>
              <w:bottom w:val="nil"/>
              <w:right w:val="single" w:sz="8" w:space="0" w:color="A6A6A6"/>
            </w:tcBorders>
            <w:shd w:val="clear" w:color="000000" w:fill="EE3438"/>
            <w:vAlign w:val="center"/>
            <w:hideMark/>
          </w:tcPr>
          <w:p w14:paraId="1DF7B069" w14:textId="220AFC56" w:rsidR="00191157" w:rsidRPr="00191157" w:rsidRDefault="00191157" w:rsidP="00191157">
            <w:pPr>
              <w:spacing w:after="0" w:line="240" w:lineRule="auto"/>
              <w:jc w:val="center"/>
              <w:rPr>
                <w:rFonts w:ascii="Aptos Narrow" w:eastAsia="Times New Roman" w:hAnsi="Aptos Narrow" w:cs="Times New Roman"/>
                <w:b/>
                <w:bCs/>
                <w:color w:val="FFFFFF"/>
              </w:rPr>
            </w:pPr>
            <w:r>
              <w:rPr>
                <w:rFonts w:ascii="Aptos Narrow" w:hAnsi="Aptos Narrow"/>
                <w:b/>
                <w:color w:val="FFFFFF"/>
              </w:rPr>
              <w:t>Risorse attualmente impiegate anno 2023 (netto iva)</w:t>
            </w:r>
          </w:p>
        </w:tc>
        <w:tc>
          <w:tcPr>
            <w:tcW w:w="2126" w:type="dxa"/>
            <w:tcBorders>
              <w:top w:val="nil"/>
              <w:left w:val="nil"/>
              <w:bottom w:val="nil"/>
              <w:right w:val="nil"/>
            </w:tcBorders>
            <w:shd w:val="clear" w:color="000000" w:fill="EE3438"/>
            <w:vAlign w:val="center"/>
            <w:hideMark/>
          </w:tcPr>
          <w:p w14:paraId="3EF64604" w14:textId="317ADE7E" w:rsidR="00191157" w:rsidRPr="00191157" w:rsidRDefault="00191157" w:rsidP="00191157">
            <w:pPr>
              <w:spacing w:after="0" w:line="240" w:lineRule="auto"/>
              <w:jc w:val="center"/>
              <w:rPr>
                <w:rFonts w:ascii="Aptos Narrow" w:eastAsia="Times New Roman" w:hAnsi="Aptos Narrow" w:cs="Times New Roman"/>
                <w:b/>
                <w:bCs/>
                <w:color w:val="FFFFFF"/>
              </w:rPr>
            </w:pPr>
            <w:r>
              <w:rPr>
                <w:rFonts w:ascii="Aptos Narrow" w:hAnsi="Aptos Narrow"/>
                <w:b/>
                <w:color w:val="FFFFFF"/>
              </w:rPr>
              <w:t>Totale</w:t>
            </w:r>
          </w:p>
        </w:tc>
      </w:tr>
      <w:tr w:rsidR="007D0682" w:rsidRPr="00191157" w14:paraId="79A71BDC" w14:textId="77777777" w:rsidTr="00486F7C">
        <w:trPr>
          <w:trHeight w:val="20"/>
          <w:jc w:val="center"/>
        </w:trPr>
        <w:tc>
          <w:tcPr>
            <w:tcW w:w="3220" w:type="dxa"/>
            <w:tcBorders>
              <w:top w:val="nil"/>
              <w:left w:val="single" w:sz="8" w:space="0" w:color="A6A6A6"/>
              <w:bottom w:val="single" w:sz="8" w:space="0" w:color="A6A6A6"/>
              <w:right w:val="single" w:sz="8" w:space="0" w:color="A6A6A6"/>
            </w:tcBorders>
            <w:noWrap/>
            <w:vAlign w:val="center"/>
            <w:hideMark/>
          </w:tcPr>
          <w:p w14:paraId="679C5CFD" w14:textId="5AB4EDC3" w:rsidR="007D0682" w:rsidRPr="00191157" w:rsidRDefault="007D0682" w:rsidP="007D0682">
            <w:pPr>
              <w:spacing w:after="0" w:line="240" w:lineRule="auto"/>
              <w:jc w:val="left"/>
              <w:rPr>
                <w:rFonts w:ascii="Aptos Narrow" w:eastAsia="Times New Roman" w:hAnsi="Aptos Narrow" w:cs="Times New Roman"/>
                <w:color w:val="000000"/>
                <w:highlight w:val="yellow"/>
              </w:rPr>
            </w:pPr>
            <w:r>
              <w:rPr>
                <w:rFonts w:ascii="Aptos Narrow" w:hAnsi="Aptos Narrow"/>
                <w:color w:val="000000"/>
              </w:rPr>
              <w:t>Compensazioni</w:t>
            </w:r>
          </w:p>
        </w:tc>
        <w:tc>
          <w:tcPr>
            <w:tcW w:w="2126" w:type="dxa"/>
            <w:tcBorders>
              <w:top w:val="nil"/>
              <w:left w:val="nil"/>
              <w:bottom w:val="single" w:sz="8" w:space="0" w:color="A6A6A6"/>
              <w:right w:val="single" w:sz="8" w:space="0" w:color="A6A6A6"/>
            </w:tcBorders>
            <w:noWrap/>
            <w:vAlign w:val="center"/>
            <w:hideMark/>
          </w:tcPr>
          <w:p w14:paraId="050A5D3A" w14:textId="4021FE96" w:rsidR="007D0682" w:rsidRPr="00191157" w:rsidRDefault="007D0682" w:rsidP="007D0682">
            <w:pPr>
              <w:spacing w:after="0" w:line="240" w:lineRule="auto"/>
              <w:jc w:val="right"/>
              <w:rPr>
                <w:rFonts w:eastAsia="Times New Roman" w:cs="Calibri"/>
                <w:color w:val="000000"/>
                <w:highlight w:val="yellow"/>
              </w:rPr>
            </w:pPr>
            <w:r>
              <w:rPr>
                <w:rFonts w:cs="Calibri"/>
                <w:color w:val="000000"/>
              </w:rPr>
              <w:t>36.</w:t>
            </w:r>
            <w:r w:rsidR="00890A6C">
              <w:rPr>
                <w:rFonts w:cs="Calibri"/>
                <w:color w:val="000000"/>
              </w:rPr>
              <w:t>292.064</w:t>
            </w:r>
            <w:r>
              <w:rPr>
                <w:rFonts w:cs="Calibri"/>
                <w:color w:val="000000"/>
              </w:rPr>
              <w:t xml:space="preserve"> €</w:t>
            </w:r>
          </w:p>
        </w:tc>
      </w:tr>
      <w:tr w:rsidR="007D0682" w:rsidRPr="00191157" w14:paraId="0C0EE21A" w14:textId="77777777" w:rsidTr="00486F7C">
        <w:trPr>
          <w:trHeight w:val="20"/>
          <w:jc w:val="center"/>
        </w:trPr>
        <w:tc>
          <w:tcPr>
            <w:tcW w:w="3220" w:type="dxa"/>
            <w:tcBorders>
              <w:top w:val="nil"/>
              <w:left w:val="single" w:sz="8" w:space="0" w:color="A6A6A6"/>
              <w:bottom w:val="single" w:sz="8" w:space="0" w:color="A6A6A6"/>
              <w:right w:val="single" w:sz="8" w:space="0" w:color="A6A6A6"/>
            </w:tcBorders>
            <w:noWrap/>
            <w:vAlign w:val="center"/>
            <w:hideMark/>
          </w:tcPr>
          <w:p w14:paraId="1AE4C40E" w14:textId="2CEDA5E9" w:rsidR="007D0682" w:rsidRPr="00191157" w:rsidRDefault="007D0682" w:rsidP="007D0682">
            <w:pPr>
              <w:spacing w:after="0" w:line="240" w:lineRule="auto"/>
              <w:jc w:val="left"/>
              <w:rPr>
                <w:rFonts w:ascii="Aptos Narrow" w:eastAsia="Times New Roman" w:hAnsi="Aptos Narrow" w:cs="Times New Roman"/>
                <w:color w:val="000000"/>
                <w:highlight w:val="yellow"/>
              </w:rPr>
            </w:pPr>
            <w:r>
              <w:rPr>
                <w:rFonts w:ascii="Aptos Narrow" w:hAnsi="Aptos Narrow"/>
                <w:color w:val="000000"/>
              </w:rPr>
              <w:t>CCNL</w:t>
            </w:r>
          </w:p>
        </w:tc>
        <w:tc>
          <w:tcPr>
            <w:tcW w:w="2126" w:type="dxa"/>
            <w:tcBorders>
              <w:top w:val="nil"/>
              <w:left w:val="nil"/>
              <w:bottom w:val="single" w:sz="8" w:space="0" w:color="A6A6A6"/>
              <w:right w:val="single" w:sz="8" w:space="0" w:color="A6A6A6"/>
            </w:tcBorders>
            <w:noWrap/>
            <w:vAlign w:val="center"/>
            <w:hideMark/>
          </w:tcPr>
          <w:p w14:paraId="0CEA1AB2" w14:textId="7AAA379C" w:rsidR="007D0682" w:rsidRPr="00191157" w:rsidRDefault="007D0682" w:rsidP="007D0682">
            <w:pPr>
              <w:spacing w:after="0" w:line="240" w:lineRule="auto"/>
              <w:jc w:val="right"/>
              <w:rPr>
                <w:rFonts w:ascii="Aptos Narrow" w:eastAsia="Times New Roman" w:hAnsi="Aptos Narrow" w:cs="Times New Roman"/>
                <w:color w:val="000000"/>
                <w:highlight w:val="yellow"/>
              </w:rPr>
            </w:pPr>
            <w:r>
              <w:rPr>
                <w:rFonts w:cs="Calibri"/>
                <w:color w:val="000000"/>
              </w:rPr>
              <w:t>3.937.751 €</w:t>
            </w:r>
          </w:p>
        </w:tc>
      </w:tr>
      <w:tr w:rsidR="007D0682" w:rsidRPr="00191157" w14:paraId="1EF77B47" w14:textId="77777777" w:rsidTr="00486F7C">
        <w:trPr>
          <w:trHeight w:val="20"/>
          <w:jc w:val="center"/>
        </w:trPr>
        <w:tc>
          <w:tcPr>
            <w:tcW w:w="3220" w:type="dxa"/>
            <w:tcBorders>
              <w:top w:val="nil"/>
              <w:left w:val="single" w:sz="8" w:space="0" w:color="A6A6A6"/>
              <w:bottom w:val="single" w:sz="8" w:space="0" w:color="A6A6A6"/>
              <w:right w:val="single" w:sz="8" w:space="0" w:color="A6A6A6"/>
            </w:tcBorders>
            <w:noWrap/>
            <w:vAlign w:val="center"/>
            <w:hideMark/>
          </w:tcPr>
          <w:p w14:paraId="3204C534" w14:textId="60081C27" w:rsidR="007D0682" w:rsidRPr="00191157" w:rsidRDefault="007D0682" w:rsidP="007D0682">
            <w:pPr>
              <w:spacing w:after="0" w:line="240" w:lineRule="auto"/>
              <w:jc w:val="left"/>
              <w:rPr>
                <w:rFonts w:ascii="Aptos Narrow" w:eastAsia="Times New Roman" w:hAnsi="Aptos Narrow" w:cs="Times New Roman"/>
                <w:b/>
                <w:bCs/>
                <w:color w:val="000000"/>
                <w:highlight w:val="yellow"/>
              </w:rPr>
            </w:pPr>
            <w:r>
              <w:rPr>
                <w:rFonts w:ascii="Aptos Narrow" w:hAnsi="Aptos Narrow"/>
                <w:b/>
                <w:color w:val="000000"/>
              </w:rPr>
              <w:t>Totale risorse impegnate</w:t>
            </w:r>
          </w:p>
        </w:tc>
        <w:tc>
          <w:tcPr>
            <w:tcW w:w="2126" w:type="dxa"/>
            <w:tcBorders>
              <w:top w:val="nil"/>
              <w:left w:val="nil"/>
              <w:bottom w:val="single" w:sz="8" w:space="0" w:color="A6A6A6"/>
              <w:right w:val="single" w:sz="8" w:space="0" w:color="A6A6A6"/>
            </w:tcBorders>
            <w:noWrap/>
            <w:vAlign w:val="center"/>
            <w:hideMark/>
          </w:tcPr>
          <w:p w14:paraId="294D8BC3" w14:textId="2E910F37" w:rsidR="007D0682" w:rsidRPr="00191157" w:rsidRDefault="007D0682" w:rsidP="007D0682">
            <w:pPr>
              <w:spacing w:after="0" w:line="240" w:lineRule="auto"/>
              <w:jc w:val="right"/>
              <w:rPr>
                <w:rFonts w:ascii="Aptos Narrow" w:eastAsia="Times New Roman" w:hAnsi="Aptos Narrow" w:cs="Times New Roman"/>
                <w:b/>
                <w:bCs/>
                <w:color w:val="000000"/>
              </w:rPr>
            </w:pPr>
            <w:r>
              <w:rPr>
                <w:rFonts w:cs="Calibri"/>
                <w:b/>
                <w:color w:val="000000"/>
              </w:rPr>
              <w:t>40.</w:t>
            </w:r>
            <w:r w:rsidR="00890A6C">
              <w:rPr>
                <w:rFonts w:cs="Calibri"/>
                <w:b/>
                <w:bCs/>
                <w:color w:val="000000"/>
              </w:rPr>
              <w:t>229.815</w:t>
            </w:r>
            <w:r>
              <w:rPr>
                <w:rFonts w:cs="Calibri"/>
                <w:b/>
                <w:color w:val="000000"/>
              </w:rPr>
              <w:t xml:space="preserve"> €</w:t>
            </w:r>
          </w:p>
        </w:tc>
      </w:tr>
    </w:tbl>
    <w:p w14:paraId="67EEF435" w14:textId="0F9B3AB3" w:rsidR="007D0897" w:rsidRPr="00DF4968" w:rsidRDefault="007D0897" w:rsidP="0059337A">
      <w:pPr>
        <w:spacing w:after="240" w:line="240" w:lineRule="auto"/>
        <w:jc w:val="center"/>
        <w:rPr>
          <w:rFonts w:eastAsia="Calibri"/>
          <w:i/>
          <w:color w:val="003366"/>
          <w:sz w:val="18"/>
          <w:szCs w:val="18"/>
        </w:rPr>
      </w:pPr>
      <w:bookmarkStart w:id="488" w:name="_Ref213062704"/>
      <w:r w:rsidRPr="00BF35BC">
        <w:rPr>
          <w:rFonts w:eastAsia="Calibri"/>
          <w:i/>
          <w:iCs/>
          <w:color w:val="003366"/>
          <w:sz w:val="18"/>
          <w:szCs w:val="18"/>
        </w:rPr>
        <w:t xml:space="preserve">Tabella </w:t>
      </w:r>
      <w:r w:rsidRPr="00BF35BC">
        <w:rPr>
          <w:rFonts w:cstheme="minorHAnsi"/>
          <w:i/>
          <w:iCs/>
          <w:color w:val="003366"/>
          <w:sz w:val="18"/>
          <w:szCs w:val="18"/>
        </w:rPr>
        <w:fldChar w:fldCharType="begin"/>
      </w:r>
      <w:r w:rsidRPr="00BF35BC">
        <w:rPr>
          <w:rFonts w:cstheme="minorHAnsi"/>
          <w:i/>
          <w:iCs/>
          <w:color w:val="003366"/>
          <w:sz w:val="18"/>
          <w:szCs w:val="18"/>
        </w:rPr>
        <w:instrText xml:space="preserve"> SEQ Tabella \* ARABIC </w:instrText>
      </w:r>
      <w:r w:rsidRPr="00BF35BC">
        <w:rPr>
          <w:rFonts w:cstheme="minorHAnsi"/>
          <w:i/>
          <w:iCs/>
          <w:color w:val="003366"/>
          <w:sz w:val="18"/>
          <w:szCs w:val="18"/>
        </w:rPr>
        <w:fldChar w:fldCharType="separate"/>
      </w:r>
      <w:r w:rsidR="00073B6D">
        <w:rPr>
          <w:rFonts w:cstheme="minorHAnsi"/>
          <w:i/>
          <w:iCs/>
          <w:noProof/>
          <w:color w:val="003366"/>
          <w:sz w:val="18"/>
          <w:szCs w:val="18"/>
        </w:rPr>
        <w:t>75</w:t>
      </w:r>
      <w:r w:rsidRPr="00BF35BC">
        <w:rPr>
          <w:rFonts w:cstheme="minorHAnsi"/>
          <w:i/>
          <w:iCs/>
          <w:noProof/>
          <w:color w:val="003366"/>
          <w:sz w:val="18"/>
          <w:szCs w:val="18"/>
        </w:rPr>
        <w:fldChar w:fldCharType="end"/>
      </w:r>
      <w:bookmarkEnd w:id="488"/>
      <w:r w:rsidRPr="00BF35BC">
        <w:rPr>
          <w:rFonts w:cstheme="minorHAnsi"/>
          <w:i/>
          <w:iCs/>
          <w:noProof/>
          <w:color w:val="003366"/>
          <w:sz w:val="18"/>
          <w:szCs w:val="18"/>
        </w:rPr>
        <w:t xml:space="preserve"> </w:t>
      </w:r>
      <w:r w:rsidRPr="00DF4968">
        <w:rPr>
          <w:rFonts w:eastAsia="Calibri"/>
          <w:i/>
          <w:color w:val="003366"/>
          <w:sz w:val="18"/>
          <w:szCs w:val="18"/>
        </w:rPr>
        <w:t>– Risorse intero Bacino metropolitano al netto dei servizi interba</w:t>
      </w:r>
      <w:r w:rsidR="006C1E5B" w:rsidRPr="00DF4968">
        <w:rPr>
          <w:rFonts w:eastAsia="Calibri"/>
          <w:i/>
          <w:color w:val="003366"/>
          <w:sz w:val="18"/>
          <w:szCs w:val="18"/>
        </w:rPr>
        <w:t>c</w:t>
      </w:r>
      <w:r w:rsidRPr="00DF4968">
        <w:rPr>
          <w:rFonts w:eastAsia="Calibri"/>
          <w:i/>
          <w:color w:val="003366"/>
          <w:sz w:val="18"/>
          <w:szCs w:val="18"/>
        </w:rPr>
        <w:t>ino e de</w:t>
      </w:r>
      <w:r w:rsidR="00CD6B55" w:rsidRPr="00DF4968">
        <w:rPr>
          <w:rFonts w:eastAsia="Calibri"/>
          <w:i/>
          <w:color w:val="003366"/>
          <w:sz w:val="18"/>
          <w:szCs w:val="18"/>
        </w:rPr>
        <w:t>i</w:t>
      </w:r>
      <w:r w:rsidRPr="00DF4968">
        <w:rPr>
          <w:rFonts w:eastAsia="Calibri"/>
          <w:i/>
          <w:color w:val="003366"/>
          <w:sz w:val="18"/>
          <w:szCs w:val="18"/>
        </w:rPr>
        <w:t xml:space="preserve"> servizi</w:t>
      </w:r>
      <w:r w:rsidR="00CD6B55" w:rsidRPr="00DF4968">
        <w:rPr>
          <w:rFonts w:eastAsia="Calibri"/>
          <w:i/>
          <w:color w:val="003366"/>
          <w:sz w:val="18"/>
          <w:szCs w:val="18"/>
        </w:rPr>
        <w:t xml:space="preserve"> CdS TO</w:t>
      </w:r>
    </w:p>
    <w:p w14:paraId="2E2B9982" w14:textId="2BA88FE8" w:rsidR="00D84952" w:rsidRDefault="009A24E6" w:rsidP="009A24E6">
      <w:pPr>
        <w:spacing w:before="120" w:after="0" w:line="240" w:lineRule="auto"/>
        <w:rPr>
          <w:rFonts w:eastAsia="Calibri"/>
        </w:rPr>
      </w:pPr>
      <w:r w:rsidRPr="009A24E6">
        <w:rPr>
          <w:rFonts w:eastAsia="Calibri"/>
        </w:rPr>
        <w:t xml:space="preserve">Analoga metodologia è stata utilizzata per </w:t>
      </w:r>
      <w:r w:rsidR="001005B1">
        <w:rPr>
          <w:rFonts w:eastAsia="Calibri"/>
        </w:rPr>
        <w:t>stimare</w:t>
      </w:r>
      <w:r w:rsidRPr="009A24E6">
        <w:rPr>
          <w:rFonts w:eastAsia="Calibri"/>
        </w:rPr>
        <w:t xml:space="preserve"> i ricavi d</w:t>
      </w:r>
      <w:r w:rsidR="001005B1">
        <w:rPr>
          <w:rFonts w:eastAsia="Calibri"/>
        </w:rPr>
        <w:t>a</w:t>
      </w:r>
      <w:r w:rsidRPr="009A24E6">
        <w:rPr>
          <w:rFonts w:eastAsia="Calibri"/>
        </w:rPr>
        <w:t xml:space="preserve"> titoli di viaggio riguardanti </w:t>
      </w:r>
      <w:r w:rsidR="00284F3F" w:rsidRPr="00FD4F9A">
        <w:rPr>
          <w:rFonts w:eastAsia="Calibri"/>
        </w:rPr>
        <w:t>le 17 linee interbacino e per le 16 linee periurbane</w:t>
      </w:r>
      <w:r w:rsidRPr="009A24E6">
        <w:rPr>
          <w:rFonts w:eastAsia="Calibri"/>
        </w:rPr>
        <w:t xml:space="preserve"> di </w:t>
      </w:r>
      <w:r w:rsidR="00284F3F" w:rsidRPr="00FD4F9A">
        <w:rPr>
          <w:rFonts w:eastAsia="Calibri"/>
        </w:rPr>
        <w:t>GTT</w:t>
      </w:r>
      <w:r w:rsidRPr="009A24E6">
        <w:rPr>
          <w:rFonts w:eastAsia="Calibri"/>
        </w:rPr>
        <w:t xml:space="preserve"> oggetto della presente relazione.</w:t>
      </w:r>
    </w:p>
    <w:p w14:paraId="66F515CD" w14:textId="77777777" w:rsidR="009A24E6" w:rsidRPr="009A24E6" w:rsidRDefault="009A24E6" w:rsidP="009A24E6">
      <w:pPr>
        <w:spacing w:before="120" w:after="0" w:line="240" w:lineRule="auto"/>
        <w:rPr>
          <w:rFonts w:eastAsia="Calibri"/>
        </w:rPr>
      </w:pPr>
    </w:p>
    <w:tbl>
      <w:tblPr>
        <w:tblW w:w="5400" w:type="dxa"/>
        <w:jc w:val="center"/>
        <w:tblCellMar>
          <w:left w:w="70" w:type="dxa"/>
          <w:right w:w="70" w:type="dxa"/>
        </w:tblCellMar>
        <w:tblLook w:val="04A0" w:firstRow="1" w:lastRow="0" w:firstColumn="1" w:lastColumn="0" w:noHBand="0" w:noVBand="1"/>
      </w:tblPr>
      <w:tblGrid>
        <w:gridCol w:w="3360"/>
        <w:gridCol w:w="2040"/>
      </w:tblGrid>
      <w:tr w:rsidR="00BC432B" w:rsidRPr="00BC432B" w14:paraId="48A69813" w14:textId="77777777" w:rsidTr="009A24E6">
        <w:trPr>
          <w:trHeight w:val="578"/>
          <w:jc w:val="center"/>
        </w:trPr>
        <w:tc>
          <w:tcPr>
            <w:tcW w:w="3360" w:type="dxa"/>
            <w:tcBorders>
              <w:top w:val="single" w:sz="8" w:space="0" w:color="A6A6A6"/>
              <w:left w:val="nil"/>
              <w:bottom w:val="nil"/>
              <w:right w:val="single" w:sz="8" w:space="0" w:color="A6A6A6"/>
            </w:tcBorders>
            <w:shd w:val="clear" w:color="000000" w:fill="EE3438"/>
            <w:vAlign w:val="center"/>
            <w:hideMark/>
          </w:tcPr>
          <w:p w14:paraId="5DA8A618" w14:textId="77777777" w:rsidR="00BC432B" w:rsidRPr="00BC432B" w:rsidRDefault="00BC432B" w:rsidP="00BC432B">
            <w:pPr>
              <w:spacing w:after="0" w:line="240" w:lineRule="auto"/>
              <w:jc w:val="center"/>
              <w:rPr>
                <w:rFonts w:ascii="Aptos Narrow" w:eastAsia="Times New Roman" w:hAnsi="Aptos Narrow" w:cs="Times New Roman"/>
                <w:b/>
                <w:bCs/>
                <w:color w:val="FFFFFF"/>
              </w:rPr>
            </w:pPr>
            <w:r w:rsidRPr="00BC432B">
              <w:rPr>
                <w:rFonts w:ascii="Aptos Narrow" w:eastAsia="Times New Roman" w:hAnsi="Aptos Narrow" w:cs="Times New Roman"/>
                <w:b/>
                <w:bCs/>
                <w:color w:val="FFFFFF"/>
              </w:rPr>
              <w:t>Ricavi attuali anno 2023 (netto iva)</w:t>
            </w:r>
          </w:p>
        </w:tc>
        <w:tc>
          <w:tcPr>
            <w:tcW w:w="2040" w:type="dxa"/>
            <w:tcBorders>
              <w:top w:val="single" w:sz="8" w:space="0" w:color="A6A6A6"/>
              <w:left w:val="nil"/>
              <w:bottom w:val="nil"/>
              <w:right w:val="single" w:sz="8" w:space="0" w:color="A6A6A6"/>
            </w:tcBorders>
            <w:shd w:val="clear" w:color="000000" w:fill="EE3438"/>
            <w:vAlign w:val="center"/>
            <w:hideMark/>
          </w:tcPr>
          <w:p w14:paraId="29F8CB93" w14:textId="042EA2D1" w:rsidR="00BC432B" w:rsidRPr="00BC432B" w:rsidRDefault="00BC432B" w:rsidP="00BC432B">
            <w:pPr>
              <w:spacing w:after="0" w:line="240" w:lineRule="auto"/>
              <w:jc w:val="center"/>
              <w:rPr>
                <w:rFonts w:ascii="Aptos Narrow" w:eastAsia="Times New Roman" w:hAnsi="Aptos Narrow" w:cs="Times New Roman"/>
                <w:b/>
                <w:bCs/>
                <w:color w:val="FFFFFF"/>
              </w:rPr>
            </w:pPr>
            <w:r w:rsidRPr="00BC432B">
              <w:rPr>
                <w:rFonts w:ascii="Aptos Narrow" w:eastAsia="Times New Roman" w:hAnsi="Aptos Narrow" w:cs="Times New Roman"/>
                <w:b/>
                <w:bCs/>
                <w:color w:val="FFFFFF"/>
              </w:rPr>
              <w:t>Servizi extraurbani ed urbani minori</w:t>
            </w:r>
          </w:p>
        </w:tc>
      </w:tr>
      <w:tr w:rsidR="00BC432B" w:rsidRPr="00BC432B" w14:paraId="023AA6B7" w14:textId="77777777" w:rsidTr="009A24E6">
        <w:trPr>
          <w:trHeight w:val="293"/>
          <w:jc w:val="center"/>
        </w:trPr>
        <w:tc>
          <w:tcPr>
            <w:tcW w:w="3360" w:type="dxa"/>
            <w:tcBorders>
              <w:top w:val="nil"/>
              <w:left w:val="single" w:sz="8" w:space="0" w:color="A6A6A6"/>
              <w:bottom w:val="single" w:sz="8" w:space="0" w:color="A6A6A6"/>
              <w:right w:val="single" w:sz="8" w:space="0" w:color="A6A6A6"/>
            </w:tcBorders>
            <w:noWrap/>
            <w:vAlign w:val="center"/>
            <w:hideMark/>
          </w:tcPr>
          <w:p w14:paraId="3A24EA4B" w14:textId="0C28E7B9" w:rsidR="00BC432B" w:rsidRPr="00BC432B" w:rsidRDefault="00BC432B" w:rsidP="00BC432B">
            <w:pPr>
              <w:spacing w:after="0" w:line="240" w:lineRule="auto"/>
              <w:jc w:val="left"/>
              <w:rPr>
                <w:rFonts w:ascii="Aptos Narrow" w:eastAsia="Times New Roman" w:hAnsi="Aptos Narrow" w:cs="Times New Roman"/>
                <w:color w:val="000000"/>
              </w:rPr>
            </w:pPr>
            <w:r w:rsidRPr="00BC432B">
              <w:rPr>
                <w:rFonts w:ascii="Aptos Narrow" w:eastAsia="Times New Roman" w:hAnsi="Aptos Narrow" w:cs="Times New Roman"/>
                <w:color w:val="000000"/>
              </w:rPr>
              <w:t>Ricavi tdv</w:t>
            </w:r>
          </w:p>
        </w:tc>
        <w:tc>
          <w:tcPr>
            <w:tcW w:w="2040" w:type="dxa"/>
            <w:tcBorders>
              <w:top w:val="nil"/>
              <w:left w:val="nil"/>
              <w:bottom w:val="single" w:sz="8" w:space="0" w:color="A6A6A6"/>
              <w:right w:val="single" w:sz="8" w:space="0" w:color="A6A6A6"/>
            </w:tcBorders>
            <w:noWrap/>
            <w:vAlign w:val="center"/>
            <w:hideMark/>
          </w:tcPr>
          <w:p w14:paraId="353D0D79" w14:textId="77777777" w:rsidR="00BC432B" w:rsidRPr="00BC432B" w:rsidRDefault="00BC432B" w:rsidP="00BC432B">
            <w:pPr>
              <w:spacing w:after="0" w:line="240" w:lineRule="auto"/>
              <w:jc w:val="right"/>
              <w:rPr>
                <w:rFonts w:ascii="Aptos Narrow" w:eastAsia="Times New Roman" w:hAnsi="Aptos Narrow" w:cs="Times New Roman"/>
                <w:color w:val="000000"/>
              </w:rPr>
            </w:pPr>
            <w:r w:rsidRPr="00BC432B">
              <w:rPr>
                <w:rFonts w:ascii="Aptos Narrow" w:eastAsia="Times New Roman" w:hAnsi="Aptos Narrow" w:cs="Times New Roman"/>
                <w:color w:val="000000"/>
              </w:rPr>
              <w:t>20.187.501 €</w:t>
            </w:r>
          </w:p>
        </w:tc>
      </w:tr>
    </w:tbl>
    <w:p w14:paraId="2A2B1708" w14:textId="5EC8D42D" w:rsidR="00BC432B" w:rsidRPr="001D5603" w:rsidRDefault="00BC432B" w:rsidP="0059337A">
      <w:pPr>
        <w:spacing w:after="240" w:line="240" w:lineRule="auto"/>
        <w:jc w:val="center"/>
        <w:rPr>
          <w:rFonts w:eastAsia="Calibri"/>
          <w:i/>
          <w:iCs/>
          <w:color w:val="003366"/>
          <w:sz w:val="18"/>
          <w:szCs w:val="18"/>
        </w:rPr>
      </w:pPr>
      <w:r w:rsidRPr="00BF35BC">
        <w:rPr>
          <w:rFonts w:eastAsia="Calibri"/>
          <w:i/>
          <w:iCs/>
          <w:color w:val="003366"/>
          <w:sz w:val="18"/>
          <w:szCs w:val="18"/>
        </w:rPr>
        <w:t xml:space="preserve">Tabella </w:t>
      </w:r>
      <w:r w:rsidRPr="00BF35BC">
        <w:rPr>
          <w:rFonts w:cstheme="minorHAnsi"/>
          <w:i/>
          <w:iCs/>
          <w:color w:val="003366"/>
          <w:sz w:val="18"/>
          <w:szCs w:val="18"/>
        </w:rPr>
        <w:fldChar w:fldCharType="begin"/>
      </w:r>
      <w:r w:rsidRPr="00DF4968">
        <w:rPr>
          <w:rFonts w:cstheme="minorHAnsi"/>
          <w:i/>
          <w:color w:val="003366"/>
          <w:sz w:val="18"/>
          <w:szCs w:val="18"/>
        </w:rPr>
        <w:instrText xml:space="preserve"> SEQ Tabella \* ARABIC </w:instrText>
      </w:r>
      <w:r w:rsidRPr="00BF35BC">
        <w:rPr>
          <w:rFonts w:cstheme="minorHAnsi"/>
          <w:i/>
          <w:iCs/>
          <w:color w:val="003366"/>
          <w:sz w:val="18"/>
          <w:szCs w:val="18"/>
        </w:rPr>
        <w:fldChar w:fldCharType="separate"/>
      </w:r>
      <w:r w:rsidR="00073B6D">
        <w:rPr>
          <w:rFonts w:cstheme="minorHAnsi"/>
          <w:i/>
          <w:noProof/>
          <w:color w:val="003366"/>
          <w:sz w:val="18"/>
          <w:szCs w:val="18"/>
        </w:rPr>
        <w:t>76</w:t>
      </w:r>
      <w:r w:rsidRPr="00BF35BC">
        <w:rPr>
          <w:rFonts w:cstheme="minorHAnsi"/>
          <w:i/>
          <w:iCs/>
          <w:noProof/>
          <w:color w:val="003366"/>
          <w:sz w:val="18"/>
          <w:szCs w:val="18"/>
        </w:rPr>
        <w:fldChar w:fldCharType="end"/>
      </w:r>
      <w:r w:rsidRPr="00BF35BC">
        <w:rPr>
          <w:rFonts w:cstheme="minorHAnsi"/>
          <w:i/>
          <w:iCs/>
          <w:noProof/>
          <w:color w:val="003366"/>
          <w:sz w:val="18"/>
          <w:szCs w:val="18"/>
        </w:rPr>
        <w:t xml:space="preserve"> </w:t>
      </w:r>
      <w:r w:rsidRPr="0059337A">
        <w:rPr>
          <w:rFonts w:eastAsia="Calibri"/>
          <w:i/>
          <w:color w:val="003366"/>
          <w:sz w:val="18"/>
          <w:szCs w:val="18"/>
        </w:rPr>
        <w:t>– R</w:t>
      </w:r>
      <w:r w:rsidR="00D84952" w:rsidRPr="0059337A">
        <w:rPr>
          <w:rFonts w:eastAsia="Calibri"/>
          <w:i/>
          <w:color w:val="003366"/>
          <w:sz w:val="18"/>
          <w:szCs w:val="18"/>
        </w:rPr>
        <w:t xml:space="preserve">icavi </w:t>
      </w:r>
      <w:r w:rsidRPr="0059337A">
        <w:rPr>
          <w:rFonts w:eastAsia="Calibri"/>
          <w:i/>
          <w:color w:val="003366"/>
          <w:sz w:val="18"/>
          <w:szCs w:val="18"/>
        </w:rPr>
        <w:t>intero Bacino metropolitano al netto dei servizi interbacino e dei servizi CdS TO</w:t>
      </w:r>
    </w:p>
    <w:p w14:paraId="72EC1A74" w14:textId="77777777" w:rsidR="001E19C7" w:rsidRPr="00664EAC" w:rsidRDefault="001E19C7" w:rsidP="001E19C7">
      <w:pPr>
        <w:spacing w:before="120" w:after="0" w:line="240" w:lineRule="auto"/>
        <w:rPr>
          <w:rFonts w:eastAsia="Calibri"/>
          <w:b/>
          <w:bCs/>
        </w:rPr>
      </w:pPr>
      <w:r w:rsidRPr="00664EAC">
        <w:rPr>
          <w:rFonts w:eastAsia="Calibri"/>
          <w:b/>
          <w:bCs/>
        </w:rPr>
        <w:t xml:space="preserve">Lotto UR5 </w:t>
      </w:r>
      <w:r w:rsidRPr="00E772EE">
        <w:rPr>
          <w:rFonts w:eastAsia="Calibri"/>
          <w:b/>
          <w:i/>
        </w:rPr>
        <w:t>in-house</w:t>
      </w:r>
    </w:p>
    <w:p w14:paraId="2611DCC1" w14:textId="6BA4D3EF" w:rsidR="00E33D77" w:rsidRPr="008642C6" w:rsidRDefault="00E33D77" w:rsidP="00E33D77">
      <w:pPr>
        <w:spacing w:before="120" w:after="0" w:line="240" w:lineRule="auto"/>
        <w:rPr>
          <w:rFonts w:eastAsia="Calibri"/>
        </w:rPr>
      </w:pPr>
      <w:r w:rsidRPr="008642C6">
        <w:rPr>
          <w:rFonts w:eastAsia="Calibri"/>
        </w:rPr>
        <w:t xml:space="preserve">Per quanto riguarda le risorse attualmente impegnate per i servizi inclusi nel lotto </w:t>
      </w:r>
      <w:r w:rsidRPr="00E772EE">
        <w:rPr>
          <w:rFonts w:eastAsia="Calibri"/>
          <w:i/>
        </w:rPr>
        <w:t>in-house</w:t>
      </w:r>
      <w:r w:rsidRPr="008642C6">
        <w:rPr>
          <w:rFonts w:eastAsia="Calibri"/>
        </w:rPr>
        <w:t>, è necessario procedere a una stima di maggior dettaglio, utilizzando una metodologia parametrica basata sui dati consuntivi dell’Osservatorio</w:t>
      </w:r>
      <w:r w:rsidR="00F95C5E">
        <w:rPr>
          <w:rFonts w:eastAsia="Calibri"/>
        </w:rPr>
        <w:t>, al fine di garantire coerenza con l’intero processo di valutazione</w:t>
      </w:r>
      <w:r w:rsidR="007768B8">
        <w:rPr>
          <w:rFonts w:eastAsia="Calibri"/>
        </w:rPr>
        <w:t>:</w:t>
      </w:r>
    </w:p>
    <w:p w14:paraId="164EA0A6" w14:textId="173BD06C" w:rsidR="00E33D77" w:rsidRPr="008642C6" w:rsidRDefault="00E33D77" w:rsidP="004B0DBE">
      <w:pPr>
        <w:numPr>
          <w:ilvl w:val="0"/>
          <w:numId w:val="92"/>
        </w:numPr>
        <w:spacing w:before="120" w:after="0" w:line="240" w:lineRule="auto"/>
        <w:rPr>
          <w:rFonts w:eastAsia="Calibri"/>
        </w:rPr>
      </w:pPr>
      <w:r w:rsidRPr="00C32B3B">
        <w:rPr>
          <w:rFonts w:eastAsia="Calibri"/>
        </w:rPr>
        <w:t xml:space="preserve">Per i servizi provenienti dai contratti di servizio afferenti al territorio della Città Metropolitana, si applica il valore unitario medio delle compensazioni riconosciute ((corrispettivo medio incluso CCNL)/km), pari a € 1,96/km per l’anno 2023, come </w:t>
      </w:r>
      <w:r w:rsidRPr="0087783A">
        <w:rPr>
          <w:rFonts w:eastAsia="Calibri"/>
        </w:rPr>
        <w:t xml:space="preserve">riportato nella </w:t>
      </w:r>
      <w:r w:rsidRPr="0087783A">
        <w:rPr>
          <w:rFonts w:eastAsia="Calibri"/>
        </w:rPr>
        <w:fldChar w:fldCharType="begin"/>
      </w:r>
      <w:r w:rsidRPr="0087783A">
        <w:rPr>
          <w:rFonts w:eastAsia="Calibri"/>
        </w:rPr>
        <w:instrText xml:space="preserve"> REF _Ref212971661 \h </w:instrText>
      </w:r>
      <w:r w:rsidR="0087783A" w:rsidRPr="0087783A">
        <w:rPr>
          <w:rFonts w:eastAsia="Calibri"/>
        </w:rPr>
        <w:instrText xml:space="preserve"> \* MERGEFORMAT </w:instrText>
      </w:r>
      <w:r w:rsidRPr="0087783A">
        <w:rPr>
          <w:rFonts w:eastAsia="Calibri"/>
        </w:rPr>
      </w:r>
      <w:r w:rsidRPr="0087783A">
        <w:rPr>
          <w:rFonts w:eastAsia="Calibri"/>
        </w:rPr>
        <w:fldChar w:fldCharType="separate"/>
      </w:r>
      <w:r w:rsidR="00073B6D" w:rsidRPr="00073B6D">
        <w:rPr>
          <w:rFonts w:eastAsia="Calibri"/>
        </w:rPr>
        <w:t xml:space="preserve">Tabella </w:t>
      </w:r>
      <w:r w:rsidR="00073B6D" w:rsidRPr="00073B6D">
        <w:rPr>
          <w:rFonts w:cstheme="minorHAnsi"/>
          <w:noProof/>
        </w:rPr>
        <w:t>54</w:t>
      </w:r>
      <w:r w:rsidRPr="0087783A">
        <w:rPr>
          <w:rFonts w:eastAsia="Calibri"/>
        </w:rPr>
        <w:fldChar w:fldCharType="end"/>
      </w:r>
      <w:r w:rsidRPr="0087783A">
        <w:rPr>
          <w:rFonts w:eastAsia="Calibri"/>
        </w:rPr>
        <w:t xml:space="preserve">. Questo </w:t>
      </w:r>
      <w:r w:rsidRPr="00C32B3B">
        <w:rPr>
          <w:rFonts w:eastAsia="Calibri"/>
        </w:rPr>
        <w:t>approccio consente di stimare in modo coerente la somma attualmente impiegata per i volumi di produzione associati a tali servizi. Considerando che i volumi di produzione ammontano a 2.285.701 veicoli-km/anno</w:t>
      </w:r>
      <w:r>
        <w:rPr>
          <w:rFonts w:eastAsia="Calibri"/>
        </w:rPr>
        <w:t xml:space="preserve"> (cfr</w:t>
      </w:r>
      <w:r w:rsidRPr="0087783A">
        <w:rPr>
          <w:rFonts w:eastAsia="Calibri"/>
        </w:rPr>
        <w:t xml:space="preserve">. </w:t>
      </w:r>
      <w:r w:rsidRPr="0087783A">
        <w:rPr>
          <w:rFonts w:eastAsia="Calibri"/>
        </w:rPr>
        <w:fldChar w:fldCharType="begin"/>
      </w:r>
      <w:r w:rsidRPr="0087783A">
        <w:rPr>
          <w:rFonts w:eastAsia="Calibri"/>
        </w:rPr>
        <w:instrText xml:space="preserve"> REF _Ref212965802 \h  \* MERGEFORMAT </w:instrText>
      </w:r>
      <w:r w:rsidRPr="0087783A">
        <w:rPr>
          <w:rFonts w:eastAsia="Calibri"/>
        </w:rPr>
      </w:r>
      <w:r w:rsidRPr="0087783A">
        <w:rPr>
          <w:rFonts w:eastAsia="Calibri"/>
        </w:rPr>
        <w:fldChar w:fldCharType="separate"/>
      </w:r>
      <w:r w:rsidR="00073B6D" w:rsidRPr="00073B6D">
        <w:rPr>
          <w:rFonts w:eastAsia="Calibri"/>
        </w:rPr>
        <w:t xml:space="preserve">Tabella </w:t>
      </w:r>
      <w:r w:rsidR="00073B6D" w:rsidRPr="00073B6D">
        <w:rPr>
          <w:rFonts w:cstheme="minorHAnsi"/>
        </w:rPr>
        <w:t>55</w:t>
      </w:r>
      <w:r w:rsidRPr="0087783A">
        <w:rPr>
          <w:rFonts w:eastAsia="Calibri"/>
        </w:rPr>
        <w:fldChar w:fldCharType="end"/>
      </w:r>
      <w:r w:rsidRPr="001241F4">
        <w:rPr>
          <w:rFonts w:eastAsia="Calibri"/>
        </w:rPr>
        <w:t>)</w:t>
      </w:r>
      <w:r w:rsidRPr="00C32B3B">
        <w:rPr>
          <w:rFonts w:eastAsia="Calibri"/>
        </w:rPr>
        <w:t xml:space="preserve">, la </w:t>
      </w:r>
      <w:r>
        <w:rPr>
          <w:rFonts w:eastAsia="Calibri"/>
        </w:rPr>
        <w:t>somma</w:t>
      </w:r>
      <w:r w:rsidRPr="00C32B3B">
        <w:rPr>
          <w:rFonts w:eastAsia="Calibri"/>
        </w:rPr>
        <w:t xml:space="preserve"> complessiva </w:t>
      </w:r>
      <w:r>
        <w:rPr>
          <w:rFonts w:eastAsia="Calibri"/>
        </w:rPr>
        <w:t>utilizzata</w:t>
      </w:r>
      <w:r w:rsidRPr="00C32B3B">
        <w:rPr>
          <w:rFonts w:eastAsia="Calibri"/>
        </w:rPr>
        <w:t xml:space="preserve"> è pari a 4.479.973,96</w:t>
      </w:r>
      <w:r w:rsidR="0089677E">
        <w:rPr>
          <w:rFonts w:eastAsia="Calibri"/>
        </w:rPr>
        <w:t xml:space="preserve"> </w:t>
      </w:r>
      <w:r w:rsidR="0089677E" w:rsidRPr="00C32B3B">
        <w:rPr>
          <w:rFonts w:eastAsia="Calibri"/>
        </w:rPr>
        <w:t>€</w:t>
      </w:r>
      <w:r w:rsidR="0089677E">
        <w:rPr>
          <w:rFonts w:eastAsia="Calibri"/>
        </w:rPr>
        <w:t>/</w:t>
      </w:r>
      <w:r w:rsidRPr="00C32B3B">
        <w:rPr>
          <w:rFonts w:eastAsia="Calibri"/>
        </w:rPr>
        <w:t>anno</w:t>
      </w:r>
      <w:r>
        <w:rPr>
          <w:rFonts w:eastAsia="Calibri"/>
        </w:rPr>
        <w:t xml:space="preserve"> oltre IVA.</w:t>
      </w:r>
      <w:r w:rsidR="00D07406">
        <w:rPr>
          <w:rFonts w:eastAsia="Calibri"/>
        </w:rPr>
        <w:t xml:space="preserve"> Tale somma è già inclusa </w:t>
      </w:r>
      <w:r w:rsidR="00D07406" w:rsidRPr="0087783A">
        <w:rPr>
          <w:rFonts w:eastAsia="Calibri"/>
        </w:rPr>
        <w:t xml:space="preserve">nella </w:t>
      </w:r>
      <w:r w:rsidR="00D07406" w:rsidRPr="0087783A">
        <w:rPr>
          <w:rFonts w:eastAsia="Calibri"/>
        </w:rPr>
        <w:fldChar w:fldCharType="begin"/>
      </w:r>
      <w:r w:rsidR="00D07406" w:rsidRPr="0087783A">
        <w:rPr>
          <w:rFonts w:eastAsia="Calibri"/>
        </w:rPr>
        <w:instrText xml:space="preserve"> REF _Ref213062704 \h </w:instrText>
      </w:r>
      <w:r w:rsidR="0087783A" w:rsidRPr="0087783A">
        <w:rPr>
          <w:rFonts w:eastAsia="Calibri"/>
        </w:rPr>
        <w:instrText xml:space="preserve"> \* MERGEFORMAT </w:instrText>
      </w:r>
      <w:r w:rsidR="00D07406" w:rsidRPr="0087783A">
        <w:rPr>
          <w:rFonts w:eastAsia="Calibri"/>
        </w:rPr>
      </w:r>
      <w:r w:rsidR="00D07406" w:rsidRPr="0087783A">
        <w:rPr>
          <w:rFonts w:eastAsia="Calibri"/>
        </w:rPr>
        <w:fldChar w:fldCharType="separate"/>
      </w:r>
      <w:r w:rsidR="00073B6D" w:rsidRPr="00073B6D">
        <w:rPr>
          <w:rFonts w:eastAsia="Calibri"/>
        </w:rPr>
        <w:t xml:space="preserve">Tabella </w:t>
      </w:r>
      <w:r w:rsidR="00073B6D" w:rsidRPr="00073B6D">
        <w:rPr>
          <w:rFonts w:cstheme="minorHAnsi"/>
          <w:noProof/>
        </w:rPr>
        <w:t>75</w:t>
      </w:r>
      <w:r w:rsidR="00D07406" w:rsidRPr="0087783A">
        <w:rPr>
          <w:rFonts w:eastAsia="Calibri"/>
        </w:rPr>
        <w:fldChar w:fldCharType="end"/>
      </w:r>
      <w:r w:rsidR="00D07406" w:rsidRPr="0087783A">
        <w:rPr>
          <w:rFonts w:eastAsia="Calibri"/>
        </w:rPr>
        <w:t>.</w:t>
      </w:r>
    </w:p>
    <w:p w14:paraId="6175AD2F" w14:textId="6A2AC6ED" w:rsidR="00E33D77" w:rsidRDefault="00E33D77" w:rsidP="004B0DBE">
      <w:pPr>
        <w:numPr>
          <w:ilvl w:val="0"/>
          <w:numId w:val="92"/>
        </w:numPr>
        <w:spacing w:before="120" w:after="0" w:line="240" w:lineRule="auto"/>
        <w:rPr>
          <w:rFonts w:eastAsia="Calibri"/>
        </w:rPr>
      </w:pPr>
      <w:r w:rsidRPr="00812996">
        <w:rPr>
          <w:rFonts w:eastAsia="Calibri"/>
        </w:rPr>
        <w:t xml:space="preserve">Per i servizi provenienti dal contratto </w:t>
      </w:r>
      <w:r w:rsidR="00D07406">
        <w:rPr>
          <w:rFonts w:eastAsia="Calibri"/>
        </w:rPr>
        <w:t>CdS TO</w:t>
      </w:r>
      <w:r w:rsidRPr="00812996">
        <w:rPr>
          <w:rFonts w:eastAsia="Calibri"/>
        </w:rPr>
        <w:t xml:space="preserve"> si adotta un criterio più analitico, poiché i dati medi disponibili includono anche i costi della metropolitana, del tram e delle infrastrutture. Per ottenere stime più realistiche, si utilizza il valore medio delle compensazioni contrattuali per l’anno 2023 relative alla tipologia di autobus da 12 metri, pari a circa 2,75</w:t>
      </w:r>
      <w:r w:rsidR="000003F2">
        <w:rPr>
          <w:rFonts w:eastAsia="Calibri"/>
        </w:rPr>
        <w:t xml:space="preserve"> </w:t>
      </w:r>
      <w:r w:rsidR="000003F2" w:rsidRPr="00812996">
        <w:rPr>
          <w:rFonts w:eastAsia="Calibri"/>
        </w:rPr>
        <w:t>€</w:t>
      </w:r>
      <w:r w:rsidRPr="00812996">
        <w:rPr>
          <w:rFonts w:eastAsia="Calibri"/>
        </w:rPr>
        <w:t>/km. A tale valore si aggiunge l’incidenza delle risorse CCNL, stimata in € 0,50/km (cfr.</w:t>
      </w:r>
      <w:r>
        <w:rPr>
          <w:rFonts w:eastAsia="Calibri"/>
        </w:rPr>
        <w:t xml:space="preserve"> Tabella 53</w:t>
      </w:r>
      <w:r w:rsidRPr="00812996">
        <w:rPr>
          <w:rFonts w:eastAsia="Calibri"/>
        </w:rPr>
        <w:t>). Considerando che i volumi di produzione ammontano a 1.901.939 veicoli-km/anno (cfr. Tabella 5</w:t>
      </w:r>
      <w:r>
        <w:rPr>
          <w:rFonts w:eastAsia="Calibri"/>
        </w:rPr>
        <w:t>6</w:t>
      </w:r>
      <w:r w:rsidRPr="00812996">
        <w:rPr>
          <w:rFonts w:eastAsia="Calibri"/>
        </w:rPr>
        <w:t>), la spesa complessiva stimata è pari a 6.181.301,75</w:t>
      </w:r>
      <w:r w:rsidR="00FE1DD9">
        <w:rPr>
          <w:rFonts w:eastAsia="Calibri"/>
        </w:rPr>
        <w:t xml:space="preserve"> </w:t>
      </w:r>
      <w:r w:rsidR="00FE1DD9" w:rsidRPr="00812996">
        <w:rPr>
          <w:rFonts w:eastAsia="Calibri"/>
        </w:rPr>
        <w:t>€</w:t>
      </w:r>
      <w:r w:rsidR="00FE1DD9">
        <w:rPr>
          <w:rFonts w:eastAsia="Calibri"/>
        </w:rPr>
        <w:t>/</w:t>
      </w:r>
      <w:r w:rsidRPr="00812996">
        <w:rPr>
          <w:rFonts w:eastAsia="Calibri"/>
        </w:rPr>
        <w:t>anno, oltre IVA.</w:t>
      </w:r>
      <w:r w:rsidR="00782241">
        <w:rPr>
          <w:rFonts w:eastAsia="Calibri"/>
        </w:rPr>
        <w:t xml:space="preserve"> </w:t>
      </w:r>
    </w:p>
    <w:p w14:paraId="68690CFC" w14:textId="02F6DCC5" w:rsidR="00E4175A" w:rsidRDefault="00570FC4" w:rsidP="009A24E6">
      <w:pPr>
        <w:spacing w:before="120" w:after="0" w:line="240" w:lineRule="auto"/>
        <w:rPr>
          <w:rFonts w:eastAsia="Calibri"/>
        </w:rPr>
      </w:pPr>
      <w:r>
        <w:rPr>
          <w:rFonts w:eastAsia="Calibri"/>
        </w:rPr>
        <w:t xml:space="preserve">La tabella seguente riepiloga le risorse </w:t>
      </w:r>
      <w:r w:rsidR="00E4175A">
        <w:rPr>
          <w:rFonts w:eastAsia="Calibri"/>
        </w:rPr>
        <w:t xml:space="preserve">impiegate per la gestione dei servizi, appartenenti a più contratti, </w:t>
      </w:r>
      <w:r>
        <w:rPr>
          <w:rFonts w:eastAsia="Calibri"/>
        </w:rPr>
        <w:t xml:space="preserve">per il lotto UR5 </w:t>
      </w:r>
      <w:r w:rsidR="00E4175A" w:rsidRPr="00E772EE">
        <w:rPr>
          <w:rFonts w:eastAsia="Calibri"/>
          <w:i/>
        </w:rPr>
        <w:t>in-house</w:t>
      </w:r>
      <w:r w:rsidR="00E4175A">
        <w:rPr>
          <w:rFonts w:eastAsia="Calibri"/>
        </w:rPr>
        <w:t>.</w:t>
      </w:r>
    </w:p>
    <w:p w14:paraId="60446F3F" w14:textId="77777777" w:rsidR="00F34B56" w:rsidRDefault="00F34B56" w:rsidP="009A24E6">
      <w:pPr>
        <w:spacing w:before="120" w:after="0" w:line="240" w:lineRule="auto"/>
        <w:rPr>
          <w:rFonts w:eastAsia="Calibri"/>
        </w:rPr>
      </w:pPr>
    </w:p>
    <w:p w14:paraId="07A5A5D4" w14:textId="77777777" w:rsidR="00754C60" w:rsidRDefault="00754C60" w:rsidP="009A24E6">
      <w:pPr>
        <w:spacing w:before="120" w:after="0" w:line="240" w:lineRule="auto"/>
        <w:rPr>
          <w:rFonts w:eastAsia="Calibri"/>
        </w:rPr>
      </w:pPr>
    </w:p>
    <w:tbl>
      <w:tblPr>
        <w:tblW w:w="8918" w:type="dxa"/>
        <w:tblCellMar>
          <w:left w:w="70" w:type="dxa"/>
          <w:right w:w="70" w:type="dxa"/>
        </w:tblCellMar>
        <w:tblLook w:val="04A0" w:firstRow="1" w:lastRow="0" w:firstColumn="1" w:lastColumn="0" w:noHBand="0" w:noVBand="1"/>
      </w:tblPr>
      <w:tblGrid>
        <w:gridCol w:w="1660"/>
        <w:gridCol w:w="1660"/>
        <w:gridCol w:w="1560"/>
        <w:gridCol w:w="1586"/>
        <w:gridCol w:w="866"/>
        <w:gridCol w:w="1586"/>
      </w:tblGrid>
      <w:tr w:rsidR="00F24B2F" w:rsidRPr="00F24B2F" w14:paraId="7D3FE6D1" w14:textId="77777777" w:rsidTr="00754C60">
        <w:trPr>
          <w:trHeight w:val="588"/>
        </w:trPr>
        <w:tc>
          <w:tcPr>
            <w:tcW w:w="1660" w:type="dxa"/>
            <w:tcBorders>
              <w:top w:val="single" w:sz="8" w:space="0" w:color="A6A6A6"/>
              <w:left w:val="single" w:sz="8" w:space="0" w:color="A6A6A6"/>
              <w:bottom w:val="single" w:sz="8" w:space="0" w:color="A6A6A6"/>
              <w:right w:val="single" w:sz="8" w:space="0" w:color="A6A6A6"/>
            </w:tcBorders>
            <w:shd w:val="clear" w:color="000000" w:fill="EE3438"/>
            <w:vAlign w:val="center"/>
            <w:hideMark/>
          </w:tcPr>
          <w:p w14:paraId="00EF434E" w14:textId="77777777" w:rsidR="00F24B2F" w:rsidRPr="00F24B2F" w:rsidRDefault="00F24B2F" w:rsidP="00F24B2F">
            <w:pPr>
              <w:spacing w:after="0" w:line="240" w:lineRule="auto"/>
              <w:jc w:val="center"/>
              <w:rPr>
                <w:rFonts w:eastAsia="Times New Roman" w:cs="Calibri"/>
                <w:b/>
                <w:bCs/>
                <w:color w:val="FFFFFF"/>
              </w:rPr>
            </w:pPr>
            <w:r w:rsidRPr="00F24B2F">
              <w:rPr>
                <w:rFonts w:eastAsia="Times New Roman" w:cs="Calibri"/>
                <w:b/>
                <w:bCs/>
                <w:color w:val="FFFFFF"/>
              </w:rPr>
              <w:lastRenderedPageBreak/>
              <w:t xml:space="preserve">Lotto in house </w:t>
            </w:r>
          </w:p>
        </w:tc>
        <w:tc>
          <w:tcPr>
            <w:tcW w:w="1660" w:type="dxa"/>
            <w:tcBorders>
              <w:top w:val="single" w:sz="8" w:space="0" w:color="A6A6A6"/>
              <w:left w:val="nil"/>
              <w:bottom w:val="single" w:sz="8" w:space="0" w:color="A6A6A6"/>
              <w:right w:val="single" w:sz="8" w:space="0" w:color="A6A6A6"/>
            </w:tcBorders>
            <w:shd w:val="clear" w:color="000000" w:fill="EE3438"/>
            <w:vAlign w:val="center"/>
            <w:hideMark/>
          </w:tcPr>
          <w:p w14:paraId="75F5CAB2" w14:textId="77777777" w:rsidR="00F24B2F" w:rsidRPr="00F24B2F" w:rsidRDefault="00F24B2F" w:rsidP="00F24B2F">
            <w:pPr>
              <w:spacing w:after="0" w:line="240" w:lineRule="auto"/>
              <w:jc w:val="center"/>
              <w:rPr>
                <w:rFonts w:eastAsia="Times New Roman" w:cs="Calibri"/>
                <w:b/>
                <w:bCs/>
                <w:color w:val="FFFFFF"/>
              </w:rPr>
            </w:pPr>
            <w:r w:rsidRPr="00F24B2F">
              <w:rPr>
                <w:rFonts w:eastAsia="Times New Roman" w:cs="Calibri"/>
                <w:b/>
                <w:bCs/>
                <w:color w:val="FFFFFF"/>
              </w:rPr>
              <w:t>Produzione</w:t>
            </w:r>
          </w:p>
        </w:tc>
        <w:tc>
          <w:tcPr>
            <w:tcW w:w="1560" w:type="dxa"/>
            <w:tcBorders>
              <w:top w:val="single" w:sz="8" w:space="0" w:color="A6A6A6"/>
              <w:left w:val="nil"/>
              <w:bottom w:val="single" w:sz="8" w:space="0" w:color="A6A6A6"/>
              <w:right w:val="single" w:sz="8" w:space="0" w:color="A6A6A6"/>
            </w:tcBorders>
            <w:shd w:val="clear" w:color="000000" w:fill="EE3438"/>
            <w:vAlign w:val="center"/>
            <w:hideMark/>
          </w:tcPr>
          <w:p w14:paraId="716DFF50" w14:textId="77777777" w:rsidR="00F24B2F" w:rsidRPr="00F24B2F" w:rsidRDefault="00F24B2F" w:rsidP="00F24B2F">
            <w:pPr>
              <w:spacing w:after="0" w:line="240" w:lineRule="auto"/>
              <w:jc w:val="center"/>
              <w:rPr>
                <w:rFonts w:eastAsia="Times New Roman" w:cs="Calibri"/>
                <w:b/>
                <w:bCs/>
                <w:color w:val="FFFFFF"/>
              </w:rPr>
            </w:pPr>
            <w:r w:rsidRPr="00F24B2F">
              <w:rPr>
                <w:rFonts w:eastAsia="Times New Roman" w:cs="Calibri"/>
                <w:b/>
                <w:bCs/>
                <w:color w:val="FFFFFF"/>
              </w:rPr>
              <w:t>Compensazioni unitarie 2023</w:t>
            </w:r>
          </w:p>
        </w:tc>
        <w:tc>
          <w:tcPr>
            <w:tcW w:w="1586" w:type="dxa"/>
            <w:tcBorders>
              <w:top w:val="single" w:sz="8" w:space="0" w:color="A6A6A6"/>
              <w:left w:val="nil"/>
              <w:bottom w:val="single" w:sz="8" w:space="0" w:color="A6A6A6"/>
              <w:right w:val="single" w:sz="8" w:space="0" w:color="A6A6A6"/>
            </w:tcBorders>
            <w:shd w:val="clear" w:color="000000" w:fill="EE3438"/>
            <w:vAlign w:val="center"/>
            <w:hideMark/>
          </w:tcPr>
          <w:p w14:paraId="23E8A044" w14:textId="77777777" w:rsidR="00F24B2F" w:rsidRPr="00F24B2F" w:rsidRDefault="00F24B2F" w:rsidP="00F24B2F">
            <w:pPr>
              <w:spacing w:after="0" w:line="240" w:lineRule="auto"/>
              <w:jc w:val="center"/>
              <w:rPr>
                <w:rFonts w:eastAsia="Times New Roman" w:cs="Calibri"/>
                <w:b/>
                <w:bCs/>
                <w:color w:val="FFFFFF"/>
              </w:rPr>
            </w:pPr>
            <w:r w:rsidRPr="00F24B2F">
              <w:rPr>
                <w:rFonts w:eastAsia="Times New Roman" w:cs="Calibri"/>
                <w:b/>
                <w:bCs/>
                <w:color w:val="FFFFFF"/>
              </w:rPr>
              <w:t>Compensazione annua</w:t>
            </w:r>
          </w:p>
        </w:tc>
        <w:tc>
          <w:tcPr>
            <w:tcW w:w="866" w:type="dxa"/>
            <w:tcBorders>
              <w:top w:val="nil"/>
              <w:left w:val="nil"/>
              <w:bottom w:val="nil"/>
              <w:right w:val="single" w:sz="8" w:space="0" w:color="A6A6A6"/>
            </w:tcBorders>
            <w:shd w:val="clear" w:color="000000" w:fill="EE3438"/>
            <w:vAlign w:val="center"/>
            <w:hideMark/>
          </w:tcPr>
          <w:p w14:paraId="2E592274" w14:textId="77777777" w:rsidR="00F24B2F" w:rsidRPr="00F24B2F" w:rsidRDefault="00F24B2F" w:rsidP="00F24B2F">
            <w:pPr>
              <w:spacing w:after="0" w:line="240" w:lineRule="auto"/>
              <w:jc w:val="center"/>
              <w:rPr>
                <w:rFonts w:eastAsia="Times New Roman" w:cs="Calibri"/>
                <w:b/>
                <w:bCs/>
                <w:color w:val="FFFFFF"/>
              </w:rPr>
            </w:pPr>
            <w:r w:rsidRPr="00F24B2F">
              <w:rPr>
                <w:rFonts w:eastAsia="Times New Roman" w:cs="Calibri"/>
                <w:b/>
                <w:bCs/>
                <w:color w:val="FFFFFF"/>
              </w:rPr>
              <w:t>CCNL unitario</w:t>
            </w:r>
          </w:p>
        </w:tc>
        <w:tc>
          <w:tcPr>
            <w:tcW w:w="1586" w:type="dxa"/>
            <w:tcBorders>
              <w:top w:val="single" w:sz="8" w:space="0" w:color="A6A6A6"/>
              <w:left w:val="nil"/>
              <w:bottom w:val="single" w:sz="8" w:space="0" w:color="A6A6A6"/>
              <w:right w:val="single" w:sz="8" w:space="0" w:color="A6A6A6"/>
            </w:tcBorders>
            <w:shd w:val="clear" w:color="000000" w:fill="EE3438"/>
            <w:vAlign w:val="center"/>
            <w:hideMark/>
          </w:tcPr>
          <w:p w14:paraId="2C8B7623" w14:textId="77777777" w:rsidR="00F24B2F" w:rsidRPr="00F24B2F" w:rsidRDefault="00F24B2F" w:rsidP="00F24B2F">
            <w:pPr>
              <w:spacing w:after="0" w:line="240" w:lineRule="auto"/>
              <w:jc w:val="center"/>
              <w:rPr>
                <w:rFonts w:eastAsia="Times New Roman" w:cs="Calibri"/>
                <w:b/>
                <w:bCs/>
                <w:color w:val="FFFFFF"/>
              </w:rPr>
            </w:pPr>
            <w:r w:rsidRPr="00F24B2F">
              <w:rPr>
                <w:rFonts w:eastAsia="Times New Roman" w:cs="Calibri"/>
                <w:b/>
                <w:bCs/>
                <w:color w:val="FFFFFF"/>
              </w:rPr>
              <w:t>Compensazione CCNL annua</w:t>
            </w:r>
          </w:p>
        </w:tc>
      </w:tr>
      <w:tr w:rsidR="00F24B2F" w:rsidRPr="00F24B2F" w14:paraId="3DAFC918" w14:textId="77777777" w:rsidTr="00754C60">
        <w:trPr>
          <w:trHeight w:val="300"/>
        </w:trPr>
        <w:tc>
          <w:tcPr>
            <w:tcW w:w="1660" w:type="dxa"/>
            <w:tcBorders>
              <w:top w:val="nil"/>
              <w:left w:val="single" w:sz="8" w:space="0" w:color="A6A6A6"/>
              <w:bottom w:val="single" w:sz="8" w:space="0" w:color="A6A6A6"/>
              <w:right w:val="single" w:sz="8" w:space="0" w:color="A6A6A6"/>
            </w:tcBorders>
            <w:shd w:val="clear" w:color="000000" w:fill="EE3438"/>
            <w:vAlign w:val="center"/>
            <w:hideMark/>
          </w:tcPr>
          <w:p w14:paraId="1786D26B" w14:textId="77777777" w:rsidR="00F24B2F" w:rsidRPr="00F24B2F" w:rsidRDefault="00F24B2F" w:rsidP="00F24B2F">
            <w:pPr>
              <w:spacing w:after="0" w:line="240" w:lineRule="auto"/>
              <w:jc w:val="left"/>
              <w:rPr>
                <w:rFonts w:eastAsia="Times New Roman" w:cs="Calibri"/>
                <w:color w:val="FFFFFF"/>
              </w:rPr>
            </w:pPr>
            <w:r w:rsidRPr="00F24B2F">
              <w:rPr>
                <w:rFonts w:eastAsia="Times New Roman" w:cs="Calibri"/>
                <w:color w:val="FFFFFF"/>
              </w:rPr>
              <w:t> </w:t>
            </w:r>
          </w:p>
        </w:tc>
        <w:tc>
          <w:tcPr>
            <w:tcW w:w="1660" w:type="dxa"/>
            <w:tcBorders>
              <w:top w:val="nil"/>
              <w:left w:val="nil"/>
              <w:bottom w:val="single" w:sz="8" w:space="0" w:color="A6A6A6"/>
              <w:right w:val="single" w:sz="8" w:space="0" w:color="A6A6A6"/>
            </w:tcBorders>
            <w:shd w:val="clear" w:color="000000" w:fill="EE3438"/>
            <w:noWrap/>
            <w:vAlign w:val="center"/>
            <w:hideMark/>
          </w:tcPr>
          <w:p w14:paraId="2A431B54" w14:textId="77777777" w:rsidR="00F24B2F" w:rsidRPr="00F24B2F" w:rsidRDefault="00F24B2F" w:rsidP="00F24B2F">
            <w:pPr>
              <w:spacing w:after="0" w:line="240" w:lineRule="auto"/>
              <w:jc w:val="center"/>
              <w:rPr>
                <w:rFonts w:eastAsia="Times New Roman" w:cs="Calibri"/>
                <w:b/>
                <w:bCs/>
                <w:color w:val="FFFFFF"/>
              </w:rPr>
            </w:pPr>
            <w:r w:rsidRPr="00F24B2F">
              <w:rPr>
                <w:rFonts w:eastAsia="Times New Roman" w:cs="Calibri"/>
                <w:b/>
                <w:bCs/>
                <w:color w:val="FFFFFF"/>
              </w:rPr>
              <w:t>(veic-km/anno)</w:t>
            </w:r>
          </w:p>
        </w:tc>
        <w:tc>
          <w:tcPr>
            <w:tcW w:w="1560" w:type="dxa"/>
            <w:tcBorders>
              <w:top w:val="nil"/>
              <w:left w:val="nil"/>
              <w:bottom w:val="single" w:sz="8" w:space="0" w:color="A6A6A6"/>
              <w:right w:val="single" w:sz="8" w:space="0" w:color="A6A6A6"/>
            </w:tcBorders>
            <w:shd w:val="clear" w:color="000000" w:fill="EE3438"/>
            <w:vAlign w:val="center"/>
            <w:hideMark/>
          </w:tcPr>
          <w:p w14:paraId="6B7C31CA" w14:textId="77777777" w:rsidR="00F24B2F" w:rsidRPr="00F24B2F" w:rsidRDefault="00F24B2F" w:rsidP="00F24B2F">
            <w:pPr>
              <w:spacing w:after="0" w:line="240" w:lineRule="auto"/>
              <w:jc w:val="center"/>
              <w:rPr>
                <w:rFonts w:eastAsia="Times New Roman" w:cs="Calibri"/>
                <w:b/>
                <w:bCs/>
                <w:color w:val="FFFFFF"/>
              </w:rPr>
            </w:pPr>
            <w:r w:rsidRPr="00F24B2F">
              <w:rPr>
                <w:rFonts w:eastAsia="Times New Roman" w:cs="Calibri"/>
                <w:b/>
                <w:bCs/>
                <w:color w:val="FFFFFF"/>
              </w:rPr>
              <w:t>(€/km)</w:t>
            </w:r>
          </w:p>
        </w:tc>
        <w:tc>
          <w:tcPr>
            <w:tcW w:w="1586" w:type="dxa"/>
            <w:tcBorders>
              <w:top w:val="nil"/>
              <w:left w:val="nil"/>
              <w:bottom w:val="single" w:sz="8" w:space="0" w:color="A6A6A6"/>
              <w:right w:val="single" w:sz="8" w:space="0" w:color="A6A6A6"/>
            </w:tcBorders>
            <w:shd w:val="clear" w:color="000000" w:fill="EE3438"/>
            <w:vAlign w:val="center"/>
            <w:hideMark/>
          </w:tcPr>
          <w:p w14:paraId="168F0F24" w14:textId="77777777" w:rsidR="00F24B2F" w:rsidRPr="00F24B2F" w:rsidRDefault="00F24B2F" w:rsidP="00F24B2F">
            <w:pPr>
              <w:spacing w:after="0" w:line="240" w:lineRule="auto"/>
              <w:jc w:val="center"/>
              <w:rPr>
                <w:rFonts w:eastAsia="Times New Roman" w:cs="Calibri"/>
                <w:b/>
                <w:bCs/>
                <w:color w:val="FFFFFF"/>
              </w:rPr>
            </w:pPr>
            <w:r w:rsidRPr="00F24B2F">
              <w:rPr>
                <w:rFonts w:eastAsia="Times New Roman" w:cs="Calibri"/>
                <w:b/>
                <w:bCs/>
                <w:color w:val="FFFFFF"/>
              </w:rPr>
              <w:t>(€)</w:t>
            </w:r>
          </w:p>
        </w:tc>
        <w:tc>
          <w:tcPr>
            <w:tcW w:w="866" w:type="dxa"/>
            <w:tcBorders>
              <w:top w:val="nil"/>
              <w:left w:val="nil"/>
              <w:bottom w:val="single" w:sz="8" w:space="0" w:color="A6A6A6"/>
              <w:right w:val="single" w:sz="8" w:space="0" w:color="A6A6A6"/>
            </w:tcBorders>
            <w:shd w:val="clear" w:color="000000" w:fill="EE3438"/>
            <w:vAlign w:val="center"/>
            <w:hideMark/>
          </w:tcPr>
          <w:p w14:paraId="09449C31" w14:textId="77777777" w:rsidR="00F24B2F" w:rsidRPr="00F24B2F" w:rsidRDefault="00F24B2F" w:rsidP="00F24B2F">
            <w:pPr>
              <w:spacing w:after="0" w:line="240" w:lineRule="auto"/>
              <w:jc w:val="center"/>
              <w:rPr>
                <w:rFonts w:eastAsia="Times New Roman" w:cs="Calibri"/>
                <w:b/>
                <w:bCs/>
                <w:color w:val="FFFFFF"/>
              </w:rPr>
            </w:pPr>
            <w:r w:rsidRPr="00F24B2F">
              <w:rPr>
                <w:rFonts w:eastAsia="Times New Roman" w:cs="Calibri"/>
                <w:b/>
                <w:bCs/>
                <w:color w:val="FFFFFF"/>
              </w:rPr>
              <w:t>(€/km)</w:t>
            </w:r>
          </w:p>
        </w:tc>
        <w:tc>
          <w:tcPr>
            <w:tcW w:w="1586" w:type="dxa"/>
            <w:tcBorders>
              <w:top w:val="nil"/>
              <w:left w:val="nil"/>
              <w:bottom w:val="single" w:sz="8" w:space="0" w:color="A6A6A6"/>
              <w:right w:val="single" w:sz="8" w:space="0" w:color="A6A6A6"/>
            </w:tcBorders>
            <w:shd w:val="clear" w:color="000000" w:fill="EE3438"/>
            <w:vAlign w:val="center"/>
            <w:hideMark/>
          </w:tcPr>
          <w:p w14:paraId="2828BB8D" w14:textId="77777777" w:rsidR="00F24B2F" w:rsidRPr="00F24B2F" w:rsidRDefault="00F24B2F" w:rsidP="00F24B2F">
            <w:pPr>
              <w:spacing w:after="0" w:line="240" w:lineRule="auto"/>
              <w:jc w:val="center"/>
              <w:rPr>
                <w:rFonts w:eastAsia="Times New Roman" w:cs="Calibri"/>
                <w:b/>
                <w:bCs/>
                <w:color w:val="FFFFFF"/>
              </w:rPr>
            </w:pPr>
            <w:r w:rsidRPr="00F24B2F">
              <w:rPr>
                <w:rFonts w:eastAsia="Times New Roman" w:cs="Calibri"/>
                <w:b/>
                <w:bCs/>
                <w:color w:val="FFFFFF"/>
              </w:rPr>
              <w:t>(€)</w:t>
            </w:r>
          </w:p>
        </w:tc>
      </w:tr>
      <w:tr w:rsidR="00F24B2F" w:rsidRPr="00F24B2F" w14:paraId="35EE8472" w14:textId="77777777" w:rsidTr="00754C60">
        <w:trPr>
          <w:trHeight w:val="300"/>
        </w:trPr>
        <w:tc>
          <w:tcPr>
            <w:tcW w:w="1660" w:type="dxa"/>
            <w:tcBorders>
              <w:top w:val="nil"/>
              <w:left w:val="single" w:sz="8" w:space="0" w:color="A6A6A6"/>
              <w:bottom w:val="single" w:sz="8" w:space="0" w:color="A6A6A6"/>
              <w:right w:val="single" w:sz="8" w:space="0" w:color="A6A6A6"/>
            </w:tcBorders>
            <w:noWrap/>
            <w:vAlign w:val="center"/>
            <w:hideMark/>
          </w:tcPr>
          <w:p w14:paraId="1BC27264" w14:textId="77777777" w:rsidR="00F24B2F" w:rsidRPr="00F24B2F" w:rsidRDefault="00F24B2F" w:rsidP="00F24B2F">
            <w:pPr>
              <w:spacing w:after="0" w:line="240" w:lineRule="auto"/>
              <w:jc w:val="left"/>
              <w:rPr>
                <w:rFonts w:eastAsia="Times New Roman" w:cs="Calibri"/>
                <w:color w:val="000000"/>
              </w:rPr>
            </w:pPr>
            <w:r w:rsidRPr="00F24B2F">
              <w:rPr>
                <w:rFonts w:eastAsia="Times New Roman" w:cs="Calibri"/>
                <w:color w:val="000000"/>
              </w:rPr>
              <w:t>servizi periurbani</w:t>
            </w:r>
          </w:p>
        </w:tc>
        <w:tc>
          <w:tcPr>
            <w:tcW w:w="1660" w:type="dxa"/>
            <w:tcBorders>
              <w:top w:val="nil"/>
              <w:left w:val="nil"/>
              <w:bottom w:val="single" w:sz="8" w:space="0" w:color="A6A6A6"/>
              <w:right w:val="single" w:sz="8" w:space="0" w:color="A6A6A6"/>
            </w:tcBorders>
            <w:noWrap/>
            <w:vAlign w:val="center"/>
            <w:hideMark/>
          </w:tcPr>
          <w:p w14:paraId="0DAB238C" w14:textId="77777777" w:rsidR="00F24B2F" w:rsidRPr="00F24B2F" w:rsidRDefault="00F24B2F" w:rsidP="00F24B2F">
            <w:pPr>
              <w:spacing w:after="0" w:line="240" w:lineRule="auto"/>
              <w:jc w:val="right"/>
              <w:rPr>
                <w:rFonts w:eastAsia="Times New Roman" w:cs="Calibri"/>
                <w:color w:val="000000"/>
              </w:rPr>
            </w:pPr>
            <w:r w:rsidRPr="00F24B2F">
              <w:rPr>
                <w:rFonts w:eastAsia="Times New Roman" w:cs="Calibri"/>
                <w:color w:val="000000"/>
              </w:rPr>
              <w:t>2.285.701</w:t>
            </w:r>
          </w:p>
        </w:tc>
        <w:tc>
          <w:tcPr>
            <w:tcW w:w="1560" w:type="dxa"/>
            <w:tcBorders>
              <w:top w:val="nil"/>
              <w:left w:val="nil"/>
              <w:bottom w:val="single" w:sz="8" w:space="0" w:color="A6A6A6"/>
              <w:right w:val="nil"/>
            </w:tcBorders>
            <w:noWrap/>
            <w:vAlign w:val="center"/>
            <w:hideMark/>
          </w:tcPr>
          <w:p w14:paraId="797F74B1" w14:textId="34EC4C5B" w:rsidR="00F24B2F" w:rsidRPr="00F24B2F" w:rsidRDefault="00F24B2F" w:rsidP="00F24B2F">
            <w:pPr>
              <w:spacing w:after="0" w:line="240" w:lineRule="auto"/>
              <w:jc w:val="right"/>
              <w:rPr>
                <w:rFonts w:eastAsia="Times New Roman" w:cs="Calibri"/>
                <w:color w:val="000000"/>
              </w:rPr>
            </w:pPr>
            <w:r w:rsidRPr="00F24B2F">
              <w:rPr>
                <w:rFonts w:eastAsia="Times New Roman" w:cs="Calibri"/>
                <w:color w:val="000000"/>
              </w:rPr>
              <w:t xml:space="preserve">1,76 € </w:t>
            </w:r>
          </w:p>
        </w:tc>
        <w:tc>
          <w:tcPr>
            <w:tcW w:w="1586" w:type="dxa"/>
            <w:tcBorders>
              <w:top w:val="nil"/>
              <w:left w:val="single" w:sz="8" w:space="0" w:color="A6A6A6"/>
              <w:bottom w:val="single" w:sz="8" w:space="0" w:color="A6A6A6"/>
              <w:right w:val="single" w:sz="8" w:space="0" w:color="A6A6A6"/>
            </w:tcBorders>
            <w:vAlign w:val="center"/>
            <w:hideMark/>
          </w:tcPr>
          <w:p w14:paraId="29ACAB67" w14:textId="77777777" w:rsidR="00F24B2F" w:rsidRPr="00F24B2F" w:rsidRDefault="00F24B2F" w:rsidP="00F24B2F">
            <w:pPr>
              <w:spacing w:after="0" w:line="240" w:lineRule="auto"/>
              <w:jc w:val="right"/>
              <w:rPr>
                <w:rFonts w:eastAsia="Times New Roman" w:cs="Calibri"/>
                <w:color w:val="000000"/>
              </w:rPr>
            </w:pPr>
            <w:r w:rsidRPr="00F24B2F">
              <w:rPr>
                <w:rFonts w:eastAsia="Times New Roman" w:cs="Calibri"/>
                <w:color w:val="000000"/>
              </w:rPr>
              <w:t>4.022.834 €</w:t>
            </w:r>
          </w:p>
        </w:tc>
        <w:tc>
          <w:tcPr>
            <w:tcW w:w="866" w:type="dxa"/>
            <w:tcBorders>
              <w:top w:val="nil"/>
              <w:left w:val="nil"/>
              <w:bottom w:val="single" w:sz="8" w:space="0" w:color="A6A6A6"/>
              <w:right w:val="nil"/>
            </w:tcBorders>
            <w:noWrap/>
            <w:vAlign w:val="center"/>
            <w:hideMark/>
          </w:tcPr>
          <w:p w14:paraId="6038670E" w14:textId="190D9364" w:rsidR="00F24B2F" w:rsidRPr="00F24B2F" w:rsidRDefault="00F24B2F" w:rsidP="00F24B2F">
            <w:pPr>
              <w:spacing w:after="0" w:line="240" w:lineRule="auto"/>
              <w:jc w:val="right"/>
              <w:rPr>
                <w:rFonts w:eastAsia="Times New Roman" w:cs="Calibri"/>
                <w:color w:val="000000"/>
              </w:rPr>
            </w:pPr>
            <w:r w:rsidRPr="00F24B2F">
              <w:rPr>
                <w:rFonts w:eastAsia="Times New Roman" w:cs="Calibri"/>
                <w:color w:val="000000"/>
              </w:rPr>
              <w:t xml:space="preserve">0,20 € </w:t>
            </w:r>
          </w:p>
        </w:tc>
        <w:tc>
          <w:tcPr>
            <w:tcW w:w="1586" w:type="dxa"/>
            <w:tcBorders>
              <w:top w:val="nil"/>
              <w:left w:val="single" w:sz="8" w:space="0" w:color="A6A6A6"/>
              <w:bottom w:val="single" w:sz="8" w:space="0" w:color="A6A6A6"/>
              <w:right w:val="single" w:sz="8" w:space="0" w:color="A6A6A6"/>
            </w:tcBorders>
            <w:noWrap/>
            <w:vAlign w:val="center"/>
            <w:hideMark/>
          </w:tcPr>
          <w:p w14:paraId="6ED67FB7" w14:textId="45648A9B" w:rsidR="00F24B2F" w:rsidRPr="00F24B2F" w:rsidRDefault="00F24B2F" w:rsidP="00F24B2F">
            <w:pPr>
              <w:spacing w:after="0" w:line="240" w:lineRule="auto"/>
              <w:jc w:val="right"/>
              <w:rPr>
                <w:rFonts w:eastAsia="Times New Roman" w:cs="Calibri"/>
                <w:color w:val="000000"/>
              </w:rPr>
            </w:pPr>
            <w:r w:rsidRPr="00F24B2F">
              <w:rPr>
                <w:rFonts w:eastAsia="Times New Roman" w:cs="Calibri"/>
                <w:color w:val="000000"/>
              </w:rPr>
              <w:t xml:space="preserve"> 457.140</w:t>
            </w:r>
            <w:r w:rsidR="00CF5004">
              <w:rPr>
                <w:rFonts w:eastAsia="Times New Roman" w:cs="Calibri"/>
                <w:color w:val="000000"/>
              </w:rPr>
              <w:t xml:space="preserve"> </w:t>
            </w:r>
            <w:r w:rsidRPr="00F24B2F">
              <w:rPr>
                <w:rFonts w:eastAsia="Times New Roman" w:cs="Calibri"/>
                <w:color w:val="000000"/>
              </w:rPr>
              <w:t xml:space="preserve">€ </w:t>
            </w:r>
          </w:p>
        </w:tc>
      </w:tr>
      <w:tr w:rsidR="00F24B2F" w:rsidRPr="00F24B2F" w14:paraId="43414552" w14:textId="77777777" w:rsidTr="00754C60">
        <w:trPr>
          <w:trHeight w:val="300"/>
        </w:trPr>
        <w:tc>
          <w:tcPr>
            <w:tcW w:w="1660" w:type="dxa"/>
            <w:tcBorders>
              <w:top w:val="nil"/>
              <w:left w:val="single" w:sz="8" w:space="0" w:color="A6A6A6"/>
              <w:bottom w:val="single" w:sz="8" w:space="0" w:color="A6A6A6"/>
              <w:right w:val="single" w:sz="8" w:space="0" w:color="A6A6A6"/>
            </w:tcBorders>
            <w:noWrap/>
            <w:vAlign w:val="center"/>
            <w:hideMark/>
          </w:tcPr>
          <w:p w14:paraId="1A5BD1B9" w14:textId="77777777" w:rsidR="00F24B2F" w:rsidRPr="00F24B2F" w:rsidRDefault="00F24B2F" w:rsidP="00F24B2F">
            <w:pPr>
              <w:spacing w:after="0" w:line="240" w:lineRule="auto"/>
              <w:jc w:val="left"/>
              <w:rPr>
                <w:rFonts w:eastAsia="Times New Roman" w:cs="Calibri"/>
                <w:color w:val="000000"/>
              </w:rPr>
            </w:pPr>
            <w:r w:rsidRPr="00F24B2F">
              <w:rPr>
                <w:rFonts w:eastAsia="Times New Roman" w:cs="Calibri"/>
                <w:color w:val="000000"/>
              </w:rPr>
              <w:t>servizi suburbani</w:t>
            </w:r>
          </w:p>
        </w:tc>
        <w:tc>
          <w:tcPr>
            <w:tcW w:w="1660" w:type="dxa"/>
            <w:tcBorders>
              <w:top w:val="nil"/>
              <w:left w:val="nil"/>
              <w:bottom w:val="single" w:sz="8" w:space="0" w:color="A6A6A6"/>
              <w:right w:val="single" w:sz="8" w:space="0" w:color="A6A6A6"/>
            </w:tcBorders>
            <w:noWrap/>
            <w:vAlign w:val="center"/>
            <w:hideMark/>
          </w:tcPr>
          <w:p w14:paraId="4F89648C" w14:textId="77777777" w:rsidR="00F24B2F" w:rsidRPr="00F24B2F" w:rsidRDefault="00F24B2F" w:rsidP="00F24B2F">
            <w:pPr>
              <w:spacing w:after="0" w:line="240" w:lineRule="auto"/>
              <w:jc w:val="right"/>
              <w:rPr>
                <w:rFonts w:eastAsia="Times New Roman" w:cs="Calibri"/>
                <w:color w:val="000000"/>
              </w:rPr>
            </w:pPr>
            <w:r w:rsidRPr="00F24B2F">
              <w:rPr>
                <w:rFonts w:eastAsia="Times New Roman" w:cs="Calibri"/>
                <w:color w:val="000000"/>
              </w:rPr>
              <w:t>1.901.939</w:t>
            </w:r>
          </w:p>
        </w:tc>
        <w:tc>
          <w:tcPr>
            <w:tcW w:w="1560" w:type="dxa"/>
            <w:tcBorders>
              <w:top w:val="nil"/>
              <w:left w:val="nil"/>
              <w:bottom w:val="single" w:sz="8" w:space="0" w:color="A6A6A6"/>
              <w:right w:val="nil"/>
            </w:tcBorders>
            <w:noWrap/>
            <w:vAlign w:val="center"/>
            <w:hideMark/>
          </w:tcPr>
          <w:p w14:paraId="64E32D7E" w14:textId="683A20EA" w:rsidR="00F24B2F" w:rsidRPr="00F24B2F" w:rsidRDefault="00F24B2F" w:rsidP="00F24B2F">
            <w:pPr>
              <w:spacing w:after="0" w:line="240" w:lineRule="auto"/>
              <w:jc w:val="right"/>
              <w:rPr>
                <w:rFonts w:eastAsia="Times New Roman" w:cs="Calibri"/>
                <w:color w:val="000000"/>
              </w:rPr>
            </w:pPr>
            <w:r w:rsidRPr="00F24B2F">
              <w:rPr>
                <w:rFonts w:eastAsia="Times New Roman" w:cs="Calibri"/>
                <w:color w:val="000000"/>
              </w:rPr>
              <w:t xml:space="preserve">2,75 € </w:t>
            </w:r>
          </w:p>
        </w:tc>
        <w:tc>
          <w:tcPr>
            <w:tcW w:w="1586" w:type="dxa"/>
            <w:tcBorders>
              <w:top w:val="nil"/>
              <w:left w:val="single" w:sz="8" w:space="0" w:color="A6A6A6"/>
              <w:bottom w:val="single" w:sz="8" w:space="0" w:color="A6A6A6"/>
              <w:right w:val="single" w:sz="8" w:space="0" w:color="A6A6A6"/>
            </w:tcBorders>
            <w:vAlign w:val="center"/>
            <w:hideMark/>
          </w:tcPr>
          <w:p w14:paraId="7A55246B" w14:textId="1A383E91" w:rsidR="00F24B2F" w:rsidRPr="00F24B2F" w:rsidRDefault="00F24B2F" w:rsidP="00F24B2F">
            <w:pPr>
              <w:spacing w:after="0" w:line="240" w:lineRule="auto"/>
              <w:jc w:val="right"/>
              <w:rPr>
                <w:rFonts w:eastAsia="Times New Roman" w:cs="Calibri"/>
                <w:color w:val="000000"/>
              </w:rPr>
            </w:pPr>
            <w:r w:rsidRPr="001C769C">
              <w:rPr>
                <w:rFonts w:eastAsia="Times New Roman" w:cs="Calibri"/>
                <w:color w:val="000000"/>
              </w:rPr>
              <w:t>5.230.332</w:t>
            </w:r>
            <w:r w:rsidRPr="00F24B2F">
              <w:rPr>
                <w:rFonts w:eastAsia="Times New Roman" w:cs="Calibri"/>
                <w:color w:val="000000"/>
              </w:rPr>
              <w:t xml:space="preserve"> €</w:t>
            </w:r>
          </w:p>
        </w:tc>
        <w:tc>
          <w:tcPr>
            <w:tcW w:w="866" w:type="dxa"/>
            <w:tcBorders>
              <w:top w:val="nil"/>
              <w:left w:val="nil"/>
              <w:bottom w:val="single" w:sz="8" w:space="0" w:color="A6A6A6"/>
              <w:right w:val="nil"/>
            </w:tcBorders>
            <w:noWrap/>
            <w:vAlign w:val="center"/>
            <w:hideMark/>
          </w:tcPr>
          <w:p w14:paraId="2F63216C" w14:textId="38DC29C3" w:rsidR="00F24B2F" w:rsidRPr="00F24B2F" w:rsidRDefault="00F24B2F" w:rsidP="00F24B2F">
            <w:pPr>
              <w:spacing w:after="0" w:line="240" w:lineRule="auto"/>
              <w:jc w:val="right"/>
              <w:rPr>
                <w:rFonts w:eastAsia="Times New Roman" w:cs="Calibri"/>
                <w:color w:val="000000"/>
              </w:rPr>
            </w:pPr>
            <w:r w:rsidRPr="00F24B2F">
              <w:rPr>
                <w:rFonts w:eastAsia="Times New Roman" w:cs="Calibri"/>
                <w:color w:val="000000"/>
              </w:rPr>
              <w:t xml:space="preserve">  0,50 € </w:t>
            </w:r>
          </w:p>
        </w:tc>
        <w:tc>
          <w:tcPr>
            <w:tcW w:w="1586" w:type="dxa"/>
            <w:tcBorders>
              <w:top w:val="nil"/>
              <w:left w:val="single" w:sz="8" w:space="0" w:color="A6A6A6"/>
              <w:bottom w:val="single" w:sz="8" w:space="0" w:color="A6A6A6"/>
              <w:right w:val="single" w:sz="8" w:space="0" w:color="A6A6A6"/>
            </w:tcBorders>
            <w:noWrap/>
            <w:vAlign w:val="center"/>
            <w:hideMark/>
          </w:tcPr>
          <w:p w14:paraId="0905EC27" w14:textId="6A5BE235" w:rsidR="00F24B2F" w:rsidRPr="00F24B2F" w:rsidRDefault="00F24B2F" w:rsidP="00F24B2F">
            <w:pPr>
              <w:spacing w:after="0" w:line="240" w:lineRule="auto"/>
              <w:jc w:val="right"/>
              <w:rPr>
                <w:rFonts w:eastAsia="Times New Roman" w:cs="Calibri"/>
                <w:color w:val="000000"/>
              </w:rPr>
            </w:pPr>
            <w:r w:rsidRPr="00F24B2F">
              <w:rPr>
                <w:rFonts w:eastAsia="Times New Roman" w:cs="Calibri"/>
                <w:color w:val="000000"/>
              </w:rPr>
              <w:t xml:space="preserve">950.969 € </w:t>
            </w:r>
          </w:p>
        </w:tc>
      </w:tr>
      <w:tr w:rsidR="00F24B2F" w:rsidRPr="00F24B2F" w14:paraId="2C010854" w14:textId="77777777" w:rsidTr="00754C60">
        <w:trPr>
          <w:trHeight w:val="300"/>
        </w:trPr>
        <w:tc>
          <w:tcPr>
            <w:tcW w:w="1660" w:type="dxa"/>
            <w:tcBorders>
              <w:top w:val="nil"/>
              <w:left w:val="single" w:sz="8" w:space="0" w:color="A6A6A6"/>
              <w:bottom w:val="single" w:sz="8" w:space="0" w:color="A6A6A6"/>
              <w:right w:val="single" w:sz="8" w:space="0" w:color="A6A6A6"/>
            </w:tcBorders>
            <w:noWrap/>
            <w:vAlign w:val="center"/>
            <w:hideMark/>
          </w:tcPr>
          <w:p w14:paraId="3A0D3A9F" w14:textId="77777777" w:rsidR="00F24B2F" w:rsidRPr="00F24B2F" w:rsidRDefault="00F24B2F" w:rsidP="00F24B2F">
            <w:pPr>
              <w:spacing w:after="0" w:line="240" w:lineRule="auto"/>
              <w:jc w:val="left"/>
              <w:rPr>
                <w:rFonts w:eastAsia="Times New Roman" w:cs="Calibri"/>
                <w:b/>
                <w:bCs/>
                <w:color w:val="000000"/>
              </w:rPr>
            </w:pPr>
            <w:r w:rsidRPr="00F24B2F">
              <w:rPr>
                <w:rFonts w:eastAsia="Times New Roman" w:cs="Calibri"/>
                <w:b/>
                <w:bCs/>
                <w:color w:val="000000"/>
              </w:rPr>
              <w:t>totale lotto</w:t>
            </w:r>
          </w:p>
        </w:tc>
        <w:tc>
          <w:tcPr>
            <w:tcW w:w="1660" w:type="dxa"/>
            <w:tcBorders>
              <w:top w:val="nil"/>
              <w:left w:val="nil"/>
              <w:bottom w:val="single" w:sz="8" w:space="0" w:color="A6A6A6"/>
              <w:right w:val="single" w:sz="8" w:space="0" w:color="A6A6A6"/>
            </w:tcBorders>
            <w:noWrap/>
            <w:vAlign w:val="center"/>
            <w:hideMark/>
          </w:tcPr>
          <w:p w14:paraId="288ECBD1" w14:textId="77777777" w:rsidR="00F24B2F" w:rsidRPr="00F24B2F" w:rsidRDefault="00F24B2F" w:rsidP="00F24B2F">
            <w:pPr>
              <w:spacing w:after="0" w:line="240" w:lineRule="auto"/>
              <w:jc w:val="right"/>
              <w:rPr>
                <w:rFonts w:eastAsia="Times New Roman" w:cs="Calibri"/>
                <w:b/>
                <w:bCs/>
                <w:color w:val="000000"/>
              </w:rPr>
            </w:pPr>
            <w:r w:rsidRPr="00F24B2F">
              <w:rPr>
                <w:rFonts w:eastAsia="Times New Roman" w:cs="Calibri"/>
                <w:b/>
                <w:bCs/>
                <w:color w:val="000000"/>
              </w:rPr>
              <w:t>4.187.640</w:t>
            </w:r>
          </w:p>
        </w:tc>
        <w:tc>
          <w:tcPr>
            <w:tcW w:w="1560" w:type="dxa"/>
            <w:tcBorders>
              <w:top w:val="nil"/>
              <w:left w:val="nil"/>
              <w:bottom w:val="single" w:sz="8" w:space="0" w:color="A6A6A6"/>
              <w:right w:val="nil"/>
            </w:tcBorders>
            <w:noWrap/>
            <w:vAlign w:val="center"/>
            <w:hideMark/>
          </w:tcPr>
          <w:p w14:paraId="092DD38A" w14:textId="77777777" w:rsidR="00F24B2F" w:rsidRPr="00F24B2F" w:rsidRDefault="00F24B2F" w:rsidP="00F24B2F">
            <w:pPr>
              <w:spacing w:after="0" w:line="240" w:lineRule="auto"/>
              <w:jc w:val="right"/>
              <w:rPr>
                <w:rFonts w:eastAsia="Times New Roman" w:cs="Calibri"/>
                <w:b/>
                <w:bCs/>
                <w:color w:val="000000"/>
              </w:rPr>
            </w:pPr>
            <w:r w:rsidRPr="00F24B2F">
              <w:rPr>
                <w:rFonts w:eastAsia="Times New Roman" w:cs="Calibri"/>
                <w:b/>
                <w:bCs/>
                <w:color w:val="000000"/>
              </w:rPr>
              <w:t> </w:t>
            </w:r>
          </w:p>
        </w:tc>
        <w:tc>
          <w:tcPr>
            <w:tcW w:w="1586" w:type="dxa"/>
            <w:tcBorders>
              <w:top w:val="nil"/>
              <w:left w:val="single" w:sz="8" w:space="0" w:color="A6A6A6"/>
              <w:bottom w:val="single" w:sz="8" w:space="0" w:color="A6A6A6"/>
              <w:right w:val="single" w:sz="8" w:space="0" w:color="A6A6A6"/>
            </w:tcBorders>
            <w:vAlign w:val="center"/>
            <w:hideMark/>
          </w:tcPr>
          <w:p w14:paraId="3E191AF7" w14:textId="77777777" w:rsidR="00F24B2F" w:rsidRPr="00F24B2F" w:rsidRDefault="00F24B2F" w:rsidP="00F24B2F">
            <w:pPr>
              <w:spacing w:after="0" w:line="240" w:lineRule="auto"/>
              <w:jc w:val="right"/>
              <w:rPr>
                <w:rFonts w:eastAsia="Times New Roman" w:cs="Calibri"/>
                <w:b/>
                <w:bCs/>
                <w:color w:val="000000"/>
              </w:rPr>
            </w:pPr>
            <w:r w:rsidRPr="00F24B2F">
              <w:rPr>
                <w:rFonts w:eastAsia="Times New Roman" w:cs="Calibri"/>
                <w:b/>
                <w:bCs/>
                <w:color w:val="000000"/>
              </w:rPr>
              <w:t>9.253.166 €</w:t>
            </w:r>
          </w:p>
        </w:tc>
        <w:tc>
          <w:tcPr>
            <w:tcW w:w="866" w:type="dxa"/>
            <w:tcBorders>
              <w:top w:val="nil"/>
              <w:left w:val="nil"/>
              <w:bottom w:val="single" w:sz="8" w:space="0" w:color="A6A6A6"/>
              <w:right w:val="nil"/>
            </w:tcBorders>
            <w:noWrap/>
            <w:vAlign w:val="center"/>
            <w:hideMark/>
          </w:tcPr>
          <w:p w14:paraId="642C5AA8" w14:textId="77777777" w:rsidR="00F24B2F" w:rsidRPr="00F24B2F" w:rsidRDefault="00F24B2F" w:rsidP="00F24B2F">
            <w:pPr>
              <w:spacing w:after="0" w:line="240" w:lineRule="auto"/>
              <w:jc w:val="right"/>
              <w:rPr>
                <w:rFonts w:eastAsia="Times New Roman" w:cs="Calibri"/>
                <w:b/>
                <w:bCs/>
                <w:color w:val="000000"/>
              </w:rPr>
            </w:pPr>
            <w:r w:rsidRPr="00F24B2F">
              <w:rPr>
                <w:rFonts w:eastAsia="Times New Roman" w:cs="Calibri"/>
                <w:b/>
                <w:bCs/>
                <w:color w:val="000000"/>
              </w:rPr>
              <w:t> </w:t>
            </w:r>
          </w:p>
        </w:tc>
        <w:tc>
          <w:tcPr>
            <w:tcW w:w="1586" w:type="dxa"/>
            <w:tcBorders>
              <w:top w:val="nil"/>
              <w:left w:val="single" w:sz="8" w:space="0" w:color="A6A6A6"/>
              <w:bottom w:val="single" w:sz="8" w:space="0" w:color="A6A6A6"/>
              <w:right w:val="single" w:sz="8" w:space="0" w:color="A6A6A6"/>
            </w:tcBorders>
            <w:noWrap/>
            <w:vAlign w:val="center"/>
            <w:hideMark/>
          </w:tcPr>
          <w:p w14:paraId="149ED293" w14:textId="76767238" w:rsidR="00F24B2F" w:rsidRPr="00F24B2F" w:rsidRDefault="00F24B2F" w:rsidP="00F24B2F">
            <w:pPr>
              <w:spacing w:after="0" w:line="240" w:lineRule="auto"/>
              <w:jc w:val="right"/>
              <w:rPr>
                <w:rFonts w:eastAsia="Times New Roman" w:cs="Calibri"/>
                <w:b/>
                <w:bCs/>
                <w:color w:val="000000"/>
              </w:rPr>
            </w:pPr>
            <w:r w:rsidRPr="00F24B2F">
              <w:rPr>
                <w:rFonts w:eastAsia="Times New Roman" w:cs="Calibri"/>
                <w:b/>
                <w:bCs/>
                <w:color w:val="000000"/>
              </w:rPr>
              <w:t>1.408.109</w:t>
            </w:r>
            <w:r w:rsidR="00CF5004">
              <w:rPr>
                <w:rFonts w:eastAsia="Times New Roman" w:cs="Calibri"/>
                <w:b/>
                <w:bCs/>
                <w:color w:val="000000"/>
              </w:rPr>
              <w:t xml:space="preserve"> </w:t>
            </w:r>
            <w:r w:rsidRPr="00F24B2F">
              <w:rPr>
                <w:rFonts w:eastAsia="Times New Roman" w:cs="Calibri"/>
                <w:b/>
                <w:bCs/>
                <w:color w:val="000000"/>
              </w:rPr>
              <w:t xml:space="preserve">€ </w:t>
            </w:r>
          </w:p>
        </w:tc>
      </w:tr>
    </w:tbl>
    <w:p w14:paraId="08DC341C" w14:textId="79A8CDF1" w:rsidR="002272A2" w:rsidRPr="001D5603" w:rsidRDefault="002272A2" w:rsidP="002272A2">
      <w:pPr>
        <w:spacing w:after="200" w:line="240" w:lineRule="auto"/>
        <w:jc w:val="center"/>
        <w:rPr>
          <w:rFonts w:eastAsia="Calibri"/>
          <w:i/>
          <w:iCs/>
          <w:color w:val="003366"/>
          <w:sz w:val="18"/>
          <w:szCs w:val="18"/>
        </w:rPr>
      </w:pPr>
      <w:r w:rsidRPr="00BF35BC">
        <w:rPr>
          <w:rFonts w:eastAsia="Calibri"/>
          <w:i/>
          <w:iCs/>
          <w:color w:val="003366"/>
          <w:sz w:val="18"/>
          <w:szCs w:val="18"/>
        </w:rPr>
        <w:t xml:space="preserve">Tabella </w:t>
      </w:r>
      <w:r w:rsidRPr="00BF35BC">
        <w:rPr>
          <w:rFonts w:cstheme="minorHAnsi"/>
          <w:i/>
          <w:iCs/>
          <w:color w:val="003366"/>
          <w:sz w:val="18"/>
          <w:szCs w:val="18"/>
        </w:rPr>
        <w:fldChar w:fldCharType="begin"/>
      </w:r>
      <w:r w:rsidRPr="00BF35BC">
        <w:rPr>
          <w:rFonts w:cstheme="minorHAnsi"/>
          <w:i/>
          <w:iCs/>
          <w:color w:val="003366"/>
          <w:sz w:val="18"/>
          <w:szCs w:val="18"/>
        </w:rPr>
        <w:instrText xml:space="preserve"> SEQ Tabella \* ARABIC </w:instrText>
      </w:r>
      <w:r w:rsidRPr="00BF35BC">
        <w:rPr>
          <w:rFonts w:cstheme="minorHAnsi"/>
          <w:i/>
          <w:iCs/>
          <w:color w:val="003366"/>
          <w:sz w:val="18"/>
          <w:szCs w:val="18"/>
        </w:rPr>
        <w:fldChar w:fldCharType="separate"/>
      </w:r>
      <w:r w:rsidR="00073B6D">
        <w:rPr>
          <w:rFonts w:cstheme="minorHAnsi"/>
          <w:i/>
          <w:iCs/>
          <w:noProof/>
          <w:color w:val="003366"/>
          <w:sz w:val="18"/>
          <w:szCs w:val="18"/>
        </w:rPr>
        <w:t>77</w:t>
      </w:r>
      <w:r w:rsidRPr="00BF35BC">
        <w:rPr>
          <w:rFonts w:cstheme="minorHAnsi"/>
          <w:i/>
          <w:iCs/>
          <w:noProof/>
          <w:color w:val="003366"/>
          <w:sz w:val="18"/>
          <w:szCs w:val="18"/>
        </w:rPr>
        <w:fldChar w:fldCharType="end"/>
      </w:r>
      <w:r w:rsidRPr="00BF35BC">
        <w:rPr>
          <w:rFonts w:cstheme="minorHAnsi"/>
          <w:i/>
          <w:iCs/>
          <w:noProof/>
          <w:color w:val="003366"/>
          <w:sz w:val="18"/>
          <w:szCs w:val="18"/>
        </w:rPr>
        <w:t xml:space="preserve"> </w:t>
      </w:r>
      <w:r w:rsidRPr="00BF35BC">
        <w:rPr>
          <w:rFonts w:eastAsia="Calibri"/>
          <w:iCs/>
          <w:color w:val="003366"/>
          <w:sz w:val="18"/>
          <w:szCs w:val="18"/>
        </w:rPr>
        <w:t xml:space="preserve">– </w:t>
      </w:r>
      <w:r w:rsidR="00425863">
        <w:rPr>
          <w:rFonts w:eastAsia="Calibri"/>
          <w:iCs/>
          <w:color w:val="003366"/>
          <w:sz w:val="18"/>
          <w:szCs w:val="18"/>
        </w:rPr>
        <w:t xml:space="preserve">Stima risorse UR5 lotto </w:t>
      </w:r>
      <w:r w:rsidR="00425863" w:rsidRPr="00425863">
        <w:rPr>
          <w:rFonts w:eastAsia="Calibri"/>
          <w:i/>
          <w:color w:val="003366"/>
          <w:sz w:val="18"/>
          <w:szCs w:val="18"/>
        </w:rPr>
        <w:t>in-house</w:t>
      </w:r>
    </w:p>
    <w:p w14:paraId="6C89A349" w14:textId="742F59A3" w:rsidR="00E4785C" w:rsidRDefault="00E4785C" w:rsidP="00E4785C">
      <w:pPr>
        <w:spacing w:before="120" w:after="0" w:line="240" w:lineRule="auto"/>
        <w:rPr>
          <w:rFonts w:eastAsia="Calibri"/>
        </w:rPr>
      </w:pPr>
      <w:r>
        <w:rPr>
          <w:rFonts w:eastAsia="Calibri"/>
        </w:rPr>
        <w:t>Analoga metodologia viene utilizzata per la stima dei ricavi individuando i parametri unitari dei singoli contratti applicandoli a</w:t>
      </w:r>
      <w:r w:rsidRPr="00C32B3B">
        <w:rPr>
          <w:rFonts w:eastAsia="Calibri"/>
        </w:rPr>
        <w:t>i volumi di produzione associati a tali servizi</w:t>
      </w:r>
      <w:r>
        <w:rPr>
          <w:rFonts w:eastAsia="Calibri"/>
        </w:rPr>
        <w:t>. La Tabella seguente riporta l’esito di tale valutazione.</w:t>
      </w:r>
    </w:p>
    <w:p w14:paraId="774A2612" w14:textId="77777777" w:rsidR="00E4785C" w:rsidRDefault="00E4785C" w:rsidP="00E4785C">
      <w:pPr>
        <w:spacing w:before="120" w:after="0" w:line="240" w:lineRule="auto"/>
        <w:rPr>
          <w:rFonts w:eastAsia="Calibri"/>
        </w:rPr>
      </w:pPr>
    </w:p>
    <w:tbl>
      <w:tblPr>
        <w:tblW w:w="7078" w:type="dxa"/>
        <w:jc w:val="center"/>
        <w:tblCellMar>
          <w:left w:w="70" w:type="dxa"/>
          <w:right w:w="70" w:type="dxa"/>
        </w:tblCellMar>
        <w:tblLook w:val="04A0" w:firstRow="1" w:lastRow="0" w:firstColumn="1" w:lastColumn="0" w:noHBand="0" w:noVBand="1"/>
      </w:tblPr>
      <w:tblGrid>
        <w:gridCol w:w="1833"/>
        <w:gridCol w:w="1559"/>
        <w:gridCol w:w="1488"/>
        <w:gridCol w:w="2198"/>
      </w:tblGrid>
      <w:tr w:rsidR="00E4785C" w:rsidRPr="00AD1A31" w14:paraId="7717F7C4" w14:textId="77777777">
        <w:trPr>
          <w:trHeight w:val="576"/>
          <w:jc w:val="center"/>
        </w:trPr>
        <w:tc>
          <w:tcPr>
            <w:tcW w:w="1833" w:type="dxa"/>
            <w:tcBorders>
              <w:top w:val="single" w:sz="8" w:space="0" w:color="A6A6A6"/>
              <w:left w:val="single" w:sz="8" w:space="0" w:color="A6A6A6"/>
              <w:bottom w:val="single" w:sz="8" w:space="0" w:color="A6A6A6"/>
              <w:right w:val="single" w:sz="8" w:space="0" w:color="A6A6A6"/>
            </w:tcBorders>
            <w:shd w:val="clear" w:color="000000" w:fill="EE3438"/>
            <w:vAlign w:val="center"/>
            <w:hideMark/>
          </w:tcPr>
          <w:p w14:paraId="72A38456" w14:textId="77777777" w:rsidR="00E4785C" w:rsidRPr="00AD1A31" w:rsidRDefault="00E4785C">
            <w:pPr>
              <w:spacing w:after="0" w:line="240" w:lineRule="auto"/>
              <w:jc w:val="center"/>
              <w:rPr>
                <w:rFonts w:eastAsia="Times New Roman" w:cs="Calibri"/>
                <w:b/>
                <w:bCs/>
                <w:color w:val="FFFFFF"/>
              </w:rPr>
            </w:pPr>
            <w:r w:rsidRPr="00AD1A31">
              <w:rPr>
                <w:rFonts w:eastAsia="Times New Roman" w:cs="Calibri"/>
                <w:b/>
                <w:bCs/>
                <w:color w:val="FFFFFF"/>
              </w:rPr>
              <w:t xml:space="preserve">Lotto in house </w:t>
            </w:r>
          </w:p>
        </w:tc>
        <w:tc>
          <w:tcPr>
            <w:tcW w:w="1559" w:type="dxa"/>
            <w:tcBorders>
              <w:top w:val="single" w:sz="8" w:space="0" w:color="A6A6A6"/>
              <w:left w:val="nil"/>
              <w:bottom w:val="single" w:sz="8" w:space="0" w:color="A6A6A6"/>
              <w:right w:val="single" w:sz="8" w:space="0" w:color="A6A6A6"/>
            </w:tcBorders>
            <w:shd w:val="clear" w:color="000000" w:fill="EE3438"/>
            <w:vAlign w:val="center"/>
            <w:hideMark/>
          </w:tcPr>
          <w:p w14:paraId="0618C491" w14:textId="77777777" w:rsidR="00E4785C" w:rsidRPr="00AD1A31" w:rsidRDefault="00E4785C">
            <w:pPr>
              <w:spacing w:after="0" w:line="240" w:lineRule="auto"/>
              <w:jc w:val="center"/>
              <w:rPr>
                <w:rFonts w:eastAsia="Times New Roman" w:cs="Calibri"/>
                <w:b/>
                <w:bCs/>
                <w:color w:val="FFFFFF"/>
              </w:rPr>
            </w:pPr>
            <w:r w:rsidRPr="00AD1A31">
              <w:rPr>
                <w:rFonts w:eastAsia="Times New Roman" w:cs="Calibri"/>
                <w:b/>
                <w:bCs/>
                <w:color w:val="FFFFFF"/>
              </w:rPr>
              <w:t>Produzione</w:t>
            </w:r>
          </w:p>
        </w:tc>
        <w:tc>
          <w:tcPr>
            <w:tcW w:w="1488" w:type="dxa"/>
            <w:tcBorders>
              <w:top w:val="single" w:sz="8" w:space="0" w:color="A6A6A6"/>
              <w:left w:val="nil"/>
              <w:bottom w:val="single" w:sz="8" w:space="0" w:color="A6A6A6"/>
              <w:right w:val="single" w:sz="8" w:space="0" w:color="A6A6A6"/>
            </w:tcBorders>
            <w:shd w:val="clear" w:color="000000" w:fill="EE3438"/>
            <w:vAlign w:val="center"/>
            <w:hideMark/>
          </w:tcPr>
          <w:p w14:paraId="7F39A2BF" w14:textId="77777777" w:rsidR="00E4785C" w:rsidRPr="00AD1A31" w:rsidRDefault="00E4785C">
            <w:pPr>
              <w:spacing w:after="0" w:line="240" w:lineRule="auto"/>
              <w:jc w:val="center"/>
              <w:rPr>
                <w:rFonts w:eastAsia="Times New Roman" w:cs="Calibri"/>
                <w:b/>
                <w:bCs/>
                <w:color w:val="FFFFFF"/>
              </w:rPr>
            </w:pPr>
            <w:r w:rsidRPr="00AD1A31">
              <w:rPr>
                <w:rFonts w:eastAsia="Times New Roman" w:cs="Calibri"/>
                <w:b/>
                <w:bCs/>
                <w:color w:val="FFFFFF"/>
              </w:rPr>
              <w:t>Ricavi da TdV</w:t>
            </w:r>
          </w:p>
        </w:tc>
        <w:tc>
          <w:tcPr>
            <w:tcW w:w="2198" w:type="dxa"/>
            <w:tcBorders>
              <w:top w:val="single" w:sz="8" w:space="0" w:color="A6A6A6"/>
              <w:left w:val="nil"/>
              <w:bottom w:val="single" w:sz="8" w:space="0" w:color="A6A6A6"/>
              <w:right w:val="single" w:sz="8" w:space="0" w:color="A6A6A6"/>
            </w:tcBorders>
            <w:shd w:val="clear" w:color="000000" w:fill="EE3438"/>
            <w:vAlign w:val="center"/>
            <w:hideMark/>
          </w:tcPr>
          <w:p w14:paraId="612582CE" w14:textId="77777777" w:rsidR="00E4785C" w:rsidRPr="00AD1A31" w:rsidRDefault="00E4785C">
            <w:pPr>
              <w:spacing w:after="0" w:line="240" w:lineRule="auto"/>
              <w:jc w:val="center"/>
              <w:rPr>
                <w:rFonts w:eastAsia="Times New Roman" w:cs="Calibri"/>
                <w:b/>
                <w:bCs/>
                <w:color w:val="FFFFFF"/>
              </w:rPr>
            </w:pPr>
            <w:r w:rsidRPr="00AD1A31">
              <w:rPr>
                <w:rFonts w:eastAsia="Times New Roman" w:cs="Calibri"/>
                <w:b/>
                <w:bCs/>
                <w:color w:val="FFFFFF"/>
              </w:rPr>
              <w:t>Ricavi da TdV annui</w:t>
            </w:r>
          </w:p>
        </w:tc>
      </w:tr>
      <w:tr w:rsidR="00E4785C" w:rsidRPr="00AD1A31" w14:paraId="435D7B19" w14:textId="77777777">
        <w:trPr>
          <w:trHeight w:val="300"/>
          <w:jc w:val="center"/>
        </w:trPr>
        <w:tc>
          <w:tcPr>
            <w:tcW w:w="1833" w:type="dxa"/>
            <w:tcBorders>
              <w:top w:val="nil"/>
              <w:left w:val="single" w:sz="8" w:space="0" w:color="A6A6A6"/>
              <w:bottom w:val="single" w:sz="8" w:space="0" w:color="A6A6A6"/>
              <w:right w:val="single" w:sz="8" w:space="0" w:color="A6A6A6"/>
            </w:tcBorders>
            <w:shd w:val="clear" w:color="000000" w:fill="EE3438"/>
            <w:vAlign w:val="center"/>
            <w:hideMark/>
          </w:tcPr>
          <w:p w14:paraId="6D891FB9" w14:textId="77777777" w:rsidR="00E4785C" w:rsidRPr="00AD1A31" w:rsidRDefault="00E4785C">
            <w:pPr>
              <w:spacing w:after="0" w:line="240" w:lineRule="auto"/>
              <w:jc w:val="left"/>
              <w:rPr>
                <w:rFonts w:eastAsia="Times New Roman" w:cs="Calibri"/>
                <w:color w:val="FFFFFF"/>
              </w:rPr>
            </w:pPr>
            <w:r w:rsidRPr="00AD1A31">
              <w:rPr>
                <w:rFonts w:eastAsia="Times New Roman" w:cs="Calibri"/>
                <w:color w:val="FFFFFF"/>
              </w:rPr>
              <w:t> </w:t>
            </w:r>
          </w:p>
        </w:tc>
        <w:tc>
          <w:tcPr>
            <w:tcW w:w="1559" w:type="dxa"/>
            <w:tcBorders>
              <w:top w:val="nil"/>
              <w:left w:val="nil"/>
              <w:bottom w:val="single" w:sz="8" w:space="0" w:color="A6A6A6"/>
              <w:right w:val="single" w:sz="8" w:space="0" w:color="A6A6A6"/>
            </w:tcBorders>
            <w:shd w:val="clear" w:color="000000" w:fill="EE3438"/>
            <w:noWrap/>
            <w:vAlign w:val="center"/>
            <w:hideMark/>
          </w:tcPr>
          <w:p w14:paraId="4092F06C" w14:textId="77777777" w:rsidR="00E4785C" w:rsidRPr="00AD1A31" w:rsidRDefault="00E4785C">
            <w:pPr>
              <w:spacing w:after="0" w:line="240" w:lineRule="auto"/>
              <w:jc w:val="center"/>
              <w:rPr>
                <w:rFonts w:eastAsia="Times New Roman" w:cs="Calibri"/>
                <w:b/>
                <w:bCs/>
                <w:color w:val="FFFFFF"/>
              </w:rPr>
            </w:pPr>
            <w:r w:rsidRPr="00AD1A31">
              <w:rPr>
                <w:rFonts w:eastAsia="Times New Roman" w:cs="Calibri"/>
                <w:b/>
                <w:bCs/>
                <w:color w:val="FFFFFF"/>
              </w:rPr>
              <w:t>(veic-km/anno)</w:t>
            </w:r>
          </w:p>
        </w:tc>
        <w:tc>
          <w:tcPr>
            <w:tcW w:w="1488" w:type="dxa"/>
            <w:tcBorders>
              <w:top w:val="nil"/>
              <w:left w:val="nil"/>
              <w:bottom w:val="single" w:sz="8" w:space="0" w:color="A6A6A6"/>
              <w:right w:val="single" w:sz="8" w:space="0" w:color="A6A6A6"/>
            </w:tcBorders>
            <w:shd w:val="clear" w:color="000000" w:fill="EE3438"/>
            <w:vAlign w:val="center"/>
            <w:hideMark/>
          </w:tcPr>
          <w:p w14:paraId="601E2E95" w14:textId="77777777" w:rsidR="00E4785C" w:rsidRPr="00AD1A31" w:rsidRDefault="00E4785C">
            <w:pPr>
              <w:spacing w:after="0" w:line="240" w:lineRule="auto"/>
              <w:jc w:val="center"/>
              <w:rPr>
                <w:rFonts w:eastAsia="Times New Roman" w:cs="Calibri"/>
                <w:b/>
                <w:bCs/>
                <w:color w:val="FFFFFF"/>
              </w:rPr>
            </w:pPr>
            <w:r w:rsidRPr="00AD1A31">
              <w:rPr>
                <w:rFonts w:eastAsia="Times New Roman" w:cs="Calibri"/>
                <w:b/>
                <w:bCs/>
                <w:color w:val="FFFFFF"/>
              </w:rPr>
              <w:t>(€/km)</w:t>
            </w:r>
          </w:p>
        </w:tc>
        <w:tc>
          <w:tcPr>
            <w:tcW w:w="2198" w:type="dxa"/>
            <w:tcBorders>
              <w:top w:val="nil"/>
              <w:left w:val="nil"/>
              <w:bottom w:val="single" w:sz="8" w:space="0" w:color="A6A6A6"/>
              <w:right w:val="single" w:sz="8" w:space="0" w:color="A6A6A6"/>
            </w:tcBorders>
            <w:shd w:val="clear" w:color="000000" w:fill="EE3438"/>
            <w:vAlign w:val="center"/>
            <w:hideMark/>
          </w:tcPr>
          <w:p w14:paraId="00EDF1AF" w14:textId="77777777" w:rsidR="00E4785C" w:rsidRPr="00AD1A31" w:rsidRDefault="00E4785C">
            <w:pPr>
              <w:spacing w:after="0" w:line="240" w:lineRule="auto"/>
              <w:jc w:val="center"/>
              <w:rPr>
                <w:rFonts w:eastAsia="Times New Roman" w:cs="Calibri"/>
                <w:b/>
                <w:bCs/>
                <w:color w:val="FFFFFF"/>
              </w:rPr>
            </w:pPr>
            <w:r w:rsidRPr="00AD1A31">
              <w:rPr>
                <w:rFonts w:eastAsia="Times New Roman" w:cs="Calibri"/>
                <w:b/>
                <w:bCs/>
                <w:color w:val="FFFFFF"/>
              </w:rPr>
              <w:t>(€)</w:t>
            </w:r>
          </w:p>
        </w:tc>
      </w:tr>
      <w:tr w:rsidR="00E4785C" w:rsidRPr="00AD1A31" w14:paraId="109116C2" w14:textId="77777777">
        <w:trPr>
          <w:trHeight w:val="300"/>
          <w:jc w:val="center"/>
        </w:trPr>
        <w:tc>
          <w:tcPr>
            <w:tcW w:w="1833" w:type="dxa"/>
            <w:tcBorders>
              <w:top w:val="nil"/>
              <w:left w:val="single" w:sz="8" w:space="0" w:color="A6A6A6"/>
              <w:bottom w:val="single" w:sz="8" w:space="0" w:color="A6A6A6"/>
              <w:right w:val="single" w:sz="8" w:space="0" w:color="A6A6A6"/>
            </w:tcBorders>
            <w:noWrap/>
            <w:vAlign w:val="center"/>
            <w:hideMark/>
          </w:tcPr>
          <w:p w14:paraId="74485495" w14:textId="77777777" w:rsidR="00E4785C" w:rsidRPr="00AD1A31" w:rsidRDefault="00E4785C">
            <w:pPr>
              <w:spacing w:after="0" w:line="240" w:lineRule="auto"/>
              <w:jc w:val="left"/>
              <w:rPr>
                <w:rFonts w:eastAsia="Times New Roman" w:cs="Calibri"/>
                <w:color w:val="000000"/>
              </w:rPr>
            </w:pPr>
            <w:r w:rsidRPr="00AD1A31">
              <w:rPr>
                <w:rFonts w:eastAsia="Times New Roman" w:cs="Calibri"/>
                <w:color w:val="000000"/>
              </w:rPr>
              <w:t>servizi periurbani</w:t>
            </w:r>
          </w:p>
        </w:tc>
        <w:tc>
          <w:tcPr>
            <w:tcW w:w="1559" w:type="dxa"/>
            <w:tcBorders>
              <w:top w:val="nil"/>
              <w:left w:val="nil"/>
              <w:bottom w:val="single" w:sz="8" w:space="0" w:color="A6A6A6"/>
              <w:right w:val="single" w:sz="8" w:space="0" w:color="A6A6A6"/>
            </w:tcBorders>
            <w:noWrap/>
            <w:vAlign w:val="center"/>
            <w:hideMark/>
          </w:tcPr>
          <w:p w14:paraId="15E1D004" w14:textId="77777777" w:rsidR="00E4785C" w:rsidRPr="00AD1A31" w:rsidRDefault="00E4785C">
            <w:pPr>
              <w:spacing w:after="0" w:line="240" w:lineRule="auto"/>
              <w:jc w:val="right"/>
              <w:rPr>
                <w:rFonts w:eastAsia="Times New Roman" w:cs="Calibri"/>
                <w:color w:val="000000"/>
              </w:rPr>
            </w:pPr>
            <w:r w:rsidRPr="00AD1A31">
              <w:rPr>
                <w:rFonts w:eastAsia="Times New Roman" w:cs="Calibri"/>
                <w:color w:val="000000"/>
              </w:rPr>
              <w:t>2.285.701</w:t>
            </w:r>
          </w:p>
        </w:tc>
        <w:tc>
          <w:tcPr>
            <w:tcW w:w="1488" w:type="dxa"/>
            <w:tcBorders>
              <w:top w:val="nil"/>
              <w:left w:val="nil"/>
              <w:bottom w:val="single" w:sz="8" w:space="0" w:color="A6A6A6"/>
              <w:right w:val="nil"/>
            </w:tcBorders>
            <w:noWrap/>
            <w:vAlign w:val="center"/>
            <w:hideMark/>
          </w:tcPr>
          <w:p w14:paraId="12F5F4E9" w14:textId="77777777" w:rsidR="00E4785C" w:rsidRPr="00AD1A31" w:rsidRDefault="00E4785C">
            <w:pPr>
              <w:spacing w:after="0" w:line="240" w:lineRule="auto"/>
              <w:jc w:val="right"/>
              <w:rPr>
                <w:rFonts w:eastAsia="Times New Roman" w:cs="Calibri"/>
                <w:color w:val="000000"/>
              </w:rPr>
            </w:pPr>
            <w:r w:rsidRPr="00AD1A31">
              <w:rPr>
                <w:rFonts w:eastAsia="Times New Roman" w:cs="Calibri"/>
                <w:color w:val="000000"/>
              </w:rPr>
              <w:t xml:space="preserve">0,87 € </w:t>
            </w:r>
          </w:p>
        </w:tc>
        <w:tc>
          <w:tcPr>
            <w:tcW w:w="2198" w:type="dxa"/>
            <w:tcBorders>
              <w:top w:val="nil"/>
              <w:left w:val="single" w:sz="8" w:space="0" w:color="A6A6A6"/>
              <w:bottom w:val="single" w:sz="8" w:space="0" w:color="A6A6A6"/>
              <w:right w:val="single" w:sz="8" w:space="0" w:color="A6A6A6"/>
            </w:tcBorders>
            <w:vAlign w:val="center"/>
            <w:hideMark/>
          </w:tcPr>
          <w:p w14:paraId="00C13EC1" w14:textId="77777777" w:rsidR="00E4785C" w:rsidRPr="00AD1A31" w:rsidRDefault="00E4785C">
            <w:pPr>
              <w:spacing w:after="0" w:line="240" w:lineRule="auto"/>
              <w:jc w:val="right"/>
              <w:rPr>
                <w:rFonts w:eastAsia="Times New Roman" w:cs="Calibri"/>
                <w:color w:val="000000"/>
              </w:rPr>
            </w:pPr>
            <w:r w:rsidRPr="00AD1A31">
              <w:rPr>
                <w:rFonts w:eastAsia="Times New Roman" w:cs="Calibri"/>
                <w:color w:val="000000"/>
              </w:rPr>
              <w:t>1.985.598 €</w:t>
            </w:r>
          </w:p>
        </w:tc>
      </w:tr>
      <w:tr w:rsidR="00E4785C" w:rsidRPr="00AD1A31" w14:paraId="6A22FD72" w14:textId="77777777">
        <w:trPr>
          <w:trHeight w:val="300"/>
          <w:jc w:val="center"/>
        </w:trPr>
        <w:tc>
          <w:tcPr>
            <w:tcW w:w="1833" w:type="dxa"/>
            <w:tcBorders>
              <w:top w:val="nil"/>
              <w:left w:val="single" w:sz="8" w:space="0" w:color="A6A6A6"/>
              <w:bottom w:val="single" w:sz="8" w:space="0" w:color="A6A6A6"/>
              <w:right w:val="single" w:sz="8" w:space="0" w:color="A6A6A6"/>
            </w:tcBorders>
            <w:noWrap/>
            <w:vAlign w:val="center"/>
            <w:hideMark/>
          </w:tcPr>
          <w:p w14:paraId="2922BD23" w14:textId="77777777" w:rsidR="00E4785C" w:rsidRPr="00AD1A31" w:rsidRDefault="00E4785C">
            <w:pPr>
              <w:spacing w:after="0" w:line="240" w:lineRule="auto"/>
              <w:jc w:val="left"/>
              <w:rPr>
                <w:rFonts w:eastAsia="Times New Roman" w:cs="Calibri"/>
                <w:color w:val="000000"/>
              </w:rPr>
            </w:pPr>
            <w:r w:rsidRPr="00AD1A31">
              <w:rPr>
                <w:rFonts w:eastAsia="Times New Roman" w:cs="Calibri"/>
                <w:color w:val="000000"/>
              </w:rPr>
              <w:t>servizi suburbani</w:t>
            </w:r>
          </w:p>
        </w:tc>
        <w:tc>
          <w:tcPr>
            <w:tcW w:w="1559" w:type="dxa"/>
            <w:tcBorders>
              <w:top w:val="nil"/>
              <w:left w:val="nil"/>
              <w:bottom w:val="single" w:sz="8" w:space="0" w:color="A6A6A6"/>
              <w:right w:val="single" w:sz="8" w:space="0" w:color="A6A6A6"/>
            </w:tcBorders>
            <w:noWrap/>
            <w:vAlign w:val="center"/>
            <w:hideMark/>
          </w:tcPr>
          <w:p w14:paraId="34BEB095" w14:textId="77777777" w:rsidR="00E4785C" w:rsidRPr="00AD1A31" w:rsidRDefault="00E4785C">
            <w:pPr>
              <w:spacing w:after="0" w:line="240" w:lineRule="auto"/>
              <w:jc w:val="right"/>
              <w:rPr>
                <w:rFonts w:eastAsia="Times New Roman" w:cs="Calibri"/>
                <w:color w:val="000000"/>
              </w:rPr>
            </w:pPr>
            <w:r w:rsidRPr="00AD1A31">
              <w:rPr>
                <w:rFonts w:eastAsia="Times New Roman" w:cs="Calibri"/>
                <w:color w:val="000000"/>
              </w:rPr>
              <w:t>1.901.939</w:t>
            </w:r>
          </w:p>
        </w:tc>
        <w:tc>
          <w:tcPr>
            <w:tcW w:w="1488" w:type="dxa"/>
            <w:tcBorders>
              <w:top w:val="nil"/>
              <w:left w:val="nil"/>
              <w:bottom w:val="single" w:sz="8" w:space="0" w:color="A6A6A6"/>
              <w:right w:val="nil"/>
            </w:tcBorders>
            <w:noWrap/>
            <w:vAlign w:val="center"/>
            <w:hideMark/>
          </w:tcPr>
          <w:p w14:paraId="1289238E" w14:textId="77777777" w:rsidR="00E4785C" w:rsidRPr="00AD1A31" w:rsidRDefault="00E4785C">
            <w:pPr>
              <w:spacing w:after="0" w:line="240" w:lineRule="auto"/>
              <w:jc w:val="right"/>
              <w:rPr>
                <w:rFonts w:eastAsia="Times New Roman" w:cs="Calibri"/>
                <w:color w:val="000000"/>
              </w:rPr>
            </w:pPr>
            <w:r w:rsidRPr="00AD1A31">
              <w:rPr>
                <w:rFonts w:eastAsia="Times New Roman" w:cs="Calibri"/>
                <w:color w:val="000000"/>
              </w:rPr>
              <w:t xml:space="preserve">2,30 € </w:t>
            </w:r>
          </w:p>
        </w:tc>
        <w:tc>
          <w:tcPr>
            <w:tcW w:w="2198" w:type="dxa"/>
            <w:tcBorders>
              <w:top w:val="nil"/>
              <w:left w:val="single" w:sz="8" w:space="0" w:color="A6A6A6"/>
              <w:bottom w:val="single" w:sz="8" w:space="0" w:color="A6A6A6"/>
              <w:right w:val="single" w:sz="8" w:space="0" w:color="A6A6A6"/>
            </w:tcBorders>
            <w:vAlign w:val="center"/>
            <w:hideMark/>
          </w:tcPr>
          <w:p w14:paraId="3225AB22" w14:textId="77777777" w:rsidR="00E4785C" w:rsidRPr="00AD1A31" w:rsidRDefault="00E4785C">
            <w:pPr>
              <w:spacing w:after="0" w:line="240" w:lineRule="auto"/>
              <w:jc w:val="right"/>
              <w:rPr>
                <w:rFonts w:eastAsia="Times New Roman" w:cs="Calibri"/>
                <w:color w:val="000000"/>
              </w:rPr>
            </w:pPr>
            <w:r w:rsidRPr="00AD1A31">
              <w:rPr>
                <w:rFonts w:eastAsia="Times New Roman" w:cs="Calibri"/>
                <w:color w:val="000000"/>
              </w:rPr>
              <w:t>4.375.850 €</w:t>
            </w:r>
          </w:p>
        </w:tc>
      </w:tr>
      <w:tr w:rsidR="00E4785C" w:rsidRPr="00AD1A31" w14:paraId="3D25259F" w14:textId="77777777">
        <w:trPr>
          <w:trHeight w:val="300"/>
          <w:jc w:val="center"/>
        </w:trPr>
        <w:tc>
          <w:tcPr>
            <w:tcW w:w="1833" w:type="dxa"/>
            <w:tcBorders>
              <w:top w:val="nil"/>
              <w:left w:val="single" w:sz="8" w:space="0" w:color="A6A6A6"/>
              <w:bottom w:val="single" w:sz="8" w:space="0" w:color="A6A6A6"/>
              <w:right w:val="single" w:sz="8" w:space="0" w:color="A6A6A6"/>
            </w:tcBorders>
            <w:noWrap/>
            <w:vAlign w:val="center"/>
            <w:hideMark/>
          </w:tcPr>
          <w:p w14:paraId="5B61E88C" w14:textId="77777777" w:rsidR="00E4785C" w:rsidRPr="00AD1A31" w:rsidRDefault="00E4785C">
            <w:pPr>
              <w:spacing w:after="0" w:line="240" w:lineRule="auto"/>
              <w:jc w:val="left"/>
              <w:rPr>
                <w:rFonts w:eastAsia="Times New Roman" w:cs="Calibri"/>
                <w:b/>
                <w:bCs/>
                <w:color w:val="000000"/>
              </w:rPr>
            </w:pPr>
            <w:r w:rsidRPr="00AD1A31">
              <w:rPr>
                <w:rFonts w:eastAsia="Times New Roman" w:cs="Calibri"/>
                <w:b/>
                <w:bCs/>
                <w:color w:val="000000"/>
              </w:rPr>
              <w:t>totale lotto</w:t>
            </w:r>
          </w:p>
        </w:tc>
        <w:tc>
          <w:tcPr>
            <w:tcW w:w="1559" w:type="dxa"/>
            <w:tcBorders>
              <w:top w:val="nil"/>
              <w:left w:val="nil"/>
              <w:bottom w:val="single" w:sz="8" w:space="0" w:color="A6A6A6"/>
              <w:right w:val="single" w:sz="8" w:space="0" w:color="A6A6A6"/>
            </w:tcBorders>
            <w:noWrap/>
            <w:vAlign w:val="center"/>
            <w:hideMark/>
          </w:tcPr>
          <w:p w14:paraId="56233B31" w14:textId="77777777" w:rsidR="00E4785C" w:rsidRPr="00AD1A31" w:rsidRDefault="00E4785C">
            <w:pPr>
              <w:spacing w:after="0" w:line="240" w:lineRule="auto"/>
              <w:jc w:val="right"/>
              <w:rPr>
                <w:rFonts w:eastAsia="Times New Roman" w:cs="Calibri"/>
                <w:b/>
                <w:bCs/>
                <w:color w:val="000000"/>
              </w:rPr>
            </w:pPr>
            <w:r w:rsidRPr="00AD1A31">
              <w:rPr>
                <w:rFonts w:eastAsia="Times New Roman" w:cs="Calibri"/>
                <w:b/>
                <w:bCs/>
                <w:color w:val="000000"/>
              </w:rPr>
              <w:t>4.187.640</w:t>
            </w:r>
          </w:p>
        </w:tc>
        <w:tc>
          <w:tcPr>
            <w:tcW w:w="1488" w:type="dxa"/>
            <w:tcBorders>
              <w:top w:val="nil"/>
              <w:left w:val="nil"/>
              <w:bottom w:val="single" w:sz="8" w:space="0" w:color="A6A6A6"/>
              <w:right w:val="nil"/>
            </w:tcBorders>
            <w:noWrap/>
            <w:vAlign w:val="center"/>
            <w:hideMark/>
          </w:tcPr>
          <w:p w14:paraId="20A2BC11" w14:textId="77777777" w:rsidR="00E4785C" w:rsidRPr="00AD1A31" w:rsidRDefault="00E4785C">
            <w:pPr>
              <w:spacing w:after="0" w:line="240" w:lineRule="auto"/>
              <w:jc w:val="right"/>
              <w:rPr>
                <w:rFonts w:eastAsia="Times New Roman" w:cs="Calibri"/>
                <w:b/>
                <w:bCs/>
                <w:color w:val="000000"/>
              </w:rPr>
            </w:pPr>
            <w:r w:rsidRPr="00AD1A31">
              <w:rPr>
                <w:rFonts w:eastAsia="Times New Roman" w:cs="Calibri"/>
                <w:b/>
                <w:bCs/>
                <w:color w:val="000000"/>
              </w:rPr>
              <w:t> </w:t>
            </w:r>
          </w:p>
        </w:tc>
        <w:tc>
          <w:tcPr>
            <w:tcW w:w="2198" w:type="dxa"/>
            <w:tcBorders>
              <w:top w:val="nil"/>
              <w:left w:val="single" w:sz="8" w:space="0" w:color="A6A6A6"/>
              <w:bottom w:val="single" w:sz="8" w:space="0" w:color="A6A6A6"/>
              <w:right w:val="single" w:sz="8" w:space="0" w:color="A6A6A6"/>
            </w:tcBorders>
            <w:vAlign w:val="center"/>
            <w:hideMark/>
          </w:tcPr>
          <w:p w14:paraId="1E1595EB" w14:textId="77777777" w:rsidR="00E4785C" w:rsidRPr="00AD1A31" w:rsidRDefault="00E4785C">
            <w:pPr>
              <w:spacing w:after="0" w:line="240" w:lineRule="auto"/>
              <w:jc w:val="right"/>
              <w:rPr>
                <w:rFonts w:eastAsia="Times New Roman" w:cs="Calibri"/>
                <w:b/>
                <w:bCs/>
                <w:color w:val="000000"/>
              </w:rPr>
            </w:pPr>
            <w:r w:rsidRPr="00AD1A31">
              <w:rPr>
                <w:rFonts w:eastAsia="Times New Roman" w:cs="Calibri"/>
                <w:b/>
                <w:bCs/>
                <w:color w:val="000000"/>
              </w:rPr>
              <w:t>6.361.448 €</w:t>
            </w:r>
          </w:p>
        </w:tc>
      </w:tr>
    </w:tbl>
    <w:p w14:paraId="6FEBBBF3" w14:textId="5E928475" w:rsidR="00E4785C" w:rsidRPr="001D5603" w:rsidRDefault="00E4785C" w:rsidP="00E4785C">
      <w:pPr>
        <w:spacing w:after="200" w:line="240" w:lineRule="auto"/>
        <w:jc w:val="center"/>
        <w:rPr>
          <w:rFonts w:eastAsia="Calibri"/>
          <w:i/>
          <w:iCs/>
          <w:color w:val="003366"/>
          <w:sz w:val="18"/>
          <w:szCs w:val="18"/>
        </w:rPr>
      </w:pPr>
      <w:r w:rsidRPr="00BF35BC">
        <w:rPr>
          <w:rFonts w:eastAsia="Calibri"/>
          <w:i/>
          <w:iCs/>
          <w:color w:val="003366"/>
          <w:sz w:val="18"/>
          <w:szCs w:val="18"/>
        </w:rPr>
        <w:t xml:space="preserve">Tabella </w:t>
      </w:r>
      <w:r w:rsidRPr="00BF35BC">
        <w:rPr>
          <w:rFonts w:cstheme="minorHAnsi"/>
          <w:i/>
          <w:iCs/>
          <w:color w:val="003366"/>
          <w:sz w:val="18"/>
          <w:szCs w:val="18"/>
        </w:rPr>
        <w:fldChar w:fldCharType="begin"/>
      </w:r>
      <w:r w:rsidRPr="00BF35BC">
        <w:rPr>
          <w:rFonts w:cstheme="minorHAnsi"/>
          <w:i/>
          <w:iCs/>
          <w:color w:val="003366"/>
          <w:sz w:val="18"/>
          <w:szCs w:val="18"/>
        </w:rPr>
        <w:instrText xml:space="preserve"> SEQ Tabella \* ARABIC </w:instrText>
      </w:r>
      <w:r w:rsidRPr="00BF35BC">
        <w:rPr>
          <w:rFonts w:cstheme="minorHAnsi"/>
          <w:i/>
          <w:iCs/>
          <w:color w:val="003366"/>
          <w:sz w:val="18"/>
          <w:szCs w:val="18"/>
        </w:rPr>
        <w:fldChar w:fldCharType="separate"/>
      </w:r>
      <w:r w:rsidR="00073B6D">
        <w:rPr>
          <w:rFonts w:cstheme="minorHAnsi"/>
          <w:i/>
          <w:iCs/>
          <w:noProof/>
          <w:color w:val="003366"/>
          <w:sz w:val="18"/>
          <w:szCs w:val="18"/>
        </w:rPr>
        <w:t>78</w:t>
      </w:r>
      <w:r w:rsidRPr="00BF35BC">
        <w:rPr>
          <w:rFonts w:cstheme="minorHAnsi"/>
          <w:i/>
          <w:iCs/>
          <w:noProof/>
          <w:color w:val="003366"/>
          <w:sz w:val="18"/>
          <w:szCs w:val="18"/>
        </w:rPr>
        <w:fldChar w:fldCharType="end"/>
      </w:r>
      <w:r w:rsidRPr="00BF35BC">
        <w:rPr>
          <w:rFonts w:cstheme="minorHAnsi"/>
          <w:i/>
          <w:iCs/>
          <w:noProof/>
          <w:color w:val="003366"/>
          <w:sz w:val="18"/>
          <w:szCs w:val="18"/>
        </w:rPr>
        <w:t xml:space="preserve"> </w:t>
      </w:r>
      <w:r w:rsidRPr="00BF35BC">
        <w:rPr>
          <w:rFonts w:eastAsia="Calibri"/>
          <w:iCs/>
          <w:color w:val="003366"/>
          <w:sz w:val="18"/>
          <w:szCs w:val="18"/>
        </w:rPr>
        <w:t xml:space="preserve">– </w:t>
      </w:r>
      <w:r>
        <w:rPr>
          <w:rFonts w:eastAsia="Calibri"/>
          <w:iCs/>
          <w:color w:val="003366"/>
          <w:sz w:val="18"/>
          <w:szCs w:val="18"/>
        </w:rPr>
        <w:t xml:space="preserve">Stima ricavi UR5 lotto </w:t>
      </w:r>
      <w:r w:rsidRPr="00425863">
        <w:rPr>
          <w:rFonts w:eastAsia="Calibri"/>
          <w:i/>
          <w:color w:val="003366"/>
          <w:sz w:val="18"/>
          <w:szCs w:val="18"/>
        </w:rPr>
        <w:t>in-house</w:t>
      </w:r>
    </w:p>
    <w:p w14:paraId="6DABB92C" w14:textId="5E241A57" w:rsidR="00E4785C" w:rsidRPr="00E4785C" w:rsidRDefault="00E4785C" w:rsidP="00E4785C">
      <w:pPr>
        <w:spacing w:before="120" w:after="0" w:line="240" w:lineRule="auto"/>
        <w:rPr>
          <w:rFonts w:eastAsia="Calibri"/>
          <w:b/>
          <w:bCs/>
        </w:rPr>
      </w:pPr>
      <w:r>
        <w:rPr>
          <w:rFonts w:eastAsia="Calibri"/>
          <w:b/>
          <w:bCs/>
        </w:rPr>
        <w:t>Quadro complessivo delle risorse</w:t>
      </w:r>
    </w:p>
    <w:p w14:paraId="52DE893A" w14:textId="37A54C16" w:rsidR="00A17CB8" w:rsidRDefault="00E277A5" w:rsidP="00E277A5">
      <w:pPr>
        <w:spacing w:before="120" w:after="0" w:line="240" w:lineRule="auto"/>
        <w:rPr>
          <w:rFonts w:eastAsia="Calibri"/>
        </w:rPr>
      </w:pPr>
      <w:r>
        <w:rPr>
          <w:rFonts w:eastAsia="Calibri"/>
        </w:rPr>
        <w:t xml:space="preserve">Di seguito si </w:t>
      </w:r>
      <w:r w:rsidR="00A17CB8">
        <w:rPr>
          <w:rFonts w:eastAsia="Calibri"/>
        </w:rPr>
        <w:t>ricostruisce</w:t>
      </w:r>
      <w:r>
        <w:rPr>
          <w:rFonts w:eastAsia="Calibri"/>
        </w:rPr>
        <w:t xml:space="preserve"> il quadro complessivo delle risorse per la gestione dei contratti di servizio afferenti al Bacino Metropolitano individ</w:t>
      </w:r>
      <w:r w:rsidR="00A17CB8">
        <w:rPr>
          <w:rFonts w:eastAsia="Calibri"/>
        </w:rPr>
        <w:t xml:space="preserve">uati nei due lotti a gara, nel lotto in area a domanda debole e nel lotto </w:t>
      </w:r>
      <w:r w:rsidR="00A17CB8" w:rsidRPr="008E665F">
        <w:rPr>
          <w:rFonts w:eastAsia="Calibri"/>
          <w:i/>
        </w:rPr>
        <w:t>in-house</w:t>
      </w:r>
      <w:r w:rsidR="00A17CB8">
        <w:rPr>
          <w:rFonts w:eastAsia="Calibri"/>
        </w:rPr>
        <w:t>.</w:t>
      </w:r>
    </w:p>
    <w:p w14:paraId="212125C2" w14:textId="77777777" w:rsidR="00C3246B" w:rsidRDefault="00C3246B" w:rsidP="00E277A5">
      <w:pPr>
        <w:spacing w:before="120" w:after="0" w:line="240" w:lineRule="auto"/>
        <w:rPr>
          <w:rFonts w:eastAsia="Calibri"/>
        </w:rPr>
      </w:pPr>
    </w:p>
    <w:tbl>
      <w:tblPr>
        <w:tblW w:w="5000" w:type="pct"/>
        <w:tblCellMar>
          <w:left w:w="70" w:type="dxa"/>
          <w:right w:w="70" w:type="dxa"/>
        </w:tblCellMar>
        <w:tblLook w:val="04A0" w:firstRow="1" w:lastRow="0" w:firstColumn="1" w:lastColumn="0" w:noHBand="0" w:noVBand="1"/>
      </w:tblPr>
      <w:tblGrid>
        <w:gridCol w:w="3726"/>
        <w:gridCol w:w="2262"/>
        <w:gridCol w:w="1642"/>
        <w:gridCol w:w="1440"/>
      </w:tblGrid>
      <w:tr w:rsidR="00D16894" w:rsidRPr="00D16894" w14:paraId="39B3FB0B" w14:textId="77777777" w:rsidTr="00425863">
        <w:trPr>
          <w:trHeight w:val="570"/>
        </w:trPr>
        <w:tc>
          <w:tcPr>
            <w:tcW w:w="2054" w:type="pct"/>
            <w:tcBorders>
              <w:top w:val="single" w:sz="8" w:space="0" w:color="A6A6A6"/>
              <w:left w:val="nil"/>
              <w:bottom w:val="nil"/>
              <w:right w:val="single" w:sz="8" w:space="0" w:color="A6A6A6"/>
            </w:tcBorders>
            <w:shd w:val="clear" w:color="000000" w:fill="EE3438"/>
            <w:vAlign w:val="center"/>
            <w:hideMark/>
          </w:tcPr>
          <w:p w14:paraId="2995F8A8" w14:textId="77777777" w:rsidR="00D16894" w:rsidRPr="00D16894" w:rsidRDefault="00D16894" w:rsidP="00D16894">
            <w:pPr>
              <w:spacing w:after="0" w:line="240" w:lineRule="auto"/>
              <w:jc w:val="center"/>
              <w:rPr>
                <w:rFonts w:ascii="Aptos Narrow" w:eastAsia="Times New Roman" w:hAnsi="Aptos Narrow" w:cs="Times New Roman"/>
                <w:b/>
                <w:bCs/>
                <w:color w:val="FFFFFF"/>
              </w:rPr>
            </w:pPr>
            <w:r w:rsidRPr="00D16894">
              <w:rPr>
                <w:rFonts w:ascii="Aptos Narrow" w:eastAsia="Times New Roman" w:hAnsi="Aptos Narrow" w:cs="Times New Roman"/>
                <w:b/>
                <w:bCs/>
                <w:color w:val="FFFFFF"/>
              </w:rPr>
              <w:t>Risorse attualmente impiegate anno 2023 (netto iva)</w:t>
            </w:r>
          </w:p>
        </w:tc>
        <w:tc>
          <w:tcPr>
            <w:tcW w:w="1247" w:type="pct"/>
            <w:tcBorders>
              <w:top w:val="single" w:sz="8" w:space="0" w:color="A6A6A6"/>
              <w:left w:val="nil"/>
              <w:bottom w:val="nil"/>
              <w:right w:val="single" w:sz="8" w:space="0" w:color="A6A6A6"/>
            </w:tcBorders>
            <w:shd w:val="clear" w:color="000000" w:fill="EE3438"/>
            <w:vAlign w:val="center"/>
            <w:hideMark/>
          </w:tcPr>
          <w:p w14:paraId="7971004C" w14:textId="55C3FB0D" w:rsidR="00D16894" w:rsidRPr="00D16894" w:rsidRDefault="00D16894" w:rsidP="00D16894">
            <w:pPr>
              <w:spacing w:after="0" w:line="240" w:lineRule="auto"/>
              <w:jc w:val="center"/>
              <w:rPr>
                <w:rFonts w:ascii="Aptos Narrow" w:eastAsia="Times New Roman" w:hAnsi="Aptos Narrow" w:cs="Times New Roman"/>
                <w:b/>
                <w:bCs/>
                <w:color w:val="FFFFFF"/>
              </w:rPr>
            </w:pPr>
            <w:r w:rsidRPr="00D16894">
              <w:rPr>
                <w:rFonts w:ascii="Aptos Narrow" w:eastAsia="Times New Roman" w:hAnsi="Aptos Narrow" w:cs="Times New Roman"/>
                <w:b/>
                <w:bCs/>
                <w:color w:val="FFFFFF"/>
              </w:rPr>
              <w:t>Servizi extraurbani ed urbani minori</w:t>
            </w:r>
          </w:p>
        </w:tc>
        <w:tc>
          <w:tcPr>
            <w:tcW w:w="905" w:type="pct"/>
            <w:tcBorders>
              <w:top w:val="single" w:sz="8" w:space="0" w:color="A6A6A6"/>
              <w:left w:val="nil"/>
              <w:bottom w:val="nil"/>
              <w:right w:val="single" w:sz="8" w:space="0" w:color="A6A6A6"/>
            </w:tcBorders>
            <w:shd w:val="clear" w:color="000000" w:fill="EE3438"/>
            <w:vAlign w:val="center"/>
            <w:hideMark/>
          </w:tcPr>
          <w:p w14:paraId="7F255772" w14:textId="28A312BE" w:rsidR="00D16894" w:rsidRPr="00D16894" w:rsidRDefault="00D16894" w:rsidP="00D16894">
            <w:pPr>
              <w:spacing w:after="0" w:line="240" w:lineRule="auto"/>
              <w:jc w:val="center"/>
              <w:rPr>
                <w:rFonts w:ascii="Aptos Narrow" w:eastAsia="Times New Roman" w:hAnsi="Aptos Narrow" w:cs="Times New Roman"/>
                <w:b/>
                <w:bCs/>
                <w:color w:val="FFFFFF"/>
              </w:rPr>
            </w:pPr>
            <w:r w:rsidRPr="00D16894">
              <w:rPr>
                <w:rFonts w:ascii="Aptos Narrow" w:eastAsia="Times New Roman" w:hAnsi="Aptos Narrow" w:cs="Times New Roman"/>
                <w:b/>
                <w:bCs/>
                <w:color w:val="FFFFFF"/>
              </w:rPr>
              <w:t>Servizi suburbani GTT</w:t>
            </w:r>
          </w:p>
        </w:tc>
        <w:tc>
          <w:tcPr>
            <w:tcW w:w="794" w:type="pct"/>
            <w:tcBorders>
              <w:top w:val="nil"/>
              <w:left w:val="nil"/>
              <w:bottom w:val="nil"/>
              <w:right w:val="nil"/>
            </w:tcBorders>
            <w:shd w:val="clear" w:color="000000" w:fill="EE3438"/>
            <w:vAlign w:val="center"/>
            <w:hideMark/>
          </w:tcPr>
          <w:p w14:paraId="5698A9B9" w14:textId="77777777" w:rsidR="00D16894" w:rsidRPr="00D16894" w:rsidRDefault="00D16894" w:rsidP="00D16894">
            <w:pPr>
              <w:spacing w:after="0" w:line="240" w:lineRule="auto"/>
              <w:jc w:val="center"/>
              <w:rPr>
                <w:rFonts w:ascii="Aptos Narrow" w:eastAsia="Times New Roman" w:hAnsi="Aptos Narrow" w:cs="Times New Roman"/>
                <w:b/>
                <w:bCs/>
                <w:color w:val="FFFFFF"/>
              </w:rPr>
            </w:pPr>
            <w:r w:rsidRPr="00D16894">
              <w:rPr>
                <w:rFonts w:ascii="Aptos Narrow" w:eastAsia="Times New Roman" w:hAnsi="Aptos Narrow" w:cs="Times New Roman"/>
                <w:b/>
                <w:bCs/>
                <w:color w:val="FFFFFF"/>
              </w:rPr>
              <w:t>Totale</w:t>
            </w:r>
          </w:p>
        </w:tc>
      </w:tr>
      <w:tr w:rsidR="00D16894" w:rsidRPr="00D16894" w14:paraId="6743DC5F" w14:textId="77777777" w:rsidTr="00425863">
        <w:trPr>
          <w:trHeight w:val="293"/>
        </w:trPr>
        <w:tc>
          <w:tcPr>
            <w:tcW w:w="2054" w:type="pct"/>
            <w:tcBorders>
              <w:top w:val="nil"/>
              <w:left w:val="single" w:sz="8" w:space="0" w:color="A6A6A6"/>
              <w:bottom w:val="single" w:sz="8" w:space="0" w:color="A6A6A6"/>
              <w:right w:val="single" w:sz="8" w:space="0" w:color="A6A6A6"/>
            </w:tcBorders>
            <w:noWrap/>
            <w:vAlign w:val="center"/>
            <w:hideMark/>
          </w:tcPr>
          <w:p w14:paraId="48B2B0DC" w14:textId="77777777" w:rsidR="00D16894" w:rsidRPr="00D16894" w:rsidRDefault="00D16894" w:rsidP="00D16894">
            <w:pPr>
              <w:spacing w:after="0" w:line="240" w:lineRule="auto"/>
              <w:jc w:val="left"/>
              <w:rPr>
                <w:rFonts w:ascii="Aptos Narrow" w:eastAsia="Times New Roman" w:hAnsi="Aptos Narrow" w:cs="Times New Roman"/>
                <w:color w:val="000000"/>
              </w:rPr>
            </w:pPr>
            <w:r w:rsidRPr="00D16894">
              <w:rPr>
                <w:rFonts w:ascii="Aptos Narrow" w:eastAsia="Times New Roman" w:hAnsi="Aptos Narrow" w:cs="Times New Roman"/>
                <w:color w:val="000000"/>
              </w:rPr>
              <w:t>Compensazioni</w:t>
            </w:r>
          </w:p>
        </w:tc>
        <w:tc>
          <w:tcPr>
            <w:tcW w:w="1247" w:type="pct"/>
            <w:tcBorders>
              <w:top w:val="nil"/>
              <w:left w:val="nil"/>
              <w:bottom w:val="single" w:sz="8" w:space="0" w:color="A6A6A6"/>
              <w:right w:val="single" w:sz="8" w:space="0" w:color="A6A6A6"/>
            </w:tcBorders>
            <w:noWrap/>
            <w:vAlign w:val="center"/>
            <w:hideMark/>
          </w:tcPr>
          <w:p w14:paraId="0A37B5ED" w14:textId="77777777" w:rsidR="00D16894" w:rsidRPr="00D16894" w:rsidRDefault="00D16894" w:rsidP="00D16894">
            <w:pPr>
              <w:spacing w:after="0" w:line="240" w:lineRule="auto"/>
              <w:jc w:val="right"/>
              <w:rPr>
                <w:rFonts w:eastAsia="Times New Roman" w:cs="Calibri"/>
                <w:color w:val="000000"/>
              </w:rPr>
            </w:pPr>
            <w:r w:rsidRPr="00D16894">
              <w:rPr>
                <w:rFonts w:eastAsia="Times New Roman" w:cs="Calibri"/>
                <w:color w:val="000000"/>
              </w:rPr>
              <w:t>36.292.064 €</w:t>
            </w:r>
          </w:p>
        </w:tc>
        <w:tc>
          <w:tcPr>
            <w:tcW w:w="905" w:type="pct"/>
            <w:tcBorders>
              <w:top w:val="nil"/>
              <w:left w:val="nil"/>
              <w:bottom w:val="single" w:sz="8" w:space="0" w:color="A6A6A6"/>
              <w:right w:val="single" w:sz="8" w:space="0" w:color="A6A6A6"/>
            </w:tcBorders>
            <w:vAlign w:val="center"/>
            <w:hideMark/>
          </w:tcPr>
          <w:p w14:paraId="164AFBF3" w14:textId="77777777" w:rsidR="00D16894" w:rsidRPr="00D16894" w:rsidRDefault="00D16894" w:rsidP="00D16894">
            <w:pPr>
              <w:spacing w:after="0" w:line="240" w:lineRule="auto"/>
              <w:jc w:val="right"/>
              <w:rPr>
                <w:rFonts w:eastAsia="Times New Roman" w:cs="Calibri"/>
                <w:color w:val="000000"/>
              </w:rPr>
            </w:pPr>
            <w:r w:rsidRPr="00D16894">
              <w:rPr>
                <w:rFonts w:eastAsia="Times New Roman" w:cs="Calibri"/>
                <w:color w:val="000000"/>
              </w:rPr>
              <w:t>5.230.332 €</w:t>
            </w:r>
          </w:p>
        </w:tc>
        <w:tc>
          <w:tcPr>
            <w:tcW w:w="794" w:type="pct"/>
            <w:tcBorders>
              <w:top w:val="nil"/>
              <w:left w:val="nil"/>
              <w:bottom w:val="single" w:sz="8" w:space="0" w:color="A6A6A6"/>
              <w:right w:val="single" w:sz="8" w:space="0" w:color="A6A6A6"/>
            </w:tcBorders>
            <w:noWrap/>
            <w:vAlign w:val="center"/>
            <w:hideMark/>
          </w:tcPr>
          <w:p w14:paraId="55B04B41" w14:textId="77777777" w:rsidR="00D16894" w:rsidRPr="00D16894" w:rsidRDefault="00D16894" w:rsidP="00D16894">
            <w:pPr>
              <w:spacing w:after="0" w:line="240" w:lineRule="auto"/>
              <w:jc w:val="center"/>
              <w:rPr>
                <w:rFonts w:eastAsia="Times New Roman" w:cs="Calibri"/>
                <w:color w:val="000000"/>
              </w:rPr>
            </w:pPr>
            <w:r w:rsidRPr="00D16894">
              <w:rPr>
                <w:rFonts w:eastAsia="Times New Roman" w:cs="Calibri"/>
                <w:color w:val="000000"/>
              </w:rPr>
              <w:t>41.522.396 €</w:t>
            </w:r>
          </w:p>
        </w:tc>
      </w:tr>
      <w:tr w:rsidR="00D16894" w:rsidRPr="00D16894" w14:paraId="570D5401" w14:textId="77777777" w:rsidTr="00425863">
        <w:trPr>
          <w:trHeight w:val="293"/>
        </w:trPr>
        <w:tc>
          <w:tcPr>
            <w:tcW w:w="2054" w:type="pct"/>
            <w:tcBorders>
              <w:top w:val="nil"/>
              <w:left w:val="single" w:sz="8" w:space="0" w:color="A6A6A6"/>
              <w:bottom w:val="single" w:sz="8" w:space="0" w:color="A6A6A6"/>
              <w:right w:val="single" w:sz="8" w:space="0" w:color="A6A6A6"/>
            </w:tcBorders>
            <w:noWrap/>
            <w:vAlign w:val="center"/>
            <w:hideMark/>
          </w:tcPr>
          <w:p w14:paraId="316A0799" w14:textId="77777777" w:rsidR="00D16894" w:rsidRPr="00D16894" w:rsidRDefault="00D16894" w:rsidP="00D16894">
            <w:pPr>
              <w:spacing w:after="0" w:line="240" w:lineRule="auto"/>
              <w:jc w:val="left"/>
              <w:rPr>
                <w:rFonts w:ascii="Aptos Narrow" w:eastAsia="Times New Roman" w:hAnsi="Aptos Narrow" w:cs="Times New Roman"/>
                <w:color w:val="000000"/>
              </w:rPr>
            </w:pPr>
            <w:r w:rsidRPr="00D16894">
              <w:rPr>
                <w:rFonts w:ascii="Aptos Narrow" w:eastAsia="Times New Roman" w:hAnsi="Aptos Narrow" w:cs="Times New Roman"/>
                <w:color w:val="000000"/>
              </w:rPr>
              <w:t>CCNL</w:t>
            </w:r>
          </w:p>
        </w:tc>
        <w:tc>
          <w:tcPr>
            <w:tcW w:w="1247" w:type="pct"/>
            <w:tcBorders>
              <w:top w:val="nil"/>
              <w:left w:val="nil"/>
              <w:bottom w:val="single" w:sz="8" w:space="0" w:color="A6A6A6"/>
              <w:right w:val="single" w:sz="8" w:space="0" w:color="A6A6A6"/>
            </w:tcBorders>
            <w:noWrap/>
            <w:vAlign w:val="center"/>
            <w:hideMark/>
          </w:tcPr>
          <w:p w14:paraId="4BB23F50" w14:textId="77777777" w:rsidR="00D16894" w:rsidRPr="00D16894" w:rsidRDefault="00D16894" w:rsidP="00D16894">
            <w:pPr>
              <w:spacing w:after="0" w:line="240" w:lineRule="auto"/>
              <w:jc w:val="right"/>
              <w:rPr>
                <w:rFonts w:eastAsia="Times New Roman" w:cs="Calibri"/>
                <w:color w:val="000000"/>
              </w:rPr>
            </w:pPr>
            <w:r w:rsidRPr="00D16894">
              <w:rPr>
                <w:rFonts w:eastAsia="Times New Roman" w:cs="Calibri"/>
                <w:color w:val="000000"/>
              </w:rPr>
              <w:t>3.937.751 €</w:t>
            </w:r>
          </w:p>
        </w:tc>
        <w:tc>
          <w:tcPr>
            <w:tcW w:w="905" w:type="pct"/>
            <w:tcBorders>
              <w:top w:val="nil"/>
              <w:left w:val="nil"/>
              <w:bottom w:val="single" w:sz="8" w:space="0" w:color="A6A6A6"/>
              <w:right w:val="single" w:sz="8" w:space="0" w:color="A6A6A6"/>
            </w:tcBorders>
            <w:vAlign w:val="center"/>
            <w:hideMark/>
          </w:tcPr>
          <w:p w14:paraId="1033CBE3" w14:textId="77777777" w:rsidR="00D16894" w:rsidRPr="00D16894" w:rsidRDefault="00D16894" w:rsidP="00D16894">
            <w:pPr>
              <w:spacing w:after="0" w:line="240" w:lineRule="auto"/>
              <w:jc w:val="right"/>
              <w:rPr>
                <w:rFonts w:eastAsia="Times New Roman" w:cs="Calibri"/>
                <w:color w:val="000000"/>
              </w:rPr>
            </w:pPr>
            <w:r w:rsidRPr="00D16894">
              <w:rPr>
                <w:rFonts w:eastAsia="Times New Roman" w:cs="Calibri"/>
                <w:color w:val="000000"/>
              </w:rPr>
              <w:t>950.969 €</w:t>
            </w:r>
          </w:p>
        </w:tc>
        <w:tc>
          <w:tcPr>
            <w:tcW w:w="794" w:type="pct"/>
            <w:tcBorders>
              <w:top w:val="nil"/>
              <w:left w:val="nil"/>
              <w:bottom w:val="single" w:sz="8" w:space="0" w:color="A6A6A6"/>
              <w:right w:val="single" w:sz="8" w:space="0" w:color="A6A6A6"/>
            </w:tcBorders>
            <w:noWrap/>
            <w:vAlign w:val="center"/>
            <w:hideMark/>
          </w:tcPr>
          <w:p w14:paraId="2E21858E" w14:textId="77777777" w:rsidR="00D16894" w:rsidRPr="00D16894" w:rsidRDefault="00D16894" w:rsidP="00D16894">
            <w:pPr>
              <w:spacing w:after="0" w:line="240" w:lineRule="auto"/>
              <w:jc w:val="right"/>
              <w:rPr>
                <w:rFonts w:eastAsia="Times New Roman" w:cs="Calibri"/>
                <w:color w:val="000000"/>
              </w:rPr>
            </w:pPr>
            <w:r w:rsidRPr="00D16894">
              <w:rPr>
                <w:rFonts w:eastAsia="Times New Roman" w:cs="Calibri"/>
                <w:color w:val="000000"/>
              </w:rPr>
              <w:t>4.888.720 €</w:t>
            </w:r>
          </w:p>
        </w:tc>
      </w:tr>
      <w:tr w:rsidR="00D16894" w:rsidRPr="00D16894" w14:paraId="75BED3E6" w14:textId="77777777" w:rsidTr="00425863">
        <w:trPr>
          <w:trHeight w:val="293"/>
        </w:trPr>
        <w:tc>
          <w:tcPr>
            <w:tcW w:w="2054" w:type="pct"/>
            <w:tcBorders>
              <w:top w:val="nil"/>
              <w:left w:val="single" w:sz="8" w:space="0" w:color="A6A6A6"/>
              <w:bottom w:val="single" w:sz="8" w:space="0" w:color="A6A6A6"/>
              <w:right w:val="single" w:sz="8" w:space="0" w:color="A6A6A6"/>
            </w:tcBorders>
            <w:noWrap/>
            <w:vAlign w:val="center"/>
            <w:hideMark/>
          </w:tcPr>
          <w:p w14:paraId="355C85C7" w14:textId="77777777" w:rsidR="00D16894" w:rsidRPr="00D16894" w:rsidRDefault="00D16894" w:rsidP="00D16894">
            <w:pPr>
              <w:spacing w:after="0" w:line="240" w:lineRule="auto"/>
              <w:jc w:val="left"/>
              <w:rPr>
                <w:rFonts w:ascii="Aptos Narrow" w:eastAsia="Times New Roman" w:hAnsi="Aptos Narrow" w:cs="Times New Roman"/>
                <w:b/>
                <w:bCs/>
                <w:color w:val="000000"/>
              </w:rPr>
            </w:pPr>
            <w:r w:rsidRPr="00D16894">
              <w:rPr>
                <w:rFonts w:ascii="Aptos Narrow" w:eastAsia="Times New Roman" w:hAnsi="Aptos Narrow" w:cs="Times New Roman"/>
                <w:b/>
                <w:bCs/>
                <w:color w:val="000000"/>
              </w:rPr>
              <w:t>Totale risorse impegnate</w:t>
            </w:r>
          </w:p>
        </w:tc>
        <w:tc>
          <w:tcPr>
            <w:tcW w:w="1247" w:type="pct"/>
            <w:tcBorders>
              <w:top w:val="nil"/>
              <w:left w:val="nil"/>
              <w:bottom w:val="single" w:sz="8" w:space="0" w:color="A6A6A6"/>
              <w:right w:val="single" w:sz="8" w:space="0" w:color="A6A6A6"/>
            </w:tcBorders>
            <w:noWrap/>
            <w:vAlign w:val="center"/>
            <w:hideMark/>
          </w:tcPr>
          <w:p w14:paraId="3984EDD9" w14:textId="77777777" w:rsidR="00D16894" w:rsidRPr="00D16894" w:rsidRDefault="00D16894" w:rsidP="00D16894">
            <w:pPr>
              <w:spacing w:after="0" w:line="240" w:lineRule="auto"/>
              <w:jc w:val="right"/>
              <w:rPr>
                <w:rFonts w:eastAsia="Times New Roman" w:cs="Calibri"/>
                <w:b/>
                <w:bCs/>
                <w:color w:val="000000"/>
              </w:rPr>
            </w:pPr>
            <w:r w:rsidRPr="00D16894">
              <w:rPr>
                <w:rFonts w:eastAsia="Times New Roman" w:cs="Calibri"/>
                <w:b/>
                <w:bCs/>
                <w:color w:val="000000"/>
              </w:rPr>
              <w:t>40.229.815 €</w:t>
            </w:r>
          </w:p>
        </w:tc>
        <w:tc>
          <w:tcPr>
            <w:tcW w:w="905" w:type="pct"/>
            <w:tcBorders>
              <w:top w:val="nil"/>
              <w:left w:val="nil"/>
              <w:bottom w:val="single" w:sz="8" w:space="0" w:color="A6A6A6"/>
              <w:right w:val="single" w:sz="8" w:space="0" w:color="A6A6A6"/>
            </w:tcBorders>
            <w:noWrap/>
            <w:vAlign w:val="center"/>
            <w:hideMark/>
          </w:tcPr>
          <w:p w14:paraId="3BA56D68" w14:textId="77777777" w:rsidR="00D16894" w:rsidRPr="00D16894" w:rsidRDefault="00D16894" w:rsidP="00D16894">
            <w:pPr>
              <w:spacing w:after="0" w:line="240" w:lineRule="auto"/>
              <w:jc w:val="right"/>
              <w:rPr>
                <w:rFonts w:eastAsia="Times New Roman" w:cs="Calibri"/>
                <w:b/>
                <w:bCs/>
                <w:color w:val="000000"/>
              </w:rPr>
            </w:pPr>
            <w:r w:rsidRPr="00D16894">
              <w:rPr>
                <w:rFonts w:eastAsia="Times New Roman" w:cs="Calibri"/>
                <w:b/>
                <w:bCs/>
                <w:color w:val="000000"/>
              </w:rPr>
              <w:t>6.181.301 €</w:t>
            </w:r>
          </w:p>
        </w:tc>
        <w:tc>
          <w:tcPr>
            <w:tcW w:w="794" w:type="pct"/>
            <w:tcBorders>
              <w:top w:val="nil"/>
              <w:left w:val="nil"/>
              <w:bottom w:val="single" w:sz="8" w:space="0" w:color="A6A6A6"/>
              <w:right w:val="single" w:sz="8" w:space="0" w:color="A6A6A6"/>
            </w:tcBorders>
            <w:noWrap/>
            <w:vAlign w:val="center"/>
            <w:hideMark/>
          </w:tcPr>
          <w:p w14:paraId="546304DF" w14:textId="77777777" w:rsidR="00D16894" w:rsidRPr="00D16894" w:rsidRDefault="00D16894" w:rsidP="00D16894">
            <w:pPr>
              <w:spacing w:after="0" w:line="240" w:lineRule="auto"/>
              <w:jc w:val="right"/>
              <w:rPr>
                <w:rFonts w:eastAsia="Times New Roman" w:cs="Calibri"/>
                <w:b/>
                <w:bCs/>
                <w:color w:val="000000"/>
              </w:rPr>
            </w:pPr>
            <w:r w:rsidRPr="00D16894">
              <w:rPr>
                <w:rFonts w:eastAsia="Times New Roman" w:cs="Calibri"/>
                <w:b/>
                <w:bCs/>
                <w:color w:val="000000"/>
              </w:rPr>
              <w:t>46.411.116 €</w:t>
            </w:r>
          </w:p>
        </w:tc>
      </w:tr>
    </w:tbl>
    <w:p w14:paraId="315147DE" w14:textId="2F19F6B2" w:rsidR="006B667C" w:rsidRDefault="00425863" w:rsidP="00425863">
      <w:pPr>
        <w:spacing w:after="200" w:line="240" w:lineRule="auto"/>
        <w:jc w:val="center"/>
        <w:rPr>
          <w:rFonts w:eastAsia="Calibri"/>
        </w:rPr>
      </w:pPr>
      <w:bookmarkStart w:id="489" w:name="_Ref213064344"/>
      <w:bookmarkStart w:id="490" w:name="_Ref213078228"/>
      <w:r w:rsidRPr="00BF35BC">
        <w:rPr>
          <w:rFonts w:eastAsia="Calibri"/>
          <w:i/>
          <w:iCs/>
          <w:color w:val="003366"/>
          <w:sz w:val="18"/>
          <w:szCs w:val="18"/>
        </w:rPr>
        <w:t>Tabella</w:t>
      </w:r>
      <w:bookmarkEnd w:id="489"/>
      <w:r w:rsidRPr="00BF35BC">
        <w:rPr>
          <w:rFonts w:eastAsia="Calibri"/>
          <w:i/>
          <w:iCs/>
          <w:color w:val="003366"/>
          <w:sz w:val="18"/>
          <w:szCs w:val="18"/>
        </w:rPr>
        <w:t xml:space="preserve"> </w:t>
      </w:r>
      <w:r w:rsidRPr="00BF35BC">
        <w:rPr>
          <w:rFonts w:cstheme="minorHAnsi"/>
          <w:i/>
          <w:iCs/>
          <w:color w:val="003366"/>
          <w:sz w:val="18"/>
          <w:szCs w:val="18"/>
        </w:rPr>
        <w:fldChar w:fldCharType="begin"/>
      </w:r>
      <w:r w:rsidRPr="00BF35BC">
        <w:rPr>
          <w:rFonts w:cstheme="minorHAnsi"/>
          <w:i/>
          <w:iCs/>
          <w:color w:val="003366"/>
          <w:sz w:val="18"/>
          <w:szCs w:val="18"/>
        </w:rPr>
        <w:instrText xml:space="preserve"> SEQ Tabella \* ARABIC </w:instrText>
      </w:r>
      <w:r w:rsidRPr="00BF35BC">
        <w:rPr>
          <w:rFonts w:cstheme="minorHAnsi"/>
          <w:i/>
          <w:iCs/>
          <w:color w:val="003366"/>
          <w:sz w:val="18"/>
          <w:szCs w:val="18"/>
        </w:rPr>
        <w:fldChar w:fldCharType="separate"/>
      </w:r>
      <w:r w:rsidR="00073B6D">
        <w:rPr>
          <w:rFonts w:cstheme="minorHAnsi"/>
          <w:i/>
          <w:iCs/>
          <w:noProof/>
          <w:color w:val="003366"/>
          <w:sz w:val="18"/>
          <w:szCs w:val="18"/>
        </w:rPr>
        <w:t>79</w:t>
      </w:r>
      <w:r w:rsidRPr="00BF35BC">
        <w:rPr>
          <w:rFonts w:cstheme="minorHAnsi"/>
          <w:i/>
          <w:iCs/>
          <w:noProof/>
          <w:color w:val="003366"/>
          <w:sz w:val="18"/>
          <w:szCs w:val="18"/>
        </w:rPr>
        <w:fldChar w:fldCharType="end"/>
      </w:r>
      <w:bookmarkEnd w:id="490"/>
      <w:r w:rsidRPr="00BF35BC">
        <w:rPr>
          <w:rFonts w:cstheme="minorHAnsi"/>
          <w:i/>
          <w:iCs/>
          <w:noProof/>
          <w:color w:val="003366"/>
          <w:sz w:val="18"/>
          <w:szCs w:val="18"/>
        </w:rPr>
        <w:t xml:space="preserve"> </w:t>
      </w:r>
      <w:r w:rsidRPr="00BF35BC">
        <w:rPr>
          <w:rFonts w:eastAsia="Calibri"/>
          <w:iCs/>
          <w:color w:val="003366"/>
          <w:sz w:val="18"/>
          <w:szCs w:val="18"/>
        </w:rPr>
        <w:t>–</w:t>
      </w:r>
      <w:r>
        <w:rPr>
          <w:rFonts w:eastAsia="Calibri"/>
          <w:iCs/>
          <w:color w:val="003366"/>
          <w:sz w:val="18"/>
          <w:szCs w:val="18"/>
        </w:rPr>
        <w:t xml:space="preserve"> Risorse </w:t>
      </w:r>
      <w:r w:rsidR="00E811DA">
        <w:rPr>
          <w:rFonts w:eastAsia="Calibri"/>
          <w:iCs/>
          <w:color w:val="003366"/>
          <w:sz w:val="18"/>
          <w:szCs w:val="18"/>
        </w:rPr>
        <w:t>impiegate</w:t>
      </w:r>
      <w:r>
        <w:rPr>
          <w:rFonts w:eastAsia="Calibri"/>
          <w:iCs/>
          <w:color w:val="003366"/>
          <w:sz w:val="18"/>
          <w:szCs w:val="18"/>
        </w:rPr>
        <w:t xml:space="preserve"> </w:t>
      </w:r>
      <w:r w:rsidR="000360CD">
        <w:rPr>
          <w:rFonts w:eastAsia="Calibri"/>
          <w:iCs/>
          <w:color w:val="003366"/>
          <w:sz w:val="18"/>
          <w:szCs w:val="18"/>
        </w:rPr>
        <w:t xml:space="preserve">per </w:t>
      </w:r>
      <w:r w:rsidR="00E811DA">
        <w:rPr>
          <w:rFonts w:eastAsia="Calibri"/>
          <w:iCs/>
          <w:color w:val="003366"/>
          <w:sz w:val="18"/>
          <w:szCs w:val="18"/>
        </w:rPr>
        <w:t>i servizi confluiti nei</w:t>
      </w:r>
      <w:r w:rsidR="000360CD">
        <w:rPr>
          <w:rFonts w:eastAsia="Calibri"/>
          <w:iCs/>
          <w:color w:val="003366"/>
          <w:sz w:val="18"/>
          <w:szCs w:val="18"/>
        </w:rPr>
        <w:t xml:space="preserve"> lotti a gara, lotto </w:t>
      </w:r>
      <w:r w:rsidR="000360CD" w:rsidRPr="008E665F">
        <w:rPr>
          <w:rFonts w:eastAsia="Calibri"/>
          <w:i/>
          <w:color w:val="003366"/>
          <w:sz w:val="18"/>
          <w:szCs w:val="18"/>
        </w:rPr>
        <w:t>in-house</w:t>
      </w:r>
      <w:r w:rsidR="000360CD">
        <w:rPr>
          <w:rFonts w:eastAsia="Calibri"/>
          <w:iCs/>
          <w:color w:val="003366"/>
          <w:sz w:val="18"/>
          <w:szCs w:val="18"/>
        </w:rPr>
        <w:t xml:space="preserve"> e lotto in ADD</w:t>
      </w:r>
      <w:r w:rsidR="00BB1A6B">
        <w:rPr>
          <w:rFonts w:eastAsia="Calibri"/>
          <w:iCs/>
          <w:color w:val="003366"/>
          <w:sz w:val="18"/>
          <w:szCs w:val="18"/>
        </w:rPr>
        <w:t>.</w:t>
      </w:r>
    </w:p>
    <w:p w14:paraId="04120ECC" w14:textId="25406286" w:rsidR="006B667C" w:rsidRDefault="00C5035E" w:rsidP="006B667C">
      <w:pPr>
        <w:spacing w:before="120" w:after="0" w:line="240" w:lineRule="auto"/>
        <w:rPr>
          <w:rFonts w:eastAsia="Calibri"/>
        </w:rPr>
      </w:pPr>
      <w:r>
        <w:rPr>
          <w:rFonts w:eastAsia="Calibri"/>
        </w:rPr>
        <w:t xml:space="preserve">Analoga metodologia viene utilizzata per la stima dei ricavi individuando i parametri unitari </w:t>
      </w:r>
      <w:r w:rsidR="004C5B81">
        <w:rPr>
          <w:rFonts w:eastAsia="Calibri"/>
        </w:rPr>
        <w:t xml:space="preserve">dei singoli contratti </w:t>
      </w:r>
      <w:r w:rsidR="00CF2A90">
        <w:rPr>
          <w:rFonts w:eastAsia="Calibri"/>
        </w:rPr>
        <w:t>applicandoli a</w:t>
      </w:r>
      <w:r w:rsidR="004C5B81" w:rsidRPr="00C32B3B">
        <w:rPr>
          <w:rFonts w:eastAsia="Calibri"/>
        </w:rPr>
        <w:t>i volumi di produzione associati a tali servizi</w:t>
      </w:r>
      <w:r w:rsidR="00CF2A90">
        <w:rPr>
          <w:rFonts w:eastAsia="Calibri"/>
        </w:rPr>
        <w:t>. La Tabella seguente riporta l’esito di tale valutazione</w:t>
      </w:r>
    </w:p>
    <w:p w14:paraId="13B91578" w14:textId="37009809" w:rsidR="00FB5BD2" w:rsidRDefault="00FB00EF" w:rsidP="006B667C">
      <w:pPr>
        <w:spacing w:before="120" w:after="0" w:line="240" w:lineRule="auto"/>
        <w:rPr>
          <w:rFonts w:eastAsia="Calibri"/>
        </w:rPr>
      </w:pPr>
      <w:r>
        <w:rPr>
          <w:rFonts w:eastAsia="Calibri"/>
        </w:rPr>
        <w:t xml:space="preserve">La tabella seguente riporta il quadro complessivo dei ricavi  </w:t>
      </w:r>
    </w:p>
    <w:p w14:paraId="7F88E2A0" w14:textId="77777777" w:rsidR="007E1E0E" w:rsidRDefault="007E1E0E" w:rsidP="006B667C">
      <w:pPr>
        <w:spacing w:before="120" w:after="0" w:line="240" w:lineRule="auto"/>
        <w:rPr>
          <w:rFonts w:eastAsia="Calibri"/>
        </w:rPr>
      </w:pPr>
    </w:p>
    <w:tbl>
      <w:tblPr>
        <w:tblW w:w="8180" w:type="dxa"/>
        <w:jc w:val="center"/>
        <w:tblCellMar>
          <w:left w:w="70" w:type="dxa"/>
          <w:right w:w="70" w:type="dxa"/>
        </w:tblCellMar>
        <w:tblLook w:val="04A0" w:firstRow="1" w:lastRow="0" w:firstColumn="1" w:lastColumn="0" w:noHBand="0" w:noVBand="1"/>
      </w:tblPr>
      <w:tblGrid>
        <w:gridCol w:w="3360"/>
        <w:gridCol w:w="2040"/>
        <w:gridCol w:w="1480"/>
        <w:gridCol w:w="1300"/>
      </w:tblGrid>
      <w:tr w:rsidR="007E1E0E" w:rsidRPr="007E1E0E" w14:paraId="0C6A02EF" w14:textId="77777777" w:rsidTr="00BB1A6B">
        <w:trPr>
          <w:trHeight w:val="578"/>
          <w:jc w:val="center"/>
        </w:trPr>
        <w:tc>
          <w:tcPr>
            <w:tcW w:w="3360" w:type="dxa"/>
            <w:tcBorders>
              <w:top w:val="single" w:sz="8" w:space="0" w:color="A6A6A6"/>
              <w:left w:val="nil"/>
              <w:bottom w:val="nil"/>
              <w:right w:val="single" w:sz="8" w:space="0" w:color="A6A6A6"/>
            </w:tcBorders>
            <w:shd w:val="clear" w:color="000000" w:fill="EE3438"/>
            <w:vAlign w:val="center"/>
            <w:hideMark/>
          </w:tcPr>
          <w:p w14:paraId="45BEC025" w14:textId="77777777" w:rsidR="007E1E0E" w:rsidRPr="007E1E0E" w:rsidRDefault="007E1E0E" w:rsidP="007E1E0E">
            <w:pPr>
              <w:spacing w:after="0" w:line="240" w:lineRule="auto"/>
              <w:jc w:val="center"/>
              <w:rPr>
                <w:rFonts w:ascii="Aptos Narrow" w:eastAsia="Times New Roman" w:hAnsi="Aptos Narrow" w:cs="Times New Roman"/>
                <w:b/>
                <w:bCs/>
                <w:color w:val="FFFFFF"/>
              </w:rPr>
            </w:pPr>
            <w:r w:rsidRPr="007E1E0E">
              <w:rPr>
                <w:rFonts w:ascii="Aptos Narrow" w:eastAsia="Times New Roman" w:hAnsi="Aptos Narrow" w:cs="Times New Roman"/>
                <w:b/>
                <w:bCs/>
                <w:color w:val="FFFFFF"/>
              </w:rPr>
              <w:t>Ricavi attuali anno 2023 (netto iva)</w:t>
            </w:r>
          </w:p>
        </w:tc>
        <w:tc>
          <w:tcPr>
            <w:tcW w:w="2040" w:type="dxa"/>
            <w:tcBorders>
              <w:top w:val="single" w:sz="8" w:space="0" w:color="A6A6A6"/>
              <w:left w:val="nil"/>
              <w:bottom w:val="nil"/>
              <w:right w:val="single" w:sz="8" w:space="0" w:color="A6A6A6"/>
            </w:tcBorders>
            <w:shd w:val="clear" w:color="000000" w:fill="EE3438"/>
            <w:vAlign w:val="center"/>
            <w:hideMark/>
          </w:tcPr>
          <w:p w14:paraId="41DE1851" w14:textId="1EA80264" w:rsidR="007E1E0E" w:rsidRPr="007E1E0E" w:rsidRDefault="007E1E0E" w:rsidP="007E1E0E">
            <w:pPr>
              <w:spacing w:after="0" w:line="240" w:lineRule="auto"/>
              <w:jc w:val="center"/>
              <w:rPr>
                <w:rFonts w:ascii="Aptos Narrow" w:eastAsia="Times New Roman" w:hAnsi="Aptos Narrow" w:cs="Times New Roman"/>
                <w:b/>
                <w:bCs/>
                <w:color w:val="FFFFFF"/>
              </w:rPr>
            </w:pPr>
            <w:r w:rsidRPr="007E1E0E">
              <w:rPr>
                <w:rFonts w:ascii="Aptos Narrow" w:eastAsia="Times New Roman" w:hAnsi="Aptos Narrow" w:cs="Times New Roman"/>
                <w:b/>
                <w:bCs/>
                <w:color w:val="FFFFFF"/>
              </w:rPr>
              <w:t>Servizi extraurbani ed urbani minori</w:t>
            </w:r>
          </w:p>
        </w:tc>
        <w:tc>
          <w:tcPr>
            <w:tcW w:w="1480" w:type="dxa"/>
            <w:tcBorders>
              <w:top w:val="single" w:sz="8" w:space="0" w:color="A6A6A6"/>
              <w:left w:val="nil"/>
              <w:bottom w:val="nil"/>
              <w:right w:val="single" w:sz="8" w:space="0" w:color="A6A6A6"/>
            </w:tcBorders>
            <w:shd w:val="clear" w:color="000000" w:fill="EE3438"/>
            <w:vAlign w:val="center"/>
            <w:hideMark/>
          </w:tcPr>
          <w:p w14:paraId="0057C335" w14:textId="2B69808F" w:rsidR="007E1E0E" w:rsidRPr="007E1E0E" w:rsidRDefault="007E1E0E" w:rsidP="007E1E0E">
            <w:pPr>
              <w:spacing w:after="0" w:line="240" w:lineRule="auto"/>
              <w:jc w:val="center"/>
              <w:rPr>
                <w:rFonts w:ascii="Aptos Narrow" w:eastAsia="Times New Roman" w:hAnsi="Aptos Narrow" w:cs="Times New Roman"/>
                <w:b/>
                <w:bCs/>
                <w:color w:val="FFFFFF"/>
              </w:rPr>
            </w:pPr>
            <w:r w:rsidRPr="007E1E0E">
              <w:rPr>
                <w:rFonts w:ascii="Aptos Narrow" w:eastAsia="Times New Roman" w:hAnsi="Aptos Narrow" w:cs="Times New Roman"/>
                <w:b/>
                <w:bCs/>
                <w:color w:val="FFFFFF"/>
              </w:rPr>
              <w:t>Servizi suburbani GTT</w:t>
            </w:r>
          </w:p>
        </w:tc>
        <w:tc>
          <w:tcPr>
            <w:tcW w:w="1300" w:type="dxa"/>
            <w:tcBorders>
              <w:top w:val="nil"/>
              <w:left w:val="nil"/>
              <w:bottom w:val="nil"/>
              <w:right w:val="nil"/>
            </w:tcBorders>
            <w:shd w:val="clear" w:color="000000" w:fill="EE3438"/>
            <w:vAlign w:val="center"/>
            <w:hideMark/>
          </w:tcPr>
          <w:p w14:paraId="41E86B52" w14:textId="77777777" w:rsidR="007E1E0E" w:rsidRPr="007E1E0E" w:rsidRDefault="007E1E0E" w:rsidP="007E1E0E">
            <w:pPr>
              <w:spacing w:after="0" w:line="240" w:lineRule="auto"/>
              <w:jc w:val="center"/>
              <w:rPr>
                <w:rFonts w:ascii="Aptos Narrow" w:eastAsia="Times New Roman" w:hAnsi="Aptos Narrow" w:cs="Times New Roman"/>
                <w:b/>
                <w:bCs/>
                <w:color w:val="FFFFFF"/>
              </w:rPr>
            </w:pPr>
            <w:r w:rsidRPr="007E1E0E">
              <w:rPr>
                <w:rFonts w:ascii="Aptos Narrow" w:eastAsia="Times New Roman" w:hAnsi="Aptos Narrow" w:cs="Times New Roman"/>
                <w:b/>
                <w:bCs/>
                <w:color w:val="FFFFFF"/>
              </w:rPr>
              <w:t>Totale</w:t>
            </w:r>
          </w:p>
        </w:tc>
      </w:tr>
      <w:tr w:rsidR="007E1E0E" w:rsidRPr="007E1E0E" w14:paraId="7A173286" w14:textId="77777777" w:rsidTr="00BB1A6B">
        <w:trPr>
          <w:trHeight w:val="293"/>
          <w:jc w:val="center"/>
        </w:trPr>
        <w:tc>
          <w:tcPr>
            <w:tcW w:w="3360" w:type="dxa"/>
            <w:tcBorders>
              <w:top w:val="nil"/>
              <w:left w:val="single" w:sz="8" w:space="0" w:color="A6A6A6"/>
              <w:bottom w:val="single" w:sz="8" w:space="0" w:color="A6A6A6"/>
              <w:right w:val="single" w:sz="8" w:space="0" w:color="A6A6A6"/>
            </w:tcBorders>
            <w:noWrap/>
            <w:vAlign w:val="center"/>
            <w:hideMark/>
          </w:tcPr>
          <w:p w14:paraId="59FF3A07" w14:textId="53DB7A53" w:rsidR="007E1E0E" w:rsidRPr="007E1E0E" w:rsidRDefault="007E1E0E" w:rsidP="007E1E0E">
            <w:pPr>
              <w:spacing w:after="0" w:line="240" w:lineRule="auto"/>
              <w:jc w:val="left"/>
              <w:rPr>
                <w:rFonts w:ascii="Aptos Narrow" w:eastAsia="Times New Roman" w:hAnsi="Aptos Narrow" w:cs="Times New Roman"/>
                <w:color w:val="000000"/>
              </w:rPr>
            </w:pPr>
            <w:r w:rsidRPr="007E1E0E">
              <w:rPr>
                <w:rFonts w:ascii="Aptos Narrow" w:eastAsia="Times New Roman" w:hAnsi="Aptos Narrow" w:cs="Times New Roman"/>
                <w:color w:val="000000"/>
              </w:rPr>
              <w:t>Ricavi tdv</w:t>
            </w:r>
          </w:p>
        </w:tc>
        <w:tc>
          <w:tcPr>
            <w:tcW w:w="2040" w:type="dxa"/>
            <w:tcBorders>
              <w:top w:val="nil"/>
              <w:left w:val="nil"/>
              <w:bottom w:val="single" w:sz="8" w:space="0" w:color="A6A6A6"/>
              <w:right w:val="single" w:sz="8" w:space="0" w:color="A6A6A6"/>
            </w:tcBorders>
            <w:noWrap/>
            <w:vAlign w:val="center"/>
            <w:hideMark/>
          </w:tcPr>
          <w:p w14:paraId="2F620904" w14:textId="77777777" w:rsidR="007E1E0E" w:rsidRPr="007E1E0E" w:rsidRDefault="007E1E0E" w:rsidP="007E1E0E">
            <w:pPr>
              <w:spacing w:after="0" w:line="240" w:lineRule="auto"/>
              <w:jc w:val="right"/>
              <w:rPr>
                <w:rFonts w:ascii="Aptos Narrow" w:eastAsia="Times New Roman" w:hAnsi="Aptos Narrow" w:cs="Times New Roman"/>
                <w:color w:val="000000"/>
              </w:rPr>
            </w:pPr>
            <w:r w:rsidRPr="007E1E0E">
              <w:rPr>
                <w:rFonts w:ascii="Aptos Narrow" w:eastAsia="Times New Roman" w:hAnsi="Aptos Narrow" w:cs="Times New Roman"/>
                <w:color w:val="000000"/>
              </w:rPr>
              <w:t>20.187.501 €</w:t>
            </w:r>
          </w:p>
        </w:tc>
        <w:tc>
          <w:tcPr>
            <w:tcW w:w="1480" w:type="dxa"/>
            <w:tcBorders>
              <w:top w:val="nil"/>
              <w:left w:val="nil"/>
              <w:bottom w:val="single" w:sz="8" w:space="0" w:color="A6A6A6"/>
              <w:right w:val="single" w:sz="8" w:space="0" w:color="A6A6A6"/>
            </w:tcBorders>
            <w:noWrap/>
            <w:vAlign w:val="center"/>
            <w:hideMark/>
          </w:tcPr>
          <w:p w14:paraId="5F00BC90" w14:textId="77777777" w:rsidR="007E1E0E" w:rsidRPr="007E1E0E" w:rsidRDefault="007E1E0E" w:rsidP="007E1E0E">
            <w:pPr>
              <w:spacing w:after="0" w:line="240" w:lineRule="auto"/>
              <w:jc w:val="right"/>
              <w:rPr>
                <w:rFonts w:ascii="Aptos Narrow" w:eastAsia="Times New Roman" w:hAnsi="Aptos Narrow" w:cs="Times New Roman"/>
                <w:color w:val="000000"/>
              </w:rPr>
            </w:pPr>
            <w:r w:rsidRPr="007E1E0E">
              <w:rPr>
                <w:rFonts w:ascii="Aptos Narrow" w:eastAsia="Times New Roman" w:hAnsi="Aptos Narrow" w:cs="Times New Roman"/>
                <w:color w:val="000000"/>
              </w:rPr>
              <w:t>4.375.850 €</w:t>
            </w:r>
          </w:p>
        </w:tc>
        <w:tc>
          <w:tcPr>
            <w:tcW w:w="1300" w:type="dxa"/>
            <w:tcBorders>
              <w:top w:val="nil"/>
              <w:left w:val="nil"/>
              <w:bottom w:val="single" w:sz="8" w:space="0" w:color="A6A6A6"/>
              <w:right w:val="single" w:sz="8" w:space="0" w:color="A6A6A6"/>
            </w:tcBorders>
            <w:noWrap/>
            <w:vAlign w:val="center"/>
            <w:hideMark/>
          </w:tcPr>
          <w:p w14:paraId="3A4EBF8C" w14:textId="77777777" w:rsidR="007E1E0E" w:rsidRPr="007E1E0E" w:rsidRDefault="007E1E0E" w:rsidP="007E1E0E">
            <w:pPr>
              <w:spacing w:after="0" w:line="240" w:lineRule="auto"/>
              <w:jc w:val="right"/>
              <w:rPr>
                <w:rFonts w:ascii="Aptos Narrow" w:eastAsia="Times New Roman" w:hAnsi="Aptos Narrow" w:cs="Times New Roman"/>
                <w:color w:val="000000"/>
              </w:rPr>
            </w:pPr>
            <w:r w:rsidRPr="007E1E0E">
              <w:rPr>
                <w:rFonts w:ascii="Aptos Narrow" w:eastAsia="Times New Roman" w:hAnsi="Aptos Narrow" w:cs="Times New Roman"/>
                <w:color w:val="000000"/>
              </w:rPr>
              <w:t>24.563.351 €</w:t>
            </w:r>
          </w:p>
        </w:tc>
      </w:tr>
    </w:tbl>
    <w:p w14:paraId="041CFD7A" w14:textId="5F982CA6" w:rsidR="00BB1A6B" w:rsidRDefault="00BB1A6B" w:rsidP="00BB1A6B">
      <w:pPr>
        <w:spacing w:after="200" w:line="240" w:lineRule="auto"/>
        <w:jc w:val="center"/>
        <w:rPr>
          <w:rFonts w:eastAsia="Calibri"/>
        </w:rPr>
      </w:pPr>
      <w:bookmarkStart w:id="491" w:name="_Ref213064365"/>
      <w:bookmarkStart w:id="492" w:name="_Ref213065139"/>
      <w:r w:rsidRPr="00BF35BC">
        <w:rPr>
          <w:rFonts w:eastAsia="Calibri"/>
          <w:i/>
          <w:iCs/>
          <w:color w:val="003366"/>
          <w:sz w:val="18"/>
          <w:szCs w:val="18"/>
        </w:rPr>
        <w:t>Tabella</w:t>
      </w:r>
      <w:bookmarkEnd w:id="491"/>
      <w:r w:rsidRPr="00BF35BC">
        <w:rPr>
          <w:rFonts w:eastAsia="Calibri"/>
          <w:i/>
          <w:iCs/>
          <w:color w:val="003366"/>
          <w:sz w:val="18"/>
          <w:szCs w:val="18"/>
        </w:rPr>
        <w:t xml:space="preserve"> </w:t>
      </w:r>
      <w:r w:rsidRPr="00BF35BC">
        <w:rPr>
          <w:rFonts w:cstheme="minorHAnsi"/>
          <w:i/>
          <w:iCs/>
          <w:color w:val="003366"/>
          <w:sz w:val="18"/>
          <w:szCs w:val="18"/>
        </w:rPr>
        <w:fldChar w:fldCharType="begin"/>
      </w:r>
      <w:r w:rsidRPr="00BF35BC">
        <w:rPr>
          <w:rFonts w:cstheme="minorHAnsi"/>
          <w:i/>
          <w:iCs/>
          <w:color w:val="003366"/>
          <w:sz w:val="18"/>
          <w:szCs w:val="18"/>
        </w:rPr>
        <w:instrText xml:space="preserve"> SEQ Tabella \* ARABIC </w:instrText>
      </w:r>
      <w:r w:rsidRPr="00BF35BC">
        <w:rPr>
          <w:rFonts w:cstheme="minorHAnsi"/>
          <w:i/>
          <w:iCs/>
          <w:color w:val="003366"/>
          <w:sz w:val="18"/>
          <w:szCs w:val="18"/>
        </w:rPr>
        <w:fldChar w:fldCharType="separate"/>
      </w:r>
      <w:r w:rsidR="00073B6D">
        <w:rPr>
          <w:rFonts w:cstheme="minorHAnsi"/>
          <w:i/>
          <w:iCs/>
          <w:noProof/>
          <w:color w:val="003366"/>
          <w:sz w:val="18"/>
          <w:szCs w:val="18"/>
        </w:rPr>
        <w:t>80</w:t>
      </w:r>
      <w:r w:rsidRPr="00BF35BC">
        <w:rPr>
          <w:rFonts w:cstheme="minorHAnsi"/>
          <w:i/>
          <w:iCs/>
          <w:noProof/>
          <w:color w:val="003366"/>
          <w:sz w:val="18"/>
          <w:szCs w:val="18"/>
        </w:rPr>
        <w:fldChar w:fldCharType="end"/>
      </w:r>
      <w:bookmarkEnd w:id="492"/>
      <w:r w:rsidRPr="00BF35BC">
        <w:rPr>
          <w:rFonts w:cstheme="minorHAnsi"/>
          <w:i/>
          <w:iCs/>
          <w:noProof/>
          <w:color w:val="003366"/>
          <w:sz w:val="18"/>
          <w:szCs w:val="18"/>
        </w:rPr>
        <w:t xml:space="preserve"> </w:t>
      </w:r>
      <w:r w:rsidRPr="00BF35BC">
        <w:rPr>
          <w:rFonts w:eastAsia="Calibri"/>
          <w:iCs/>
          <w:color w:val="003366"/>
          <w:sz w:val="18"/>
          <w:szCs w:val="18"/>
        </w:rPr>
        <w:t>–</w:t>
      </w:r>
      <w:r>
        <w:rPr>
          <w:rFonts w:eastAsia="Calibri"/>
          <w:iCs/>
          <w:color w:val="003366"/>
          <w:sz w:val="18"/>
          <w:szCs w:val="18"/>
        </w:rPr>
        <w:t xml:space="preserve"> Ricavi per i servizi confluiti nei lotti a gara, lotto </w:t>
      </w:r>
      <w:r w:rsidRPr="008E665F">
        <w:rPr>
          <w:rFonts w:eastAsia="Calibri"/>
          <w:i/>
          <w:color w:val="003366"/>
          <w:sz w:val="18"/>
          <w:szCs w:val="18"/>
        </w:rPr>
        <w:t>in-house</w:t>
      </w:r>
      <w:r>
        <w:rPr>
          <w:rFonts w:eastAsia="Calibri"/>
          <w:iCs/>
          <w:color w:val="003366"/>
          <w:sz w:val="18"/>
          <w:szCs w:val="18"/>
        </w:rPr>
        <w:t xml:space="preserve"> e lotto in ADD.</w:t>
      </w:r>
    </w:p>
    <w:p w14:paraId="467A67A7" w14:textId="03E4A088" w:rsidR="008E0DCE" w:rsidRDefault="008E0DCE" w:rsidP="008E0DCE">
      <w:pPr>
        <w:spacing w:before="120" w:after="0" w:line="240" w:lineRule="auto"/>
        <w:rPr>
          <w:rFonts w:eastAsia="Calibri"/>
        </w:rPr>
      </w:pPr>
      <w:r w:rsidRPr="00291C9D">
        <w:rPr>
          <w:rFonts w:eastAsia="Calibri"/>
        </w:rPr>
        <w:t>Il valore complessivo dei servizi che saranno oggetto di affidamento tramite procedure di gara</w:t>
      </w:r>
      <w:r w:rsidR="00A87386">
        <w:rPr>
          <w:rFonts w:eastAsia="Calibri"/>
        </w:rPr>
        <w:t>, e riportato nella tabella seguente,</w:t>
      </w:r>
      <w:r w:rsidRPr="00291C9D">
        <w:rPr>
          <w:rFonts w:eastAsia="Calibri"/>
        </w:rPr>
        <w:t xml:space="preserve"> ammonta a 54,6 milioni di euro (IVA esclusa), di cui 35,5 milioni inclusivi delle spettanze CCNL, pari al 65% dei costi complessivi, per le compensazioni per l’assolvimento degli obblighi di servizio. </w:t>
      </w:r>
    </w:p>
    <w:p w14:paraId="5C3C87DF" w14:textId="06715570" w:rsidR="00845735" w:rsidRDefault="00845735" w:rsidP="00845735">
      <w:pPr>
        <w:spacing w:before="120" w:after="0" w:line="240" w:lineRule="auto"/>
        <w:rPr>
          <w:rFonts w:eastAsia="Calibri"/>
        </w:rPr>
      </w:pPr>
      <w:r>
        <w:rPr>
          <w:rFonts w:eastAsia="Calibri"/>
        </w:rPr>
        <w:lastRenderedPageBreak/>
        <w:t xml:space="preserve">Mentre il valore complessivo stimato per il lotto </w:t>
      </w:r>
      <w:r w:rsidRPr="008E665F">
        <w:rPr>
          <w:rFonts w:eastAsia="Calibri"/>
          <w:i/>
        </w:rPr>
        <w:t>in-house</w:t>
      </w:r>
      <w:r>
        <w:rPr>
          <w:rFonts w:eastAsia="Calibri"/>
        </w:rPr>
        <w:t xml:space="preserve"> e per l’area domanda debole ammonta a </w:t>
      </w:r>
      <w:r w:rsidR="00B72977" w:rsidRPr="008F14FE">
        <w:rPr>
          <w:rFonts w:eastAsia="Calibri"/>
        </w:rPr>
        <w:t xml:space="preserve">17,9 </w:t>
      </w:r>
      <w:r w:rsidRPr="008F14FE">
        <w:rPr>
          <w:rFonts w:eastAsia="Calibri"/>
        </w:rPr>
        <w:t xml:space="preserve">milioni di euro (IVA esclusa), di cui </w:t>
      </w:r>
      <w:r w:rsidR="00E12F47" w:rsidRPr="008F14FE">
        <w:rPr>
          <w:rFonts w:eastAsia="Calibri"/>
        </w:rPr>
        <w:t>11,2</w:t>
      </w:r>
      <w:r w:rsidRPr="008F14FE">
        <w:rPr>
          <w:rFonts w:eastAsia="Calibri"/>
        </w:rPr>
        <w:t xml:space="preserve"> milioni inclusivi delle spettanze CCNL, pari al 65% dei costi</w:t>
      </w:r>
      <w:r w:rsidRPr="00291C9D">
        <w:rPr>
          <w:rFonts w:eastAsia="Calibri"/>
        </w:rPr>
        <w:t xml:space="preserve"> complessivi, per le compensazioni per l’assolvimento degli obblighi di servizio. </w:t>
      </w:r>
    </w:p>
    <w:p w14:paraId="60E7503A" w14:textId="77777777" w:rsidR="008E0DCE" w:rsidRPr="00291C9D" w:rsidRDefault="008E0DCE" w:rsidP="008E0DCE">
      <w:pPr>
        <w:spacing w:before="120" w:after="0" w:line="240" w:lineRule="auto"/>
        <w:rPr>
          <w:rFonts w:eastAsia="Calibri"/>
        </w:rPr>
      </w:pPr>
    </w:p>
    <w:tbl>
      <w:tblPr>
        <w:tblW w:w="5000" w:type="pct"/>
        <w:tblCellMar>
          <w:left w:w="70" w:type="dxa"/>
          <w:right w:w="70" w:type="dxa"/>
        </w:tblCellMar>
        <w:tblLook w:val="04A0" w:firstRow="1" w:lastRow="0" w:firstColumn="1" w:lastColumn="0" w:noHBand="0" w:noVBand="1"/>
      </w:tblPr>
      <w:tblGrid>
        <w:gridCol w:w="2184"/>
        <w:gridCol w:w="1548"/>
        <w:gridCol w:w="1602"/>
        <w:gridCol w:w="1950"/>
        <w:gridCol w:w="1776"/>
      </w:tblGrid>
      <w:tr w:rsidR="008E0DCE" w:rsidRPr="00740C7D" w14:paraId="2C6851AC" w14:textId="77777777" w:rsidTr="005200AC">
        <w:trPr>
          <w:trHeight w:val="300"/>
        </w:trPr>
        <w:tc>
          <w:tcPr>
            <w:tcW w:w="1210" w:type="pct"/>
            <w:tcBorders>
              <w:top w:val="single" w:sz="4" w:space="0" w:color="A6A6A6"/>
              <w:left w:val="single" w:sz="4" w:space="0" w:color="A6A6A6"/>
              <w:bottom w:val="single" w:sz="4" w:space="0" w:color="A6A6A6"/>
              <w:right w:val="single" w:sz="4" w:space="0" w:color="A6A6A6"/>
            </w:tcBorders>
            <w:shd w:val="clear" w:color="000000" w:fill="EE3438"/>
            <w:vAlign w:val="center"/>
            <w:hideMark/>
          </w:tcPr>
          <w:p w14:paraId="24FDA3C1" w14:textId="77777777" w:rsidR="008E0DCE" w:rsidRPr="00740C7D" w:rsidRDefault="008E0DCE">
            <w:pPr>
              <w:spacing w:after="0" w:line="240" w:lineRule="auto"/>
              <w:jc w:val="center"/>
              <w:rPr>
                <w:rFonts w:eastAsia="Times New Roman" w:cs="Calibri"/>
                <w:b/>
                <w:color w:val="FFFFFF"/>
              </w:rPr>
            </w:pPr>
            <w:r w:rsidRPr="00740C7D">
              <w:rPr>
                <w:rFonts w:eastAsia="Times New Roman" w:cs="Calibri"/>
                <w:b/>
                <w:color w:val="FFFFFF"/>
              </w:rPr>
              <w:t xml:space="preserve">Lotti </w:t>
            </w:r>
          </w:p>
        </w:tc>
        <w:tc>
          <w:tcPr>
            <w:tcW w:w="835" w:type="pct"/>
            <w:tcBorders>
              <w:top w:val="single" w:sz="4" w:space="0" w:color="A6A6A6"/>
              <w:left w:val="nil"/>
              <w:bottom w:val="single" w:sz="4" w:space="0" w:color="A6A6A6"/>
              <w:right w:val="single" w:sz="4" w:space="0" w:color="A6A6A6"/>
            </w:tcBorders>
            <w:shd w:val="clear" w:color="000000" w:fill="EE3438"/>
            <w:vAlign w:val="center"/>
            <w:hideMark/>
          </w:tcPr>
          <w:p w14:paraId="317FDF0F" w14:textId="77777777" w:rsidR="008E0DCE" w:rsidRPr="00740C7D" w:rsidRDefault="008E0DCE">
            <w:pPr>
              <w:spacing w:after="0" w:line="240" w:lineRule="auto"/>
              <w:jc w:val="center"/>
              <w:rPr>
                <w:rFonts w:eastAsia="Times New Roman" w:cs="Calibri"/>
                <w:b/>
                <w:color w:val="FFFFFF"/>
              </w:rPr>
            </w:pPr>
            <w:r w:rsidRPr="00740C7D">
              <w:rPr>
                <w:rFonts w:eastAsia="Times New Roman" w:cs="Calibri"/>
                <w:b/>
                <w:color w:val="FFFFFF"/>
              </w:rPr>
              <w:t>Produzione</w:t>
            </w:r>
          </w:p>
        </w:tc>
        <w:tc>
          <w:tcPr>
            <w:tcW w:w="889" w:type="pct"/>
            <w:tcBorders>
              <w:top w:val="single" w:sz="4" w:space="0" w:color="A6A6A6"/>
              <w:left w:val="nil"/>
              <w:bottom w:val="single" w:sz="4" w:space="0" w:color="A6A6A6"/>
              <w:right w:val="single" w:sz="4" w:space="0" w:color="A6A6A6"/>
            </w:tcBorders>
            <w:shd w:val="clear" w:color="000000" w:fill="EE3438"/>
            <w:vAlign w:val="center"/>
            <w:hideMark/>
          </w:tcPr>
          <w:p w14:paraId="119D01EB" w14:textId="77777777" w:rsidR="008E0DCE" w:rsidRPr="00740C7D" w:rsidRDefault="008E0DCE">
            <w:pPr>
              <w:spacing w:after="0" w:line="240" w:lineRule="auto"/>
              <w:jc w:val="center"/>
              <w:rPr>
                <w:rFonts w:eastAsia="Times New Roman" w:cs="Calibri"/>
                <w:b/>
                <w:color w:val="FFFFFF"/>
              </w:rPr>
            </w:pPr>
            <w:r w:rsidRPr="00740C7D">
              <w:rPr>
                <w:rFonts w:eastAsia="Times New Roman" w:cs="Calibri"/>
                <w:b/>
                <w:color w:val="FFFFFF"/>
              </w:rPr>
              <w:t xml:space="preserve">Costo </w:t>
            </w:r>
          </w:p>
        </w:tc>
        <w:tc>
          <w:tcPr>
            <w:tcW w:w="1081" w:type="pct"/>
            <w:tcBorders>
              <w:top w:val="single" w:sz="4" w:space="0" w:color="A6A6A6"/>
              <w:left w:val="nil"/>
              <w:bottom w:val="single" w:sz="4" w:space="0" w:color="A6A6A6"/>
              <w:right w:val="single" w:sz="4" w:space="0" w:color="A6A6A6"/>
            </w:tcBorders>
            <w:shd w:val="clear" w:color="000000" w:fill="EE3438"/>
            <w:vAlign w:val="center"/>
            <w:hideMark/>
          </w:tcPr>
          <w:p w14:paraId="4F5F4214" w14:textId="77777777" w:rsidR="008E0DCE" w:rsidRPr="00740C7D" w:rsidRDefault="008E0DCE">
            <w:pPr>
              <w:spacing w:after="0" w:line="240" w:lineRule="auto"/>
              <w:jc w:val="center"/>
              <w:rPr>
                <w:rFonts w:eastAsia="Times New Roman" w:cs="Calibri"/>
                <w:b/>
                <w:color w:val="FFFFFF"/>
              </w:rPr>
            </w:pPr>
            <w:r w:rsidRPr="00740C7D">
              <w:rPr>
                <w:rFonts w:eastAsia="Times New Roman" w:cs="Calibri"/>
                <w:b/>
                <w:color w:val="FFFFFF"/>
              </w:rPr>
              <w:t>Base Gara 65%</w:t>
            </w:r>
          </w:p>
        </w:tc>
        <w:tc>
          <w:tcPr>
            <w:tcW w:w="985" w:type="pct"/>
            <w:tcBorders>
              <w:top w:val="single" w:sz="4" w:space="0" w:color="A6A6A6"/>
              <w:left w:val="nil"/>
              <w:bottom w:val="single" w:sz="4" w:space="0" w:color="A6A6A6"/>
              <w:right w:val="single" w:sz="4" w:space="0" w:color="A6A6A6"/>
            </w:tcBorders>
            <w:shd w:val="clear" w:color="000000" w:fill="EE3438"/>
            <w:vAlign w:val="center"/>
            <w:hideMark/>
          </w:tcPr>
          <w:p w14:paraId="1476CB77" w14:textId="77777777" w:rsidR="008E0DCE" w:rsidRPr="00740C7D" w:rsidRDefault="008E0DCE">
            <w:pPr>
              <w:spacing w:after="0" w:line="240" w:lineRule="auto"/>
              <w:jc w:val="center"/>
              <w:rPr>
                <w:rFonts w:eastAsia="Times New Roman" w:cs="Calibri"/>
                <w:b/>
                <w:color w:val="FFFFFF"/>
              </w:rPr>
            </w:pPr>
            <w:r w:rsidRPr="00740C7D">
              <w:rPr>
                <w:rFonts w:eastAsia="Times New Roman" w:cs="Calibri"/>
                <w:b/>
                <w:color w:val="FFFFFF"/>
              </w:rPr>
              <w:t>Ricavi 35%</w:t>
            </w:r>
          </w:p>
        </w:tc>
      </w:tr>
      <w:tr w:rsidR="008E0DCE" w:rsidRPr="00740C7D" w14:paraId="2B15ED77" w14:textId="77777777" w:rsidTr="005200AC">
        <w:trPr>
          <w:trHeight w:val="300"/>
        </w:trPr>
        <w:tc>
          <w:tcPr>
            <w:tcW w:w="1210" w:type="pct"/>
            <w:tcBorders>
              <w:top w:val="nil"/>
              <w:left w:val="single" w:sz="4" w:space="0" w:color="A6A6A6"/>
              <w:bottom w:val="single" w:sz="4" w:space="0" w:color="A6A6A6"/>
              <w:right w:val="single" w:sz="4" w:space="0" w:color="A6A6A6"/>
            </w:tcBorders>
            <w:shd w:val="clear" w:color="000000" w:fill="EE3438"/>
            <w:vAlign w:val="center"/>
            <w:hideMark/>
          </w:tcPr>
          <w:p w14:paraId="39120B3A" w14:textId="77777777" w:rsidR="008E0DCE" w:rsidRPr="00740C7D" w:rsidRDefault="008E0DCE">
            <w:pPr>
              <w:spacing w:after="0" w:line="240" w:lineRule="auto"/>
              <w:jc w:val="left"/>
              <w:rPr>
                <w:rFonts w:eastAsia="Times New Roman" w:cs="Calibri"/>
                <w:color w:val="FFFFFF"/>
              </w:rPr>
            </w:pPr>
            <w:r w:rsidRPr="00740C7D">
              <w:rPr>
                <w:rFonts w:eastAsia="Times New Roman" w:cs="Calibri"/>
                <w:color w:val="FFFFFF"/>
              </w:rPr>
              <w:t> </w:t>
            </w:r>
          </w:p>
        </w:tc>
        <w:tc>
          <w:tcPr>
            <w:tcW w:w="835" w:type="pct"/>
            <w:tcBorders>
              <w:top w:val="nil"/>
              <w:left w:val="nil"/>
              <w:bottom w:val="single" w:sz="4" w:space="0" w:color="A6A6A6"/>
              <w:right w:val="single" w:sz="4" w:space="0" w:color="A6A6A6"/>
            </w:tcBorders>
            <w:shd w:val="clear" w:color="000000" w:fill="EE3438"/>
            <w:noWrap/>
            <w:vAlign w:val="center"/>
            <w:hideMark/>
          </w:tcPr>
          <w:p w14:paraId="04457E73" w14:textId="77777777" w:rsidR="008E0DCE" w:rsidRPr="00740C7D" w:rsidRDefault="008E0DCE">
            <w:pPr>
              <w:spacing w:after="0" w:line="240" w:lineRule="auto"/>
              <w:jc w:val="center"/>
              <w:rPr>
                <w:rFonts w:eastAsia="Times New Roman" w:cs="Calibri"/>
                <w:b/>
                <w:color w:val="FFFFFF"/>
              </w:rPr>
            </w:pPr>
            <w:r w:rsidRPr="00740C7D">
              <w:rPr>
                <w:rFonts w:eastAsia="Times New Roman" w:cs="Calibri"/>
                <w:b/>
                <w:color w:val="FFFFFF"/>
              </w:rPr>
              <w:t>(veic-km/anno)</w:t>
            </w:r>
          </w:p>
        </w:tc>
        <w:tc>
          <w:tcPr>
            <w:tcW w:w="889" w:type="pct"/>
            <w:tcBorders>
              <w:top w:val="nil"/>
              <w:left w:val="nil"/>
              <w:bottom w:val="single" w:sz="4" w:space="0" w:color="A6A6A6"/>
              <w:right w:val="single" w:sz="4" w:space="0" w:color="A6A6A6"/>
            </w:tcBorders>
            <w:shd w:val="clear" w:color="000000" w:fill="EE3438"/>
            <w:vAlign w:val="center"/>
            <w:hideMark/>
          </w:tcPr>
          <w:p w14:paraId="7910B51A" w14:textId="77777777" w:rsidR="008E0DCE" w:rsidRPr="00740C7D" w:rsidRDefault="008E0DCE">
            <w:pPr>
              <w:spacing w:after="0" w:line="240" w:lineRule="auto"/>
              <w:jc w:val="center"/>
              <w:rPr>
                <w:rFonts w:eastAsia="Times New Roman" w:cs="Calibri"/>
                <w:b/>
                <w:color w:val="FFFFFF"/>
              </w:rPr>
            </w:pPr>
            <w:r w:rsidRPr="00740C7D">
              <w:rPr>
                <w:rFonts w:eastAsia="Times New Roman" w:cs="Calibri"/>
                <w:b/>
                <w:color w:val="FFFFFF"/>
              </w:rPr>
              <w:t>(€)</w:t>
            </w:r>
          </w:p>
        </w:tc>
        <w:tc>
          <w:tcPr>
            <w:tcW w:w="1081" w:type="pct"/>
            <w:tcBorders>
              <w:top w:val="nil"/>
              <w:left w:val="nil"/>
              <w:bottom w:val="single" w:sz="4" w:space="0" w:color="A6A6A6"/>
              <w:right w:val="single" w:sz="4" w:space="0" w:color="A6A6A6"/>
            </w:tcBorders>
            <w:shd w:val="clear" w:color="000000" w:fill="EE3438"/>
            <w:vAlign w:val="center"/>
            <w:hideMark/>
          </w:tcPr>
          <w:p w14:paraId="1100908C" w14:textId="77777777" w:rsidR="008E0DCE" w:rsidRPr="00740C7D" w:rsidRDefault="008E0DCE">
            <w:pPr>
              <w:spacing w:after="0" w:line="240" w:lineRule="auto"/>
              <w:jc w:val="center"/>
              <w:rPr>
                <w:rFonts w:eastAsia="Times New Roman" w:cs="Calibri"/>
                <w:b/>
                <w:color w:val="FFFFFF"/>
              </w:rPr>
            </w:pPr>
            <w:r w:rsidRPr="00740C7D">
              <w:rPr>
                <w:rFonts w:eastAsia="Times New Roman" w:cs="Calibri"/>
                <w:b/>
                <w:color w:val="FFFFFF"/>
              </w:rPr>
              <w:t>(€)</w:t>
            </w:r>
          </w:p>
        </w:tc>
        <w:tc>
          <w:tcPr>
            <w:tcW w:w="985" w:type="pct"/>
            <w:tcBorders>
              <w:top w:val="nil"/>
              <w:left w:val="nil"/>
              <w:bottom w:val="single" w:sz="4" w:space="0" w:color="A6A6A6"/>
              <w:right w:val="single" w:sz="4" w:space="0" w:color="A6A6A6"/>
            </w:tcBorders>
            <w:shd w:val="clear" w:color="000000" w:fill="EE3438"/>
            <w:vAlign w:val="center"/>
            <w:hideMark/>
          </w:tcPr>
          <w:p w14:paraId="5DB60620" w14:textId="77777777" w:rsidR="008E0DCE" w:rsidRPr="00740C7D" w:rsidRDefault="008E0DCE">
            <w:pPr>
              <w:spacing w:after="0" w:line="240" w:lineRule="auto"/>
              <w:jc w:val="center"/>
              <w:rPr>
                <w:rFonts w:eastAsia="Times New Roman" w:cs="Calibri"/>
                <w:b/>
                <w:color w:val="FFFFFF"/>
              </w:rPr>
            </w:pPr>
            <w:r w:rsidRPr="00740C7D">
              <w:rPr>
                <w:rFonts w:eastAsia="Times New Roman" w:cs="Calibri"/>
                <w:b/>
                <w:color w:val="FFFFFF"/>
              </w:rPr>
              <w:t>(€)</w:t>
            </w:r>
          </w:p>
        </w:tc>
      </w:tr>
      <w:tr w:rsidR="008E0DCE" w:rsidRPr="00740C7D" w14:paraId="6129D0E5" w14:textId="77777777" w:rsidTr="005200AC">
        <w:trPr>
          <w:trHeight w:val="300"/>
        </w:trPr>
        <w:tc>
          <w:tcPr>
            <w:tcW w:w="1210" w:type="pct"/>
            <w:tcBorders>
              <w:top w:val="nil"/>
              <w:left w:val="single" w:sz="4" w:space="0" w:color="A6A6A6"/>
              <w:bottom w:val="single" w:sz="4" w:space="0" w:color="A6A6A6"/>
              <w:right w:val="single" w:sz="4" w:space="0" w:color="A6A6A6"/>
            </w:tcBorders>
            <w:noWrap/>
            <w:vAlign w:val="bottom"/>
            <w:hideMark/>
          </w:tcPr>
          <w:p w14:paraId="0343C108" w14:textId="77777777" w:rsidR="008E0DCE" w:rsidRPr="00740C7D" w:rsidRDefault="008E0DCE">
            <w:pPr>
              <w:spacing w:after="0" w:line="240" w:lineRule="auto"/>
              <w:jc w:val="left"/>
              <w:rPr>
                <w:rFonts w:ascii="Aptos Narrow" w:eastAsia="Times New Roman" w:hAnsi="Aptos Narrow" w:cs="Times New Roman"/>
                <w:color w:val="000000"/>
              </w:rPr>
            </w:pPr>
            <w:r w:rsidRPr="00740C7D">
              <w:rPr>
                <w:rFonts w:ascii="Aptos Narrow" w:eastAsia="Times New Roman" w:hAnsi="Aptos Narrow" w:cs="Times New Roman"/>
                <w:color w:val="000000"/>
              </w:rPr>
              <w:t>Lotto Nord</w:t>
            </w:r>
          </w:p>
        </w:tc>
        <w:tc>
          <w:tcPr>
            <w:tcW w:w="835" w:type="pct"/>
            <w:tcBorders>
              <w:top w:val="nil"/>
              <w:left w:val="nil"/>
              <w:bottom w:val="single" w:sz="4" w:space="0" w:color="A6A6A6"/>
              <w:right w:val="single" w:sz="4" w:space="0" w:color="A6A6A6"/>
            </w:tcBorders>
            <w:noWrap/>
            <w:vAlign w:val="bottom"/>
            <w:hideMark/>
          </w:tcPr>
          <w:p w14:paraId="5950F85E" w14:textId="77777777" w:rsidR="008E0DCE" w:rsidRPr="00740C7D" w:rsidRDefault="008E0DCE">
            <w:pPr>
              <w:spacing w:after="0" w:line="240" w:lineRule="auto"/>
              <w:jc w:val="right"/>
              <w:rPr>
                <w:rFonts w:ascii="Aptos Narrow" w:eastAsia="Times New Roman" w:hAnsi="Aptos Narrow" w:cs="Times New Roman"/>
                <w:color w:val="000000"/>
              </w:rPr>
            </w:pPr>
            <w:r w:rsidRPr="00740C7D">
              <w:rPr>
                <w:rFonts w:ascii="Aptos Narrow" w:eastAsia="Times New Roman" w:hAnsi="Aptos Narrow" w:cs="Times New Roman"/>
                <w:color w:val="000000"/>
              </w:rPr>
              <w:t>9.080.772 €</w:t>
            </w:r>
          </w:p>
        </w:tc>
        <w:tc>
          <w:tcPr>
            <w:tcW w:w="889" w:type="pct"/>
            <w:tcBorders>
              <w:top w:val="nil"/>
              <w:left w:val="nil"/>
              <w:bottom w:val="single" w:sz="4" w:space="0" w:color="A6A6A6"/>
              <w:right w:val="single" w:sz="4" w:space="0" w:color="A6A6A6"/>
            </w:tcBorders>
            <w:noWrap/>
            <w:vAlign w:val="bottom"/>
            <w:hideMark/>
          </w:tcPr>
          <w:p w14:paraId="12550B4A" w14:textId="77777777" w:rsidR="008E0DCE" w:rsidRPr="00740C7D" w:rsidRDefault="008E0DCE">
            <w:pPr>
              <w:spacing w:after="0" w:line="240" w:lineRule="auto"/>
              <w:jc w:val="right"/>
              <w:rPr>
                <w:rFonts w:ascii="Aptos Narrow" w:eastAsia="Times New Roman" w:hAnsi="Aptos Narrow" w:cs="Times New Roman"/>
                <w:color w:val="000000"/>
              </w:rPr>
            </w:pPr>
            <w:r w:rsidRPr="00740C7D">
              <w:rPr>
                <w:rFonts w:ascii="Aptos Narrow" w:eastAsia="Times New Roman" w:hAnsi="Aptos Narrow" w:cs="Times New Roman"/>
                <w:color w:val="000000"/>
              </w:rPr>
              <w:t>27.912.039 €</w:t>
            </w:r>
          </w:p>
        </w:tc>
        <w:tc>
          <w:tcPr>
            <w:tcW w:w="1081" w:type="pct"/>
            <w:tcBorders>
              <w:top w:val="nil"/>
              <w:left w:val="nil"/>
              <w:bottom w:val="single" w:sz="4" w:space="0" w:color="A6A6A6"/>
              <w:right w:val="single" w:sz="4" w:space="0" w:color="A6A6A6"/>
            </w:tcBorders>
            <w:noWrap/>
            <w:vAlign w:val="bottom"/>
            <w:hideMark/>
          </w:tcPr>
          <w:p w14:paraId="639ED7E5" w14:textId="77777777" w:rsidR="008E0DCE" w:rsidRPr="00740C7D" w:rsidRDefault="008E0DCE">
            <w:pPr>
              <w:spacing w:after="0" w:line="240" w:lineRule="auto"/>
              <w:jc w:val="right"/>
              <w:rPr>
                <w:rFonts w:ascii="Aptos Narrow" w:eastAsia="Times New Roman" w:hAnsi="Aptos Narrow" w:cs="Times New Roman"/>
                <w:color w:val="000000"/>
              </w:rPr>
            </w:pPr>
            <w:r w:rsidRPr="00740C7D">
              <w:rPr>
                <w:rFonts w:ascii="Aptos Narrow" w:eastAsia="Times New Roman" w:hAnsi="Aptos Narrow" w:cs="Times New Roman"/>
                <w:color w:val="000000"/>
              </w:rPr>
              <w:t>18.142.826 €</w:t>
            </w:r>
          </w:p>
        </w:tc>
        <w:tc>
          <w:tcPr>
            <w:tcW w:w="985" w:type="pct"/>
            <w:tcBorders>
              <w:top w:val="nil"/>
              <w:left w:val="nil"/>
              <w:bottom w:val="single" w:sz="4" w:space="0" w:color="A6A6A6"/>
              <w:right w:val="single" w:sz="4" w:space="0" w:color="A6A6A6"/>
            </w:tcBorders>
            <w:noWrap/>
            <w:vAlign w:val="bottom"/>
            <w:hideMark/>
          </w:tcPr>
          <w:p w14:paraId="5FCD4701" w14:textId="77777777" w:rsidR="008E0DCE" w:rsidRPr="00740C7D" w:rsidRDefault="008E0DCE">
            <w:pPr>
              <w:spacing w:after="0" w:line="240" w:lineRule="auto"/>
              <w:jc w:val="right"/>
              <w:rPr>
                <w:rFonts w:ascii="Aptos Narrow" w:eastAsia="Times New Roman" w:hAnsi="Aptos Narrow" w:cs="Times New Roman"/>
                <w:color w:val="000000"/>
              </w:rPr>
            </w:pPr>
            <w:r w:rsidRPr="00740C7D">
              <w:rPr>
                <w:rFonts w:ascii="Aptos Narrow" w:eastAsia="Times New Roman" w:hAnsi="Aptos Narrow" w:cs="Times New Roman"/>
                <w:color w:val="000000"/>
              </w:rPr>
              <w:t>9.769.214 €</w:t>
            </w:r>
          </w:p>
        </w:tc>
      </w:tr>
      <w:tr w:rsidR="008E0DCE" w:rsidRPr="00740C7D" w14:paraId="2A2F2C10" w14:textId="77777777" w:rsidTr="005200AC">
        <w:trPr>
          <w:trHeight w:val="300"/>
        </w:trPr>
        <w:tc>
          <w:tcPr>
            <w:tcW w:w="1210" w:type="pct"/>
            <w:tcBorders>
              <w:top w:val="nil"/>
              <w:left w:val="single" w:sz="4" w:space="0" w:color="A6A6A6"/>
              <w:bottom w:val="single" w:sz="4" w:space="0" w:color="A6A6A6"/>
              <w:right w:val="single" w:sz="4" w:space="0" w:color="A6A6A6"/>
            </w:tcBorders>
            <w:noWrap/>
            <w:vAlign w:val="bottom"/>
            <w:hideMark/>
          </w:tcPr>
          <w:p w14:paraId="1C3FD1BC" w14:textId="77777777" w:rsidR="008E0DCE" w:rsidRPr="00740C7D" w:rsidRDefault="008E0DCE">
            <w:pPr>
              <w:spacing w:after="0" w:line="240" w:lineRule="auto"/>
              <w:jc w:val="left"/>
              <w:rPr>
                <w:rFonts w:ascii="Aptos Narrow" w:eastAsia="Times New Roman" w:hAnsi="Aptos Narrow" w:cs="Times New Roman"/>
                <w:color w:val="000000"/>
              </w:rPr>
            </w:pPr>
            <w:r w:rsidRPr="00740C7D">
              <w:rPr>
                <w:rFonts w:ascii="Aptos Narrow" w:eastAsia="Times New Roman" w:hAnsi="Aptos Narrow" w:cs="Times New Roman"/>
                <w:color w:val="000000"/>
              </w:rPr>
              <w:t>Lotto Sud</w:t>
            </w:r>
          </w:p>
        </w:tc>
        <w:tc>
          <w:tcPr>
            <w:tcW w:w="835" w:type="pct"/>
            <w:tcBorders>
              <w:top w:val="nil"/>
              <w:left w:val="nil"/>
              <w:bottom w:val="single" w:sz="4" w:space="0" w:color="A6A6A6"/>
              <w:right w:val="single" w:sz="4" w:space="0" w:color="A6A6A6"/>
            </w:tcBorders>
            <w:noWrap/>
            <w:vAlign w:val="bottom"/>
            <w:hideMark/>
          </w:tcPr>
          <w:p w14:paraId="575DEC64" w14:textId="77777777" w:rsidR="008E0DCE" w:rsidRPr="00740C7D" w:rsidRDefault="008E0DCE">
            <w:pPr>
              <w:spacing w:after="0" w:line="240" w:lineRule="auto"/>
              <w:jc w:val="right"/>
              <w:rPr>
                <w:rFonts w:ascii="Aptos Narrow" w:eastAsia="Times New Roman" w:hAnsi="Aptos Narrow" w:cs="Times New Roman"/>
                <w:color w:val="000000"/>
              </w:rPr>
            </w:pPr>
            <w:r w:rsidRPr="00740C7D">
              <w:rPr>
                <w:rFonts w:ascii="Aptos Narrow" w:eastAsia="Times New Roman" w:hAnsi="Aptos Narrow" w:cs="Times New Roman"/>
                <w:color w:val="000000"/>
              </w:rPr>
              <w:t>8.322.284 €</w:t>
            </w:r>
          </w:p>
        </w:tc>
        <w:tc>
          <w:tcPr>
            <w:tcW w:w="889" w:type="pct"/>
            <w:tcBorders>
              <w:top w:val="nil"/>
              <w:left w:val="nil"/>
              <w:bottom w:val="single" w:sz="4" w:space="0" w:color="A6A6A6"/>
              <w:right w:val="single" w:sz="4" w:space="0" w:color="A6A6A6"/>
            </w:tcBorders>
            <w:noWrap/>
            <w:vAlign w:val="bottom"/>
            <w:hideMark/>
          </w:tcPr>
          <w:p w14:paraId="4942A307" w14:textId="77777777" w:rsidR="008E0DCE" w:rsidRPr="00740C7D" w:rsidRDefault="008E0DCE">
            <w:pPr>
              <w:spacing w:after="0" w:line="240" w:lineRule="auto"/>
              <w:jc w:val="right"/>
              <w:rPr>
                <w:rFonts w:ascii="Aptos Narrow" w:eastAsia="Times New Roman" w:hAnsi="Aptos Narrow" w:cs="Times New Roman"/>
                <w:color w:val="000000"/>
              </w:rPr>
            </w:pPr>
            <w:r w:rsidRPr="00740C7D">
              <w:rPr>
                <w:rFonts w:ascii="Aptos Narrow" w:eastAsia="Times New Roman" w:hAnsi="Aptos Narrow" w:cs="Times New Roman"/>
                <w:color w:val="000000"/>
              </w:rPr>
              <w:t>26.778.580 €</w:t>
            </w:r>
          </w:p>
        </w:tc>
        <w:tc>
          <w:tcPr>
            <w:tcW w:w="1081" w:type="pct"/>
            <w:tcBorders>
              <w:top w:val="nil"/>
              <w:left w:val="nil"/>
              <w:bottom w:val="single" w:sz="4" w:space="0" w:color="A6A6A6"/>
              <w:right w:val="single" w:sz="4" w:space="0" w:color="A6A6A6"/>
            </w:tcBorders>
            <w:noWrap/>
            <w:vAlign w:val="bottom"/>
            <w:hideMark/>
          </w:tcPr>
          <w:p w14:paraId="1C751032" w14:textId="77777777" w:rsidR="008E0DCE" w:rsidRPr="00740C7D" w:rsidRDefault="008E0DCE">
            <w:pPr>
              <w:spacing w:after="0" w:line="240" w:lineRule="auto"/>
              <w:jc w:val="right"/>
              <w:rPr>
                <w:rFonts w:ascii="Aptos Narrow" w:eastAsia="Times New Roman" w:hAnsi="Aptos Narrow" w:cs="Times New Roman"/>
                <w:color w:val="000000"/>
              </w:rPr>
            </w:pPr>
            <w:r w:rsidRPr="00740C7D">
              <w:rPr>
                <w:rFonts w:ascii="Aptos Narrow" w:eastAsia="Times New Roman" w:hAnsi="Aptos Narrow" w:cs="Times New Roman"/>
                <w:color w:val="000000"/>
              </w:rPr>
              <w:t>17.406.077 €</w:t>
            </w:r>
          </w:p>
        </w:tc>
        <w:tc>
          <w:tcPr>
            <w:tcW w:w="985" w:type="pct"/>
            <w:tcBorders>
              <w:top w:val="nil"/>
              <w:left w:val="nil"/>
              <w:bottom w:val="single" w:sz="4" w:space="0" w:color="A6A6A6"/>
              <w:right w:val="single" w:sz="4" w:space="0" w:color="A6A6A6"/>
            </w:tcBorders>
            <w:noWrap/>
            <w:vAlign w:val="bottom"/>
            <w:hideMark/>
          </w:tcPr>
          <w:p w14:paraId="51FB2109" w14:textId="77777777" w:rsidR="008E0DCE" w:rsidRPr="00740C7D" w:rsidRDefault="008E0DCE">
            <w:pPr>
              <w:spacing w:after="0" w:line="240" w:lineRule="auto"/>
              <w:jc w:val="right"/>
              <w:rPr>
                <w:rFonts w:ascii="Aptos Narrow" w:eastAsia="Times New Roman" w:hAnsi="Aptos Narrow" w:cs="Times New Roman"/>
                <w:color w:val="000000"/>
              </w:rPr>
            </w:pPr>
            <w:r w:rsidRPr="00740C7D">
              <w:rPr>
                <w:rFonts w:ascii="Aptos Narrow" w:eastAsia="Times New Roman" w:hAnsi="Aptos Narrow" w:cs="Times New Roman"/>
                <w:color w:val="000000"/>
              </w:rPr>
              <w:t>9.372.503 €</w:t>
            </w:r>
          </w:p>
        </w:tc>
      </w:tr>
      <w:tr w:rsidR="008E0DCE" w:rsidRPr="00740C7D" w14:paraId="6B43ACBB" w14:textId="77777777" w:rsidTr="005200AC">
        <w:trPr>
          <w:trHeight w:val="300"/>
        </w:trPr>
        <w:tc>
          <w:tcPr>
            <w:tcW w:w="1210" w:type="pct"/>
            <w:tcBorders>
              <w:top w:val="nil"/>
              <w:left w:val="single" w:sz="4" w:space="0" w:color="A6A6A6"/>
              <w:bottom w:val="single" w:sz="4" w:space="0" w:color="A6A6A6"/>
              <w:right w:val="single" w:sz="4" w:space="0" w:color="A6A6A6"/>
            </w:tcBorders>
            <w:noWrap/>
            <w:vAlign w:val="bottom"/>
            <w:hideMark/>
          </w:tcPr>
          <w:p w14:paraId="6EBA3AD3" w14:textId="77777777" w:rsidR="008E0DCE" w:rsidRPr="00740C7D" w:rsidRDefault="008E0DCE">
            <w:pPr>
              <w:spacing w:after="0" w:line="240" w:lineRule="auto"/>
              <w:jc w:val="left"/>
              <w:rPr>
                <w:rFonts w:ascii="Aptos Narrow" w:eastAsia="Times New Roman" w:hAnsi="Aptos Narrow" w:cs="Times New Roman"/>
                <w:color w:val="000000"/>
              </w:rPr>
            </w:pPr>
            <w:r w:rsidRPr="00740C7D">
              <w:rPr>
                <w:rFonts w:ascii="Aptos Narrow" w:eastAsia="Times New Roman" w:hAnsi="Aptos Narrow" w:cs="Times New Roman"/>
                <w:color w:val="000000"/>
              </w:rPr>
              <w:t> </w:t>
            </w:r>
          </w:p>
        </w:tc>
        <w:tc>
          <w:tcPr>
            <w:tcW w:w="835" w:type="pct"/>
            <w:tcBorders>
              <w:top w:val="nil"/>
              <w:left w:val="nil"/>
              <w:bottom w:val="single" w:sz="4" w:space="0" w:color="A6A6A6"/>
              <w:right w:val="single" w:sz="4" w:space="0" w:color="A6A6A6"/>
            </w:tcBorders>
            <w:noWrap/>
            <w:vAlign w:val="bottom"/>
            <w:hideMark/>
          </w:tcPr>
          <w:p w14:paraId="796FA8C2" w14:textId="77777777" w:rsidR="008E0DCE" w:rsidRPr="00740C7D" w:rsidRDefault="008E0DCE">
            <w:pPr>
              <w:spacing w:after="0" w:line="240" w:lineRule="auto"/>
              <w:jc w:val="right"/>
              <w:rPr>
                <w:rFonts w:ascii="Aptos Narrow" w:eastAsia="Times New Roman" w:hAnsi="Aptos Narrow" w:cs="Times New Roman"/>
                <w:b/>
                <w:bCs/>
                <w:color w:val="000000"/>
              </w:rPr>
            </w:pPr>
            <w:r w:rsidRPr="00740C7D">
              <w:rPr>
                <w:rFonts w:ascii="Aptos Narrow" w:eastAsia="Times New Roman" w:hAnsi="Aptos Narrow" w:cs="Times New Roman"/>
                <w:b/>
                <w:bCs/>
                <w:color w:val="000000"/>
              </w:rPr>
              <w:t>17.403.056 €</w:t>
            </w:r>
          </w:p>
        </w:tc>
        <w:tc>
          <w:tcPr>
            <w:tcW w:w="889" w:type="pct"/>
            <w:tcBorders>
              <w:top w:val="nil"/>
              <w:left w:val="nil"/>
              <w:bottom w:val="single" w:sz="4" w:space="0" w:color="A6A6A6"/>
              <w:right w:val="single" w:sz="4" w:space="0" w:color="A6A6A6"/>
            </w:tcBorders>
            <w:noWrap/>
            <w:vAlign w:val="bottom"/>
            <w:hideMark/>
          </w:tcPr>
          <w:p w14:paraId="4BAA2146" w14:textId="77777777" w:rsidR="008E0DCE" w:rsidRPr="00740C7D" w:rsidRDefault="008E0DCE">
            <w:pPr>
              <w:spacing w:after="0" w:line="240" w:lineRule="auto"/>
              <w:jc w:val="right"/>
              <w:rPr>
                <w:rFonts w:ascii="Aptos Narrow" w:eastAsia="Times New Roman" w:hAnsi="Aptos Narrow" w:cs="Times New Roman"/>
                <w:b/>
                <w:bCs/>
                <w:color w:val="000000"/>
              </w:rPr>
            </w:pPr>
            <w:r w:rsidRPr="00740C7D">
              <w:rPr>
                <w:rFonts w:ascii="Aptos Narrow" w:eastAsia="Times New Roman" w:hAnsi="Aptos Narrow" w:cs="Times New Roman"/>
                <w:b/>
                <w:bCs/>
                <w:color w:val="000000"/>
              </w:rPr>
              <w:t>54.690.619 €</w:t>
            </w:r>
          </w:p>
        </w:tc>
        <w:tc>
          <w:tcPr>
            <w:tcW w:w="1081" w:type="pct"/>
            <w:tcBorders>
              <w:top w:val="nil"/>
              <w:left w:val="nil"/>
              <w:bottom w:val="single" w:sz="4" w:space="0" w:color="A6A6A6"/>
              <w:right w:val="single" w:sz="4" w:space="0" w:color="A6A6A6"/>
            </w:tcBorders>
            <w:noWrap/>
            <w:vAlign w:val="bottom"/>
            <w:hideMark/>
          </w:tcPr>
          <w:p w14:paraId="58CB4B93" w14:textId="77777777" w:rsidR="008E0DCE" w:rsidRPr="00740C7D" w:rsidRDefault="008E0DCE">
            <w:pPr>
              <w:spacing w:after="0" w:line="240" w:lineRule="auto"/>
              <w:jc w:val="right"/>
              <w:rPr>
                <w:rFonts w:ascii="Aptos Narrow" w:eastAsia="Times New Roman" w:hAnsi="Aptos Narrow" w:cs="Times New Roman"/>
                <w:b/>
                <w:bCs/>
                <w:color w:val="000000"/>
              </w:rPr>
            </w:pPr>
            <w:r w:rsidRPr="00740C7D">
              <w:rPr>
                <w:rFonts w:ascii="Aptos Narrow" w:eastAsia="Times New Roman" w:hAnsi="Aptos Narrow" w:cs="Times New Roman"/>
                <w:b/>
                <w:bCs/>
                <w:color w:val="000000"/>
              </w:rPr>
              <w:t>35.548.902 €</w:t>
            </w:r>
          </w:p>
        </w:tc>
        <w:tc>
          <w:tcPr>
            <w:tcW w:w="985" w:type="pct"/>
            <w:tcBorders>
              <w:top w:val="nil"/>
              <w:left w:val="nil"/>
              <w:bottom w:val="single" w:sz="4" w:space="0" w:color="A6A6A6"/>
              <w:right w:val="single" w:sz="4" w:space="0" w:color="A6A6A6"/>
            </w:tcBorders>
            <w:noWrap/>
            <w:vAlign w:val="bottom"/>
            <w:hideMark/>
          </w:tcPr>
          <w:p w14:paraId="0A1F3BBE" w14:textId="77777777" w:rsidR="008E0DCE" w:rsidRPr="00740C7D" w:rsidRDefault="008E0DCE">
            <w:pPr>
              <w:spacing w:after="0" w:line="240" w:lineRule="auto"/>
              <w:jc w:val="right"/>
              <w:rPr>
                <w:rFonts w:ascii="Aptos Narrow" w:eastAsia="Times New Roman" w:hAnsi="Aptos Narrow" w:cs="Times New Roman"/>
                <w:b/>
                <w:bCs/>
                <w:color w:val="000000"/>
              </w:rPr>
            </w:pPr>
            <w:r w:rsidRPr="00740C7D">
              <w:rPr>
                <w:rFonts w:ascii="Aptos Narrow" w:eastAsia="Times New Roman" w:hAnsi="Aptos Narrow" w:cs="Times New Roman"/>
                <w:b/>
                <w:bCs/>
                <w:color w:val="000000"/>
              </w:rPr>
              <w:t>19.141.717 €</w:t>
            </w:r>
          </w:p>
        </w:tc>
      </w:tr>
      <w:tr w:rsidR="008E0DCE" w:rsidRPr="00740C7D" w14:paraId="71E9DB45" w14:textId="77777777" w:rsidTr="005200AC">
        <w:trPr>
          <w:trHeight w:val="300"/>
        </w:trPr>
        <w:tc>
          <w:tcPr>
            <w:tcW w:w="1210" w:type="pct"/>
            <w:tcBorders>
              <w:top w:val="nil"/>
              <w:left w:val="single" w:sz="4" w:space="0" w:color="A6A6A6"/>
              <w:bottom w:val="single" w:sz="4" w:space="0" w:color="A6A6A6"/>
              <w:right w:val="single" w:sz="4" w:space="0" w:color="A6A6A6"/>
            </w:tcBorders>
            <w:noWrap/>
            <w:vAlign w:val="center"/>
            <w:hideMark/>
          </w:tcPr>
          <w:p w14:paraId="1E46716E" w14:textId="77777777" w:rsidR="008E0DCE" w:rsidRPr="00740C7D" w:rsidRDefault="008E0DCE">
            <w:pPr>
              <w:spacing w:after="0" w:line="240" w:lineRule="auto"/>
              <w:jc w:val="left"/>
              <w:rPr>
                <w:rFonts w:eastAsia="Times New Roman" w:cs="Calibri"/>
                <w:color w:val="000000"/>
              </w:rPr>
            </w:pPr>
            <w:r w:rsidRPr="00740C7D">
              <w:rPr>
                <w:rFonts w:eastAsia="Times New Roman" w:cs="Calibri"/>
                <w:color w:val="000000"/>
              </w:rPr>
              <w:t>Sublotto UR 3 - ADD</w:t>
            </w:r>
          </w:p>
        </w:tc>
        <w:tc>
          <w:tcPr>
            <w:tcW w:w="835" w:type="pct"/>
            <w:tcBorders>
              <w:top w:val="nil"/>
              <w:left w:val="nil"/>
              <w:bottom w:val="single" w:sz="4" w:space="0" w:color="A6A6A6"/>
              <w:right w:val="single" w:sz="4" w:space="0" w:color="A6A6A6"/>
            </w:tcBorders>
            <w:noWrap/>
            <w:vAlign w:val="center"/>
            <w:hideMark/>
          </w:tcPr>
          <w:p w14:paraId="0F7A473B" w14:textId="77777777" w:rsidR="008E0DCE" w:rsidRPr="00740C7D" w:rsidRDefault="008E0DCE">
            <w:pPr>
              <w:spacing w:after="0" w:line="240" w:lineRule="auto"/>
              <w:jc w:val="right"/>
              <w:rPr>
                <w:rFonts w:eastAsia="Times New Roman" w:cs="Calibri"/>
                <w:color w:val="000000"/>
              </w:rPr>
            </w:pPr>
            <w:r w:rsidRPr="00740C7D">
              <w:rPr>
                <w:rFonts w:eastAsia="Times New Roman" w:cs="Calibri"/>
                <w:color w:val="000000"/>
              </w:rPr>
              <w:t>100.970</w:t>
            </w:r>
          </w:p>
        </w:tc>
        <w:tc>
          <w:tcPr>
            <w:tcW w:w="889" w:type="pct"/>
            <w:tcBorders>
              <w:top w:val="nil"/>
              <w:left w:val="nil"/>
              <w:bottom w:val="single" w:sz="4" w:space="0" w:color="A6A6A6"/>
              <w:right w:val="single" w:sz="4" w:space="0" w:color="A6A6A6"/>
            </w:tcBorders>
            <w:noWrap/>
            <w:vAlign w:val="center"/>
            <w:hideMark/>
          </w:tcPr>
          <w:p w14:paraId="610B53BC" w14:textId="77777777" w:rsidR="008E0DCE" w:rsidRPr="00740C7D" w:rsidRDefault="008E0DCE">
            <w:pPr>
              <w:spacing w:after="0" w:line="240" w:lineRule="auto"/>
              <w:jc w:val="right"/>
              <w:rPr>
                <w:rFonts w:eastAsia="Times New Roman" w:cs="Calibri"/>
                <w:color w:val="000000"/>
              </w:rPr>
            </w:pPr>
            <w:r w:rsidRPr="00740C7D">
              <w:rPr>
                <w:rFonts w:eastAsia="Times New Roman" w:cs="Calibri"/>
                <w:color w:val="000000"/>
              </w:rPr>
              <w:t>309.137 €</w:t>
            </w:r>
          </w:p>
        </w:tc>
        <w:tc>
          <w:tcPr>
            <w:tcW w:w="1081" w:type="pct"/>
            <w:tcBorders>
              <w:top w:val="nil"/>
              <w:left w:val="nil"/>
              <w:bottom w:val="single" w:sz="4" w:space="0" w:color="A6A6A6"/>
              <w:right w:val="single" w:sz="4" w:space="0" w:color="A6A6A6"/>
            </w:tcBorders>
            <w:vAlign w:val="center"/>
            <w:hideMark/>
          </w:tcPr>
          <w:p w14:paraId="0A984112" w14:textId="77777777" w:rsidR="008E0DCE" w:rsidRPr="00740C7D" w:rsidRDefault="008E0DCE">
            <w:pPr>
              <w:spacing w:after="0" w:line="240" w:lineRule="auto"/>
              <w:jc w:val="right"/>
              <w:rPr>
                <w:rFonts w:eastAsia="Times New Roman" w:cs="Calibri"/>
                <w:color w:val="000000"/>
              </w:rPr>
            </w:pPr>
            <w:r w:rsidRPr="00740C7D">
              <w:rPr>
                <w:rFonts w:eastAsia="Times New Roman" w:cs="Calibri"/>
                <w:color w:val="000000"/>
              </w:rPr>
              <w:t>200.939 €</w:t>
            </w:r>
          </w:p>
        </w:tc>
        <w:tc>
          <w:tcPr>
            <w:tcW w:w="985" w:type="pct"/>
            <w:tcBorders>
              <w:top w:val="nil"/>
              <w:left w:val="nil"/>
              <w:bottom w:val="single" w:sz="4" w:space="0" w:color="A6A6A6"/>
              <w:right w:val="single" w:sz="4" w:space="0" w:color="A6A6A6"/>
            </w:tcBorders>
            <w:noWrap/>
            <w:vAlign w:val="center"/>
            <w:hideMark/>
          </w:tcPr>
          <w:p w14:paraId="0E0506FD" w14:textId="77777777" w:rsidR="008E0DCE" w:rsidRPr="00740C7D" w:rsidRDefault="008E0DCE">
            <w:pPr>
              <w:spacing w:after="0" w:line="240" w:lineRule="auto"/>
              <w:jc w:val="right"/>
              <w:rPr>
                <w:rFonts w:eastAsia="Times New Roman" w:cs="Calibri"/>
                <w:color w:val="000000"/>
              </w:rPr>
            </w:pPr>
            <w:r w:rsidRPr="00740C7D">
              <w:rPr>
                <w:rFonts w:eastAsia="Times New Roman" w:cs="Calibri"/>
                <w:color w:val="000000"/>
              </w:rPr>
              <w:t>108.198 €</w:t>
            </w:r>
          </w:p>
        </w:tc>
      </w:tr>
      <w:tr w:rsidR="008E0DCE" w:rsidRPr="00740C7D" w14:paraId="49C82465" w14:textId="77777777" w:rsidTr="005200AC">
        <w:trPr>
          <w:trHeight w:val="300"/>
        </w:trPr>
        <w:tc>
          <w:tcPr>
            <w:tcW w:w="1210" w:type="pct"/>
            <w:tcBorders>
              <w:top w:val="nil"/>
              <w:left w:val="single" w:sz="4" w:space="0" w:color="A6A6A6"/>
              <w:bottom w:val="single" w:sz="4" w:space="0" w:color="A6A6A6"/>
              <w:right w:val="single" w:sz="4" w:space="0" w:color="A6A6A6"/>
            </w:tcBorders>
            <w:noWrap/>
            <w:vAlign w:val="center"/>
            <w:hideMark/>
          </w:tcPr>
          <w:p w14:paraId="338DCB38" w14:textId="77777777" w:rsidR="008E0DCE" w:rsidRPr="00740C7D" w:rsidRDefault="008E0DCE">
            <w:pPr>
              <w:spacing w:after="0" w:line="240" w:lineRule="auto"/>
              <w:jc w:val="left"/>
              <w:rPr>
                <w:rFonts w:eastAsia="Times New Roman" w:cs="Calibri"/>
                <w:color w:val="000000"/>
              </w:rPr>
            </w:pPr>
            <w:r w:rsidRPr="00740C7D">
              <w:rPr>
                <w:rFonts w:eastAsia="Times New Roman" w:cs="Calibri"/>
                <w:color w:val="000000"/>
              </w:rPr>
              <w:t xml:space="preserve">Lotto </w:t>
            </w:r>
            <w:r>
              <w:rPr>
                <w:rFonts w:eastAsia="Times New Roman" w:cs="Calibri"/>
                <w:i/>
                <w:color w:val="000000"/>
              </w:rPr>
              <w:t>in-house</w:t>
            </w:r>
          </w:p>
        </w:tc>
        <w:tc>
          <w:tcPr>
            <w:tcW w:w="835" w:type="pct"/>
            <w:tcBorders>
              <w:top w:val="nil"/>
              <w:left w:val="nil"/>
              <w:bottom w:val="single" w:sz="4" w:space="0" w:color="A6A6A6"/>
              <w:right w:val="single" w:sz="4" w:space="0" w:color="A6A6A6"/>
            </w:tcBorders>
            <w:noWrap/>
            <w:vAlign w:val="center"/>
            <w:hideMark/>
          </w:tcPr>
          <w:p w14:paraId="61BA0593" w14:textId="77777777" w:rsidR="008E0DCE" w:rsidRPr="00740C7D" w:rsidRDefault="008E0DCE">
            <w:pPr>
              <w:spacing w:after="0" w:line="240" w:lineRule="auto"/>
              <w:jc w:val="right"/>
              <w:rPr>
                <w:rFonts w:eastAsia="Times New Roman" w:cs="Calibri"/>
                <w:color w:val="000000"/>
              </w:rPr>
            </w:pPr>
            <w:r w:rsidRPr="00740C7D">
              <w:rPr>
                <w:rFonts w:eastAsia="Times New Roman" w:cs="Calibri"/>
                <w:color w:val="000000"/>
              </w:rPr>
              <w:t>4.187.640</w:t>
            </w:r>
          </w:p>
        </w:tc>
        <w:tc>
          <w:tcPr>
            <w:tcW w:w="889" w:type="pct"/>
            <w:tcBorders>
              <w:top w:val="nil"/>
              <w:left w:val="nil"/>
              <w:bottom w:val="single" w:sz="4" w:space="0" w:color="A6A6A6"/>
              <w:right w:val="single" w:sz="4" w:space="0" w:color="A6A6A6"/>
            </w:tcBorders>
            <w:noWrap/>
            <w:vAlign w:val="center"/>
            <w:hideMark/>
          </w:tcPr>
          <w:p w14:paraId="3874B743" w14:textId="77777777" w:rsidR="008E0DCE" w:rsidRPr="00740C7D" w:rsidRDefault="008E0DCE">
            <w:pPr>
              <w:spacing w:after="0" w:line="240" w:lineRule="auto"/>
              <w:jc w:val="right"/>
              <w:rPr>
                <w:rFonts w:eastAsia="Times New Roman" w:cs="Calibri"/>
                <w:color w:val="000000"/>
              </w:rPr>
            </w:pPr>
            <w:r w:rsidRPr="00740C7D">
              <w:rPr>
                <w:rFonts w:eastAsia="Times New Roman" w:cs="Calibri"/>
                <w:color w:val="000000"/>
              </w:rPr>
              <w:t>16.881.564 €</w:t>
            </w:r>
          </w:p>
        </w:tc>
        <w:tc>
          <w:tcPr>
            <w:tcW w:w="1081" w:type="pct"/>
            <w:tcBorders>
              <w:top w:val="nil"/>
              <w:left w:val="nil"/>
              <w:bottom w:val="single" w:sz="4" w:space="0" w:color="A6A6A6"/>
              <w:right w:val="single" w:sz="4" w:space="0" w:color="A6A6A6"/>
            </w:tcBorders>
            <w:vAlign w:val="center"/>
            <w:hideMark/>
          </w:tcPr>
          <w:p w14:paraId="70A75D87" w14:textId="77777777" w:rsidR="008E0DCE" w:rsidRPr="00740C7D" w:rsidRDefault="008E0DCE">
            <w:pPr>
              <w:spacing w:after="0" w:line="240" w:lineRule="auto"/>
              <w:jc w:val="right"/>
              <w:rPr>
                <w:rFonts w:eastAsia="Times New Roman" w:cs="Calibri"/>
                <w:color w:val="000000"/>
              </w:rPr>
            </w:pPr>
            <w:r w:rsidRPr="00740C7D">
              <w:rPr>
                <w:rFonts w:eastAsia="Times New Roman" w:cs="Calibri"/>
                <w:color w:val="000000"/>
              </w:rPr>
              <w:t>10.973.017 €</w:t>
            </w:r>
          </w:p>
        </w:tc>
        <w:tc>
          <w:tcPr>
            <w:tcW w:w="985" w:type="pct"/>
            <w:tcBorders>
              <w:top w:val="nil"/>
              <w:left w:val="nil"/>
              <w:bottom w:val="single" w:sz="4" w:space="0" w:color="A6A6A6"/>
              <w:right w:val="single" w:sz="4" w:space="0" w:color="A6A6A6"/>
            </w:tcBorders>
            <w:noWrap/>
            <w:vAlign w:val="center"/>
            <w:hideMark/>
          </w:tcPr>
          <w:p w14:paraId="5FBBFC3A" w14:textId="77777777" w:rsidR="008E0DCE" w:rsidRPr="00740C7D" w:rsidRDefault="008E0DCE">
            <w:pPr>
              <w:spacing w:after="0" w:line="240" w:lineRule="auto"/>
              <w:jc w:val="right"/>
              <w:rPr>
                <w:rFonts w:eastAsia="Times New Roman" w:cs="Calibri"/>
                <w:color w:val="000000"/>
              </w:rPr>
            </w:pPr>
            <w:r w:rsidRPr="00740C7D">
              <w:rPr>
                <w:rFonts w:eastAsia="Times New Roman" w:cs="Calibri"/>
                <w:color w:val="000000"/>
              </w:rPr>
              <w:t>5.908.547 €</w:t>
            </w:r>
          </w:p>
        </w:tc>
      </w:tr>
      <w:tr w:rsidR="008E0DCE" w:rsidRPr="00740C7D" w14:paraId="109EB0CE" w14:textId="77777777" w:rsidTr="005200AC">
        <w:trPr>
          <w:trHeight w:val="300"/>
        </w:trPr>
        <w:tc>
          <w:tcPr>
            <w:tcW w:w="1210" w:type="pct"/>
            <w:tcBorders>
              <w:top w:val="nil"/>
              <w:left w:val="single" w:sz="4" w:space="0" w:color="A6A6A6"/>
              <w:bottom w:val="single" w:sz="4" w:space="0" w:color="A6A6A6"/>
              <w:right w:val="single" w:sz="4" w:space="0" w:color="A6A6A6"/>
            </w:tcBorders>
            <w:noWrap/>
            <w:vAlign w:val="bottom"/>
            <w:hideMark/>
          </w:tcPr>
          <w:p w14:paraId="1E29230A" w14:textId="77777777" w:rsidR="008E0DCE" w:rsidRPr="00740C7D" w:rsidRDefault="008E0DCE">
            <w:pPr>
              <w:spacing w:after="0" w:line="240" w:lineRule="auto"/>
              <w:jc w:val="left"/>
              <w:rPr>
                <w:rFonts w:ascii="Aptos Narrow" w:eastAsia="Times New Roman" w:hAnsi="Aptos Narrow" w:cs="Times New Roman"/>
                <w:color w:val="000000"/>
              </w:rPr>
            </w:pPr>
            <w:r w:rsidRPr="00740C7D">
              <w:rPr>
                <w:rFonts w:ascii="Aptos Narrow" w:eastAsia="Times New Roman" w:hAnsi="Aptos Narrow" w:cs="Times New Roman"/>
                <w:color w:val="000000"/>
              </w:rPr>
              <w:t> </w:t>
            </w:r>
          </w:p>
        </w:tc>
        <w:tc>
          <w:tcPr>
            <w:tcW w:w="835" w:type="pct"/>
            <w:tcBorders>
              <w:top w:val="nil"/>
              <w:left w:val="nil"/>
              <w:bottom w:val="single" w:sz="4" w:space="0" w:color="A6A6A6"/>
              <w:right w:val="single" w:sz="4" w:space="0" w:color="A6A6A6"/>
            </w:tcBorders>
            <w:noWrap/>
            <w:vAlign w:val="bottom"/>
            <w:hideMark/>
          </w:tcPr>
          <w:p w14:paraId="2B320323" w14:textId="77777777" w:rsidR="008E0DCE" w:rsidRPr="00740C7D" w:rsidRDefault="008E0DCE">
            <w:pPr>
              <w:spacing w:after="0" w:line="240" w:lineRule="auto"/>
              <w:jc w:val="right"/>
              <w:rPr>
                <w:rFonts w:ascii="Aptos Narrow" w:eastAsia="Times New Roman" w:hAnsi="Aptos Narrow" w:cs="Times New Roman"/>
                <w:b/>
                <w:bCs/>
                <w:color w:val="000000"/>
              </w:rPr>
            </w:pPr>
            <w:r w:rsidRPr="00740C7D">
              <w:rPr>
                <w:rFonts w:ascii="Aptos Narrow" w:eastAsia="Times New Roman" w:hAnsi="Aptos Narrow" w:cs="Times New Roman"/>
                <w:b/>
                <w:bCs/>
                <w:color w:val="000000"/>
              </w:rPr>
              <w:t>21.691.666 €</w:t>
            </w:r>
          </w:p>
        </w:tc>
        <w:tc>
          <w:tcPr>
            <w:tcW w:w="889" w:type="pct"/>
            <w:tcBorders>
              <w:top w:val="nil"/>
              <w:left w:val="nil"/>
              <w:bottom w:val="single" w:sz="4" w:space="0" w:color="A6A6A6"/>
              <w:right w:val="single" w:sz="4" w:space="0" w:color="A6A6A6"/>
            </w:tcBorders>
            <w:noWrap/>
            <w:vAlign w:val="bottom"/>
            <w:hideMark/>
          </w:tcPr>
          <w:p w14:paraId="38AF1AA6" w14:textId="77777777" w:rsidR="008E0DCE" w:rsidRPr="00740C7D" w:rsidRDefault="008E0DCE">
            <w:pPr>
              <w:spacing w:after="0" w:line="240" w:lineRule="auto"/>
              <w:jc w:val="right"/>
              <w:rPr>
                <w:rFonts w:ascii="Aptos Narrow" w:eastAsia="Times New Roman" w:hAnsi="Aptos Narrow" w:cs="Times New Roman"/>
                <w:b/>
                <w:bCs/>
                <w:color w:val="000000"/>
              </w:rPr>
            </w:pPr>
            <w:r w:rsidRPr="00740C7D">
              <w:rPr>
                <w:rFonts w:ascii="Aptos Narrow" w:eastAsia="Times New Roman" w:hAnsi="Aptos Narrow" w:cs="Times New Roman"/>
                <w:b/>
                <w:bCs/>
                <w:color w:val="000000"/>
              </w:rPr>
              <w:t>71.881.319 €</w:t>
            </w:r>
          </w:p>
        </w:tc>
        <w:tc>
          <w:tcPr>
            <w:tcW w:w="1081" w:type="pct"/>
            <w:tcBorders>
              <w:top w:val="nil"/>
              <w:left w:val="nil"/>
              <w:bottom w:val="single" w:sz="4" w:space="0" w:color="A6A6A6"/>
              <w:right w:val="single" w:sz="4" w:space="0" w:color="A6A6A6"/>
            </w:tcBorders>
            <w:noWrap/>
            <w:vAlign w:val="bottom"/>
            <w:hideMark/>
          </w:tcPr>
          <w:p w14:paraId="309E3057" w14:textId="77777777" w:rsidR="008E0DCE" w:rsidRPr="00740C7D" w:rsidRDefault="008E0DCE">
            <w:pPr>
              <w:spacing w:after="0" w:line="240" w:lineRule="auto"/>
              <w:jc w:val="right"/>
              <w:rPr>
                <w:rFonts w:ascii="Aptos Narrow" w:eastAsia="Times New Roman" w:hAnsi="Aptos Narrow" w:cs="Times New Roman"/>
                <w:b/>
                <w:bCs/>
                <w:color w:val="000000"/>
              </w:rPr>
            </w:pPr>
            <w:r w:rsidRPr="00740C7D">
              <w:rPr>
                <w:rFonts w:ascii="Aptos Narrow" w:eastAsia="Times New Roman" w:hAnsi="Aptos Narrow" w:cs="Times New Roman"/>
                <w:b/>
                <w:bCs/>
                <w:color w:val="000000"/>
              </w:rPr>
              <w:t>46.722.858 €</w:t>
            </w:r>
          </w:p>
        </w:tc>
        <w:tc>
          <w:tcPr>
            <w:tcW w:w="985" w:type="pct"/>
            <w:tcBorders>
              <w:top w:val="nil"/>
              <w:left w:val="nil"/>
              <w:bottom w:val="single" w:sz="4" w:space="0" w:color="A6A6A6"/>
              <w:right w:val="single" w:sz="4" w:space="0" w:color="A6A6A6"/>
            </w:tcBorders>
            <w:noWrap/>
            <w:vAlign w:val="bottom"/>
            <w:hideMark/>
          </w:tcPr>
          <w:p w14:paraId="3FB151DF" w14:textId="77777777" w:rsidR="008E0DCE" w:rsidRPr="00740C7D" w:rsidRDefault="008E0DCE">
            <w:pPr>
              <w:spacing w:after="0" w:line="240" w:lineRule="auto"/>
              <w:jc w:val="right"/>
              <w:rPr>
                <w:rFonts w:ascii="Aptos Narrow" w:eastAsia="Times New Roman" w:hAnsi="Aptos Narrow" w:cs="Times New Roman"/>
                <w:b/>
                <w:bCs/>
                <w:color w:val="000000"/>
              </w:rPr>
            </w:pPr>
            <w:r w:rsidRPr="00740C7D">
              <w:rPr>
                <w:rFonts w:ascii="Aptos Narrow" w:eastAsia="Times New Roman" w:hAnsi="Aptos Narrow" w:cs="Times New Roman"/>
                <w:b/>
                <w:bCs/>
                <w:color w:val="000000"/>
              </w:rPr>
              <w:t>25.158.462 €</w:t>
            </w:r>
          </w:p>
        </w:tc>
      </w:tr>
    </w:tbl>
    <w:p w14:paraId="32F18BAE" w14:textId="27677531" w:rsidR="008E0DCE" w:rsidRPr="00AD01C5" w:rsidRDefault="008E0DCE" w:rsidP="008E0DCE">
      <w:pPr>
        <w:spacing w:after="200" w:line="240" w:lineRule="auto"/>
        <w:jc w:val="center"/>
        <w:rPr>
          <w:rFonts w:eastAsia="Calibri"/>
          <w:i/>
          <w:color w:val="003366"/>
          <w:sz w:val="18"/>
          <w:szCs w:val="18"/>
        </w:rPr>
      </w:pPr>
      <w:bookmarkStart w:id="493" w:name="_Ref213064201"/>
      <w:r w:rsidRPr="00AD01C5">
        <w:rPr>
          <w:rFonts w:eastAsia="Calibri"/>
          <w:i/>
          <w:color w:val="003366"/>
          <w:sz w:val="18"/>
          <w:szCs w:val="18"/>
        </w:rPr>
        <w:t xml:space="preserve">Tabella </w:t>
      </w:r>
      <w:r w:rsidRPr="00BF35BC">
        <w:rPr>
          <w:rFonts w:cstheme="minorHAnsi"/>
          <w:i/>
          <w:color w:val="003366"/>
          <w:sz w:val="18"/>
          <w:szCs w:val="18"/>
        </w:rPr>
        <w:fldChar w:fldCharType="begin"/>
      </w:r>
      <w:r w:rsidRPr="00BF35BC">
        <w:rPr>
          <w:rFonts w:cstheme="minorHAnsi"/>
          <w:i/>
          <w:color w:val="003366"/>
          <w:sz w:val="18"/>
          <w:szCs w:val="18"/>
        </w:rPr>
        <w:instrText xml:space="preserve"> SEQ Tabella \* ARABIC </w:instrText>
      </w:r>
      <w:r w:rsidRPr="00BF35BC">
        <w:rPr>
          <w:rFonts w:cstheme="minorHAnsi"/>
          <w:i/>
          <w:color w:val="003366"/>
          <w:sz w:val="18"/>
          <w:szCs w:val="18"/>
        </w:rPr>
        <w:fldChar w:fldCharType="separate"/>
      </w:r>
      <w:r w:rsidR="00073B6D">
        <w:rPr>
          <w:rFonts w:cstheme="minorHAnsi"/>
          <w:i/>
          <w:noProof/>
          <w:color w:val="003366"/>
          <w:sz w:val="18"/>
          <w:szCs w:val="18"/>
        </w:rPr>
        <w:t>81</w:t>
      </w:r>
      <w:r w:rsidRPr="00BF35BC">
        <w:rPr>
          <w:rFonts w:cstheme="minorHAnsi"/>
          <w:i/>
          <w:color w:val="003366"/>
          <w:sz w:val="18"/>
          <w:szCs w:val="18"/>
        </w:rPr>
        <w:fldChar w:fldCharType="end"/>
      </w:r>
      <w:bookmarkEnd w:id="493"/>
      <w:r w:rsidRPr="00BF35BC">
        <w:rPr>
          <w:rFonts w:cstheme="minorHAnsi"/>
          <w:i/>
          <w:color w:val="003366"/>
          <w:sz w:val="18"/>
          <w:szCs w:val="18"/>
        </w:rPr>
        <w:t xml:space="preserve"> </w:t>
      </w:r>
      <w:r w:rsidRPr="00AD01C5">
        <w:rPr>
          <w:rFonts w:eastAsia="Calibri"/>
          <w:color w:val="003366"/>
          <w:sz w:val="18"/>
          <w:szCs w:val="18"/>
        </w:rPr>
        <w:t xml:space="preserve">– </w:t>
      </w:r>
      <w:r>
        <w:rPr>
          <w:rFonts w:eastAsia="Calibri"/>
          <w:i/>
          <w:color w:val="003366"/>
          <w:sz w:val="18"/>
          <w:szCs w:val="18"/>
        </w:rPr>
        <w:t>Sintesi delle produzioni e dei costi dei servizi del Bacino Metropolitano</w:t>
      </w:r>
    </w:p>
    <w:p w14:paraId="2109E181" w14:textId="5C29A37A" w:rsidR="00F825AC" w:rsidRPr="00AB4CC3" w:rsidRDefault="008F14FE" w:rsidP="006B667C">
      <w:pPr>
        <w:spacing w:before="120" w:after="0" w:line="240" w:lineRule="auto"/>
        <w:rPr>
          <w:rFonts w:eastAsia="Calibri"/>
        </w:rPr>
      </w:pPr>
      <w:r>
        <w:rPr>
          <w:rFonts w:eastAsia="Calibri"/>
        </w:rPr>
        <w:t xml:space="preserve">Come evidente dalla </w:t>
      </w:r>
      <w:r w:rsidR="003319FE" w:rsidRPr="00AB4CC3">
        <w:rPr>
          <w:rFonts w:eastAsia="Calibri"/>
        </w:rPr>
        <w:fldChar w:fldCharType="begin"/>
      </w:r>
      <w:r w:rsidR="003319FE" w:rsidRPr="00AB4CC3">
        <w:rPr>
          <w:rFonts w:eastAsia="Calibri"/>
        </w:rPr>
        <w:instrText xml:space="preserve"> REF _Ref213064201 \h </w:instrText>
      </w:r>
      <w:r w:rsidR="00AB4CC3" w:rsidRPr="00AB4CC3">
        <w:rPr>
          <w:rFonts w:eastAsia="Calibri"/>
        </w:rPr>
        <w:instrText xml:space="preserve"> \* MERGEFORMAT </w:instrText>
      </w:r>
      <w:r w:rsidR="003319FE" w:rsidRPr="00AB4CC3">
        <w:rPr>
          <w:rFonts w:eastAsia="Calibri"/>
        </w:rPr>
      </w:r>
      <w:r w:rsidR="003319FE" w:rsidRPr="00AB4CC3">
        <w:rPr>
          <w:rFonts w:eastAsia="Calibri"/>
        </w:rPr>
        <w:fldChar w:fldCharType="separate"/>
      </w:r>
      <w:r w:rsidR="00073B6D" w:rsidRPr="00073B6D">
        <w:rPr>
          <w:rFonts w:eastAsia="Calibri"/>
        </w:rPr>
        <w:t xml:space="preserve">Tabella </w:t>
      </w:r>
      <w:r w:rsidR="00073B6D" w:rsidRPr="00073B6D">
        <w:rPr>
          <w:rFonts w:cstheme="minorHAnsi"/>
          <w:noProof/>
        </w:rPr>
        <w:t>81</w:t>
      </w:r>
      <w:r w:rsidR="003319FE" w:rsidRPr="00AB4CC3">
        <w:rPr>
          <w:rFonts w:eastAsia="Calibri"/>
        </w:rPr>
        <w:fldChar w:fldCharType="end"/>
      </w:r>
      <w:r w:rsidR="003319FE" w:rsidRPr="00AB4CC3">
        <w:rPr>
          <w:rFonts w:eastAsia="Calibri"/>
        </w:rPr>
        <w:t xml:space="preserve"> </w:t>
      </w:r>
      <w:r w:rsidRPr="00AB4CC3">
        <w:rPr>
          <w:rFonts w:eastAsia="Calibri"/>
        </w:rPr>
        <w:t>l</w:t>
      </w:r>
      <w:r w:rsidR="003319FE" w:rsidRPr="00AB4CC3">
        <w:rPr>
          <w:rFonts w:eastAsia="Calibri"/>
        </w:rPr>
        <w:t xml:space="preserve">e somme complessivamente necessarie per le compensazioni degli obblighi di servizio, valutati con la metodologia del </w:t>
      </w:r>
      <w:r w:rsidR="003F5ED3" w:rsidRPr="00AB4CC3">
        <w:rPr>
          <w:rFonts w:eastAsia="Calibri"/>
        </w:rPr>
        <w:t>costo standard sono circa 46,7 milioni di €, mentre i ricavi standard ammontano a circa 25,2</w:t>
      </w:r>
      <w:r w:rsidR="003319FE" w:rsidRPr="00AB4CC3">
        <w:rPr>
          <w:rFonts w:eastAsia="Calibri"/>
        </w:rPr>
        <w:t xml:space="preserve"> </w:t>
      </w:r>
      <w:r w:rsidR="003F5ED3" w:rsidRPr="00AB4CC3">
        <w:rPr>
          <w:rFonts w:eastAsia="Calibri"/>
        </w:rPr>
        <w:t>milioni di €.</w:t>
      </w:r>
    </w:p>
    <w:p w14:paraId="3655FFDB" w14:textId="193BD272" w:rsidR="003F5ED3" w:rsidRDefault="003F5ED3" w:rsidP="006B667C">
      <w:pPr>
        <w:spacing w:before="120" w:after="0" w:line="240" w:lineRule="auto"/>
        <w:rPr>
          <w:rFonts w:eastAsia="Calibri"/>
        </w:rPr>
      </w:pPr>
      <w:r w:rsidRPr="00AB4CC3">
        <w:rPr>
          <w:rFonts w:eastAsia="Calibri"/>
        </w:rPr>
        <w:t xml:space="preserve">Confrontando questi dati con la </w:t>
      </w:r>
      <w:r w:rsidR="00AB4CC3" w:rsidRPr="00AB4CC3">
        <w:rPr>
          <w:rFonts w:eastAsia="Calibri"/>
        </w:rPr>
        <w:fldChar w:fldCharType="begin"/>
      </w:r>
      <w:r w:rsidR="00AB4CC3" w:rsidRPr="00AB4CC3">
        <w:rPr>
          <w:rFonts w:eastAsia="Calibri"/>
        </w:rPr>
        <w:instrText xml:space="preserve"> REF _Ref213078228 \h  \* MERGEFORMAT </w:instrText>
      </w:r>
      <w:r w:rsidR="00AB4CC3" w:rsidRPr="00AB4CC3">
        <w:rPr>
          <w:rFonts w:eastAsia="Calibri"/>
        </w:rPr>
      </w:r>
      <w:r w:rsidR="00AB4CC3" w:rsidRPr="00AB4CC3">
        <w:rPr>
          <w:rFonts w:eastAsia="Calibri"/>
        </w:rPr>
        <w:fldChar w:fldCharType="separate"/>
      </w:r>
      <w:r w:rsidR="00073B6D" w:rsidRPr="00073B6D">
        <w:rPr>
          <w:rFonts w:eastAsia="Calibri"/>
        </w:rPr>
        <w:t xml:space="preserve">Tabella </w:t>
      </w:r>
      <w:r w:rsidR="00073B6D" w:rsidRPr="00073B6D">
        <w:rPr>
          <w:rFonts w:cstheme="minorHAnsi"/>
          <w:noProof/>
        </w:rPr>
        <w:t>79</w:t>
      </w:r>
      <w:r w:rsidR="00AB4CC3" w:rsidRPr="00AB4CC3">
        <w:rPr>
          <w:rFonts w:eastAsia="Calibri"/>
        </w:rPr>
        <w:fldChar w:fldCharType="end"/>
      </w:r>
      <w:r w:rsidR="00024402" w:rsidRPr="00AB4CC3">
        <w:rPr>
          <w:rFonts w:eastAsia="Calibri"/>
        </w:rPr>
        <w:t xml:space="preserve"> e la </w:t>
      </w:r>
      <w:r w:rsidR="00AB4CC3" w:rsidRPr="00AB4CC3">
        <w:rPr>
          <w:rFonts w:eastAsia="Calibri"/>
        </w:rPr>
        <w:fldChar w:fldCharType="begin"/>
      </w:r>
      <w:r w:rsidR="00AB4CC3" w:rsidRPr="00AB4CC3">
        <w:rPr>
          <w:rFonts w:eastAsia="Calibri"/>
        </w:rPr>
        <w:instrText xml:space="preserve"> REF _Ref213065139 \h  \* MERGEFORMAT </w:instrText>
      </w:r>
      <w:r w:rsidR="00AB4CC3" w:rsidRPr="00AB4CC3">
        <w:rPr>
          <w:rFonts w:eastAsia="Calibri"/>
        </w:rPr>
      </w:r>
      <w:r w:rsidR="00AB4CC3" w:rsidRPr="00AB4CC3">
        <w:rPr>
          <w:rFonts w:eastAsia="Calibri"/>
        </w:rPr>
        <w:fldChar w:fldCharType="separate"/>
      </w:r>
      <w:r w:rsidR="00073B6D" w:rsidRPr="00073B6D">
        <w:rPr>
          <w:rFonts w:eastAsia="Calibri"/>
        </w:rPr>
        <w:t xml:space="preserve">Tabella </w:t>
      </w:r>
      <w:r w:rsidR="00073B6D" w:rsidRPr="00073B6D">
        <w:rPr>
          <w:rFonts w:cstheme="minorHAnsi"/>
          <w:noProof/>
        </w:rPr>
        <w:t>80</w:t>
      </w:r>
      <w:r w:rsidR="00AB4CC3" w:rsidRPr="00AB4CC3">
        <w:rPr>
          <w:rFonts w:eastAsia="Calibri"/>
        </w:rPr>
        <w:fldChar w:fldCharType="end"/>
      </w:r>
      <w:r w:rsidR="00AB4CC3" w:rsidRPr="00AB4CC3">
        <w:rPr>
          <w:rFonts w:eastAsia="Calibri"/>
        </w:rPr>
        <w:t xml:space="preserve"> </w:t>
      </w:r>
      <w:r w:rsidR="00024402" w:rsidRPr="00AB4CC3">
        <w:rPr>
          <w:rFonts w:eastAsia="Calibri"/>
        </w:rPr>
        <w:t xml:space="preserve">si </w:t>
      </w:r>
      <w:r w:rsidR="00024402">
        <w:rPr>
          <w:rFonts w:eastAsia="Calibri"/>
        </w:rPr>
        <w:t>ris</w:t>
      </w:r>
      <w:r w:rsidR="00AD06B7">
        <w:rPr>
          <w:rFonts w:eastAsia="Calibri"/>
        </w:rPr>
        <w:t>c</w:t>
      </w:r>
      <w:r w:rsidR="00024402">
        <w:rPr>
          <w:rFonts w:eastAsia="Calibri"/>
        </w:rPr>
        <w:t>ontra la sostanziale congruità</w:t>
      </w:r>
      <w:r w:rsidR="00AD06B7">
        <w:rPr>
          <w:rFonts w:eastAsia="Calibri"/>
        </w:rPr>
        <w:t>;</w:t>
      </w:r>
      <w:r w:rsidR="00024402">
        <w:rPr>
          <w:rFonts w:eastAsia="Calibri"/>
        </w:rPr>
        <w:t xml:space="preserve"> </w:t>
      </w:r>
      <w:r w:rsidR="00AD06B7">
        <w:rPr>
          <w:rFonts w:eastAsia="Calibri"/>
        </w:rPr>
        <w:t>i</w:t>
      </w:r>
      <w:r w:rsidR="00024402">
        <w:rPr>
          <w:rFonts w:eastAsia="Calibri"/>
        </w:rPr>
        <w:t xml:space="preserve">nfatti a fronte di 46,7 milioni di compensazioni standard le risorse oggi utilizzate ammontano a 46,4 milioni di €, mentre per i ricavi a fronte </w:t>
      </w:r>
      <w:r w:rsidR="00017C78">
        <w:rPr>
          <w:rFonts w:eastAsia="Calibri"/>
        </w:rPr>
        <w:t xml:space="preserve">dei 25,1 milioni di € per i ricavi standard </w:t>
      </w:r>
      <w:r w:rsidR="009373F8">
        <w:rPr>
          <w:rFonts w:eastAsia="Calibri"/>
        </w:rPr>
        <w:t>ad oggi i ricavi dichiarati dalle aziende ammontano a 24,5 milioni di €.</w:t>
      </w:r>
      <w:r w:rsidR="00017C78">
        <w:rPr>
          <w:rFonts w:eastAsia="Calibri"/>
        </w:rPr>
        <w:t xml:space="preserve"> </w:t>
      </w:r>
    </w:p>
    <w:p w14:paraId="5AED112C" w14:textId="31AE71FD" w:rsidR="00FC5F7B" w:rsidRPr="00FC5F7B" w:rsidRDefault="00F34B56" w:rsidP="00FC5F7B">
      <w:pPr>
        <w:spacing w:before="120" w:after="0" w:line="240" w:lineRule="auto"/>
        <w:rPr>
          <w:rFonts w:eastAsia="Calibri"/>
        </w:rPr>
      </w:pPr>
      <w:r>
        <w:rPr>
          <w:rFonts w:eastAsia="Calibri"/>
        </w:rPr>
        <w:t>Inoltre</w:t>
      </w:r>
      <w:r w:rsidR="00AB4CC3">
        <w:rPr>
          <w:rFonts w:eastAsia="Calibri"/>
        </w:rPr>
        <w:t>,</w:t>
      </w:r>
      <w:r>
        <w:rPr>
          <w:rFonts w:eastAsia="Calibri"/>
        </w:rPr>
        <w:t xml:space="preserve"> p</w:t>
      </w:r>
      <w:r w:rsidR="00FC5F7B" w:rsidRPr="00FC5F7B">
        <w:rPr>
          <w:rFonts w:eastAsia="Calibri"/>
        </w:rPr>
        <w:t xml:space="preserve">er quanto riguarda il lotto UR-5, che sarà affidato </w:t>
      </w:r>
      <w:r w:rsidR="00FC5F7B" w:rsidRPr="008E665F">
        <w:rPr>
          <w:rFonts w:eastAsia="Calibri"/>
          <w:i/>
        </w:rPr>
        <w:t>in-house</w:t>
      </w:r>
      <w:r w:rsidR="00FC5F7B" w:rsidRPr="00FC5F7B">
        <w:rPr>
          <w:rFonts w:eastAsia="Calibri"/>
        </w:rPr>
        <w:t xml:space="preserve"> congiuntamente al resto del servizio urbano e suburbano di Torino, </w:t>
      </w:r>
      <w:r w:rsidR="008B53EF">
        <w:rPr>
          <w:rFonts w:eastAsia="Calibri"/>
        </w:rPr>
        <w:t xml:space="preserve">come già illustrato in precedenza </w:t>
      </w:r>
      <w:r w:rsidR="00FC5F7B" w:rsidRPr="00FC5F7B">
        <w:rPr>
          <w:rFonts w:eastAsia="Calibri"/>
        </w:rPr>
        <w:t xml:space="preserve">è stata effettuata una stima preliminare </w:t>
      </w:r>
      <w:r w:rsidR="008B53EF">
        <w:rPr>
          <w:rFonts w:eastAsia="Calibri"/>
        </w:rPr>
        <w:t>di ricavi e risorse</w:t>
      </w:r>
      <w:r w:rsidR="00FC5F7B" w:rsidRPr="00FC5F7B">
        <w:rPr>
          <w:rFonts w:eastAsia="Calibri"/>
        </w:rPr>
        <w:t xml:space="preserve"> basata su dati parametrici. Tale stima considera sia i servizi provenienti da</w:t>
      </w:r>
      <w:r w:rsidR="009E7FE9">
        <w:rPr>
          <w:rFonts w:eastAsia="Calibri"/>
        </w:rPr>
        <w:t>i</w:t>
      </w:r>
      <w:r w:rsidR="00FC5F7B" w:rsidRPr="00FC5F7B">
        <w:rPr>
          <w:rFonts w:eastAsia="Calibri"/>
        </w:rPr>
        <w:t xml:space="preserve"> Contratt</w:t>
      </w:r>
      <w:r w:rsidR="009E7FE9">
        <w:rPr>
          <w:rFonts w:eastAsia="Calibri"/>
        </w:rPr>
        <w:t>i</w:t>
      </w:r>
      <w:r w:rsidR="00FC5F7B" w:rsidRPr="00FC5F7B">
        <w:rPr>
          <w:rFonts w:eastAsia="Calibri"/>
        </w:rPr>
        <w:t xml:space="preserve"> di Servizio afferent</w:t>
      </w:r>
      <w:r w:rsidR="009E7FE9">
        <w:rPr>
          <w:rFonts w:eastAsia="Calibri"/>
        </w:rPr>
        <w:t>i</w:t>
      </w:r>
      <w:r w:rsidR="00FC5F7B" w:rsidRPr="00FC5F7B">
        <w:rPr>
          <w:rFonts w:eastAsia="Calibri"/>
        </w:rPr>
        <w:t xml:space="preserve"> al territorio della Città Metropolitana, sia quelli relativi alla cintura metropolitana inclusi </w:t>
      </w:r>
      <w:r w:rsidR="009E7FE9">
        <w:rPr>
          <w:rFonts w:eastAsia="Calibri"/>
        </w:rPr>
        <w:t>nel</w:t>
      </w:r>
      <w:r w:rsidR="00FC5F7B" w:rsidRPr="00FC5F7B">
        <w:rPr>
          <w:rFonts w:eastAsia="Calibri"/>
        </w:rPr>
        <w:t xml:space="preserve"> </w:t>
      </w:r>
      <w:r w:rsidR="009E7FE9">
        <w:rPr>
          <w:rFonts w:eastAsia="Calibri"/>
        </w:rPr>
        <w:t>C</w:t>
      </w:r>
      <w:r w:rsidR="00FC5F7B" w:rsidRPr="00FC5F7B">
        <w:rPr>
          <w:rFonts w:eastAsia="Calibri"/>
        </w:rPr>
        <w:t>ontratt</w:t>
      </w:r>
      <w:r w:rsidR="009E7FE9">
        <w:rPr>
          <w:rFonts w:eastAsia="Calibri"/>
        </w:rPr>
        <w:t>o di servizio urbano e metropolitano di Torino</w:t>
      </w:r>
      <w:r w:rsidR="00FC5F7B" w:rsidRPr="00FC5F7B">
        <w:rPr>
          <w:rFonts w:eastAsia="Calibri"/>
        </w:rPr>
        <w:t xml:space="preserve">. Entrambe le componenti sono state valutate utilizzando valori medi unitari, in assenza di dati </w:t>
      </w:r>
      <w:r w:rsidR="009E7FE9">
        <w:rPr>
          <w:rFonts w:eastAsia="Calibri"/>
        </w:rPr>
        <w:t>puntuali</w:t>
      </w:r>
      <w:r w:rsidR="00FC5F7B" w:rsidRPr="00FC5F7B">
        <w:rPr>
          <w:rFonts w:eastAsia="Calibri"/>
        </w:rPr>
        <w:t>.</w:t>
      </w:r>
    </w:p>
    <w:p w14:paraId="4E2C8DEC" w14:textId="77777777" w:rsidR="00300E3E" w:rsidRDefault="00FC5F7B" w:rsidP="00FC5F7B">
      <w:pPr>
        <w:spacing w:before="120" w:after="0" w:line="240" w:lineRule="auto"/>
        <w:rPr>
          <w:rFonts w:eastAsia="Calibri"/>
        </w:rPr>
      </w:pPr>
      <w:r w:rsidRPr="00FC5F7B">
        <w:rPr>
          <w:rFonts w:eastAsia="Calibri"/>
        </w:rPr>
        <w:t xml:space="preserve">Questo approccio è pienamente valido in quanto ha natura prodromica rispetto alla successiva elaborazione dei Piani Economico-Finanziari simulati, che costituiranno la base per l’affidamento </w:t>
      </w:r>
      <w:r w:rsidRPr="008E665F">
        <w:rPr>
          <w:rFonts w:eastAsia="Calibri"/>
          <w:i/>
        </w:rPr>
        <w:t>in-house</w:t>
      </w:r>
      <w:r w:rsidRPr="00FC5F7B">
        <w:rPr>
          <w:rFonts w:eastAsia="Calibri"/>
        </w:rPr>
        <w:t xml:space="preserve">. I PEF consentiranno di </w:t>
      </w:r>
      <w:r w:rsidR="00FB2D9E">
        <w:rPr>
          <w:rFonts w:eastAsia="Calibri"/>
        </w:rPr>
        <w:t>valutare nel dettaglio i fattori della produzione impiegati</w:t>
      </w:r>
      <w:r w:rsidRPr="00FC5F7B">
        <w:rPr>
          <w:rFonts w:eastAsia="Calibri"/>
        </w:rPr>
        <w:t>, garantendo una rappresentazione completa e coerente dei costi e de</w:t>
      </w:r>
      <w:r w:rsidR="00300E3E">
        <w:rPr>
          <w:rFonts w:eastAsia="Calibri"/>
        </w:rPr>
        <w:t>i ricavi</w:t>
      </w:r>
      <w:r w:rsidR="006A22C1">
        <w:rPr>
          <w:rFonts w:eastAsia="Calibri"/>
        </w:rPr>
        <w:t>.</w:t>
      </w:r>
    </w:p>
    <w:p w14:paraId="5B4382E8" w14:textId="2D51B2CA" w:rsidR="00FD2CBB" w:rsidRPr="00685A7F" w:rsidRDefault="00300E3E" w:rsidP="00FD2CBB">
      <w:pPr>
        <w:spacing w:before="120" w:after="0" w:line="240" w:lineRule="auto"/>
        <w:rPr>
          <w:rFonts w:eastAsia="Calibri"/>
        </w:rPr>
      </w:pPr>
      <w:r>
        <w:rPr>
          <w:rFonts w:eastAsia="Calibri"/>
        </w:rPr>
        <w:t>La</w:t>
      </w:r>
      <w:r w:rsidR="007C5C1D">
        <w:rPr>
          <w:rFonts w:eastAsia="Calibri"/>
        </w:rPr>
        <w:t xml:space="preserve"> stima rappresenta </w:t>
      </w:r>
      <w:r>
        <w:rPr>
          <w:rFonts w:eastAsia="Calibri"/>
        </w:rPr>
        <w:t xml:space="preserve">pertanto </w:t>
      </w:r>
      <w:r w:rsidR="007C5C1D">
        <w:rPr>
          <w:rFonts w:eastAsia="Calibri"/>
        </w:rPr>
        <w:t>un</w:t>
      </w:r>
      <w:r w:rsidR="008A248A">
        <w:rPr>
          <w:rFonts w:eastAsia="Calibri"/>
        </w:rPr>
        <w:t>a</w:t>
      </w:r>
      <w:r w:rsidR="007C5C1D">
        <w:rPr>
          <w:rFonts w:eastAsia="Calibri"/>
        </w:rPr>
        <w:t xml:space="preserve"> prima valutazione che sarà meglio approfondita in sede di Relazione di affidamento</w:t>
      </w:r>
      <w:r w:rsidR="00E87F3E">
        <w:rPr>
          <w:rFonts w:eastAsia="Calibri"/>
        </w:rPr>
        <w:t xml:space="preserve"> dove costituirà parametro di riferimento per il P</w:t>
      </w:r>
      <w:r w:rsidR="00430728">
        <w:rPr>
          <w:rFonts w:eastAsia="Calibri"/>
        </w:rPr>
        <w:t>E</w:t>
      </w:r>
      <w:r w:rsidR="00E87F3E">
        <w:rPr>
          <w:rFonts w:eastAsia="Calibri"/>
        </w:rPr>
        <w:t>F simulato</w:t>
      </w:r>
      <w:r w:rsidR="00D87C2F">
        <w:rPr>
          <w:rFonts w:eastAsia="Calibri"/>
        </w:rPr>
        <w:t>.</w:t>
      </w:r>
    </w:p>
    <w:p w14:paraId="5C4FBC45" w14:textId="64C22618" w:rsidR="00305EF9" w:rsidRPr="003C247E" w:rsidRDefault="00F8204F" w:rsidP="00FD2CBB">
      <w:pPr>
        <w:spacing w:before="120" w:after="0" w:line="240" w:lineRule="auto"/>
        <w:rPr>
          <w:rFonts w:eastAsia="Calibri"/>
        </w:rPr>
      </w:pPr>
      <w:r w:rsidRPr="003C247E">
        <w:rPr>
          <w:rFonts w:eastAsia="Calibri"/>
        </w:rPr>
        <w:t>Per quanto riguarda i ricavi, occorre considerare che nelle gestioni pregresse i servizi che compongono il lotto UR-5 presentano rapporti ricavi/costi differenziati: i servizi provenienti dai contratti afferenti al territorio della Città Metropolitana si attestano intorno al 3</w:t>
      </w:r>
      <w:r w:rsidR="00D866C2">
        <w:rPr>
          <w:rFonts w:eastAsia="Calibri"/>
        </w:rPr>
        <w:t>6</w:t>
      </w:r>
      <w:r w:rsidRPr="003C247E">
        <w:rPr>
          <w:rFonts w:eastAsia="Calibri"/>
        </w:rPr>
        <w:t>%</w:t>
      </w:r>
      <w:r w:rsidR="00B9146D" w:rsidRPr="003C247E">
        <w:rPr>
          <w:rFonts w:eastAsia="Calibri"/>
        </w:rPr>
        <w:t xml:space="preserve"> (</w:t>
      </w:r>
      <w:r w:rsidR="00B9146D" w:rsidRPr="00EF5D87">
        <w:rPr>
          <w:rFonts w:eastAsia="Calibri"/>
        </w:rPr>
        <w:t>cfr.</w:t>
      </w:r>
      <w:r w:rsidR="00EF5D87" w:rsidRPr="00EF5D87">
        <w:rPr>
          <w:rFonts w:eastAsia="Calibri"/>
        </w:rPr>
        <w:t xml:space="preserve"> </w:t>
      </w:r>
      <w:r w:rsidR="00EF5D87" w:rsidRPr="00EF5D87">
        <w:rPr>
          <w:rFonts w:eastAsia="Calibri"/>
        </w:rPr>
        <w:fldChar w:fldCharType="begin"/>
      </w:r>
      <w:r w:rsidR="00EF5D87" w:rsidRPr="00EF5D87">
        <w:rPr>
          <w:rFonts w:eastAsia="Calibri"/>
        </w:rPr>
        <w:instrText xml:space="preserve"> REF _Ref212972091 \h  \* MERGEFORMAT </w:instrText>
      </w:r>
      <w:r w:rsidR="00EF5D87" w:rsidRPr="00EF5D87">
        <w:rPr>
          <w:rFonts w:eastAsia="Calibri"/>
        </w:rPr>
      </w:r>
      <w:r w:rsidR="00EF5D87" w:rsidRPr="00EF5D87">
        <w:rPr>
          <w:rFonts w:eastAsia="Calibri"/>
        </w:rPr>
        <w:fldChar w:fldCharType="separate"/>
      </w:r>
      <w:r w:rsidR="00073B6D" w:rsidRPr="00073B6D">
        <w:rPr>
          <w:rFonts w:eastAsia="Calibri"/>
        </w:rPr>
        <w:t xml:space="preserve">Tabella </w:t>
      </w:r>
      <w:r w:rsidR="00073B6D" w:rsidRPr="00073B6D">
        <w:rPr>
          <w:rFonts w:cstheme="minorHAnsi"/>
          <w:noProof/>
        </w:rPr>
        <w:t>36</w:t>
      </w:r>
      <w:r w:rsidR="00EF5D87" w:rsidRPr="00EF5D87">
        <w:rPr>
          <w:rFonts w:eastAsia="Calibri"/>
        </w:rPr>
        <w:fldChar w:fldCharType="end"/>
      </w:r>
      <w:r w:rsidR="00EF5D87" w:rsidRPr="00EF5D87">
        <w:rPr>
          <w:rFonts w:eastAsia="Calibri"/>
        </w:rPr>
        <w:t xml:space="preserve"> e</w:t>
      </w:r>
      <w:r w:rsidR="00B9146D" w:rsidRPr="00EF5D87">
        <w:rPr>
          <w:rFonts w:eastAsia="Calibri"/>
        </w:rPr>
        <w:t xml:space="preserve"> </w:t>
      </w:r>
      <w:r w:rsidR="00B9146D" w:rsidRPr="00EF5D87">
        <w:rPr>
          <w:rFonts w:eastAsia="Calibri"/>
        </w:rPr>
        <w:fldChar w:fldCharType="begin"/>
      </w:r>
      <w:r w:rsidR="00B9146D" w:rsidRPr="00EF5D87">
        <w:rPr>
          <w:rFonts w:eastAsia="Calibri"/>
        </w:rPr>
        <w:instrText xml:space="preserve"> REF _Ref212971661 \h </w:instrText>
      </w:r>
      <w:r w:rsidR="003C247E" w:rsidRPr="00EF5D87">
        <w:rPr>
          <w:rFonts w:eastAsia="Calibri"/>
        </w:rPr>
        <w:instrText xml:space="preserve"> \* MERGEFORMAT </w:instrText>
      </w:r>
      <w:r w:rsidR="00B9146D" w:rsidRPr="00EF5D87">
        <w:rPr>
          <w:rFonts w:eastAsia="Calibri"/>
        </w:rPr>
      </w:r>
      <w:r w:rsidR="00B9146D" w:rsidRPr="00EF5D87">
        <w:rPr>
          <w:rFonts w:eastAsia="Calibri"/>
        </w:rPr>
        <w:fldChar w:fldCharType="separate"/>
      </w:r>
      <w:r w:rsidR="00073B6D" w:rsidRPr="00073B6D">
        <w:rPr>
          <w:rFonts w:eastAsia="Calibri"/>
        </w:rPr>
        <w:t xml:space="preserve">Tabella </w:t>
      </w:r>
      <w:r w:rsidR="00073B6D" w:rsidRPr="00073B6D">
        <w:rPr>
          <w:rFonts w:cstheme="minorHAnsi"/>
          <w:noProof/>
        </w:rPr>
        <w:t>54</w:t>
      </w:r>
      <w:r w:rsidR="00B9146D" w:rsidRPr="00EF5D87">
        <w:rPr>
          <w:rFonts w:eastAsia="Calibri"/>
        </w:rPr>
        <w:fldChar w:fldCharType="end"/>
      </w:r>
      <w:r w:rsidR="003C247E">
        <w:rPr>
          <w:rFonts w:eastAsia="Calibri"/>
        </w:rPr>
        <w:t>)</w:t>
      </w:r>
      <w:r w:rsidRPr="003C247E">
        <w:rPr>
          <w:rFonts w:eastAsia="Calibri"/>
        </w:rPr>
        <w:t xml:space="preserve"> mentre quelli derivanti dal contratto urbano e metropolitano di Torino </w:t>
      </w:r>
      <w:r w:rsidR="00931F5D" w:rsidRPr="003C247E">
        <w:rPr>
          <w:rFonts w:eastAsia="Calibri"/>
        </w:rPr>
        <w:t xml:space="preserve">si attestano intorno </w:t>
      </w:r>
      <w:r w:rsidR="00931F5D">
        <w:rPr>
          <w:rFonts w:eastAsia="Calibri"/>
        </w:rPr>
        <w:t xml:space="preserve">al </w:t>
      </w:r>
      <w:r w:rsidRPr="003C247E">
        <w:rPr>
          <w:rFonts w:eastAsia="Calibri"/>
        </w:rPr>
        <w:t>4</w:t>
      </w:r>
      <w:r w:rsidR="00931F5D">
        <w:rPr>
          <w:rFonts w:eastAsia="Calibri"/>
        </w:rPr>
        <w:t>4</w:t>
      </w:r>
      <w:r w:rsidRPr="003C247E">
        <w:rPr>
          <w:rFonts w:eastAsia="Calibri"/>
        </w:rPr>
        <w:t xml:space="preserve">%. Alla luce di queste evidenze, si assume come valore atteso per il lotto UR-5 un rapporto ricavi/costi </w:t>
      </w:r>
      <w:r w:rsidR="00B528BF">
        <w:rPr>
          <w:rFonts w:eastAsia="Calibri"/>
        </w:rPr>
        <w:t>medio</w:t>
      </w:r>
      <w:r w:rsidR="00F625EB">
        <w:rPr>
          <w:rFonts w:eastAsia="Calibri"/>
        </w:rPr>
        <w:t xml:space="preserve"> </w:t>
      </w:r>
      <w:r w:rsidRPr="003C247E">
        <w:rPr>
          <w:rFonts w:eastAsia="Calibri"/>
        </w:rPr>
        <w:t xml:space="preserve">pari al </w:t>
      </w:r>
      <w:r w:rsidR="00F540C8">
        <w:rPr>
          <w:rFonts w:eastAsia="Calibri"/>
        </w:rPr>
        <w:t>40</w:t>
      </w:r>
      <w:r w:rsidRPr="003C247E">
        <w:rPr>
          <w:rFonts w:eastAsia="Calibri"/>
        </w:rPr>
        <w:t xml:space="preserve">%, quale </w:t>
      </w:r>
      <w:r w:rsidR="00931F5D">
        <w:rPr>
          <w:rFonts w:eastAsia="Calibri"/>
        </w:rPr>
        <w:t>valore</w:t>
      </w:r>
      <w:r w:rsidRPr="003C247E">
        <w:rPr>
          <w:rFonts w:eastAsia="Calibri"/>
        </w:rPr>
        <w:t xml:space="preserve"> di riferimento per la </w:t>
      </w:r>
      <w:r w:rsidR="00931F5D">
        <w:rPr>
          <w:rFonts w:eastAsia="Calibri"/>
        </w:rPr>
        <w:t xml:space="preserve">stima </w:t>
      </w:r>
      <w:r w:rsidRPr="003C247E">
        <w:rPr>
          <w:rFonts w:eastAsia="Calibri"/>
        </w:rPr>
        <w:t>economico-finanziaria.</w:t>
      </w:r>
    </w:p>
    <w:p w14:paraId="1DE5E308" w14:textId="77777777" w:rsidR="00305EF9" w:rsidRDefault="00305EF9" w:rsidP="00FD2CBB">
      <w:pPr>
        <w:spacing w:before="120" w:after="0" w:line="240" w:lineRule="auto"/>
        <w:rPr>
          <w:rFonts w:eastAsia="Calibri"/>
        </w:rPr>
      </w:pPr>
    </w:p>
    <w:tbl>
      <w:tblPr>
        <w:tblW w:w="8354" w:type="dxa"/>
        <w:jc w:val="center"/>
        <w:tblCellMar>
          <w:left w:w="70" w:type="dxa"/>
          <w:right w:w="70" w:type="dxa"/>
        </w:tblCellMar>
        <w:tblLook w:val="04A0" w:firstRow="1" w:lastRow="0" w:firstColumn="1" w:lastColumn="0" w:noHBand="0" w:noVBand="1"/>
      </w:tblPr>
      <w:tblGrid>
        <w:gridCol w:w="1900"/>
        <w:gridCol w:w="1776"/>
        <w:gridCol w:w="1559"/>
        <w:gridCol w:w="1701"/>
        <w:gridCol w:w="1418"/>
      </w:tblGrid>
      <w:tr w:rsidR="00144A7C" w:rsidRPr="00144A7C" w14:paraId="4462409C" w14:textId="77777777" w:rsidTr="00144A7C">
        <w:trPr>
          <w:trHeight w:val="588"/>
          <w:jc w:val="center"/>
        </w:trPr>
        <w:tc>
          <w:tcPr>
            <w:tcW w:w="1900" w:type="dxa"/>
            <w:tcBorders>
              <w:top w:val="single" w:sz="8" w:space="0" w:color="A6A6A6"/>
              <w:left w:val="single" w:sz="8" w:space="0" w:color="A6A6A6"/>
              <w:bottom w:val="single" w:sz="8" w:space="0" w:color="A6A6A6"/>
              <w:right w:val="single" w:sz="8" w:space="0" w:color="A6A6A6"/>
            </w:tcBorders>
            <w:shd w:val="clear" w:color="000000" w:fill="EE3438"/>
            <w:vAlign w:val="center"/>
            <w:hideMark/>
          </w:tcPr>
          <w:p w14:paraId="0EC6F8DB" w14:textId="77777777" w:rsidR="00144A7C" w:rsidRPr="00144A7C" w:rsidRDefault="00144A7C" w:rsidP="00144A7C">
            <w:pPr>
              <w:spacing w:after="0" w:line="240" w:lineRule="auto"/>
              <w:jc w:val="center"/>
              <w:rPr>
                <w:rFonts w:eastAsia="Times New Roman" w:cs="Calibri"/>
                <w:b/>
                <w:bCs/>
                <w:color w:val="FFFFFF"/>
              </w:rPr>
            </w:pPr>
            <w:r w:rsidRPr="00144A7C">
              <w:rPr>
                <w:rFonts w:eastAsia="Times New Roman" w:cs="Calibri"/>
                <w:b/>
                <w:bCs/>
                <w:color w:val="FFFFFF"/>
              </w:rPr>
              <w:t xml:space="preserve">Lotti </w:t>
            </w:r>
          </w:p>
        </w:tc>
        <w:tc>
          <w:tcPr>
            <w:tcW w:w="1776" w:type="dxa"/>
            <w:tcBorders>
              <w:top w:val="single" w:sz="8" w:space="0" w:color="A6A6A6"/>
              <w:left w:val="nil"/>
              <w:bottom w:val="single" w:sz="8" w:space="0" w:color="A6A6A6"/>
              <w:right w:val="single" w:sz="8" w:space="0" w:color="A6A6A6"/>
            </w:tcBorders>
            <w:shd w:val="clear" w:color="000000" w:fill="EE3438"/>
            <w:vAlign w:val="center"/>
            <w:hideMark/>
          </w:tcPr>
          <w:p w14:paraId="02459698" w14:textId="77777777" w:rsidR="00144A7C" w:rsidRPr="00144A7C" w:rsidRDefault="00144A7C" w:rsidP="00144A7C">
            <w:pPr>
              <w:spacing w:after="0" w:line="240" w:lineRule="auto"/>
              <w:jc w:val="center"/>
              <w:rPr>
                <w:rFonts w:eastAsia="Times New Roman" w:cs="Calibri"/>
                <w:b/>
                <w:bCs/>
                <w:color w:val="FFFFFF"/>
              </w:rPr>
            </w:pPr>
            <w:r w:rsidRPr="00144A7C">
              <w:rPr>
                <w:rFonts w:eastAsia="Times New Roman" w:cs="Calibri"/>
                <w:b/>
                <w:bCs/>
                <w:color w:val="FFFFFF"/>
              </w:rPr>
              <w:t>Produzione</w:t>
            </w:r>
          </w:p>
        </w:tc>
        <w:tc>
          <w:tcPr>
            <w:tcW w:w="1559" w:type="dxa"/>
            <w:tcBorders>
              <w:top w:val="single" w:sz="8" w:space="0" w:color="A6A6A6"/>
              <w:left w:val="nil"/>
              <w:bottom w:val="single" w:sz="8" w:space="0" w:color="A6A6A6"/>
              <w:right w:val="single" w:sz="8" w:space="0" w:color="A6A6A6"/>
            </w:tcBorders>
            <w:shd w:val="clear" w:color="000000" w:fill="EE3438"/>
            <w:vAlign w:val="center"/>
            <w:hideMark/>
          </w:tcPr>
          <w:p w14:paraId="42AEFF10" w14:textId="77777777" w:rsidR="00144A7C" w:rsidRPr="00144A7C" w:rsidRDefault="00144A7C" w:rsidP="00144A7C">
            <w:pPr>
              <w:spacing w:after="0" w:line="240" w:lineRule="auto"/>
              <w:jc w:val="center"/>
              <w:rPr>
                <w:rFonts w:eastAsia="Times New Roman" w:cs="Calibri"/>
                <w:b/>
                <w:bCs/>
                <w:color w:val="FFFFFF"/>
              </w:rPr>
            </w:pPr>
            <w:r w:rsidRPr="00144A7C">
              <w:rPr>
                <w:rFonts w:eastAsia="Times New Roman" w:cs="Calibri"/>
                <w:b/>
                <w:bCs/>
                <w:color w:val="FFFFFF"/>
              </w:rPr>
              <w:t xml:space="preserve">Costo </w:t>
            </w:r>
          </w:p>
        </w:tc>
        <w:tc>
          <w:tcPr>
            <w:tcW w:w="1701" w:type="dxa"/>
            <w:tcBorders>
              <w:top w:val="single" w:sz="8" w:space="0" w:color="A6A6A6"/>
              <w:left w:val="nil"/>
              <w:bottom w:val="single" w:sz="8" w:space="0" w:color="A6A6A6"/>
              <w:right w:val="single" w:sz="8" w:space="0" w:color="A6A6A6"/>
            </w:tcBorders>
            <w:shd w:val="clear" w:color="000000" w:fill="EE3438"/>
            <w:vAlign w:val="center"/>
            <w:hideMark/>
          </w:tcPr>
          <w:p w14:paraId="4E7BEB58" w14:textId="77777777" w:rsidR="00144A7C" w:rsidRPr="00144A7C" w:rsidRDefault="00144A7C" w:rsidP="00144A7C">
            <w:pPr>
              <w:spacing w:after="0" w:line="240" w:lineRule="auto"/>
              <w:jc w:val="center"/>
              <w:rPr>
                <w:rFonts w:eastAsia="Times New Roman" w:cs="Calibri"/>
                <w:b/>
                <w:bCs/>
                <w:color w:val="FFFFFF"/>
              </w:rPr>
            </w:pPr>
            <w:r w:rsidRPr="00144A7C">
              <w:rPr>
                <w:rFonts w:eastAsia="Times New Roman" w:cs="Calibri"/>
                <w:b/>
                <w:bCs/>
                <w:color w:val="FFFFFF"/>
              </w:rPr>
              <w:t>Base Gara 60%</w:t>
            </w:r>
          </w:p>
        </w:tc>
        <w:tc>
          <w:tcPr>
            <w:tcW w:w="1418" w:type="dxa"/>
            <w:tcBorders>
              <w:top w:val="single" w:sz="8" w:space="0" w:color="A6A6A6"/>
              <w:left w:val="nil"/>
              <w:bottom w:val="single" w:sz="8" w:space="0" w:color="A6A6A6"/>
              <w:right w:val="single" w:sz="8" w:space="0" w:color="A6A6A6"/>
            </w:tcBorders>
            <w:shd w:val="clear" w:color="000000" w:fill="EE3438"/>
            <w:vAlign w:val="center"/>
            <w:hideMark/>
          </w:tcPr>
          <w:p w14:paraId="03007A58" w14:textId="4BE6A199" w:rsidR="00144A7C" w:rsidRPr="00144A7C" w:rsidRDefault="00144A7C" w:rsidP="00144A7C">
            <w:pPr>
              <w:spacing w:after="0" w:line="240" w:lineRule="auto"/>
              <w:jc w:val="center"/>
              <w:rPr>
                <w:rFonts w:eastAsia="Times New Roman" w:cs="Calibri"/>
                <w:b/>
                <w:bCs/>
                <w:color w:val="FFFFFF"/>
              </w:rPr>
            </w:pPr>
            <w:r w:rsidRPr="00144A7C">
              <w:rPr>
                <w:rFonts w:eastAsia="Times New Roman" w:cs="Calibri"/>
                <w:b/>
                <w:bCs/>
                <w:color w:val="FFFFFF"/>
              </w:rPr>
              <w:t xml:space="preserve">Ricavi </w:t>
            </w:r>
            <w:r>
              <w:rPr>
                <w:rFonts w:eastAsia="Times New Roman" w:cs="Calibri"/>
                <w:b/>
                <w:bCs/>
                <w:color w:val="FFFFFF"/>
              </w:rPr>
              <w:t>40</w:t>
            </w:r>
            <w:r w:rsidRPr="00144A7C">
              <w:rPr>
                <w:rFonts w:eastAsia="Times New Roman" w:cs="Calibri"/>
                <w:b/>
                <w:bCs/>
                <w:color w:val="FFFFFF"/>
              </w:rPr>
              <w:t>%</w:t>
            </w:r>
          </w:p>
        </w:tc>
      </w:tr>
      <w:tr w:rsidR="00144A7C" w:rsidRPr="00144A7C" w14:paraId="5706FDAC" w14:textId="77777777" w:rsidTr="00144A7C">
        <w:trPr>
          <w:trHeight w:val="300"/>
          <w:jc w:val="center"/>
        </w:trPr>
        <w:tc>
          <w:tcPr>
            <w:tcW w:w="1900" w:type="dxa"/>
            <w:tcBorders>
              <w:top w:val="nil"/>
              <w:left w:val="single" w:sz="8" w:space="0" w:color="A6A6A6"/>
              <w:bottom w:val="single" w:sz="8" w:space="0" w:color="A6A6A6"/>
              <w:right w:val="single" w:sz="8" w:space="0" w:color="A6A6A6"/>
            </w:tcBorders>
            <w:shd w:val="clear" w:color="000000" w:fill="EE3438"/>
            <w:vAlign w:val="center"/>
            <w:hideMark/>
          </w:tcPr>
          <w:p w14:paraId="085574D3" w14:textId="77777777" w:rsidR="00144A7C" w:rsidRPr="00144A7C" w:rsidRDefault="00144A7C" w:rsidP="00144A7C">
            <w:pPr>
              <w:spacing w:after="0" w:line="240" w:lineRule="auto"/>
              <w:jc w:val="left"/>
              <w:rPr>
                <w:rFonts w:eastAsia="Times New Roman" w:cs="Calibri"/>
                <w:color w:val="FFFFFF"/>
              </w:rPr>
            </w:pPr>
            <w:r w:rsidRPr="00144A7C">
              <w:rPr>
                <w:rFonts w:eastAsia="Times New Roman" w:cs="Calibri"/>
                <w:color w:val="FFFFFF"/>
              </w:rPr>
              <w:t> </w:t>
            </w:r>
          </w:p>
        </w:tc>
        <w:tc>
          <w:tcPr>
            <w:tcW w:w="1776" w:type="dxa"/>
            <w:tcBorders>
              <w:top w:val="nil"/>
              <w:left w:val="nil"/>
              <w:bottom w:val="single" w:sz="8" w:space="0" w:color="A6A6A6"/>
              <w:right w:val="single" w:sz="8" w:space="0" w:color="A6A6A6"/>
            </w:tcBorders>
            <w:shd w:val="clear" w:color="000000" w:fill="EE3438"/>
            <w:noWrap/>
            <w:vAlign w:val="center"/>
            <w:hideMark/>
          </w:tcPr>
          <w:p w14:paraId="516F6618" w14:textId="77777777" w:rsidR="00144A7C" w:rsidRPr="00144A7C" w:rsidRDefault="00144A7C" w:rsidP="00144A7C">
            <w:pPr>
              <w:spacing w:after="0" w:line="240" w:lineRule="auto"/>
              <w:jc w:val="center"/>
              <w:rPr>
                <w:rFonts w:eastAsia="Times New Roman" w:cs="Calibri"/>
                <w:b/>
                <w:bCs/>
                <w:color w:val="FFFFFF"/>
              </w:rPr>
            </w:pPr>
            <w:r w:rsidRPr="00144A7C">
              <w:rPr>
                <w:rFonts w:eastAsia="Times New Roman" w:cs="Calibri"/>
                <w:b/>
                <w:bCs/>
                <w:color w:val="FFFFFF"/>
              </w:rPr>
              <w:t>(veic-km/anno)</w:t>
            </w:r>
          </w:p>
        </w:tc>
        <w:tc>
          <w:tcPr>
            <w:tcW w:w="1559" w:type="dxa"/>
            <w:tcBorders>
              <w:top w:val="nil"/>
              <w:left w:val="nil"/>
              <w:bottom w:val="single" w:sz="8" w:space="0" w:color="A6A6A6"/>
              <w:right w:val="single" w:sz="8" w:space="0" w:color="A6A6A6"/>
            </w:tcBorders>
            <w:shd w:val="clear" w:color="000000" w:fill="EE3438"/>
            <w:vAlign w:val="center"/>
            <w:hideMark/>
          </w:tcPr>
          <w:p w14:paraId="39AC7D56" w14:textId="77777777" w:rsidR="00144A7C" w:rsidRPr="00144A7C" w:rsidRDefault="00144A7C" w:rsidP="00144A7C">
            <w:pPr>
              <w:spacing w:after="0" w:line="240" w:lineRule="auto"/>
              <w:jc w:val="center"/>
              <w:rPr>
                <w:rFonts w:eastAsia="Times New Roman" w:cs="Calibri"/>
                <w:b/>
                <w:bCs/>
                <w:color w:val="FFFFFF"/>
              </w:rPr>
            </w:pPr>
            <w:r w:rsidRPr="00144A7C">
              <w:rPr>
                <w:rFonts w:eastAsia="Times New Roman" w:cs="Calibri"/>
                <w:b/>
                <w:bCs/>
                <w:color w:val="FFFFFF"/>
              </w:rPr>
              <w:t>(€)</w:t>
            </w:r>
          </w:p>
        </w:tc>
        <w:tc>
          <w:tcPr>
            <w:tcW w:w="1701" w:type="dxa"/>
            <w:tcBorders>
              <w:top w:val="nil"/>
              <w:left w:val="nil"/>
              <w:bottom w:val="single" w:sz="8" w:space="0" w:color="A6A6A6"/>
              <w:right w:val="single" w:sz="8" w:space="0" w:color="A6A6A6"/>
            </w:tcBorders>
            <w:shd w:val="clear" w:color="000000" w:fill="EE3438"/>
            <w:vAlign w:val="center"/>
            <w:hideMark/>
          </w:tcPr>
          <w:p w14:paraId="2951252F" w14:textId="77777777" w:rsidR="00144A7C" w:rsidRPr="00144A7C" w:rsidRDefault="00144A7C" w:rsidP="00144A7C">
            <w:pPr>
              <w:spacing w:after="0" w:line="240" w:lineRule="auto"/>
              <w:jc w:val="center"/>
              <w:rPr>
                <w:rFonts w:eastAsia="Times New Roman" w:cs="Calibri"/>
                <w:b/>
                <w:bCs/>
                <w:color w:val="FFFFFF"/>
              </w:rPr>
            </w:pPr>
            <w:r w:rsidRPr="00144A7C">
              <w:rPr>
                <w:rFonts w:eastAsia="Times New Roman" w:cs="Calibri"/>
                <w:b/>
                <w:bCs/>
                <w:color w:val="FFFFFF"/>
              </w:rPr>
              <w:t>(€)</w:t>
            </w:r>
          </w:p>
        </w:tc>
        <w:tc>
          <w:tcPr>
            <w:tcW w:w="1418" w:type="dxa"/>
            <w:tcBorders>
              <w:top w:val="nil"/>
              <w:left w:val="nil"/>
              <w:bottom w:val="single" w:sz="8" w:space="0" w:color="A6A6A6"/>
              <w:right w:val="single" w:sz="8" w:space="0" w:color="A6A6A6"/>
            </w:tcBorders>
            <w:shd w:val="clear" w:color="000000" w:fill="EE3438"/>
            <w:vAlign w:val="center"/>
            <w:hideMark/>
          </w:tcPr>
          <w:p w14:paraId="290C46DB" w14:textId="77777777" w:rsidR="00144A7C" w:rsidRPr="00144A7C" w:rsidRDefault="00144A7C" w:rsidP="00144A7C">
            <w:pPr>
              <w:spacing w:after="0" w:line="240" w:lineRule="auto"/>
              <w:jc w:val="center"/>
              <w:rPr>
                <w:rFonts w:eastAsia="Times New Roman" w:cs="Calibri"/>
                <w:b/>
                <w:bCs/>
                <w:color w:val="FFFFFF"/>
              </w:rPr>
            </w:pPr>
            <w:r w:rsidRPr="00144A7C">
              <w:rPr>
                <w:rFonts w:eastAsia="Times New Roman" w:cs="Calibri"/>
                <w:b/>
                <w:bCs/>
                <w:color w:val="FFFFFF"/>
              </w:rPr>
              <w:t>(€)</w:t>
            </w:r>
          </w:p>
        </w:tc>
      </w:tr>
      <w:tr w:rsidR="00144A7C" w:rsidRPr="00144A7C" w14:paraId="62B47DD6" w14:textId="77777777" w:rsidTr="00144A7C">
        <w:trPr>
          <w:trHeight w:val="300"/>
          <w:jc w:val="center"/>
        </w:trPr>
        <w:tc>
          <w:tcPr>
            <w:tcW w:w="1900" w:type="dxa"/>
            <w:tcBorders>
              <w:top w:val="nil"/>
              <w:left w:val="single" w:sz="8" w:space="0" w:color="A6A6A6"/>
              <w:bottom w:val="single" w:sz="8" w:space="0" w:color="A6A6A6"/>
              <w:right w:val="single" w:sz="8" w:space="0" w:color="A6A6A6"/>
            </w:tcBorders>
            <w:noWrap/>
            <w:vAlign w:val="center"/>
            <w:hideMark/>
          </w:tcPr>
          <w:p w14:paraId="423E9F94" w14:textId="77777777" w:rsidR="00144A7C" w:rsidRPr="00144A7C" w:rsidRDefault="00144A7C" w:rsidP="00144A7C">
            <w:pPr>
              <w:spacing w:after="0" w:line="240" w:lineRule="auto"/>
              <w:jc w:val="left"/>
              <w:rPr>
                <w:rFonts w:eastAsia="Times New Roman" w:cs="Calibri"/>
                <w:color w:val="000000"/>
              </w:rPr>
            </w:pPr>
            <w:r w:rsidRPr="00144A7C">
              <w:rPr>
                <w:rFonts w:eastAsia="Times New Roman" w:cs="Calibri"/>
                <w:color w:val="000000"/>
              </w:rPr>
              <w:t xml:space="preserve">Lotto </w:t>
            </w:r>
            <w:r w:rsidRPr="00144A7C">
              <w:rPr>
                <w:rFonts w:eastAsia="Times New Roman" w:cs="Calibri"/>
                <w:i/>
                <w:iCs/>
                <w:color w:val="000000"/>
              </w:rPr>
              <w:t>in-house</w:t>
            </w:r>
          </w:p>
        </w:tc>
        <w:tc>
          <w:tcPr>
            <w:tcW w:w="1776" w:type="dxa"/>
            <w:tcBorders>
              <w:top w:val="nil"/>
              <w:left w:val="nil"/>
              <w:bottom w:val="single" w:sz="8" w:space="0" w:color="A6A6A6"/>
              <w:right w:val="single" w:sz="8" w:space="0" w:color="A6A6A6"/>
            </w:tcBorders>
            <w:noWrap/>
            <w:vAlign w:val="center"/>
            <w:hideMark/>
          </w:tcPr>
          <w:p w14:paraId="777CC069" w14:textId="77777777" w:rsidR="00144A7C" w:rsidRPr="00144A7C" w:rsidRDefault="00144A7C" w:rsidP="00144A7C">
            <w:pPr>
              <w:spacing w:after="0" w:line="240" w:lineRule="auto"/>
              <w:jc w:val="right"/>
              <w:rPr>
                <w:rFonts w:eastAsia="Times New Roman" w:cs="Calibri"/>
                <w:color w:val="000000"/>
              </w:rPr>
            </w:pPr>
            <w:r w:rsidRPr="00144A7C">
              <w:rPr>
                <w:rFonts w:eastAsia="Times New Roman" w:cs="Calibri"/>
                <w:color w:val="000000"/>
              </w:rPr>
              <w:t>4.187.640</w:t>
            </w:r>
          </w:p>
        </w:tc>
        <w:tc>
          <w:tcPr>
            <w:tcW w:w="1559" w:type="dxa"/>
            <w:tcBorders>
              <w:top w:val="nil"/>
              <w:left w:val="nil"/>
              <w:bottom w:val="single" w:sz="8" w:space="0" w:color="A6A6A6"/>
              <w:right w:val="single" w:sz="8" w:space="0" w:color="A6A6A6"/>
            </w:tcBorders>
            <w:noWrap/>
            <w:vAlign w:val="center"/>
            <w:hideMark/>
          </w:tcPr>
          <w:p w14:paraId="07EE7F93" w14:textId="77777777" w:rsidR="00144A7C" w:rsidRPr="00144A7C" w:rsidRDefault="00144A7C" w:rsidP="00144A7C">
            <w:pPr>
              <w:spacing w:after="0" w:line="240" w:lineRule="auto"/>
              <w:jc w:val="right"/>
              <w:rPr>
                <w:rFonts w:eastAsia="Times New Roman" w:cs="Calibri"/>
                <w:color w:val="000000"/>
              </w:rPr>
            </w:pPr>
            <w:r w:rsidRPr="00144A7C">
              <w:rPr>
                <w:rFonts w:eastAsia="Times New Roman" w:cs="Calibri"/>
                <w:color w:val="000000"/>
              </w:rPr>
              <w:t>16.881.564 €</w:t>
            </w:r>
          </w:p>
        </w:tc>
        <w:tc>
          <w:tcPr>
            <w:tcW w:w="1701" w:type="dxa"/>
            <w:tcBorders>
              <w:top w:val="nil"/>
              <w:left w:val="nil"/>
              <w:bottom w:val="single" w:sz="8" w:space="0" w:color="A6A6A6"/>
              <w:right w:val="single" w:sz="8" w:space="0" w:color="A6A6A6"/>
            </w:tcBorders>
            <w:vAlign w:val="center"/>
            <w:hideMark/>
          </w:tcPr>
          <w:p w14:paraId="63A0CE97" w14:textId="77777777" w:rsidR="00144A7C" w:rsidRPr="00144A7C" w:rsidRDefault="00144A7C" w:rsidP="00144A7C">
            <w:pPr>
              <w:spacing w:after="0" w:line="240" w:lineRule="auto"/>
              <w:jc w:val="right"/>
              <w:rPr>
                <w:rFonts w:eastAsia="Times New Roman" w:cs="Calibri"/>
                <w:color w:val="000000"/>
              </w:rPr>
            </w:pPr>
            <w:r w:rsidRPr="00144A7C">
              <w:rPr>
                <w:rFonts w:eastAsia="Times New Roman" w:cs="Calibri"/>
                <w:color w:val="000000"/>
              </w:rPr>
              <w:t>10.128.938 €</w:t>
            </w:r>
          </w:p>
        </w:tc>
        <w:tc>
          <w:tcPr>
            <w:tcW w:w="1418" w:type="dxa"/>
            <w:tcBorders>
              <w:top w:val="nil"/>
              <w:left w:val="nil"/>
              <w:bottom w:val="single" w:sz="8" w:space="0" w:color="A6A6A6"/>
              <w:right w:val="single" w:sz="8" w:space="0" w:color="A6A6A6"/>
            </w:tcBorders>
            <w:noWrap/>
            <w:vAlign w:val="center"/>
            <w:hideMark/>
          </w:tcPr>
          <w:p w14:paraId="2B226CCB" w14:textId="77777777" w:rsidR="00144A7C" w:rsidRPr="00144A7C" w:rsidRDefault="00144A7C" w:rsidP="00144A7C">
            <w:pPr>
              <w:spacing w:after="0" w:line="240" w:lineRule="auto"/>
              <w:jc w:val="right"/>
              <w:rPr>
                <w:rFonts w:eastAsia="Times New Roman" w:cs="Calibri"/>
                <w:color w:val="000000"/>
              </w:rPr>
            </w:pPr>
            <w:r w:rsidRPr="00144A7C">
              <w:rPr>
                <w:rFonts w:eastAsia="Times New Roman" w:cs="Calibri"/>
                <w:color w:val="000000"/>
              </w:rPr>
              <w:t>6.752.626 €</w:t>
            </w:r>
          </w:p>
        </w:tc>
      </w:tr>
    </w:tbl>
    <w:p w14:paraId="03B69D67" w14:textId="06CE5616" w:rsidR="00931F5D" w:rsidRPr="00EA1DBC" w:rsidRDefault="00931F5D" w:rsidP="00931F5D">
      <w:pPr>
        <w:spacing w:after="240" w:line="240" w:lineRule="auto"/>
        <w:ind w:left="-6"/>
        <w:jc w:val="center"/>
        <w:rPr>
          <w:rFonts w:eastAsia="Calibri"/>
          <w:i/>
          <w:color w:val="17406D"/>
          <w:sz w:val="18"/>
          <w:szCs w:val="18"/>
        </w:rPr>
      </w:pPr>
      <w:bookmarkStart w:id="494" w:name="_Ref213064200"/>
      <w:r w:rsidRPr="00BF35BC">
        <w:rPr>
          <w:rFonts w:eastAsia="Calibri"/>
          <w:i/>
          <w:iCs/>
          <w:color w:val="003366"/>
          <w:sz w:val="18"/>
          <w:szCs w:val="18"/>
        </w:rPr>
        <w:t xml:space="preserve">Tabella </w:t>
      </w:r>
      <w:r w:rsidRPr="00BF35BC">
        <w:rPr>
          <w:rFonts w:cstheme="minorHAnsi"/>
          <w:i/>
          <w:iCs/>
          <w:color w:val="003366"/>
          <w:sz w:val="18"/>
          <w:szCs w:val="18"/>
        </w:rPr>
        <w:fldChar w:fldCharType="begin"/>
      </w:r>
      <w:r w:rsidRPr="00BF35BC">
        <w:rPr>
          <w:rFonts w:cstheme="minorHAnsi"/>
          <w:i/>
          <w:iCs/>
          <w:color w:val="003366"/>
          <w:sz w:val="18"/>
          <w:szCs w:val="18"/>
        </w:rPr>
        <w:instrText xml:space="preserve"> SEQ Tabella \* ARABIC </w:instrText>
      </w:r>
      <w:r w:rsidRPr="00BF35BC">
        <w:rPr>
          <w:rFonts w:cstheme="minorHAnsi"/>
          <w:i/>
          <w:iCs/>
          <w:color w:val="003366"/>
          <w:sz w:val="18"/>
          <w:szCs w:val="18"/>
        </w:rPr>
        <w:fldChar w:fldCharType="separate"/>
      </w:r>
      <w:r w:rsidR="00073B6D">
        <w:rPr>
          <w:rFonts w:cstheme="minorHAnsi"/>
          <w:i/>
          <w:iCs/>
          <w:noProof/>
          <w:color w:val="003366"/>
          <w:sz w:val="18"/>
          <w:szCs w:val="18"/>
        </w:rPr>
        <w:t>82</w:t>
      </w:r>
      <w:r w:rsidRPr="00BF35BC">
        <w:rPr>
          <w:rFonts w:cstheme="minorHAnsi"/>
          <w:i/>
          <w:iCs/>
          <w:noProof/>
          <w:color w:val="003366"/>
          <w:sz w:val="18"/>
          <w:szCs w:val="18"/>
        </w:rPr>
        <w:fldChar w:fldCharType="end"/>
      </w:r>
      <w:bookmarkEnd w:id="494"/>
      <w:r w:rsidRPr="00BF35BC">
        <w:rPr>
          <w:rFonts w:cstheme="minorHAnsi"/>
          <w:i/>
          <w:iCs/>
          <w:noProof/>
          <w:color w:val="003366"/>
          <w:sz w:val="18"/>
          <w:szCs w:val="18"/>
        </w:rPr>
        <w:t xml:space="preserve"> </w:t>
      </w:r>
      <w:r w:rsidRPr="00BF35BC">
        <w:rPr>
          <w:rFonts w:eastAsia="Calibri"/>
          <w:iCs/>
          <w:color w:val="003366"/>
          <w:sz w:val="18"/>
          <w:szCs w:val="18"/>
        </w:rPr>
        <w:t xml:space="preserve">– </w:t>
      </w:r>
      <w:r>
        <w:rPr>
          <w:rFonts w:eastAsia="Calibri"/>
          <w:i/>
          <w:color w:val="17406D"/>
          <w:sz w:val="18"/>
          <w:szCs w:val="18"/>
        </w:rPr>
        <w:t xml:space="preserve">Costo standard </w:t>
      </w:r>
      <w:r w:rsidR="00593544">
        <w:rPr>
          <w:rFonts w:eastAsia="Calibri"/>
          <w:i/>
          <w:color w:val="17406D"/>
          <w:sz w:val="18"/>
          <w:szCs w:val="18"/>
        </w:rPr>
        <w:t>UR5 lotto in-house</w:t>
      </w:r>
    </w:p>
    <w:p w14:paraId="6D27C89C" w14:textId="5A166A6A" w:rsidR="00DC2661" w:rsidRDefault="0018771A" w:rsidP="00DC2661">
      <w:pPr>
        <w:spacing w:before="120" w:after="0" w:line="240" w:lineRule="auto"/>
        <w:rPr>
          <w:rFonts w:eastAsia="Calibri"/>
        </w:rPr>
      </w:pPr>
      <w:r>
        <w:rPr>
          <w:rFonts w:eastAsia="Calibri"/>
        </w:rPr>
        <w:lastRenderedPageBreak/>
        <w:t xml:space="preserve">Con l’aggiornamento del rapporto ricavi/costi per il lotto UR5 </w:t>
      </w:r>
      <w:r w:rsidRPr="008E665F">
        <w:rPr>
          <w:rFonts w:eastAsia="Calibri"/>
          <w:i/>
        </w:rPr>
        <w:t>in-house</w:t>
      </w:r>
      <w:r>
        <w:rPr>
          <w:rFonts w:eastAsia="Calibri"/>
        </w:rPr>
        <w:t xml:space="preserve"> viene ulteriormente confermata la congruenza fra la stima del costo standard e le riso</w:t>
      </w:r>
      <w:r w:rsidR="005E38BD">
        <w:rPr>
          <w:rFonts w:eastAsia="Calibri"/>
        </w:rPr>
        <w:t>rse impiegate, ed analogamente per i ricavi.</w:t>
      </w:r>
    </w:p>
    <w:p w14:paraId="552F4AA7" w14:textId="29C3CCF6" w:rsidR="00D62222" w:rsidRDefault="00D62222" w:rsidP="00D62222">
      <w:pPr>
        <w:spacing w:before="120" w:after="0" w:line="240" w:lineRule="auto"/>
        <w:rPr>
          <w:rFonts w:eastAsia="Calibri"/>
        </w:rPr>
      </w:pPr>
      <w:r>
        <w:rPr>
          <w:rFonts w:eastAsia="Calibri"/>
        </w:rPr>
        <w:t>Infatti</w:t>
      </w:r>
      <w:r w:rsidR="00AD7B1A">
        <w:rPr>
          <w:rFonts w:eastAsia="Calibri"/>
        </w:rPr>
        <w:t>,</w:t>
      </w:r>
      <w:r>
        <w:rPr>
          <w:rFonts w:eastAsia="Calibri"/>
        </w:rPr>
        <w:t xml:space="preserve"> le somme </w:t>
      </w:r>
      <w:r w:rsidR="00EA1CC6">
        <w:rPr>
          <w:rFonts w:eastAsia="Calibri"/>
        </w:rPr>
        <w:t xml:space="preserve">aggiornate della </w:t>
      </w:r>
      <w:r w:rsidRPr="00FD7EE5">
        <w:rPr>
          <w:rFonts w:eastAsia="Calibri"/>
        </w:rPr>
        <w:fldChar w:fldCharType="begin"/>
      </w:r>
      <w:r w:rsidRPr="00FD7EE5">
        <w:rPr>
          <w:rFonts w:eastAsia="Calibri"/>
        </w:rPr>
        <w:instrText xml:space="preserve"> REF _Ref213064201 \h </w:instrText>
      </w:r>
      <w:r w:rsidR="00FD7EE5" w:rsidRPr="00FD7EE5">
        <w:rPr>
          <w:rFonts w:eastAsia="Calibri"/>
        </w:rPr>
        <w:instrText xml:space="preserve"> \* MERGEFORMAT </w:instrText>
      </w:r>
      <w:r w:rsidRPr="00FD7EE5">
        <w:rPr>
          <w:rFonts w:eastAsia="Calibri"/>
        </w:rPr>
      </w:r>
      <w:r w:rsidRPr="00FD7EE5">
        <w:rPr>
          <w:rFonts w:eastAsia="Calibri"/>
        </w:rPr>
        <w:fldChar w:fldCharType="separate"/>
      </w:r>
      <w:r w:rsidR="00073B6D" w:rsidRPr="00073B6D">
        <w:rPr>
          <w:rFonts w:eastAsia="Calibri"/>
        </w:rPr>
        <w:t xml:space="preserve">Tabella </w:t>
      </w:r>
      <w:r w:rsidR="00073B6D" w:rsidRPr="00073B6D">
        <w:rPr>
          <w:rFonts w:cstheme="minorHAnsi"/>
          <w:noProof/>
        </w:rPr>
        <w:t>81</w:t>
      </w:r>
      <w:r w:rsidRPr="00FD7EE5">
        <w:rPr>
          <w:rFonts w:eastAsia="Calibri"/>
        </w:rPr>
        <w:fldChar w:fldCharType="end"/>
      </w:r>
      <w:r w:rsidR="00EA1CC6" w:rsidRPr="00FD7EE5">
        <w:rPr>
          <w:rFonts w:eastAsia="Calibri"/>
        </w:rPr>
        <w:t>,</w:t>
      </w:r>
      <w:r w:rsidR="00EA1CC6">
        <w:rPr>
          <w:rFonts w:eastAsia="Calibri"/>
        </w:rPr>
        <w:t xml:space="preserve"> così come ricalcolate nella </w:t>
      </w:r>
      <w:r w:rsidR="00EA1CC6">
        <w:rPr>
          <w:rFonts w:eastAsia="Calibri"/>
        </w:rPr>
        <w:fldChar w:fldCharType="begin"/>
      </w:r>
      <w:r w:rsidR="00EA1CC6">
        <w:rPr>
          <w:rFonts w:eastAsia="Calibri"/>
        </w:rPr>
        <w:instrText xml:space="preserve"> REF _Ref213064200 \h </w:instrText>
      </w:r>
      <w:r w:rsidR="00FD7EE5">
        <w:rPr>
          <w:rFonts w:eastAsia="Calibri"/>
        </w:rPr>
        <w:instrText xml:space="preserve"> \* MERGEFORMAT </w:instrText>
      </w:r>
      <w:r w:rsidR="00EA1CC6">
        <w:rPr>
          <w:rFonts w:eastAsia="Calibri"/>
        </w:rPr>
      </w:r>
      <w:r w:rsidR="00EA1CC6">
        <w:rPr>
          <w:rFonts w:eastAsia="Calibri"/>
        </w:rPr>
        <w:fldChar w:fldCharType="separate"/>
      </w:r>
      <w:r w:rsidR="00073B6D" w:rsidRPr="00073B6D">
        <w:rPr>
          <w:rFonts w:eastAsia="Calibri"/>
        </w:rPr>
        <w:t>Tabella 82</w:t>
      </w:r>
      <w:r w:rsidR="00EA1CC6">
        <w:rPr>
          <w:rFonts w:eastAsia="Calibri"/>
        </w:rPr>
        <w:fldChar w:fldCharType="end"/>
      </w:r>
      <w:r w:rsidR="007E14CE">
        <w:rPr>
          <w:rFonts w:eastAsia="Calibri"/>
        </w:rPr>
        <w:t xml:space="preserve"> </w:t>
      </w:r>
      <w:r w:rsidR="003C109A">
        <w:rPr>
          <w:rFonts w:eastAsia="Calibri"/>
        </w:rPr>
        <w:t>indicano</w:t>
      </w:r>
      <w:r w:rsidR="00204D20">
        <w:rPr>
          <w:rFonts w:eastAsia="Calibri"/>
        </w:rPr>
        <w:t xml:space="preserve"> somme complessivamente necessarie </w:t>
      </w:r>
      <w:r>
        <w:rPr>
          <w:rFonts w:eastAsia="Calibri"/>
        </w:rPr>
        <w:t xml:space="preserve">per le compensazioni degli </w:t>
      </w:r>
      <w:r w:rsidR="00C5634A">
        <w:rPr>
          <w:rFonts w:eastAsia="Calibri"/>
        </w:rPr>
        <w:t>o</w:t>
      </w:r>
      <w:r>
        <w:rPr>
          <w:rFonts w:eastAsia="Calibri"/>
        </w:rPr>
        <w:t xml:space="preserve">bblighi di servizio, valutati con la metodologia del costo standard </w:t>
      </w:r>
      <w:r w:rsidR="003C109A">
        <w:rPr>
          <w:rFonts w:eastAsia="Calibri"/>
        </w:rPr>
        <w:t>pari a</w:t>
      </w:r>
      <w:r>
        <w:rPr>
          <w:rFonts w:eastAsia="Calibri"/>
        </w:rPr>
        <w:t xml:space="preserve"> circa 4</w:t>
      </w:r>
      <w:r w:rsidR="00C5634A">
        <w:rPr>
          <w:rFonts w:eastAsia="Calibri"/>
        </w:rPr>
        <w:t>5,9</w:t>
      </w:r>
      <w:r>
        <w:rPr>
          <w:rFonts w:eastAsia="Calibri"/>
        </w:rPr>
        <w:t xml:space="preserve"> milioni di €, mentre i ricavi standard ammontano a circa </w:t>
      </w:r>
      <w:r w:rsidR="00395E95">
        <w:rPr>
          <w:rFonts w:eastAsia="Calibri"/>
        </w:rPr>
        <w:t>26</w:t>
      </w:r>
      <w:r>
        <w:rPr>
          <w:rFonts w:eastAsia="Calibri"/>
        </w:rPr>
        <w:t xml:space="preserve"> milioni di €.</w:t>
      </w:r>
    </w:p>
    <w:p w14:paraId="17F88E43" w14:textId="33A712EE" w:rsidR="00FD2CBB" w:rsidRPr="006B365D" w:rsidRDefault="00825FDE" w:rsidP="00FD2CBB">
      <w:pPr>
        <w:spacing w:before="120" w:after="0" w:line="240" w:lineRule="auto"/>
        <w:rPr>
          <w:rFonts w:eastAsia="Calibri"/>
        </w:rPr>
      </w:pPr>
      <w:r>
        <w:rPr>
          <w:rFonts w:eastAsia="Calibri"/>
        </w:rPr>
        <w:t xml:space="preserve">Pertanto il focus principale su cui bisognerà </w:t>
      </w:r>
      <w:r w:rsidR="0087084D">
        <w:rPr>
          <w:rFonts w:eastAsia="Calibri"/>
        </w:rPr>
        <w:t xml:space="preserve">porre attenzione saranno i ricavi da traffico, ricordando che nella </w:t>
      </w:r>
      <w:r w:rsidR="006B365D" w:rsidRPr="00FD7EE5">
        <w:rPr>
          <w:rFonts w:eastAsia="Calibri"/>
        </w:rPr>
        <w:fldChar w:fldCharType="begin"/>
      </w:r>
      <w:r w:rsidR="006B365D" w:rsidRPr="00FD7EE5">
        <w:rPr>
          <w:rFonts w:eastAsia="Calibri"/>
        </w:rPr>
        <w:instrText xml:space="preserve"> REF _Ref213065139 \h </w:instrText>
      </w:r>
      <w:r w:rsidR="00FD7EE5" w:rsidRPr="00FD7EE5">
        <w:rPr>
          <w:rFonts w:eastAsia="Calibri"/>
        </w:rPr>
        <w:instrText xml:space="preserve"> \* MERGEFORMAT </w:instrText>
      </w:r>
      <w:r w:rsidR="006B365D" w:rsidRPr="00FD7EE5">
        <w:rPr>
          <w:rFonts w:eastAsia="Calibri"/>
        </w:rPr>
      </w:r>
      <w:r w:rsidR="006B365D" w:rsidRPr="00FD7EE5">
        <w:rPr>
          <w:rFonts w:eastAsia="Calibri"/>
        </w:rPr>
        <w:fldChar w:fldCharType="separate"/>
      </w:r>
      <w:r w:rsidR="00073B6D" w:rsidRPr="00073B6D">
        <w:rPr>
          <w:rFonts w:eastAsia="Calibri"/>
        </w:rPr>
        <w:t xml:space="preserve">Tabella </w:t>
      </w:r>
      <w:r w:rsidR="00073B6D" w:rsidRPr="00073B6D">
        <w:rPr>
          <w:rFonts w:cstheme="minorHAnsi"/>
          <w:noProof/>
        </w:rPr>
        <w:t>80</w:t>
      </w:r>
      <w:r w:rsidR="006B365D" w:rsidRPr="00FD7EE5">
        <w:rPr>
          <w:rFonts w:eastAsia="Calibri"/>
        </w:rPr>
        <w:fldChar w:fldCharType="end"/>
      </w:r>
      <w:r w:rsidR="00FD2CBB">
        <w:rPr>
          <w:rFonts w:eastAsia="Calibri"/>
        </w:rPr>
        <w:t xml:space="preserve"> sono </w:t>
      </w:r>
      <w:r w:rsidR="006B365D">
        <w:rPr>
          <w:rFonts w:eastAsia="Calibri"/>
        </w:rPr>
        <w:t>inseriti esclusivamente</w:t>
      </w:r>
      <w:r w:rsidR="00FD2CBB">
        <w:rPr>
          <w:rFonts w:eastAsia="Calibri"/>
        </w:rPr>
        <w:t xml:space="preserve"> i ricavi</w:t>
      </w:r>
      <w:r w:rsidR="006B365D">
        <w:rPr>
          <w:rFonts w:eastAsia="Calibri"/>
        </w:rPr>
        <w:t xml:space="preserve"> da titoli di viaggio e non gli altri</w:t>
      </w:r>
      <w:r w:rsidR="00B05951">
        <w:rPr>
          <w:rFonts w:eastAsia="Calibri"/>
        </w:rPr>
        <w:t xml:space="preserve"> ricavi</w:t>
      </w:r>
      <w:r w:rsidR="006B365D">
        <w:rPr>
          <w:rFonts w:eastAsia="Calibri"/>
        </w:rPr>
        <w:t xml:space="preserve">, quest’ultimi potrebbero giocare un </w:t>
      </w:r>
      <w:r w:rsidR="00AE42F6">
        <w:rPr>
          <w:rFonts w:eastAsia="Calibri"/>
        </w:rPr>
        <w:t>ruolo</w:t>
      </w:r>
      <w:r w:rsidR="006B365D">
        <w:rPr>
          <w:rFonts w:eastAsia="Calibri"/>
        </w:rPr>
        <w:t xml:space="preserve"> importante</w:t>
      </w:r>
      <w:r w:rsidR="00B05951">
        <w:rPr>
          <w:rFonts w:eastAsia="Calibri"/>
        </w:rPr>
        <w:t>.</w:t>
      </w:r>
    </w:p>
    <w:p w14:paraId="3F2F6E0F" w14:textId="77777777" w:rsidR="00F676A6" w:rsidRPr="00835E4A" w:rsidRDefault="00F676A6" w:rsidP="00F676A6">
      <w:pPr>
        <w:spacing w:before="120" w:after="0" w:line="240" w:lineRule="auto"/>
        <w:rPr>
          <w:rFonts w:eastAsia="Calibri"/>
          <w:b/>
          <w:bCs/>
        </w:rPr>
      </w:pPr>
      <w:r w:rsidRPr="00835E4A">
        <w:rPr>
          <w:rFonts w:eastAsia="Calibri"/>
          <w:b/>
          <w:bCs/>
        </w:rPr>
        <w:t>Strategi</w:t>
      </w:r>
      <w:r w:rsidRPr="009D07E5">
        <w:rPr>
          <w:rFonts w:eastAsia="Calibri"/>
          <w:b/>
          <w:bCs/>
        </w:rPr>
        <w:t>e</w:t>
      </w:r>
      <w:r w:rsidRPr="00835E4A">
        <w:rPr>
          <w:rFonts w:eastAsia="Calibri"/>
          <w:b/>
          <w:bCs/>
        </w:rPr>
        <w:t xml:space="preserve"> di incremento dei ricavi nel TPL</w:t>
      </w:r>
    </w:p>
    <w:p w14:paraId="199E143C" w14:textId="77777777" w:rsidR="00F676A6" w:rsidRPr="00835E4A" w:rsidRDefault="00F676A6" w:rsidP="00F676A6">
      <w:pPr>
        <w:spacing w:before="120" w:after="0" w:line="240" w:lineRule="auto"/>
        <w:rPr>
          <w:rFonts w:eastAsia="Calibri"/>
        </w:rPr>
      </w:pPr>
      <w:r w:rsidRPr="00835E4A">
        <w:rPr>
          <w:rFonts w:eastAsia="Calibri"/>
        </w:rPr>
        <w:t>L’incremento dei ricavi da traffico dovrà derivare prioritariamente da un aumento del volume di passeggeri trasportati, ottenibile attraverso una combinazione di interventi su domanda, offerta e qualità del servizio. In fase di predisposizione delle offerte, sarà richiesto agli operatori di proporre una revisione dell’assetto dei servizi che, nel loro complesso, consenta di raggiungere l’obiettivo del 35% di copertura dei costi operativi tramite ricavi da traffico.</w:t>
      </w:r>
    </w:p>
    <w:p w14:paraId="607B1304" w14:textId="77777777" w:rsidR="00F676A6" w:rsidRPr="00835E4A" w:rsidRDefault="00F676A6" w:rsidP="00F676A6">
      <w:pPr>
        <w:spacing w:before="120" w:after="0" w:line="240" w:lineRule="auto"/>
        <w:rPr>
          <w:rFonts w:eastAsia="Calibri"/>
        </w:rPr>
      </w:pPr>
      <w:r w:rsidRPr="00835E4A">
        <w:rPr>
          <w:rFonts w:eastAsia="Calibri"/>
        </w:rPr>
        <w:t xml:space="preserve">Per i </w:t>
      </w:r>
      <w:r w:rsidRPr="009D07E5">
        <w:rPr>
          <w:rFonts w:eastAsia="Calibri"/>
        </w:rPr>
        <w:t xml:space="preserve">rimanenti </w:t>
      </w:r>
      <w:r w:rsidRPr="00835E4A">
        <w:rPr>
          <w:rFonts w:eastAsia="Calibri"/>
        </w:rPr>
        <w:t>servizi in cui tale obiettivo risulti raggiungibile</w:t>
      </w:r>
      <w:r w:rsidRPr="009D07E5">
        <w:rPr>
          <w:rFonts w:eastAsia="Calibri"/>
        </w:rPr>
        <w:t xml:space="preserve"> nella durata del CdS</w:t>
      </w:r>
      <w:r w:rsidRPr="00835E4A">
        <w:rPr>
          <w:rFonts w:eastAsia="Calibri"/>
        </w:rPr>
        <w:t>, sarà possibile presentare proposte progettuali che includano:</w:t>
      </w:r>
    </w:p>
    <w:p w14:paraId="6C957CC2" w14:textId="77777777" w:rsidR="00F676A6" w:rsidRPr="00835E4A" w:rsidRDefault="00F676A6" w:rsidP="004B0DBE">
      <w:pPr>
        <w:numPr>
          <w:ilvl w:val="0"/>
          <w:numId w:val="89"/>
        </w:numPr>
        <w:spacing w:before="120" w:after="0" w:line="240" w:lineRule="auto"/>
        <w:rPr>
          <w:rFonts w:eastAsia="Calibri"/>
        </w:rPr>
      </w:pPr>
      <w:r w:rsidRPr="00835E4A">
        <w:rPr>
          <w:rFonts w:eastAsia="Calibri"/>
        </w:rPr>
        <w:t>Soluzioni di riorganizzazione dell’offerta orientate all’incremento della domanda servita, anche attraverso l’introduzione di nuove politiche tariffarie coerenti con la struttura della domanda e con l’obiettivo di sostenibilità economica;</w:t>
      </w:r>
    </w:p>
    <w:p w14:paraId="3DE0056E" w14:textId="77777777" w:rsidR="00F676A6" w:rsidRPr="00835E4A" w:rsidRDefault="00F676A6" w:rsidP="004B0DBE">
      <w:pPr>
        <w:numPr>
          <w:ilvl w:val="0"/>
          <w:numId w:val="89"/>
        </w:numPr>
        <w:spacing w:before="120" w:after="0" w:line="240" w:lineRule="auto"/>
        <w:rPr>
          <w:rFonts w:eastAsia="Calibri"/>
        </w:rPr>
      </w:pPr>
      <w:r w:rsidRPr="00835E4A">
        <w:rPr>
          <w:rFonts w:eastAsia="Calibri"/>
        </w:rPr>
        <w:t>Ottimizzazione dei processi gestionali e organizzativi, finalizzata alla riduzione dei costi unitari di produzione del servizio, anche mediante l’adozione di modelli alternativi di esercizio;</w:t>
      </w:r>
    </w:p>
    <w:p w14:paraId="563D169D" w14:textId="77777777" w:rsidR="00F676A6" w:rsidRPr="00835E4A" w:rsidRDefault="00F676A6" w:rsidP="004B0DBE">
      <w:pPr>
        <w:numPr>
          <w:ilvl w:val="0"/>
          <w:numId w:val="89"/>
        </w:numPr>
        <w:spacing w:before="120" w:after="0" w:line="240" w:lineRule="auto"/>
        <w:rPr>
          <w:rFonts w:eastAsia="Calibri"/>
        </w:rPr>
      </w:pPr>
      <w:r w:rsidRPr="00835E4A">
        <w:rPr>
          <w:rFonts w:eastAsia="Calibri"/>
        </w:rPr>
        <w:t>Azioni di promozione dell’accessibilità, sia in termini di comunicazione e informazione all’utenza, sia attraverso la semplificazione delle modalità di acquisto dei titoli di viaggio, sfruttando strumenti digitali e canali innovativi.</w:t>
      </w:r>
    </w:p>
    <w:p w14:paraId="00997415" w14:textId="77777777" w:rsidR="00F676A6" w:rsidRPr="00835E4A" w:rsidRDefault="00F676A6" w:rsidP="00F676A6">
      <w:pPr>
        <w:spacing w:before="120" w:after="0" w:line="240" w:lineRule="auto"/>
        <w:rPr>
          <w:rFonts w:eastAsia="Calibri"/>
        </w:rPr>
      </w:pPr>
      <w:r w:rsidRPr="009D07E5">
        <w:rPr>
          <w:rFonts w:eastAsia="Calibri"/>
        </w:rPr>
        <w:t>Una altra leva fondamentale sarà i</w:t>
      </w:r>
      <w:r w:rsidRPr="00835E4A">
        <w:rPr>
          <w:rFonts w:eastAsia="Calibri"/>
        </w:rPr>
        <w:t>l miglioramento della qualità percepita del servizio</w:t>
      </w:r>
      <w:r w:rsidRPr="009D07E5">
        <w:rPr>
          <w:rFonts w:eastAsia="Calibri"/>
        </w:rPr>
        <w:t xml:space="preserve"> che</w:t>
      </w:r>
      <w:r w:rsidRPr="00835E4A">
        <w:rPr>
          <w:rFonts w:eastAsia="Calibri"/>
        </w:rPr>
        <w:t xml:space="preserve"> rappresenta un fattore chiave per l’aumento della elasticità della domanda. Interventi mirati includono:</w:t>
      </w:r>
    </w:p>
    <w:p w14:paraId="1A070473" w14:textId="77777777" w:rsidR="00F676A6" w:rsidRPr="00835E4A" w:rsidRDefault="00F676A6" w:rsidP="004B0DBE">
      <w:pPr>
        <w:numPr>
          <w:ilvl w:val="0"/>
          <w:numId w:val="90"/>
        </w:numPr>
        <w:spacing w:before="120" w:after="0" w:line="240" w:lineRule="auto"/>
        <w:rPr>
          <w:rFonts w:eastAsia="Calibri"/>
        </w:rPr>
      </w:pPr>
      <w:r w:rsidRPr="00835E4A">
        <w:rPr>
          <w:rFonts w:eastAsia="Calibri"/>
        </w:rPr>
        <w:t>Potenziamento della comunicazione bidirezionale con l’utenza, per garantire trasparenza, tempestività e personalizzazione delle informazioni;</w:t>
      </w:r>
    </w:p>
    <w:p w14:paraId="1A4279CF" w14:textId="77777777" w:rsidR="00F676A6" w:rsidRPr="00835E4A" w:rsidRDefault="00F676A6" w:rsidP="004B0DBE">
      <w:pPr>
        <w:numPr>
          <w:ilvl w:val="0"/>
          <w:numId w:val="90"/>
        </w:numPr>
        <w:spacing w:before="120" w:after="0" w:line="240" w:lineRule="auto"/>
        <w:rPr>
          <w:rFonts w:eastAsia="Calibri"/>
        </w:rPr>
      </w:pPr>
      <w:r w:rsidRPr="00835E4A">
        <w:rPr>
          <w:rFonts w:eastAsia="Calibri"/>
        </w:rPr>
        <w:t>Formazione continua del personale di contatto, orientata alla customer satisfaction e alla gestione proattiva delle esigenze dei passeggeri;</w:t>
      </w:r>
    </w:p>
    <w:p w14:paraId="0347CADD" w14:textId="77777777" w:rsidR="00F676A6" w:rsidRPr="00835E4A" w:rsidRDefault="00F676A6" w:rsidP="004B0DBE">
      <w:pPr>
        <w:numPr>
          <w:ilvl w:val="0"/>
          <w:numId w:val="90"/>
        </w:numPr>
        <w:spacing w:before="120" w:after="0" w:line="240" w:lineRule="auto"/>
        <w:rPr>
          <w:rFonts w:eastAsia="Calibri"/>
        </w:rPr>
      </w:pPr>
      <w:r w:rsidRPr="00835E4A">
        <w:rPr>
          <w:rFonts w:eastAsia="Calibri"/>
        </w:rPr>
        <w:t>Integrazione modale, con particolare attenzione agli hub intermodali, per facilitare la continuità del viaggio e rendere il TPL una scelta competitiva rispetto al mezzo privato.</w:t>
      </w:r>
    </w:p>
    <w:p w14:paraId="743E3525" w14:textId="77777777" w:rsidR="00F676A6" w:rsidRPr="00835E4A" w:rsidRDefault="00F676A6" w:rsidP="00F676A6">
      <w:pPr>
        <w:spacing w:before="120" w:after="0" w:line="240" w:lineRule="auto"/>
        <w:rPr>
          <w:rFonts w:eastAsia="Calibri"/>
        </w:rPr>
      </w:pPr>
      <w:r w:rsidRPr="00835E4A">
        <w:rPr>
          <w:rFonts w:eastAsia="Calibri"/>
        </w:rPr>
        <w:t>Le strategie proposte trovano terreno fertile grazie all’elevato livello di digitalizzazione richiesto alle imprese partecipanti, condizione abilitante per l’adozione di soluzioni data-driven e per l’implementazione di strumenti innovativi come:</w:t>
      </w:r>
    </w:p>
    <w:p w14:paraId="1189BF20" w14:textId="77777777" w:rsidR="00F676A6" w:rsidRPr="00835E4A" w:rsidRDefault="00F676A6" w:rsidP="004B0DBE">
      <w:pPr>
        <w:numPr>
          <w:ilvl w:val="0"/>
          <w:numId w:val="91"/>
        </w:numPr>
        <w:spacing w:before="120" w:after="0" w:line="240" w:lineRule="auto"/>
        <w:rPr>
          <w:rFonts w:eastAsia="Calibri"/>
        </w:rPr>
      </w:pPr>
      <w:r w:rsidRPr="00835E4A">
        <w:rPr>
          <w:rFonts w:eastAsia="Calibri"/>
        </w:rPr>
        <w:t>Spinta gentile (nudge), per orientare comportamenti virtuosi senza imposizioni, ad esempio incentivando l’acquisto anticipato di titoli o l’utilizzo di linee meno congestionate;</w:t>
      </w:r>
    </w:p>
    <w:p w14:paraId="6C75E5FF" w14:textId="77777777" w:rsidR="00F676A6" w:rsidRPr="00835E4A" w:rsidRDefault="00F676A6" w:rsidP="004B0DBE">
      <w:pPr>
        <w:numPr>
          <w:ilvl w:val="0"/>
          <w:numId w:val="91"/>
        </w:numPr>
        <w:spacing w:before="120" w:after="0" w:line="240" w:lineRule="auto"/>
        <w:rPr>
          <w:rFonts w:eastAsia="Calibri"/>
        </w:rPr>
      </w:pPr>
      <w:r w:rsidRPr="00835E4A">
        <w:rPr>
          <w:rFonts w:eastAsia="Calibri"/>
        </w:rPr>
        <w:t>Gamification, attraverso meccanismi di coinvolgimento ludico (premi, classifiche, sfide) che favoriscano la fidelizzazione e l’uso ricorrente del servizio.</w:t>
      </w:r>
    </w:p>
    <w:p w14:paraId="02054A65" w14:textId="77777777" w:rsidR="00F676A6" w:rsidRPr="00835E4A" w:rsidRDefault="00F676A6" w:rsidP="00F676A6">
      <w:pPr>
        <w:spacing w:before="120" w:after="0" w:line="240" w:lineRule="auto"/>
        <w:rPr>
          <w:rFonts w:eastAsia="Calibri"/>
        </w:rPr>
      </w:pPr>
      <w:r w:rsidRPr="00835E4A">
        <w:rPr>
          <w:rFonts w:eastAsia="Calibri"/>
        </w:rPr>
        <w:t>Infine, l’aumento dei ricavi può essere sostenuto anche da una revisione del marketing mix nella vendita dei titoli di viaggio, con l’obiettivo di incrementare il valore medio per transazione. Ciò può includere l’introduzione di pacchetti tariffari integrati, abbonamenti flessibili, e promozioni mirate a specifici segmenti di utenza.</w:t>
      </w:r>
    </w:p>
    <w:p w14:paraId="2003C7C1" w14:textId="77777777" w:rsidR="00F676A6" w:rsidRDefault="00F676A6" w:rsidP="00F676A6">
      <w:pPr>
        <w:spacing w:before="120" w:after="0" w:line="240" w:lineRule="auto"/>
        <w:rPr>
          <w:rFonts w:eastAsia="Calibri"/>
        </w:rPr>
      </w:pPr>
      <w:r w:rsidRPr="009D07E5">
        <w:rPr>
          <w:rFonts w:eastAsia="Calibri"/>
        </w:rPr>
        <w:lastRenderedPageBreak/>
        <w:t>Inoltre, le aziende dovranno puntare ad acquisire "Altri ricavi", che già oggi hanno un discreto impatto. Questi ricavi possono derivare da diverse fonti, come la vendita di spazi pubblicitari, la fornitura di servizi aggiuntivi ai passeggeri, e la collaborazione con altre imprese per lo sviluppo di progetti congiunti. L'acquisizione di "Altri ricavi" sarà fondamentale per garantire la sostenibilità economica delle aziende e per contribuire al miglioramento complessivo del sistema di trasporto pubblico.</w:t>
      </w:r>
    </w:p>
    <w:p w14:paraId="4C130065" w14:textId="77777777" w:rsidR="00F676A6" w:rsidRDefault="00F676A6" w:rsidP="00F676A6">
      <w:pPr>
        <w:spacing w:before="120" w:line="240" w:lineRule="auto"/>
        <w:rPr>
          <w:rFonts w:eastAsia="Calibri"/>
        </w:rPr>
      </w:pPr>
      <w:r>
        <w:rPr>
          <w:rFonts w:eastAsia="Calibri"/>
        </w:rPr>
        <w:t>La figura seguente schematizza le azioni sopra citate finalizzate all’incremento dei ricavi da traffico. Si tratta di spunti di riflessione che troveranno, in sede di presentazione dell’offerta una più ampia e più approfondita analisi da parte dei partecipanti alla procedura.</w:t>
      </w:r>
    </w:p>
    <w:p w14:paraId="17074FC6" w14:textId="77777777" w:rsidR="00FD2CBB" w:rsidRPr="00825B1C" w:rsidRDefault="00FD2CBB" w:rsidP="00FD2CBB">
      <w:pPr>
        <w:rPr>
          <w:rFonts w:eastAsia="Calibri"/>
        </w:rPr>
      </w:pPr>
    </w:p>
    <w:p w14:paraId="5D471964" w14:textId="2B6A8CE5" w:rsidR="00483C63" w:rsidRPr="00825B1C" w:rsidRDefault="00EC2EC6" w:rsidP="00FD2CBB">
      <w:pPr>
        <w:rPr>
          <w:rFonts w:eastAsia="Calibri"/>
        </w:rPr>
      </w:pPr>
      <w:r w:rsidRPr="002B0EC6">
        <w:rPr>
          <w:rFonts w:eastAsia="Calibri"/>
          <w:noProof/>
        </w:rPr>
        <w:drawing>
          <wp:inline distT="0" distB="0" distL="0" distR="0" wp14:anchorId="31AC01B6" wp14:editId="626EF260">
            <wp:extent cx="5759450" cy="2990215"/>
            <wp:effectExtent l="0" t="0" r="0" b="635"/>
            <wp:docPr id="91735934" name="Immagine 2" descr="Immagine che contiene testo, schermata, Carattere, numero&#10;&#10;Descrizione generata automaticamente">
              <a:extLst xmlns:a="http://schemas.openxmlformats.org/drawingml/2006/main">
                <a:ext uri="{FF2B5EF4-FFF2-40B4-BE49-F238E27FC236}">
                  <a16:creationId xmlns:a16="http://schemas.microsoft.com/office/drawing/2014/main" id="{7CE45077-3954-BCAC-12CB-DF5B8991FF4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2" descr="Immagine che contiene testo, schermata, Carattere, numero&#10;&#10;Descrizione generata automaticamente">
                      <a:extLst>
                        <a:ext uri="{FF2B5EF4-FFF2-40B4-BE49-F238E27FC236}">
                          <a16:creationId xmlns:a16="http://schemas.microsoft.com/office/drawing/2014/main" id="{7CE45077-3954-BCAC-12CB-DF5B8991FF4E}"/>
                        </a:ext>
                      </a:extLst>
                    </pic:cNvPr>
                    <pic:cNvPicPr>
                      <a:picLocks noChangeAspect="1"/>
                    </pic:cNvPicPr>
                  </pic:nvPicPr>
                  <pic:blipFill>
                    <a:blip r:embed="rId103"/>
                    <a:stretch>
                      <a:fillRect/>
                    </a:stretch>
                  </pic:blipFill>
                  <pic:spPr>
                    <a:xfrm>
                      <a:off x="0" y="0"/>
                      <a:ext cx="5759450" cy="2990215"/>
                    </a:xfrm>
                    <a:prstGeom prst="rect">
                      <a:avLst/>
                    </a:prstGeom>
                  </pic:spPr>
                </pic:pic>
              </a:graphicData>
            </a:graphic>
          </wp:inline>
        </w:drawing>
      </w:r>
    </w:p>
    <w:p w14:paraId="6CE80360" w14:textId="7E63AB07" w:rsidR="00BE78D9" w:rsidRPr="00C41A8C" w:rsidRDefault="00041441" w:rsidP="00BE78D9">
      <w:pPr>
        <w:spacing w:after="0" w:line="240" w:lineRule="auto"/>
        <w:jc w:val="center"/>
        <w:rPr>
          <w:rFonts w:eastAsia="Calibri" w:cs="Times New Roman"/>
          <w:i/>
          <w:iCs/>
          <w:color w:val="003366"/>
          <w:sz w:val="18"/>
          <w:szCs w:val="18"/>
        </w:rPr>
      </w:pPr>
      <w:r w:rsidRPr="00AD01C5">
        <w:rPr>
          <w:rFonts w:eastAsia="Calibri"/>
          <w:i/>
          <w:color w:val="003366"/>
          <w:sz w:val="18"/>
          <w:szCs w:val="18"/>
        </w:rPr>
        <w:t xml:space="preserve">Figura </w:t>
      </w:r>
      <w:r w:rsidRPr="00B50CF2">
        <w:rPr>
          <w:rFonts w:asciiTheme="minorHAnsi" w:hAnsiTheme="minorHAnsi" w:cstheme="minorHAnsi"/>
          <w:i/>
          <w:color w:val="003366"/>
          <w:sz w:val="18"/>
          <w:szCs w:val="18"/>
          <w14:textOutline w14:w="0" w14:cap="rnd" w14:cmpd="sng" w14:algn="ctr">
            <w14:solidFill>
              <w14:srgbClr w14:val="FF6C6C"/>
            </w14:solidFill>
            <w14:prstDash w14:val="solid"/>
            <w14:bevel/>
          </w14:textOutline>
        </w:rPr>
        <w:fldChar w:fldCharType="begin"/>
      </w:r>
      <w:r w:rsidRPr="00B50CF2">
        <w:rPr>
          <w:rFonts w:asciiTheme="minorHAnsi" w:hAnsiTheme="minorHAnsi" w:cstheme="minorHAnsi"/>
          <w:i/>
          <w:iCs/>
          <w:color w:val="17406D" w:themeColor="text2"/>
          <w:sz w:val="18"/>
          <w:szCs w:val="18"/>
          <w14:textOutline w14:w="0" w14:cap="rnd" w14:cmpd="sng" w14:algn="ctr">
            <w14:solidFill>
              <w14:srgbClr w14:val="FF6C6C"/>
            </w14:solidFill>
            <w14:prstDash w14:val="solid"/>
            <w14:bevel/>
          </w14:textOutline>
        </w:rPr>
        <w:instrText xml:space="preserve"> SEQ Figura \* ARABIC </w:instrText>
      </w:r>
      <w:r w:rsidRPr="00B50CF2">
        <w:rPr>
          <w:rFonts w:asciiTheme="minorHAnsi" w:hAnsiTheme="minorHAnsi" w:cstheme="minorHAnsi"/>
          <w:i/>
          <w:color w:val="003366"/>
          <w:sz w:val="18"/>
          <w:szCs w:val="18"/>
          <w14:textOutline w14:w="0" w14:cap="rnd" w14:cmpd="sng" w14:algn="ctr">
            <w14:solidFill>
              <w14:srgbClr w14:val="FF6C6C"/>
            </w14:solidFill>
            <w14:prstDash w14:val="solid"/>
            <w14:bevel/>
          </w14:textOutline>
        </w:rPr>
        <w:fldChar w:fldCharType="separate"/>
      </w:r>
      <w:r w:rsidR="00073B6D">
        <w:rPr>
          <w:rFonts w:asciiTheme="minorHAnsi" w:hAnsiTheme="minorHAnsi" w:cstheme="minorHAnsi"/>
          <w:i/>
          <w:iCs/>
          <w:noProof/>
          <w:color w:val="17406D" w:themeColor="text2"/>
          <w:sz w:val="18"/>
          <w:szCs w:val="18"/>
          <w14:textOutline w14:w="0" w14:cap="rnd" w14:cmpd="sng" w14:algn="ctr">
            <w14:solidFill>
              <w14:srgbClr w14:val="FF6C6C"/>
            </w14:solidFill>
            <w14:prstDash w14:val="solid"/>
            <w14:bevel/>
          </w14:textOutline>
        </w:rPr>
        <w:t>45</w:t>
      </w:r>
      <w:r w:rsidRPr="00B50CF2">
        <w:rPr>
          <w:rFonts w:asciiTheme="minorHAnsi" w:hAnsiTheme="minorHAnsi" w:cstheme="minorHAnsi"/>
          <w:i/>
          <w:color w:val="003366"/>
          <w:sz w:val="18"/>
          <w:szCs w:val="18"/>
          <w14:textOutline w14:w="0" w14:cap="rnd" w14:cmpd="sng" w14:algn="ctr">
            <w14:solidFill>
              <w14:srgbClr w14:val="FF6C6C"/>
            </w14:solidFill>
            <w14:prstDash w14:val="solid"/>
            <w14:bevel/>
          </w14:textOutline>
        </w:rPr>
        <w:fldChar w:fldCharType="end"/>
      </w:r>
      <w:r w:rsidRPr="00AD01C5">
        <w:rPr>
          <w:rFonts w:eastAsia="Calibri"/>
          <w:iCs/>
          <w:color w:val="003366"/>
          <w:sz w:val="18"/>
          <w:szCs w:val="18"/>
        </w:rPr>
        <w:t xml:space="preserve"> – </w:t>
      </w:r>
      <w:r w:rsidR="00BE78D9" w:rsidRPr="00C41A8C">
        <w:rPr>
          <w:rFonts w:eastAsia="Calibri"/>
          <w:i/>
          <w:iCs/>
          <w:color w:val="003366"/>
          <w:sz w:val="18"/>
          <w:szCs w:val="18"/>
        </w:rPr>
        <w:t>Strategie per incremento ricavi da traffico</w:t>
      </w:r>
    </w:p>
    <w:p w14:paraId="393FCF6A" w14:textId="77777777" w:rsidR="00F676A6" w:rsidRPr="009D07E5" w:rsidRDefault="00F676A6" w:rsidP="00F676A6">
      <w:pPr>
        <w:spacing w:before="120" w:after="0" w:line="240" w:lineRule="auto"/>
        <w:rPr>
          <w:rFonts w:eastAsia="Calibri"/>
        </w:rPr>
      </w:pPr>
      <w:r w:rsidRPr="00953D19">
        <w:rPr>
          <w:rFonts w:eastAsia="Calibri"/>
        </w:rPr>
        <w:t>La procedura di gara, come sarà meglio illustrato nelle Relazioni di affidamento, richiederà alle aziende di sviluppare proposte di efficientamento gestionale. Queste proposte dovranno mirare a una riduzione complessiva dei costi operativi, attraverso l'ottimizzazione delle risorse e l'implementazione di processi più efficienti. L'obiettivo principale sarà quello di migliorare l'efficacia dei servizi offerti, garantendo al contempo un aumento dei ricavi da traffico.</w:t>
      </w:r>
    </w:p>
    <w:p w14:paraId="5EBAB831" w14:textId="77777777" w:rsidR="00FD2CBB" w:rsidRDefault="00FD2CBB" w:rsidP="00FD2CBB">
      <w:pPr>
        <w:rPr>
          <w:rFonts w:eastAsia="Calibri"/>
        </w:rPr>
      </w:pPr>
    </w:p>
    <w:p w14:paraId="304E9E93" w14:textId="77777777" w:rsidR="00FD2CBB" w:rsidRPr="00825B1C" w:rsidRDefault="00FD2CBB" w:rsidP="00FD2CBB">
      <w:pPr>
        <w:rPr>
          <w:rFonts w:eastAsia="Calibri"/>
        </w:rPr>
        <w:sectPr w:rsidR="00FD2CBB" w:rsidRPr="00825B1C" w:rsidSect="00F41C4B">
          <w:footerReference w:type="default" r:id="rId104"/>
          <w:pgSz w:w="11906" w:h="16838"/>
          <w:pgMar w:top="1418" w:right="1418" w:bottom="1418" w:left="1418" w:header="709" w:footer="709" w:gutter="0"/>
          <w:pgBorders w:offsetFrom="page">
            <w:right w:val="single" w:sz="48" w:space="24" w:color="EE3438"/>
          </w:pgBorders>
          <w:cols w:space="708"/>
          <w:docGrid w:linePitch="360"/>
        </w:sectPr>
      </w:pPr>
    </w:p>
    <w:p w14:paraId="53262C91" w14:textId="77777777" w:rsidR="00FD2CBB" w:rsidRPr="004D5F50" w:rsidRDefault="00FD2CBB" w:rsidP="00FD2CBB">
      <w:pPr>
        <w:pStyle w:val="Titolo1"/>
        <w:ind w:left="426"/>
      </w:pPr>
      <w:bookmarkStart w:id="495" w:name="_Ref194318073"/>
      <w:bookmarkStart w:id="496" w:name="_Toc197695733"/>
      <w:bookmarkStart w:id="497" w:name="_Toc204616542"/>
      <w:bookmarkStart w:id="498" w:name="_Toc213078418"/>
      <w:r w:rsidRPr="004D5F50">
        <w:lastRenderedPageBreak/>
        <w:t>Conclusioni</w:t>
      </w:r>
      <w:bookmarkEnd w:id="495"/>
      <w:bookmarkEnd w:id="496"/>
      <w:bookmarkEnd w:id="497"/>
      <w:bookmarkEnd w:id="498"/>
    </w:p>
    <w:p w14:paraId="7A88953B" w14:textId="77777777" w:rsidR="00FD2CBB" w:rsidRPr="00CF3376" w:rsidRDefault="00FD2CBB" w:rsidP="00FD2CBB">
      <w:pPr>
        <w:spacing w:before="120" w:after="0" w:line="240" w:lineRule="auto"/>
        <w:rPr>
          <w:rFonts w:eastAsia="Calibri"/>
        </w:rPr>
      </w:pPr>
      <w:r w:rsidRPr="00CF3376">
        <w:rPr>
          <w:rFonts w:eastAsia="Calibri"/>
        </w:rPr>
        <w:t xml:space="preserve">Sono state utilizzate varie fonti per valutare la domanda di mobilità nel Bacino </w:t>
      </w:r>
      <w:r>
        <w:rPr>
          <w:rFonts w:eastAsia="Calibri"/>
        </w:rPr>
        <w:t>Metropolitano</w:t>
      </w:r>
      <w:r w:rsidRPr="00CF3376">
        <w:rPr>
          <w:rFonts w:eastAsia="Calibri"/>
        </w:rPr>
        <w:t xml:space="preserve"> con l'utilizzo di dati provenienti da piattaforme Big Data di operatori telefonici e dall'indagine IMQ 2022.</w:t>
      </w:r>
    </w:p>
    <w:p w14:paraId="64D2017A" w14:textId="77777777" w:rsidR="00FD2CBB" w:rsidRPr="00CF3376" w:rsidRDefault="00FD2CBB" w:rsidP="00FD2CBB">
      <w:pPr>
        <w:spacing w:before="120" w:after="0" w:line="240" w:lineRule="auto"/>
        <w:rPr>
          <w:rFonts w:eastAsia="Calibri"/>
        </w:rPr>
      </w:pPr>
      <w:r w:rsidRPr="00CF3376">
        <w:rPr>
          <w:rFonts w:eastAsia="Calibri"/>
        </w:rPr>
        <w:t xml:space="preserve">L'utilizzo dei dati delle celle telefoniche per le indagini sulla mobilità offre vantaggi come il monitoraggio in tempo reale e l'analisi dettagliata, ma presenta anche svantaggi legati alla precisione dei dati e alla trasparenza degli algoritmi utilizzati. È importante integrare questi dati con altre fonti per ottenere un quadro più completo della mobilità. </w:t>
      </w:r>
    </w:p>
    <w:p w14:paraId="678F87B3" w14:textId="77777777" w:rsidR="00FD2CBB" w:rsidRPr="00CF3376" w:rsidRDefault="00FD2CBB" w:rsidP="00FD2CBB">
      <w:pPr>
        <w:spacing w:before="120" w:after="0" w:line="240" w:lineRule="auto"/>
        <w:rPr>
          <w:rFonts w:eastAsia="Calibri"/>
        </w:rPr>
      </w:pPr>
      <w:r w:rsidRPr="00CF3376">
        <w:rPr>
          <w:rFonts w:eastAsia="Calibri"/>
        </w:rPr>
        <w:t xml:space="preserve">L'indagine IMQ 2022 ha fornito una valutazione più completa della domanda di mobilità. I dati dell’indagine hanno permesso di identificare le dinamiche di mobilità e le esigenze specifiche di spostamento. </w:t>
      </w:r>
    </w:p>
    <w:p w14:paraId="4DA16C25" w14:textId="528FBAF8" w:rsidR="0096300D" w:rsidRPr="0096300D" w:rsidRDefault="00FD2CBB" w:rsidP="00FD2CBB">
      <w:pPr>
        <w:spacing w:before="120" w:after="0" w:line="240" w:lineRule="auto"/>
        <w:rPr>
          <w:rFonts w:eastAsia="Calibri"/>
        </w:rPr>
      </w:pPr>
      <w:r w:rsidRPr="004D5F50">
        <w:rPr>
          <w:rFonts w:eastAsia="Calibri"/>
        </w:rPr>
        <w:t xml:space="preserve">L'analisi dell'auto-contenimento della domanda ha evidenziato </w:t>
      </w:r>
      <w:r w:rsidR="00B42342">
        <w:rPr>
          <w:rFonts w:eastAsia="Calibri"/>
        </w:rPr>
        <w:t>due aree</w:t>
      </w:r>
      <w:r w:rsidR="00EC25A5">
        <w:rPr>
          <w:rFonts w:eastAsia="Calibri"/>
        </w:rPr>
        <w:t xml:space="preserve"> </w:t>
      </w:r>
      <w:r w:rsidR="00FF13DF">
        <w:rPr>
          <w:rFonts w:eastAsia="Calibri"/>
        </w:rPr>
        <w:t>distinte con</w:t>
      </w:r>
      <w:r w:rsidR="00C53BF6">
        <w:rPr>
          <w:rFonts w:eastAsia="Calibri"/>
        </w:rPr>
        <w:t xml:space="preserve"> </w:t>
      </w:r>
      <w:r w:rsidR="008B4F2A">
        <w:rPr>
          <w:rFonts w:eastAsia="Calibri"/>
        </w:rPr>
        <w:t>un elevato tasso di autocontenimento, con pari attrazione verso il capoluogo di regione</w:t>
      </w:r>
      <w:r w:rsidR="00BD1C25">
        <w:rPr>
          <w:rFonts w:eastAsia="Calibri"/>
        </w:rPr>
        <w:t xml:space="preserve"> dell’ordine del 18-</w:t>
      </w:r>
      <w:r w:rsidR="00097262">
        <w:rPr>
          <w:rFonts w:eastAsia="Calibri"/>
        </w:rPr>
        <w:t>20</w:t>
      </w:r>
      <w:r w:rsidR="00BD1C25">
        <w:rPr>
          <w:rFonts w:eastAsia="Calibri"/>
        </w:rPr>
        <w:t xml:space="preserve"> %.</w:t>
      </w:r>
      <w:r w:rsidR="00FF13DF">
        <w:rPr>
          <w:rFonts w:eastAsia="Calibri"/>
        </w:rPr>
        <w:t xml:space="preserve"> Tale evidenza supporta</w:t>
      </w:r>
      <w:r w:rsidR="004A3EAD">
        <w:rPr>
          <w:rFonts w:eastAsia="Calibri"/>
        </w:rPr>
        <w:t>, unitamente all’analisi trasportistiche</w:t>
      </w:r>
      <w:r w:rsidR="00FF13DF">
        <w:rPr>
          <w:rFonts w:eastAsia="Calibri"/>
        </w:rPr>
        <w:t xml:space="preserve"> l’individuazione </w:t>
      </w:r>
      <w:r w:rsidR="004A3EAD">
        <w:rPr>
          <w:rFonts w:eastAsia="Calibri"/>
        </w:rPr>
        <w:t xml:space="preserve">di due </w:t>
      </w:r>
      <w:r w:rsidRPr="7E146986">
        <w:rPr>
          <w:rFonts w:eastAsia="Calibri"/>
        </w:rPr>
        <w:t>Lotti di gara Nord e Sud</w:t>
      </w:r>
      <w:r w:rsidR="004A3EAD">
        <w:rPr>
          <w:rFonts w:eastAsia="Calibri"/>
        </w:rPr>
        <w:t xml:space="preserve">. A cui </w:t>
      </w:r>
      <w:r w:rsidR="00D86E01">
        <w:rPr>
          <w:rFonts w:eastAsia="Calibri"/>
        </w:rPr>
        <w:t>si aggiunge un</w:t>
      </w:r>
      <w:r w:rsidRPr="7E146986">
        <w:rPr>
          <w:rFonts w:eastAsia="Calibri"/>
        </w:rPr>
        <w:t xml:space="preserve"> Lotto in ADD della Val Chisone e Germanasca </w:t>
      </w:r>
      <w:r w:rsidR="00A315BF">
        <w:rPr>
          <w:rFonts w:eastAsia="Calibri"/>
        </w:rPr>
        <w:t xml:space="preserve">e </w:t>
      </w:r>
      <w:r w:rsidR="00D86E01">
        <w:rPr>
          <w:rFonts w:eastAsia="Calibri"/>
        </w:rPr>
        <w:t xml:space="preserve">un </w:t>
      </w:r>
      <w:r w:rsidR="00A315BF">
        <w:rPr>
          <w:rFonts w:eastAsia="Calibri"/>
        </w:rPr>
        <w:t xml:space="preserve">Lotto </w:t>
      </w:r>
      <w:r w:rsidR="006F70A4">
        <w:rPr>
          <w:rFonts w:eastAsia="Calibri"/>
        </w:rPr>
        <w:t xml:space="preserve">periurbano </w:t>
      </w:r>
      <w:r w:rsidR="00D86E01">
        <w:rPr>
          <w:rFonts w:eastAsia="Calibri"/>
        </w:rPr>
        <w:t xml:space="preserve">da affidare secondo modalità </w:t>
      </w:r>
      <w:r w:rsidR="006F70A4" w:rsidRPr="006F70A4">
        <w:rPr>
          <w:rFonts w:eastAsia="Calibri"/>
          <w:i/>
        </w:rPr>
        <w:t>in-house</w:t>
      </w:r>
      <w:r w:rsidR="006F70A4">
        <w:rPr>
          <w:rFonts w:eastAsia="Calibri"/>
          <w:i/>
        </w:rPr>
        <w:t xml:space="preserve"> </w:t>
      </w:r>
      <w:r w:rsidR="0096300D">
        <w:rPr>
          <w:rFonts w:eastAsia="Calibri"/>
        </w:rPr>
        <w:t xml:space="preserve">stante la specificità delle aree </w:t>
      </w:r>
      <w:r w:rsidR="00851478">
        <w:rPr>
          <w:rFonts w:eastAsia="Calibri"/>
        </w:rPr>
        <w:t>e le richieste degli Enti territoriali.</w:t>
      </w:r>
    </w:p>
    <w:p w14:paraId="2A197685" w14:textId="77777777" w:rsidR="00FD2CBB" w:rsidRPr="00CF3376" w:rsidRDefault="00FD2CBB" w:rsidP="00FD2CBB">
      <w:pPr>
        <w:spacing w:before="120" w:after="0" w:line="240" w:lineRule="auto"/>
        <w:rPr>
          <w:rFonts w:eastAsia="Calibri"/>
        </w:rPr>
      </w:pPr>
      <w:r w:rsidRPr="00CF3376">
        <w:rPr>
          <w:rFonts w:eastAsia="Calibri"/>
        </w:rPr>
        <w:t xml:space="preserve">Questa suddivisione permette di evidenziare le specificità e le esigenze di mobilità di ciascuna area, spingendo le imprese a sviluppare soluzioni più mirate e dettagliate. Le imprese del TPL saranno pertanto motivate a: </w:t>
      </w:r>
    </w:p>
    <w:p w14:paraId="2DE4863D" w14:textId="77777777" w:rsidR="00FD2CBB" w:rsidRPr="00CF3376" w:rsidRDefault="00FD2CBB" w:rsidP="004B0DBE">
      <w:pPr>
        <w:numPr>
          <w:ilvl w:val="0"/>
          <w:numId w:val="87"/>
        </w:numPr>
        <w:spacing w:before="120" w:after="0" w:line="240" w:lineRule="auto"/>
        <w:rPr>
          <w:rFonts w:eastAsia="Calibri"/>
        </w:rPr>
      </w:pPr>
      <w:r w:rsidRPr="00CF3376">
        <w:rPr>
          <w:rFonts w:eastAsia="Calibri"/>
        </w:rPr>
        <w:t>analizzare le caratteristiche locali: la suddivisione in due aree richiede un'analisi approfondita delle dinamiche di mobilità, delle infrastrutture esistenti e delle esigenze degli utenti in ciascun ambito;</w:t>
      </w:r>
    </w:p>
    <w:p w14:paraId="32FE954C" w14:textId="77777777" w:rsidR="00FD2CBB" w:rsidRPr="00CF3376" w:rsidRDefault="00FD2CBB" w:rsidP="004B0DBE">
      <w:pPr>
        <w:numPr>
          <w:ilvl w:val="0"/>
          <w:numId w:val="87"/>
        </w:numPr>
        <w:spacing w:before="120" w:after="0" w:line="240" w:lineRule="auto"/>
        <w:rPr>
          <w:rFonts w:eastAsia="Calibri"/>
        </w:rPr>
      </w:pPr>
      <w:r w:rsidRPr="00CF3376">
        <w:rPr>
          <w:rFonts w:eastAsia="Calibri"/>
        </w:rPr>
        <w:t>personalizzare l'offerta: con una comprensione più dettagliata delle specificità locali, le imprese potranno personalizzare l'offerta di servizi di trasporto pubblico, migliorando l'efficienza e la qualità del servizio per gli utenti;</w:t>
      </w:r>
    </w:p>
    <w:p w14:paraId="6BB254DB" w14:textId="77777777" w:rsidR="00FD2CBB" w:rsidRPr="00CF3376" w:rsidRDefault="00FD2CBB" w:rsidP="004B0DBE">
      <w:pPr>
        <w:numPr>
          <w:ilvl w:val="0"/>
          <w:numId w:val="87"/>
        </w:numPr>
        <w:spacing w:before="120" w:after="0" w:line="240" w:lineRule="auto"/>
        <w:rPr>
          <w:rFonts w:eastAsia="Calibri"/>
        </w:rPr>
      </w:pPr>
      <w:r w:rsidRPr="00CF3376">
        <w:rPr>
          <w:rFonts w:eastAsia="Calibri"/>
        </w:rPr>
        <w:t>innovare nelle soluzioni: La necessità di adattarsi alle differenze locali stimolerà le imprese a sviluppare soluzioni innovative e a ottimizzare le risorse, garantendo una risposta più efficace alle esigenze di mobilità.</w:t>
      </w:r>
    </w:p>
    <w:p w14:paraId="336E4401" w14:textId="49440FAF" w:rsidR="00FD2CBB" w:rsidRDefault="00FD2CBB" w:rsidP="00FD2CBB">
      <w:pPr>
        <w:spacing w:before="120" w:after="0" w:line="240" w:lineRule="auto"/>
        <w:rPr>
          <w:rFonts w:eastAsia="Calibri"/>
        </w:rPr>
      </w:pPr>
      <w:r w:rsidRPr="0048788A">
        <w:rPr>
          <w:rFonts w:eastAsia="Calibri"/>
        </w:rPr>
        <w:t>Inoltre</w:t>
      </w:r>
      <w:r w:rsidR="00431D72">
        <w:rPr>
          <w:rFonts w:eastAsia="Calibri"/>
        </w:rPr>
        <w:t>,</w:t>
      </w:r>
      <w:r w:rsidRPr="0048788A">
        <w:rPr>
          <w:rFonts w:eastAsia="Calibri"/>
        </w:rPr>
        <w:t xml:space="preserve"> l’individuazione di un lotto in area a domanda debole consente di valorizzare la prossimità gestionale dell’operatore, favorendo una maggiore capacità di intercettazione della domanda latente e una più elevata reattività nell’adeguamento dell’offerta. La presenza di gare TPL nelle aree contigue costituisce un benchmark competitivo utile a stimolare l’efficienza allocativa, l’adozione di best practices e l’innovazione nei modelli di esercizio, rafforzando il ruolo dell’ente affidante come regolatore attivo del sistema.</w:t>
      </w:r>
    </w:p>
    <w:p w14:paraId="2833AA50" w14:textId="77777777" w:rsidR="00FD2CBB" w:rsidRPr="00CF3376" w:rsidRDefault="00FD2CBB" w:rsidP="00FD2CBB">
      <w:pPr>
        <w:spacing w:before="120" w:after="0" w:line="240" w:lineRule="auto"/>
        <w:rPr>
          <w:rFonts w:eastAsia="Calibri"/>
        </w:rPr>
      </w:pPr>
      <w:r w:rsidRPr="00CF3376">
        <w:rPr>
          <w:rFonts w:eastAsia="Calibri"/>
        </w:rPr>
        <w:t xml:space="preserve">Per raggiungere questi obiettivi sarà cruciale adattare l’offerta alla mutazione dei comportamenti di mobilità che stanno subendo una trasformazione significativa, influenzata dalle generazioni più recenti che tendono a privilegiare modalità di trasporto più sostenibili, come l'uso di servizi di sharing e il trasporto pubblico, rispetto all'uso dell'auto privata, offrendo quindi nuove opportunità per rilanciare il ruolo del trasporto collettivo. Essendo “sempre connessi”, è necessario costruire interfacce immediatamente accessibili attraverso la rete ed i device più usati. </w:t>
      </w:r>
    </w:p>
    <w:p w14:paraId="611991A2" w14:textId="77777777" w:rsidR="00FD2CBB" w:rsidRPr="00CF3376" w:rsidRDefault="00FD2CBB" w:rsidP="00FD2CBB">
      <w:pPr>
        <w:spacing w:before="120" w:after="0" w:line="240" w:lineRule="auto"/>
        <w:rPr>
          <w:rFonts w:eastAsia="Calibri"/>
        </w:rPr>
      </w:pPr>
      <w:r w:rsidRPr="00CF3376">
        <w:rPr>
          <w:rFonts w:eastAsia="Calibri"/>
        </w:rPr>
        <w:t xml:space="preserve">Per cogliere tale opportunità la digitalizzazione dell’impresa rappresenta un aspetto cruciale per il futuro del trasporto pubblico locale (TPL). L’investimento in infrastrutture digitali che le imprese sono tenute a fare deve consentire: </w:t>
      </w:r>
    </w:p>
    <w:p w14:paraId="2CF4D423" w14:textId="77777777" w:rsidR="00FD2CBB" w:rsidRPr="00CF3376" w:rsidRDefault="00FD2CBB" w:rsidP="004B0DBE">
      <w:pPr>
        <w:numPr>
          <w:ilvl w:val="0"/>
          <w:numId w:val="86"/>
        </w:numPr>
        <w:spacing w:before="120" w:after="0" w:line="240" w:lineRule="auto"/>
        <w:rPr>
          <w:rFonts w:eastAsia="Calibri"/>
        </w:rPr>
      </w:pPr>
      <w:r w:rsidRPr="00CF3376">
        <w:rPr>
          <w:rFonts w:eastAsia="Calibri"/>
        </w:rPr>
        <w:t>l’accessibilità dei dati tramite piattaforme di analytics e di maas che ne faciliterà l'uso e l'integrazione con altre fonti;</w:t>
      </w:r>
    </w:p>
    <w:p w14:paraId="477B05DA" w14:textId="77777777" w:rsidR="00FD2CBB" w:rsidRPr="00CF3376" w:rsidRDefault="00FD2CBB" w:rsidP="004B0DBE">
      <w:pPr>
        <w:numPr>
          <w:ilvl w:val="0"/>
          <w:numId w:val="86"/>
        </w:numPr>
        <w:spacing w:before="120" w:after="0" w:line="240" w:lineRule="auto"/>
        <w:rPr>
          <w:rFonts w:eastAsia="Calibri"/>
        </w:rPr>
      </w:pPr>
      <w:r w:rsidRPr="00CF3376">
        <w:rPr>
          <w:rFonts w:eastAsia="Calibri"/>
        </w:rPr>
        <w:lastRenderedPageBreak/>
        <w:t>il monitoraggio in tempo reale dei dati dell’organizzazione aziendale e del servizio;</w:t>
      </w:r>
    </w:p>
    <w:p w14:paraId="559C4C71" w14:textId="77777777" w:rsidR="00FD2CBB" w:rsidRPr="00CF3376" w:rsidRDefault="00FD2CBB" w:rsidP="004B0DBE">
      <w:pPr>
        <w:numPr>
          <w:ilvl w:val="0"/>
          <w:numId w:val="86"/>
        </w:numPr>
        <w:spacing w:before="120" w:after="0" w:line="240" w:lineRule="auto"/>
        <w:rPr>
          <w:rFonts w:eastAsia="Calibri"/>
        </w:rPr>
      </w:pPr>
      <w:r w:rsidRPr="00CF3376">
        <w:rPr>
          <w:rFonts w:eastAsia="Calibri"/>
        </w:rPr>
        <w:t>servizi personalizzati, infatti grazie alla connessione in tempo reale fra utente e servizio le imprese di TPL possono sviluppare servizi personalizzati che rispondono alle esigenze specifiche degli utenti;</w:t>
      </w:r>
    </w:p>
    <w:p w14:paraId="682D797E" w14:textId="77777777" w:rsidR="00FD2CBB" w:rsidRPr="00CF3376" w:rsidRDefault="00FD2CBB" w:rsidP="004B0DBE">
      <w:pPr>
        <w:numPr>
          <w:ilvl w:val="0"/>
          <w:numId w:val="86"/>
        </w:numPr>
        <w:spacing w:before="120" w:after="0" w:line="240" w:lineRule="auto"/>
        <w:rPr>
          <w:rFonts w:eastAsia="Calibri"/>
        </w:rPr>
      </w:pPr>
      <w:r w:rsidRPr="00CF3376">
        <w:rPr>
          <w:rFonts w:eastAsia="Calibri"/>
        </w:rPr>
        <w:t xml:space="preserve">l’innovazione nelle soluzioni di trasporto, come l'introduzione di sistemi di prenotazione online, applicazioni mobili per la gestione dei viaggi e servizi di sharing coordinati; </w:t>
      </w:r>
    </w:p>
    <w:p w14:paraId="339ACCF0" w14:textId="77777777" w:rsidR="00FD2CBB" w:rsidRPr="00CF3376" w:rsidRDefault="00FD2CBB" w:rsidP="004B0DBE">
      <w:pPr>
        <w:numPr>
          <w:ilvl w:val="0"/>
          <w:numId w:val="86"/>
        </w:numPr>
        <w:spacing w:before="120" w:after="0" w:line="240" w:lineRule="auto"/>
        <w:rPr>
          <w:rFonts w:eastAsia="Calibri"/>
        </w:rPr>
      </w:pPr>
      <w:r w:rsidRPr="00CF3376">
        <w:rPr>
          <w:rFonts w:eastAsia="Calibri"/>
        </w:rPr>
        <w:t>l’accesso facilitato alle informazioni sui servizi di trasporto, come orari, percorsi e tariffe, migliorando l’attrattività e l'esperienza complessiva di viaggio.</w:t>
      </w:r>
    </w:p>
    <w:p w14:paraId="54B4D7D2" w14:textId="77777777" w:rsidR="00FD2CBB" w:rsidRPr="00CF3376" w:rsidRDefault="00FD2CBB" w:rsidP="00FD2CBB">
      <w:pPr>
        <w:spacing w:before="120" w:after="0" w:line="240" w:lineRule="auto"/>
        <w:rPr>
          <w:rFonts w:eastAsia="Calibri"/>
        </w:rPr>
      </w:pPr>
      <w:r w:rsidRPr="00CF3376">
        <w:rPr>
          <w:rFonts w:eastAsia="Calibri"/>
        </w:rPr>
        <w:t xml:space="preserve">Ancor più fondamentale nel Bacino </w:t>
      </w:r>
      <w:r>
        <w:rPr>
          <w:rFonts w:eastAsia="Calibri"/>
        </w:rPr>
        <w:t>Metropolitano</w:t>
      </w:r>
      <w:r w:rsidRPr="00CF3376">
        <w:rPr>
          <w:rFonts w:eastAsia="Calibri"/>
        </w:rPr>
        <w:t xml:space="preserve"> è l’attenzione da porre ai ricavi da traffico che rappresentano un obiettivo sfidante ma imprescindibile per gli operatori economici che parteciperanno alle gare.</w:t>
      </w:r>
    </w:p>
    <w:p w14:paraId="38C87BD1" w14:textId="77777777" w:rsidR="00FD2CBB" w:rsidRPr="00CF3376" w:rsidRDefault="00FD2CBB" w:rsidP="00FD2CBB">
      <w:pPr>
        <w:spacing w:before="120" w:after="0" w:line="240" w:lineRule="auto"/>
        <w:rPr>
          <w:rFonts w:eastAsia="Calibri"/>
        </w:rPr>
      </w:pPr>
      <w:r w:rsidRPr="00CF3376">
        <w:rPr>
          <w:rFonts w:eastAsia="Calibri"/>
        </w:rPr>
        <w:t>Il fattore abilitante costituito dalla digitalizzazione rappresenta una grande opportunità per affrontare in maniera puntuale e dinamica il monitoraggio dei risultati delle azioni proposte e il tempestivo adeguamento e allineamento alle reali esigenze del bacino.</w:t>
      </w:r>
    </w:p>
    <w:p w14:paraId="7E42C34F" w14:textId="77777777" w:rsidR="00FD2CBB" w:rsidRPr="00AD01C5" w:rsidRDefault="00FD2CBB" w:rsidP="00FD2CBB">
      <w:pPr>
        <w:spacing w:before="120" w:after="0" w:line="240" w:lineRule="auto"/>
        <w:rPr>
          <w:rFonts w:eastAsia="Calibri"/>
        </w:rPr>
      </w:pPr>
      <w:r w:rsidRPr="00AD01C5">
        <w:rPr>
          <w:rFonts w:eastAsia="Calibri"/>
        </w:rPr>
        <w:t xml:space="preserve">In sintesi, la suddivisione del Bacino </w:t>
      </w:r>
      <w:r>
        <w:rPr>
          <w:rFonts w:eastAsia="Calibri"/>
        </w:rPr>
        <w:t xml:space="preserve">Metropolitano </w:t>
      </w:r>
      <w:r w:rsidRPr="00AD01C5">
        <w:rPr>
          <w:rFonts w:eastAsia="Calibri"/>
        </w:rPr>
        <w:t xml:space="preserve">in </w:t>
      </w:r>
      <w:r>
        <w:rPr>
          <w:rFonts w:eastAsia="Calibri"/>
        </w:rPr>
        <w:t xml:space="preserve">tre </w:t>
      </w:r>
      <w:r w:rsidRPr="00AD01C5">
        <w:rPr>
          <w:rFonts w:eastAsia="Calibri"/>
        </w:rPr>
        <w:t>Lotti, oltre a rappresentare adeguatamente la realtà della mobilità dei cittadini del Bacino</w:t>
      </w:r>
      <w:r>
        <w:rPr>
          <w:rFonts w:eastAsia="Calibri"/>
        </w:rPr>
        <w:t xml:space="preserve"> e rispondere alle esigenze manifestate</w:t>
      </w:r>
      <w:r w:rsidRPr="00AD01C5">
        <w:rPr>
          <w:rFonts w:eastAsia="Calibri"/>
        </w:rPr>
        <w:t>, favorirà un approccio più attento e dettagliato da parte delle imprese del TPL, che dovranno essere completamente digitalizzate per rispondere alle esigenze di mobilità dell’area.</w:t>
      </w:r>
    </w:p>
    <w:p w14:paraId="22509EB8" w14:textId="77777777" w:rsidR="0047122C" w:rsidRDefault="0047122C" w:rsidP="00FD2CBB">
      <w:pPr>
        <w:tabs>
          <w:tab w:val="left" w:pos="1155"/>
        </w:tabs>
        <w:sectPr w:rsidR="0047122C" w:rsidSect="00F41C4B">
          <w:footerReference w:type="default" r:id="rId105"/>
          <w:pgSz w:w="11906" w:h="16838"/>
          <w:pgMar w:top="1418" w:right="1418" w:bottom="1418" w:left="1418" w:header="709" w:footer="709" w:gutter="0"/>
          <w:pgBorders w:offsetFrom="page">
            <w:right w:val="single" w:sz="48" w:space="24" w:color="EE3438"/>
          </w:pgBorders>
          <w:cols w:space="708"/>
          <w:docGrid w:linePitch="360"/>
        </w:sectPr>
      </w:pPr>
    </w:p>
    <w:p w14:paraId="6978C1D9" w14:textId="39BDC0F1" w:rsidR="0047122C" w:rsidRDefault="0047122C" w:rsidP="0047122C">
      <w:pPr>
        <w:tabs>
          <w:tab w:val="left" w:pos="6285"/>
        </w:tabs>
      </w:pPr>
      <w:r>
        <w:lastRenderedPageBreak/>
        <w:br w:type="page"/>
      </w:r>
    </w:p>
    <w:p w14:paraId="3F9FBDFC" w14:textId="607FA4C4" w:rsidR="0047122C" w:rsidRDefault="00146030" w:rsidP="0047122C">
      <w:pPr>
        <w:tabs>
          <w:tab w:val="left" w:pos="6285"/>
        </w:tabs>
      </w:pPr>
      <w:r>
        <w:rPr>
          <w:noProof/>
        </w:rPr>
        <w:lastRenderedPageBreak/>
        <w:drawing>
          <wp:anchor distT="0" distB="0" distL="114300" distR="114300" simplePos="0" relativeHeight="251660302" behindDoc="1" locked="0" layoutInCell="1" allowOverlap="1" wp14:anchorId="37E52410" wp14:editId="5A2753D1">
            <wp:simplePos x="0" y="0"/>
            <wp:positionH relativeFrom="column">
              <wp:posOffset>13970</wp:posOffset>
            </wp:positionH>
            <wp:positionV relativeFrom="paragraph">
              <wp:posOffset>-942471</wp:posOffset>
            </wp:positionV>
            <wp:extent cx="314323" cy="12657652"/>
            <wp:effectExtent l="0" t="0" r="0" b="0"/>
            <wp:wrapNone/>
            <wp:docPr id="792016129" name="Immagine 11" descr="Immagine che contiene blu, schermata, Blu elettric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329229" name="Immagine 11" descr="Immagine che contiene blu, schermata, Blu elettrico&#10;&#10;Il contenuto generato dall'IA potrebbe non essere corretto."/>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319001" cy="12846050"/>
                    </a:xfrm>
                    <a:prstGeom prst="rect">
                      <a:avLst/>
                    </a:prstGeom>
                    <a:noFill/>
                  </pic:spPr>
                </pic:pic>
              </a:graphicData>
            </a:graphic>
            <wp14:sizeRelH relativeFrom="margin">
              <wp14:pctWidth>0</wp14:pctWidth>
            </wp14:sizeRelH>
            <wp14:sizeRelV relativeFrom="margin">
              <wp14:pctHeight>0</wp14:pctHeight>
            </wp14:sizeRelV>
          </wp:anchor>
        </w:drawing>
      </w:r>
    </w:p>
    <w:p w14:paraId="58B1A45B" w14:textId="77777777" w:rsidR="0047122C" w:rsidRDefault="0047122C" w:rsidP="0047122C">
      <w:pPr>
        <w:tabs>
          <w:tab w:val="left" w:pos="6285"/>
        </w:tabs>
      </w:pPr>
    </w:p>
    <w:p w14:paraId="31FB20EF" w14:textId="77777777" w:rsidR="0047122C" w:rsidRDefault="0047122C" w:rsidP="0047122C">
      <w:pPr>
        <w:tabs>
          <w:tab w:val="left" w:pos="6285"/>
        </w:tabs>
      </w:pPr>
    </w:p>
    <w:p w14:paraId="0A2B3D8E" w14:textId="13F60738" w:rsidR="0047122C" w:rsidRPr="00C309FC" w:rsidRDefault="0047122C" w:rsidP="0047122C">
      <w:pPr>
        <w:tabs>
          <w:tab w:val="left" w:pos="6285"/>
        </w:tabs>
      </w:pPr>
    </w:p>
    <w:p w14:paraId="0F9A6AD0" w14:textId="587E5F4E" w:rsidR="00354754" w:rsidRPr="002E0EA3" w:rsidRDefault="00354754" w:rsidP="00FD2CBB">
      <w:pPr>
        <w:tabs>
          <w:tab w:val="left" w:pos="1155"/>
        </w:tabs>
      </w:pPr>
    </w:p>
    <w:sectPr w:rsidR="00354754" w:rsidRPr="002E0EA3" w:rsidSect="0047122C">
      <w:headerReference w:type="default" r:id="rId107"/>
      <w:footerReference w:type="default" r:id="rId108"/>
      <w:headerReference w:type="first" r:id="rId109"/>
      <w:pgSz w:w="11906" w:h="16838" w:code="9"/>
      <w:pgMar w:top="1418" w:right="1418" w:bottom="1418" w:left="1418" w:header="794" w:footer="0" w:gutter="0"/>
      <w:pgBorders w:offsetFrom="page">
        <w:right w:val="single" w:sz="48" w:space="24" w:color="EE3438"/>
      </w:pgBorders>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6AC9F4" w14:textId="77777777" w:rsidR="005D01EC" w:rsidRPr="00207886" w:rsidRDefault="005D01EC">
      <w:r w:rsidRPr="00207886">
        <w:separator/>
      </w:r>
    </w:p>
  </w:endnote>
  <w:endnote w:type="continuationSeparator" w:id="0">
    <w:p w14:paraId="6B60202C" w14:textId="77777777" w:rsidR="005D01EC" w:rsidRPr="00207886" w:rsidRDefault="005D01EC">
      <w:r w:rsidRPr="00207886">
        <w:continuationSeparator/>
      </w:r>
    </w:p>
  </w:endnote>
  <w:endnote w:type="continuationNotice" w:id="1">
    <w:p w14:paraId="7EB068A1" w14:textId="77777777" w:rsidR="005D01EC" w:rsidRDefault="005D01E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eiryo">
    <w:charset w:val="80"/>
    <w:family w:val="swiss"/>
    <w:pitch w:val="variable"/>
    <w:sig w:usb0="E00002FF" w:usb1="6AC7FFFF"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W1)">
    <w:altName w:val="Times New Roman"/>
    <w:charset w:val="00"/>
    <w:family w:val="roman"/>
    <w:pitch w:val="variable"/>
    <w:sig w:usb0="20007A87" w:usb1="80000000" w:usb2="00000008" w:usb3="00000000" w:csb0="000001FF" w:csb1="00000000"/>
  </w:font>
  <w:font w:name="Liberation Sans">
    <w:charset w:val="00"/>
    <w:family w:val="swiss"/>
    <w:pitch w:val="variable"/>
    <w:sig w:usb0="E0000AFF" w:usb1="500078FF" w:usb2="00000021" w:usb3="00000000" w:csb0="000001BF" w:csb1="00000000"/>
  </w:font>
  <w:font w:name="Lohit Hindi">
    <w:altName w:val="MS Gothic"/>
    <w:charset w:val="80"/>
    <w:family w:val="auto"/>
    <w:pitch w:val="variable"/>
  </w:font>
  <w:font w:name="MS Mincho">
    <w:altName w:val="ＭＳ 明朝"/>
    <w:panose1 w:val="02020609040205080304"/>
    <w:charset w:val="80"/>
    <w:family w:val="modern"/>
    <w:pitch w:val="fixed"/>
    <w:sig w:usb0="E00002FF" w:usb1="6AC7FDFB" w:usb2="08000012" w:usb3="00000000" w:csb0="0002009F" w:csb1="00000000"/>
  </w:font>
  <w:font w:name="Baskerville Old Face">
    <w:panose1 w:val="020206020805050203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Droid Sans Fallback">
    <w:altName w:val="Yu Gothic UI"/>
    <w:charset w:val="80"/>
    <w:family w:val="auto"/>
    <w:pitch w:val="variable"/>
    <w:sig w:usb0="00000001" w:usb1="08070000" w:usb2="00000010" w:usb3="00000000" w:csb0="00020000" w:csb1="00000000"/>
  </w:font>
  <w:font w:name="Lucida Sans Unicode">
    <w:panose1 w:val="020B0602030504020204"/>
    <w:charset w:val="00"/>
    <w:family w:val="swiss"/>
    <w:pitch w:val="variable"/>
    <w:sig w:usb0="80000AFF" w:usb1="0000396B" w:usb2="00000000" w:usb3="00000000" w:csb0="000000BF" w:csb1="00000000"/>
  </w:font>
  <w:font w:name="Calibri1">
    <w:charset w:val="00"/>
    <w:family w:val="auto"/>
    <w:pitch w:val="variable"/>
  </w:font>
  <w:font w:name="Arial Unicode MS">
    <w:panose1 w:val="020B0604020202020204"/>
    <w:charset w:val="80"/>
    <w:family w:val="swiss"/>
    <w:pitch w:val="variable"/>
    <w:sig w:usb0="F7FFAFFF" w:usb1="E9DFFFFF" w:usb2="0000003F" w:usb3="00000000" w:csb0="003F01FF" w:csb1="00000000"/>
  </w:font>
  <w:font w:name="Aptos Narrow">
    <w:altName w:val="Arial"/>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Courier">
    <w:panose1 w:val="0206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15C80B" w14:textId="5853C649" w:rsidR="00051AA3" w:rsidRPr="00E70CEE" w:rsidRDefault="009064F8" w:rsidP="009F1A5C">
    <w:pPr>
      <w:pStyle w:val="Testonotaapidipagina"/>
      <w:pBdr>
        <w:top w:val="single" w:sz="4" w:space="1" w:color="EE3438"/>
      </w:pBdr>
      <w:tabs>
        <w:tab w:val="left" w:pos="2132"/>
        <w:tab w:val="right" w:pos="9072"/>
      </w:tabs>
      <w:jc w:val="left"/>
      <w:rPr>
        <w:color w:val="EE3438"/>
      </w:rPr>
    </w:pPr>
    <w:r>
      <w:rPr>
        <w:color w:val="EE3438"/>
      </w:rPr>
      <w:t>Indice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941358" w14:textId="03B53784" w:rsidR="00666170" w:rsidRPr="00E70CEE" w:rsidRDefault="00BC5BE9" w:rsidP="009F1A5C">
    <w:pPr>
      <w:pStyle w:val="Testonotaapidipagina"/>
      <w:pBdr>
        <w:top w:val="single" w:sz="4" w:space="1" w:color="EE3438"/>
      </w:pBdr>
      <w:tabs>
        <w:tab w:val="left" w:pos="2132"/>
        <w:tab w:val="right" w:pos="9072"/>
      </w:tabs>
      <w:jc w:val="left"/>
      <w:rPr>
        <w:color w:val="EE3438"/>
      </w:rPr>
    </w:pPr>
    <w:r>
      <w:rPr>
        <w:color w:val="EE3438"/>
      </w:rPr>
      <w:t>Allegati</w:t>
    </w:r>
    <w:r w:rsidR="00666170">
      <w:rPr>
        <w:color w:val="EE3438"/>
      </w:rPr>
      <w:tab/>
    </w:r>
    <w:r w:rsidR="00666170" w:rsidRPr="00E70CEE">
      <w:rPr>
        <w:color w:val="EE3438"/>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2F4B28" w14:textId="7262BF44" w:rsidR="00356F94" w:rsidRPr="00E70CEE" w:rsidRDefault="00BC5BE9" w:rsidP="009F1A5C">
    <w:pPr>
      <w:pStyle w:val="Testonotaapidipagina"/>
      <w:pBdr>
        <w:top w:val="single" w:sz="4" w:space="1" w:color="EE3438"/>
      </w:pBdr>
      <w:tabs>
        <w:tab w:val="left" w:pos="2132"/>
        <w:tab w:val="right" w:pos="9072"/>
      </w:tabs>
      <w:jc w:val="left"/>
      <w:rPr>
        <w:color w:val="EE3438"/>
      </w:rPr>
    </w:pPr>
    <w:r>
      <w:rPr>
        <w:color w:val="EE3438"/>
      </w:rPr>
      <w:t>Premessa</w:t>
    </w:r>
    <w:r>
      <w:rPr>
        <w:color w:val="EE3438"/>
      </w:rPr>
      <w:tab/>
    </w:r>
    <w:r w:rsidRPr="00E70CEE">
      <w:rPr>
        <w:color w:val="EE3438"/>
      </w:rPr>
      <w:tab/>
    </w:r>
    <w:r w:rsidR="001D24BF">
      <w:rPr>
        <w:rStyle w:val="Numeropagina"/>
        <w:color w:val="EE3438"/>
      </w:rPr>
      <w:fldChar w:fldCharType="begin"/>
    </w:r>
    <w:r w:rsidR="001D24BF">
      <w:rPr>
        <w:rStyle w:val="Numeropagina"/>
        <w:color w:val="EE3438"/>
      </w:rPr>
      <w:instrText xml:space="preserve"> PAGE  \* Arabic </w:instrText>
    </w:r>
    <w:r w:rsidR="001D24BF">
      <w:rPr>
        <w:rStyle w:val="Numeropagina"/>
        <w:color w:val="EE3438"/>
      </w:rPr>
      <w:fldChar w:fldCharType="separate"/>
    </w:r>
    <w:r w:rsidR="004D2344">
      <w:rPr>
        <w:rStyle w:val="Numeropagina"/>
        <w:noProof/>
        <w:color w:val="EE3438"/>
      </w:rPr>
      <w:t>8</w:t>
    </w:r>
    <w:r w:rsidR="001D24BF">
      <w:rPr>
        <w:rStyle w:val="Numeropagina"/>
        <w:color w:val="EE3438"/>
      </w:rPr>
      <w:fldChar w:fldCharType="end"/>
    </w:r>
    <w:r w:rsidRPr="00E70CEE">
      <w:rPr>
        <w:rStyle w:val="Numeropagina"/>
        <w:color w:val="EE3438"/>
      </w:rPr>
      <w:t>/</w:t>
    </w:r>
    <w:r w:rsidR="00A60973">
      <w:rPr>
        <w:rStyle w:val="Numeropagina"/>
        <w:color w:val="EE3438"/>
      </w:rPr>
      <w:t>166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0FE391" w14:textId="736CE0A1" w:rsidR="002E0EA3" w:rsidRPr="00EC7B99" w:rsidRDefault="002E0EA3">
    <w:pPr>
      <w:pStyle w:val="Testonotaapidipagina"/>
      <w:pBdr>
        <w:top w:val="single" w:sz="4" w:space="1" w:color="EE3438"/>
      </w:pBdr>
      <w:tabs>
        <w:tab w:val="left" w:pos="2132"/>
        <w:tab w:val="right" w:pos="9072"/>
      </w:tabs>
      <w:jc w:val="left"/>
      <w:rPr>
        <w:color w:val="EE3438"/>
      </w:rPr>
    </w:pPr>
    <w:r w:rsidRPr="00EC7B99">
      <w:rPr>
        <w:color w:val="EE3438"/>
      </w:rPr>
      <w:fldChar w:fldCharType="begin"/>
    </w:r>
    <w:r w:rsidRPr="00EC7B99">
      <w:rPr>
        <w:color w:val="EE3438"/>
      </w:rPr>
      <w:instrText xml:space="preserve"> REF _Ref190356963 \h </w:instrText>
    </w:r>
    <w:r w:rsidR="00EC7B99" w:rsidRPr="00EC7B99">
      <w:rPr>
        <w:color w:val="EE3438"/>
      </w:rPr>
      <w:instrText xml:space="preserve"> \* MERGEFORMAT </w:instrText>
    </w:r>
    <w:r w:rsidRPr="00EC7B99">
      <w:rPr>
        <w:color w:val="EE3438"/>
      </w:rPr>
    </w:r>
    <w:r w:rsidRPr="00EC7B99">
      <w:rPr>
        <w:color w:val="EE3438"/>
      </w:rPr>
      <w:fldChar w:fldCharType="separate"/>
    </w:r>
    <w:r w:rsidR="00073B6D" w:rsidRPr="00073B6D">
      <w:rPr>
        <w:color w:val="EE3438"/>
      </w:rPr>
      <w:t>Quadro di riferimento normativo</w:t>
    </w:r>
    <w:r w:rsidRPr="00EC7B99">
      <w:rPr>
        <w:color w:val="EE3438"/>
      </w:rPr>
      <w:fldChar w:fldCharType="end"/>
    </w:r>
    <w:r w:rsidRPr="00EC7B99">
      <w:rPr>
        <w:color w:val="EE3438"/>
      </w:rPr>
      <w:tab/>
    </w:r>
    <w:r w:rsidR="0047122C" w:rsidRPr="00EC7B99">
      <w:rPr>
        <w:color w:val="EE3438"/>
      </w:rPr>
      <w:fldChar w:fldCharType="begin"/>
    </w:r>
    <w:r w:rsidR="0047122C" w:rsidRPr="00EC7B99">
      <w:rPr>
        <w:color w:val="EE3438"/>
      </w:rPr>
      <w:instrText xml:space="preserve"> PAGE  \* Arabic </w:instrText>
    </w:r>
    <w:r w:rsidR="0047122C" w:rsidRPr="00EC7B99">
      <w:rPr>
        <w:color w:val="EE3438"/>
      </w:rPr>
      <w:fldChar w:fldCharType="separate"/>
    </w:r>
    <w:r w:rsidR="004D2344">
      <w:rPr>
        <w:noProof/>
        <w:color w:val="EE3438"/>
      </w:rPr>
      <w:t>18</w:t>
    </w:r>
    <w:r w:rsidR="0047122C" w:rsidRPr="00EC7B99">
      <w:rPr>
        <w:color w:val="EE3438"/>
      </w:rPr>
      <w:fldChar w:fldCharType="end"/>
    </w:r>
    <w:r w:rsidRPr="00EC7B99">
      <w:rPr>
        <w:color w:val="EE3438"/>
      </w:rPr>
      <w:t>/</w:t>
    </w:r>
    <w:r w:rsidR="00A60973">
      <w:rPr>
        <w:color w:val="EE3438"/>
      </w:rPr>
      <w:t>166</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7A3D68" w14:textId="67774097" w:rsidR="00E70CEE" w:rsidRPr="00E70CEE" w:rsidRDefault="00E70CEE">
    <w:pPr>
      <w:pStyle w:val="Testonotaapidipagina"/>
      <w:pBdr>
        <w:top w:val="single" w:sz="4" w:space="1" w:color="EE3438"/>
      </w:pBdr>
      <w:tabs>
        <w:tab w:val="left" w:pos="2132"/>
        <w:tab w:val="right" w:pos="9072"/>
      </w:tabs>
      <w:jc w:val="left"/>
      <w:rPr>
        <w:color w:val="EE3438"/>
      </w:rPr>
    </w:pPr>
    <w:r w:rsidRPr="00E70CEE">
      <w:rPr>
        <w:rStyle w:val="Numeropagina"/>
        <w:color w:val="EE3438"/>
      </w:rPr>
      <w:t>Quadro di riferimento attuale degli affidamenti del Bacino Metropolitano</w:t>
    </w:r>
    <w:r w:rsidRPr="00E70CEE">
      <w:rPr>
        <w:rStyle w:val="Numeropagina"/>
        <w:color w:val="EE3438"/>
      </w:rPr>
      <w:tab/>
    </w:r>
    <w:r w:rsidRPr="00E70CEE">
      <w:rPr>
        <w:rStyle w:val="Numeropagina"/>
        <w:color w:val="EE3438"/>
      </w:rPr>
      <w:fldChar w:fldCharType="begin"/>
    </w:r>
    <w:r w:rsidRPr="00E70CEE">
      <w:rPr>
        <w:rStyle w:val="Numeropagina"/>
        <w:color w:val="EE3438"/>
      </w:rPr>
      <w:instrText xml:space="preserve"> PAGE </w:instrText>
    </w:r>
    <w:r w:rsidRPr="00E70CEE">
      <w:rPr>
        <w:rStyle w:val="Numeropagina"/>
        <w:color w:val="EE3438"/>
      </w:rPr>
      <w:fldChar w:fldCharType="separate"/>
    </w:r>
    <w:r w:rsidR="004D2344">
      <w:rPr>
        <w:rStyle w:val="Numeropagina"/>
        <w:noProof/>
        <w:color w:val="EE3438"/>
      </w:rPr>
      <w:t>22</w:t>
    </w:r>
    <w:r w:rsidRPr="00E70CEE">
      <w:rPr>
        <w:rStyle w:val="Numeropagina"/>
        <w:color w:val="EE3438"/>
      </w:rPr>
      <w:fldChar w:fldCharType="end"/>
    </w:r>
    <w:r w:rsidRPr="00E70CEE">
      <w:rPr>
        <w:rStyle w:val="Numeropagina"/>
        <w:color w:val="EE3438"/>
      </w:rPr>
      <w:t>/</w:t>
    </w:r>
    <w:r w:rsidR="00A60973">
      <w:rPr>
        <w:rStyle w:val="Numeropagina"/>
        <w:color w:val="EE3438"/>
      </w:rPr>
      <w:t>166</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34ABC2" w14:textId="610CB7E6" w:rsidR="003E245D" w:rsidRPr="00785189" w:rsidRDefault="003E245D" w:rsidP="00BC673E">
    <w:pPr>
      <w:pStyle w:val="Testonotaapidipagina"/>
      <w:pBdr>
        <w:top w:val="single" w:sz="4" w:space="1" w:color="EE3438"/>
      </w:pBdr>
      <w:tabs>
        <w:tab w:val="left" w:pos="2132"/>
        <w:tab w:val="right" w:pos="9072"/>
      </w:tabs>
      <w:jc w:val="left"/>
      <w:rPr>
        <w:color w:val="EE3438"/>
      </w:rPr>
    </w:pPr>
    <w:r w:rsidRPr="00785189">
      <w:rPr>
        <w:rStyle w:val="Numeropagina"/>
        <w:color w:val="EE3438"/>
      </w:rPr>
      <w:t>Analisi della domanda effettiva, potenziale e debole del Bacino Metropolitano</w:t>
    </w:r>
    <w:r w:rsidRPr="00785189">
      <w:rPr>
        <w:rStyle w:val="Numeropagina"/>
        <w:color w:val="EE3438"/>
      </w:rPr>
      <w:tab/>
    </w:r>
    <w:r w:rsidRPr="00785189">
      <w:rPr>
        <w:rStyle w:val="Numeropagina"/>
        <w:color w:val="EE3438"/>
      </w:rPr>
      <w:fldChar w:fldCharType="begin"/>
    </w:r>
    <w:r w:rsidRPr="00785189">
      <w:rPr>
        <w:rStyle w:val="Numeropagina"/>
        <w:color w:val="EE3438"/>
      </w:rPr>
      <w:instrText xml:space="preserve"> PAGE </w:instrText>
    </w:r>
    <w:r w:rsidRPr="00785189">
      <w:rPr>
        <w:rStyle w:val="Numeropagina"/>
        <w:color w:val="EE3438"/>
      </w:rPr>
      <w:fldChar w:fldCharType="separate"/>
    </w:r>
    <w:r w:rsidR="004D2344">
      <w:rPr>
        <w:rStyle w:val="Numeropagina"/>
        <w:noProof/>
        <w:color w:val="EE3438"/>
      </w:rPr>
      <w:t>28</w:t>
    </w:r>
    <w:r w:rsidRPr="00785189">
      <w:rPr>
        <w:rStyle w:val="Numeropagina"/>
        <w:color w:val="EE3438"/>
      </w:rPr>
      <w:fldChar w:fldCharType="end"/>
    </w:r>
    <w:r w:rsidRPr="00785189">
      <w:rPr>
        <w:rStyle w:val="Numeropagina"/>
        <w:color w:val="EE3438"/>
      </w:rPr>
      <w:t>/</w:t>
    </w:r>
    <w:r w:rsidR="00A60973">
      <w:rPr>
        <w:rStyle w:val="Numeropagina"/>
        <w:color w:val="EE3438"/>
      </w:rPr>
      <w:t>166</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7FAE59" w14:textId="5235336D" w:rsidR="00785189" w:rsidRPr="00EC7B99" w:rsidRDefault="00785189" w:rsidP="00EC7B99">
    <w:pPr>
      <w:pStyle w:val="Pidipagina"/>
      <w:pBdr>
        <w:top w:val="single" w:sz="4" w:space="1" w:color="EE3438"/>
      </w:pBdr>
      <w:rPr>
        <w:color w:val="EE3438"/>
        <w:sz w:val="20"/>
        <w:szCs w:val="20"/>
      </w:rPr>
    </w:pPr>
    <w:r w:rsidRPr="00EC7B99">
      <w:rPr>
        <w:rStyle w:val="Numeropagina"/>
        <w:color w:val="EE3438"/>
        <w:sz w:val="20"/>
        <w:szCs w:val="20"/>
      </w:rPr>
      <w:t>Analisi offerta di trasporto del Bacino</w:t>
    </w:r>
    <w:r w:rsidR="00F61546" w:rsidRPr="00EC7B99">
      <w:rPr>
        <w:rStyle w:val="Numeropagina"/>
        <w:color w:val="EE3438"/>
        <w:sz w:val="20"/>
        <w:szCs w:val="20"/>
      </w:rPr>
      <w:t xml:space="preserve"> Metropolitano</w:t>
    </w:r>
    <w:r w:rsidR="0047122C" w:rsidRPr="00EC7B99">
      <w:rPr>
        <w:rStyle w:val="Numeropagina"/>
        <w:color w:val="EE3438"/>
        <w:sz w:val="20"/>
        <w:szCs w:val="20"/>
      </w:rPr>
      <w:tab/>
    </w:r>
    <w:r w:rsidRPr="00EC7B99">
      <w:rPr>
        <w:rStyle w:val="Numeropagina"/>
        <w:color w:val="EE3438"/>
        <w:sz w:val="20"/>
        <w:szCs w:val="20"/>
      </w:rPr>
      <w:tab/>
    </w:r>
    <w:r w:rsidRPr="00EC7B99">
      <w:rPr>
        <w:rStyle w:val="Numeropagina"/>
        <w:color w:val="EE3438"/>
        <w:sz w:val="20"/>
        <w:szCs w:val="20"/>
      </w:rPr>
      <w:fldChar w:fldCharType="begin"/>
    </w:r>
    <w:r w:rsidRPr="00EC7B99">
      <w:rPr>
        <w:rStyle w:val="Numeropagina"/>
        <w:color w:val="EE3438"/>
        <w:sz w:val="20"/>
        <w:szCs w:val="20"/>
      </w:rPr>
      <w:instrText xml:space="preserve"> PAGE </w:instrText>
    </w:r>
    <w:r w:rsidRPr="00EC7B99">
      <w:rPr>
        <w:rStyle w:val="Numeropagina"/>
        <w:color w:val="EE3438"/>
        <w:sz w:val="20"/>
        <w:szCs w:val="20"/>
      </w:rPr>
      <w:fldChar w:fldCharType="separate"/>
    </w:r>
    <w:r w:rsidR="004D2344">
      <w:rPr>
        <w:rStyle w:val="Numeropagina"/>
        <w:noProof/>
        <w:color w:val="EE3438"/>
        <w:sz w:val="20"/>
        <w:szCs w:val="20"/>
      </w:rPr>
      <w:t>86</w:t>
    </w:r>
    <w:r w:rsidRPr="00EC7B99">
      <w:rPr>
        <w:rStyle w:val="Numeropagina"/>
        <w:color w:val="EE3438"/>
        <w:sz w:val="20"/>
        <w:szCs w:val="20"/>
      </w:rPr>
      <w:fldChar w:fldCharType="end"/>
    </w:r>
    <w:r w:rsidRPr="00EC7B99">
      <w:rPr>
        <w:rStyle w:val="Numeropagina"/>
        <w:color w:val="EE3438"/>
        <w:sz w:val="20"/>
        <w:szCs w:val="20"/>
      </w:rPr>
      <w:t>/</w:t>
    </w:r>
    <w:r w:rsidR="00A60973">
      <w:rPr>
        <w:rStyle w:val="Numeropagina"/>
        <w:color w:val="EE3438"/>
        <w:sz w:val="20"/>
        <w:szCs w:val="20"/>
      </w:rPr>
      <w:t>166</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504979" w14:textId="5D974F6F" w:rsidR="00F61546" w:rsidRPr="00EC7B99" w:rsidRDefault="00F61546" w:rsidP="00EC7B99">
    <w:pPr>
      <w:pStyle w:val="Pidipagina"/>
      <w:pBdr>
        <w:top w:val="single" w:sz="4" w:space="1" w:color="EE3438"/>
      </w:pBdr>
      <w:rPr>
        <w:color w:val="EE3438"/>
        <w:sz w:val="20"/>
        <w:szCs w:val="20"/>
      </w:rPr>
    </w:pPr>
    <w:r w:rsidRPr="00EC7B99">
      <w:rPr>
        <w:rStyle w:val="Numeropagina"/>
        <w:color w:val="EE3438"/>
        <w:sz w:val="20"/>
        <w:szCs w:val="20"/>
      </w:rPr>
      <w:t>Determinazione degli OSP e criteri di copertura finanziaria</w:t>
    </w:r>
    <w:r w:rsidR="00EC7B99">
      <w:rPr>
        <w:rStyle w:val="Numeropagina"/>
        <w:color w:val="EE3438"/>
        <w:sz w:val="20"/>
        <w:szCs w:val="20"/>
      </w:rPr>
      <w:tab/>
    </w:r>
    <w:r w:rsidRPr="00EC7B99">
      <w:rPr>
        <w:rStyle w:val="Numeropagina"/>
        <w:color w:val="EE3438"/>
        <w:sz w:val="20"/>
        <w:szCs w:val="20"/>
      </w:rPr>
      <w:tab/>
    </w:r>
    <w:r w:rsidRPr="00EC7B99">
      <w:rPr>
        <w:rStyle w:val="Numeropagina"/>
        <w:color w:val="EE3438"/>
        <w:sz w:val="20"/>
        <w:szCs w:val="20"/>
      </w:rPr>
      <w:fldChar w:fldCharType="begin"/>
    </w:r>
    <w:r w:rsidRPr="00EC7B99">
      <w:rPr>
        <w:rStyle w:val="Numeropagina"/>
        <w:color w:val="EE3438"/>
        <w:sz w:val="20"/>
        <w:szCs w:val="20"/>
      </w:rPr>
      <w:instrText xml:space="preserve"> PAGE </w:instrText>
    </w:r>
    <w:r w:rsidRPr="00EC7B99">
      <w:rPr>
        <w:rStyle w:val="Numeropagina"/>
        <w:color w:val="EE3438"/>
        <w:sz w:val="20"/>
        <w:szCs w:val="20"/>
      </w:rPr>
      <w:fldChar w:fldCharType="separate"/>
    </w:r>
    <w:r w:rsidR="004D2344">
      <w:rPr>
        <w:rStyle w:val="Numeropagina"/>
        <w:noProof/>
        <w:color w:val="EE3438"/>
        <w:sz w:val="20"/>
        <w:szCs w:val="20"/>
      </w:rPr>
      <w:t>97</w:t>
    </w:r>
    <w:r w:rsidRPr="00EC7B99">
      <w:rPr>
        <w:rStyle w:val="Numeropagina"/>
        <w:color w:val="EE3438"/>
        <w:sz w:val="20"/>
        <w:szCs w:val="20"/>
      </w:rPr>
      <w:fldChar w:fldCharType="end"/>
    </w:r>
    <w:r w:rsidRPr="00EC7B99">
      <w:rPr>
        <w:rStyle w:val="Numeropagina"/>
        <w:color w:val="EE3438"/>
        <w:sz w:val="20"/>
        <w:szCs w:val="20"/>
      </w:rPr>
      <w:t>/</w:t>
    </w:r>
    <w:r w:rsidR="00A60973">
      <w:rPr>
        <w:rStyle w:val="Numeropagina"/>
        <w:color w:val="EE3438"/>
        <w:sz w:val="20"/>
        <w:szCs w:val="20"/>
      </w:rPr>
      <w:t>166</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D82EB3" w14:textId="0178689D" w:rsidR="00A63C31" w:rsidRPr="00785189" w:rsidRDefault="00A63C31" w:rsidP="00BC673E">
    <w:pPr>
      <w:pStyle w:val="Testonotaapidipagina"/>
      <w:pBdr>
        <w:top w:val="single" w:sz="4" w:space="1" w:color="EE3438"/>
      </w:pBdr>
      <w:tabs>
        <w:tab w:val="left" w:pos="2132"/>
        <w:tab w:val="right" w:pos="9072"/>
      </w:tabs>
      <w:jc w:val="left"/>
      <w:rPr>
        <w:color w:val="EE3438"/>
      </w:rPr>
    </w:pPr>
    <w:r w:rsidRPr="00A63C31">
      <w:rPr>
        <w:rStyle w:val="Numeropagina"/>
        <w:color w:val="EE3438"/>
      </w:rPr>
      <w:t>Determinazione e modalità di aggiornamento delle tariffe</w:t>
    </w:r>
    <w:r w:rsidRPr="00A63C31">
      <w:rPr>
        <w:rStyle w:val="Numeropagina"/>
        <w:color w:val="EE3438"/>
      </w:rPr>
      <w:tab/>
    </w:r>
    <w:r w:rsidRPr="00A63C31">
      <w:rPr>
        <w:rStyle w:val="Numeropagina"/>
        <w:color w:val="EE3438"/>
      </w:rPr>
      <w:fldChar w:fldCharType="begin"/>
    </w:r>
    <w:r w:rsidRPr="00A63C31">
      <w:rPr>
        <w:rStyle w:val="Numeropagina"/>
        <w:color w:val="EE3438"/>
      </w:rPr>
      <w:instrText xml:space="preserve"> PAGE </w:instrText>
    </w:r>
    <w:r w:rsidRPr="00A63C31">
      <w:rPr>
        <w:rStyle w:val="Numeropagina"/>
        <w:color w:val="EE3438"/>
      </w:rPr>
      <w:fldChar w:fldCharType="separate"/>
    </w:r>
    <w:r w:rsidR="004D2344">
      <w:rPr>
        <w:rStyle w:val="Numeropagina"/>
        <w:noProof/>
        <w:color w:val="EE3438"/>
      </w:rPr>
      <w:t>108</w:t>
    </w:r>
    <w:r w:rsidRPr="00A63C31">
      <w:rPr>
        <w:rStyle w:val="Numeropagina"/>
        <w:color w:val="EE3438"/>
      </w:rPr>
      <w:fldChar w:fldCharType="end"/>
    </w:r>
    <w:r w:rsidRPr="00A63C31">
      <w:rPr>
        <w:rStyle w:val="Numeropagina"/>
        <w:color w:val="EE3438"/>
      </w:rPr>
      <w:t>/</w:t>
    </w:r>
    <w:r w:rsidR="00A60973">
      <w:rPr>
        <w:rStyle w:val="Numeropagina"/>
        <w:color w:val="EE3438"/>
      </w:rPr>
      <w:t>166</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1C59F9" w14:textId="6968D010" w:rsidR="00FD2CBB" w:rsidRPr="00B42ECA" w:rsidRDefault="00FD2CBB" w:rsidP="002E2C0C">
    <w:pPr>
      <w:pStyle w:val="Testonotaapidipagina"/>
      <w:pBdr>
        <w:top w:val="single" w:sz="4" w:space="1" w:color="EE3438"/>
      </w:pBdr>
      <w:tabs>
        <w:tab w:val="left" w:pos="2132"/>
        <w:tab w:val="right" w:pos="9072"/>
      </w:tabs>
      <w:jc w:val="left"/>
    </w:pPr>
    <w:r w:rsidRPr="00A652D7">
      <w:rPr>
        <w:rStyle w:val="Numeropagina"/>
        <w:color w:val="EE0000"/>
      </w:rPr>
      <w:t>Identificazione dei lotti</w:t>
    </w:r>
    <w:r w:rsidRPr="00A652D7">
      <w:rPr>
        <w:rStyle w:val="Numeropagina"/>
        <w:color w:val="EE0000"/>
      </w:rPr>
      <w:tab/>
    </w:r>
    <w:r w:rsidRPr="00A652D7">
      <w:rPr>
        <w:rStyle w:val="Numeropagina"/>
        <w:color w:val="EE0000"/>
      </w:rPr>
      <w:tab/>
    </w:r>
    <w:r w:rsidRPr="00A652D7">
      <w:rPr>
        <w:rStyle w:val="Numeropagina"/>
        <w:color w:val="EE0000"/>
      </w:rPr>
      <w:fldChar w:fldCharType="begin"/>
    </w:r>
    <w:r w:rsidRPr="00A652D7">
      <w:rPr>
        <w:rStyle w:val="Numeropagina"/>
        <w:color w:val="EE0000"/>
      </w:rPr>
      <w:instrText xml:space="preserve"> PAGE </w:instrText>
    </w:r>
    <w:r w:rsidRPr="00A652D7">
      <w:rPr>
        <w:rStyle w:val="Numeropagina"/>
        <w:color w:val="EE0000"/>
      </w:rPr>
      <w:fldChar w:fldCharType="separate"/>
    </w:r>
    <w:r w:rsidR="004D2344">
      <w:rPr>
        <w:rStyle w:val="Numeropagina"/>
        <w:noProof/>
        <w:color w:val="EE0000"/>
      </w:rPr>
      <w:t>164</w:t>
    </w:r>
    <w:r w:rsidRPr="00A652D7">
      <w:rPr>
        <w:rStyle w:val="Numeropagina"/>
        <w:color w:val="EE0000"/>
      </w:rPr>
      <w:fldChar w:fldCharType="end"/>
    </w:r>
    <w:r w:rsidRPr="00A652D7">
      <w:rPr>
        <w:rStyle w:val="Numeropagina"/>
        <w:color w:val="EE0000"/>
      </w:rPr>
      <w:t>/</w:t>
    </w:r>
    <w:r w:rsidR="00A60973">
      <w:rPr>
        <w:rStyle w:val="Numeropagina"/>
        <w:color w:val="EE0000"/>
      </w:rPr>
      <w:t>166</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DD05D5" w14:textId="46FCF3BA" w:rsidR="00072059" w:rsidRDefault="005B7BA4" w:rsidP="002E2C0C">
    <w:pPr>
      <w:pStyle w:val="Testonotaapidipagina"/>
      <w:pBdr>
        <w:top w:val="single" w:sz="4" w:space="1" w:color="EE3438"/>
      </w:pBdr>
      <w:tabs>
        <w:tab w:val="left" w:pos="2132"/>
        <w:tab w:val="right" w:pos="9072"/>
      </w:tabs>
      <w:jc w:val="left"/>
    </w:pPr>
    <w:r>
      <w:rPr>
        <w:rStyle w:val="Numeropagina"/>
        <w:color w:val="EE0000"/>
      </w:rPr>
      <w:t>Conclusioni</w:t>
    </w:r>
    <w:r w:rsidRPr="00A652D7">
      <w:rPr>
        <w:rStyle w:val="Numeropagina"/>
        <w:color w:val="EE0000"/>
      </w:rPr>
      <w:tab/>
    </w:r>
    <w:r w:rsidRPr="00A652D7">
      <w:rPr>
        <w:rStyle w:val="Numeropagina"/>
        <w:color w:val="EE0000"/>
      </w:rPr>
      <w:tab/>
    </w:r>
    <w:r w:rsidRPr="00A652D7">
      <w:rPr>
        <w:rStyle w:val="Numeropagina"/>
        <w:color w:val="EE0000"/>
      </w:rPr>
      <w:fldChar w:fldCharType="begin"/>
    </w:r>
    <w:r w:rsidRPr="00A652D7">
      <w:rPr>
        <w:rStyle w:val="Numeropagina"/>
        <w:color w:val="EE0000"/>
      </w:rPr>
      <w:instrText xml:space="preserve"> PAGE </w:instrText>
    </w:r>
    <w:r w:rsidRPr="00A652D7">
      <w:rPr>
        <w:rStyle w:val="Numeropagina"/>
        <w:color w:val="EE0000"/>
      </w:rPr>
      <w:fldChar w:fldCharType="separate"/>
    </w:r>
    <w:r w:rsidR="004D2344">
      <w:rPr>
        <w:rStyle w:val="Numeropagina"/>
        <w:noProof/>
        <w:color w:val="EE0000"/>
      </w:rPr>
      <w:t>166</w:t>
    </w:r>
    <w:r w:rsidRPr="00A652D7">
      <w:rPr>
        <w:rStyle w:val="Numeropagina"/>
        <w:color w:val="EE0000"/>
      </w:rPr>
      <w:fldChar w:fldCharType="end"/>
    </w:r>
    <w:r w:rsidRPr="00A652D7">
      <w:rPr>
        <w:rStyle w:val="Numeropagina"/>
        <w:color w:val="EE0000"/>
      </w:rPr>
      <w:t>/</w:t>
    </w:r>
    <w:r w:rsidR="00A60973">
      <w:rPr>
        <w:rStyle w:val="Numeropagina"/>
        <w:color w:val="EE0000"/>
      </w:rPr>
      <w:t>166</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EC0FA1" w14:textId="77777777" w:rsidR="00BA33AB" w:rsidRDefault="00BA33AB" w:rsidP="00EA05DA"/>
  <w:p w14:paraId="642081B5" w14:textId="77777777" w:rsidR="00BA33AB" w:rsidRDefault="00BA33AB" w:rsidP="00EA05D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DA3B05" w14:textId="77777777" w:rsidR="005D01EC" w:rsidRPr="00207886" w:rsidRDefault="005D01EC">
      <w:r w:rsidRPr="00207886">
        <w:separator/>
      </w:r>
    </w:p>
  </w:footnote>
  <w:footnote w:type="continuationSeparator" w:id="0">
    <w:p w14:paraId="4540806D" w14:textId="77777777" w:rsidR="005D01EC" w:rsidRPr="00207886" w:rsidRDefault="005D01EC">
      <w:r w:rsidRPr="00207886">
        <w:continuationSeparator/>
      </w:r>
    </w:p>
  </w:footnote>
  <w:footnote w:type="continuationNotice" w:id="1">
    <w:p w14:paraId="453E2B3C" w14:textId="77777777" w:rsidR="005D01EC" w:rsidRDefault="005D01EC">
      <w:pPr>
        <w:spacing w:after="0" w:line="240" w:lineRule="auto"/>
      </w:pPr>
    </w:p>
  </w:footnote>
  <w:footnote w:id="2">
    <w:p w14:paraId="1BBD170E" w14:textId="77777777" w:rsidR="00C42A5A" w:rsidRPr="00AB3000" w:rsidRDefault="00C42A5A" w:rsidP="00C42A5A">
      <w:pPr>
        <w:pStyle w:val="Testonotaapidipagina"/>
        <w:spacing w:before="120" w:after="0" w:line="240" w:lineRule="auto"/>
        <w:rPr>
          <w:sz w:val="18"/>
          <w:szCs w:val="18"/>
        </w:rPr>
      </w:pPr>
      <w:r w:rsidRPr="00AB3000">
        <w:rPr>
          <w:rStyle w:val="Rimandonotaapidipagina"/>
          <w:sz w:val="18"/>
          <w:szCs w:val="18"/>
        </w:rPr>
        <w:footnoteRef/>
      </w:r>
      <w:r w:rsidRPr="00AB3000">
        <w:rPr>
          <w:sz w:val="18"/>
          <w:szCs w:val="18"/>
        </w:rPr>
        <w:t xml:space="preserve"> I testi delle pre-informative sono consultabili anche sul sito istituzionale dell’Agenzia al seguente link: </w:t>
      </w:r>
      <w:hyperlink r:id="rId1" w:history="1">
        <w:r w:rsidRPr="00AB3000">
          <w:rPr>
            <w:rStyle w:val="Collegamentoipertestuale"/>
            <w:sz w:val="18"/>
            <w:szCs w:val="18"/>
          </w:rPr>
          <w:t>https://mtm.torino.it/it/aggiornamento-avvisi-pre-informazione-delle-procedure-di-affidamento-delle-concessioni-dei-servizi-di-tpl/</w:t>
        </w:r>
      </w:hyperlink>
      <w:r w:rsidRPr="00AB3000">
        <w:rPr>
          <w:sz w:val="18"/>
          <w:szCs w:val="18"/>
        </w:rPr>
        <w:t xml:space="preserve"> </w:t>
      </w:r>
    </w:p>
  </w:footnote>
  <w:footnote w:id="3">
    <w:p w14:paraId="16CA1676" w14:textId="007D304E" w:rsidR="00B87DB0" w:rsidRPr="00B87DB0" w:rsidRDefault="00B87DB0" w:rsidP="00B87DB0">
      <w:pPr>
        <w:pStyle w:val="Testonotaapidipagina"/>
        <w:spacing w:before="120" w:after="0" w:line="240" w:lineRule="auto"/>
        <w:rPr>
          <w:sz w:val="18"/>
          <w:szCs w:val="18"/>
        </w:rPr>
      </w:pPr>
      <w:r w:rsidRPr="00B87DB0">
        <w:rPr>
          <w:rStyle w:val="Rimandonotaapidipagina"/>
          <w:sz w:val="18"/>
          <w:szCs w:val="18"/>
        </w:rPr>
        <w:footnoteRef/>
      </w:r>
      <w:r w:rsidRPr="00B87DB0">
        <w:rPr>
          <w:sz w:val="18"/>
          <w:szCs w:val="18"/>
        </w:rPr>
        <w:t xml:space="preserve"> </w:t>
      </w:r>
      <w:r>
        <w:rPr>
          <w:sz w:val="18"/>
          <w:szCs w:val="18"/>
        </w:rPr>
        <w:t>Le Relazioni dei Lotti, con i relativi allegati ed i pareri rilasciati da ART sono consultabili sul sito di AMP all’indirizzo</w:t>
      </w:r>
      <w:r w:rsidR="00CE66FB">
        <w:rPr>
          <w:sz w:val="18"/>
          <w:szCs w:val="18"/>
        </w:rPr>
        <w:t xml:space="preserve"> </w:t>
      </w:r>
      <w:hyperlink r:id="rId2" w:history="1">
        <w:r w:rsidR="00CE66FB" w:rsidRPr="004C7718">
          <w:rPr>
            <w:rStyle w:val="Collegamentoipertestuale"/>
            <w:sz w:val="18"/>
            <w:szCs w:val="18"/>
          </w:rPr>
          <w:t>https://mtm.torino.it/it/servizi-e-contratti/relazioni-di-affidamento/</w:t>
        </w:r>
      </w:hyperlink>
    </w:p>
  </w:footnote>
  <w:footnote w:id="4">
    <w:p w14:paraId="19BD0657" w14:textId="77777777" w:rsidR="002E0EA3" w:rsidRPr="00825AED" w:rsidRDefault="002E0EA3" w:rsidP="002E0EA3">
      <w:pPr>
        <w:pStyle w:val="Testonotaapidipagina"/>
        <w:spacing w:before="120" w:after="0" w:line="240" w:lineRule="auto"/>
        <w:rPr>
          <w:sz w:val="18"/>
          <w:szCs w:val="18"/>
        </w:rPr>
      </w:pPr>
      <w:r w:rsidRPr="00825AED">
        <w:rPr>
          <w:rStyle w:val="Rimandonotaapidipagina"/>
          <w:sz w:val="18"/>
          <w:szCs w:val="18"/>
        </w:rPr>
        <w:footnoteRef/>
      </w:r>
      <w:r w:rsidRPr="00825AED">
        <w:rPr>
          <w:sz w:val="18"/>
          <w:szCs w:val="18"/>
        </w:rPr>
        <w:t xml:space="preserve"> Il comune di Mappano è stato istituito nel 2013 come aggregazione di ambiti territoriali dei comuni di Borgaro Torinese, Caselle torinese, Leinì e Settimo Torinese già consorziati di AMP.</w:t>
      </w:r>
    </w:p>
  </w:footnote>
  <w:footnote w:id="5">
    <w:p w14:paraId="03A8FA12" w14:textId="77777777" w:rsidR="002E0EA3" w:rsidRPr="00825AED" w:rsidRDefault="002E0EA3" w:rsidP="002E0EA3">
      <w:pPr>
        <w:pStyle w:val="Testonotaapidipagina"/>
        <w:spacing w:before="120" w:after="0" w:line="240" w:lineRule="auto"/>
        <w:rPr>
          <w:sz w:val="18"/>
          <w:szCs w:val="18"/>
        </w:rPr>
      </w:pPr>
      <w:r w:rsidRPr="00825AED">
        <w:rPr>
          <w:rStyle w:val="Rimandonotaapidipagina"/>
          <w:sz w:val="18"/>
          <w:szCs w:val="18"/>
        </w:rPr>
        <w:footnoteRef/>
      </w:r>
      <w:r w:rsidRPr="00825AED">
        <w:rPr>
          <w:sz w:val="18"/>
          <w:szCs w:val="18"/>
        </w:rPr>
        <w:t xml:space="preserve"> La Delibera regionale </w:t>
      </w:r>
      <w:r>
        <w:rPr>
          <w:sz w:val="18"/>
          <w:szCs w:val="18"/>
        </w:rPr>
        <w:t>n. 13-6608 del 4/11/2013 prevede un adeguamento tariffario annuale pari al 100 % dell’inflazione programmata dal Governo nell’anno precedente</w:t>
      </w:r>
    </w:p>
  </w:footnote>
  <w:footnote w:id="6">
    <w:p w14:paraId="048E3C71" w14:textId="77777777" w:rsidR="002E0EA3" w:rsidRPr="00825AED" w:rsidRDefault="002E0EA3" w:rsidP="002E0EA3">
      <w:pPr>
        <w:pStyle w:val="Testonotaapidipagina"/>
        <w:spacing w:before="120" w:after="0" w:line="240" w:lineRule="auto"/>
        <w:rPr>
          <w:sz w:val="18"/>
          <w:szCs w:val="18"/>
        </w:rPr>
      </w:pPr>
      <w:r w:rsidRPr="00825AED">
        <w:rPr>
          <w:rStyle w:val="Rimandonotaapidipagina"/>
          <w:sz w:val="18"/>
          <w:szCs w:val="18"/>
        </w:rPr>
        <w:footnoteRef/>
      </w:r>
      <w:r w:rsidRPr="00825AED">
        <w:rPr>
          <w:sz w:val="18"/>
          <w:szCs w:val="18"/>
        </w:rPr>
        <w:t xml:space="preserve"> Ad oggi in via di sviluppo da parte della Regione e dei suoi fornitori.</w:t>
      </w:r>
    </w:p>
  </w:footnote>
  <w:footnote w:id="7">
    <w:p w14:paraId="5FB15B7E" w14:textId="77777777" w:rsidR="002E0EA3" w:rsidRPr="00B85C38" w:rsidRDefault="002E0EA3" w:rsidP="002E0EA3">
      <w:pPr>
        <w:pStyle w:val="Testonotaapidipagina"/>
        <w:spacing w:before="120" w:after="0" w:line="240" w:lineRule="auto"/>
        <w:rPr>
          <w:rFonts w:asciiTheme="majorHAnsi" w:hAnsiTheme="majorHAnsi" w:cstheme="majorHAnsi"/>
          <w:sz w:val="18"/>
          <w:szCs w:val="18"/>
        </w:rPr>
      </w:pPr>
      <w:r w:rsidRPr="00B85C38">
        <w:rPr>
          <w:rStyle w:val="Rimandonotaapidipagina"/>
          <w:rFonts w:asciiTheme="majorHAnsi" w:hAnsiTheme="majorHAnsi" w:cstheme="majorHAnsi"/>
          <w:sz w:val="18"/>
          <w:szCs w:val="18"/>
        </w:rPr>
        <w:footnoteRef/>
      </w:r>
      <w:r w:rsidRPr="00B85C38">
        <w:rPr>
          <w:rFonts w:asciiTheme="majorHAnsi" w:hAnsiTheme="majorHAnsi" w:cstheme="majorHAnsi"/>
          <w:sz w:val="18"/>
          <w:szCs w:val="18"/>
        </w:rPr>
        <w:t xml:space="preserve"> </w:t>
      </w:r>
      <w:r w:rsidRPr="00B85C38">
        <w:rPr>
          <w:rFonts w:asciiTheme="majorHAnsi" w:eastAsia="Arial" w:hAnsiTheme="majorHAnsi" w:cstheme="majorHAnsi"/>
          <w:sz w:val="18"/>
          <w:szCs w:val="18"/>
        </w:rPr>
        <w:t>Nota protocollo Agenzia n. 761 del 22/01/2025.</w:t>
      </w:r>
    </w:p>
  </w:footnote>
  <w:footnote w:id="8">
    <w:p w14:paraId="7332852E" w14:textId="77777777" w:rsidR="003E245D" w:rsidRPr="00B85C38" w:rsidRDefault="003E245D" w:rsidP="003E245D">
      <w:pPr>
        <w:pStyle w:val="Testonotaapidipagina"/>
        <w:spacing w:before="120" w:after="0" w:line="240" w:lineRule="auto"/>
        <w:rPr>
          <w:sz w:val="18"/>
          <w:szCs w:val="18"/>
        </w:rPr>
      </w:pPr>
      <w:r w:rsidRPr="00B85C38">
        <w:rPr>
          <w:rStyle w:val="Rimandonotaapidipagina"/>
          <w:sz w:val="18"/>
          <w:szCs w:val="18"/>
        </w:rPr>
        <w:footnoteRef/>
      </w:r>
      <w:r w:rsidRPr="00B85C38">
        <w:rPr>
          <w:sz w:val="18"/>
          <w:szCs w:val="18"/>
        </w:rPr>
        <w:t xml:space="preserve"> Storicamente le indagini campionarie sulla mobilità delle persone nella Provincia di Torino sono state effettuate con cadenza regolare sin dai primi anni Novanta. L'allora azienda municipale di Torino ATM, cooperando con gli altri Enti locali e operatori di TPL, ha effettuato tra il 1991 e il 2004 sette indagini IMQ. La prima indagine fu condotta su un campione di grandi dimensioni. Dal 1994 in poi le indagini sono state svolte con cadenza biennale alternando campioni grandi (25-30 mila interviste nel 1996, 2000, 2004) e campioni più piccoli (5-7 mila interviste nel 1994, 1998, 2002, 2006 e 2010). Dal 2013 la scala di indagine è regionale e il campione è esteso a 51 mila interviste. Nell’indagine 2022 sono state sviluppate individuando due campioni distinti per indagare la Mobilità (circa 41.000 interviste) e per indagare la Qualità (circa 10.000 interviste)</w:t>
      </w:r>
    </w:p>
  </w:footnote>
  <w:footnote w:id="9">
    <w:p w14:paraId="742C3B28" w14:textId="77777777" w:rsidR="003E245D" w:rsidRPr="00B85C38" w:rsidRDefault="003E245D" w:rsidP="003E245D">
      <w:pPr>
        <w:pStyle w:val="Testonotaapidipagina"/>
        <w:spacing w:before="120" w:after="0" w:line="240" w:lineRule="auto"/>
        <w:rPr>
          <w:sz w:val="18"/>
          <w:szCs w:val="18"/>
        </w:rPr>
      </w:pPr>
      <w:r w:rsidRPr="00B85C38">
        <w:rPr>
          <w:rStyle w:val="Rimandonotaapidipagina"/>
          <w:sz w:val="18"/>
          <w:szCs w:val="18"/>
        </w:rPr>
        <w:footnoteRef/>
      </w:r>
      <w:r w:rsidRPr="00B85C38">
        <w:rPr>
          <w:sz w:val="18"/>
          <w:szCs w:val="18"/>
        </w:rPr>
        <w:t xml:space="preserve"> </w:t>
      </w:r>
      <w:r>
        <w:rPr>
          <w:sz w:val="18"/>
          <w:szCs w:val="18"/>
        </w:rPr>
        <w:t>L’Accordo è stato approvato con deliberazione del CDA di AMP n 18/2025 del 4 luglio 2025; l</w:t>
      </w:r>
      <w:r w:rsidRPr="00B85C38">
        <w:rPr>
          <w:sz w:val="18"/>
          <w:szCs w:val="18"/>
        </w:rPr>
        <w:t xml:space="preserve">‘ipotesi di campionamento per </w:t>
      </w:r>
      <w:r>
        <w:rPr>
          <w:sz w:val="18"/>
          <w:szCs w:val="18"/>
        </w:rPr>
        <w:t xml:space="preserve">Focus </w:t>
      </w:r>
      <w:r w:rsidRPr="00B85C38">
        <w:rPr>
          <w:sz w:val="18"/>
          <w:szCs w:val="18"/>
        </w:rPr>
        <w:t>Audimob</w:t>
      </w:r>
      <w:r>
        <w:rPr>
          <w:sz w:val="18"/>
          <w:szCs w:val="18"/>
        </w:rPr>
        <w:t xml:space="preserve"> in</w:t>
      </w:r>
      <w:r w:rsidRPr="00B85C38">
        <w:rPr>
          <w:sz w:val="18"/>
          <w:szCs w:val="18"/>
        </w:rPr>
        <w:t xml:space="preserve"> Piemonte è di circa 2.300 interviste complessive in modo da avere un errore standard inferiore, per l’intera Regione, al 4% (3,9%) anche per la mobilità del fine settimana</w:t>
      </w:r>
      <w:r>
        <w:rPr>
          <w:sz w:val="18"/>
          <w:szCs w:val="18"/>
        </w:rPr>
        <w:t>;</w:t>
      </w:r>
      <w:r w:rsidRPr="00B85C38">
        <w:rPr>
          <w:sz w:val="18"/>
          <w:szCs w:val="18"/>
        </w:rPr>
        <w:t xml:space="preserve"> </w:t>
      </w:r>
      <w:r>
        <w:rPr>
          <w:sz w:val="18"/>
          <w:szCs w:val="18"/>
        </w:rPr>
        <w:t>p</w:t>
      </w:r>
      <w:r w:rsidRPr="00B85C38">
        <w:rPr>
          <w:sz w:val="18"/>
          <w:szCs w:val="18"/>
        </w:rPr>
        <w:t>er la mobilità feriale l’errore scende invece al 2,4% e per la complessiva feriale+festiva al 2,04%. L’Audimob nazionale prevede circa 850 interviste per il Piemonte, per cui le interviste nuove da somministrare sar</w:t>
      </w:r>
      <w:r>
        <w:rPr>
          <w:sz w:val="18"/>
          <w:szCs w:val="18"/>
        </w:rPr>
        <w:t>anno circa</w:t>
      </w:r>
      <w:r w:rsidRPr="00B85C38">
        <w:rPr>
          <w:sz w:val="18"/>
          <w:szCs w:val="18"/>
        </w:rPr>
        <w:t xml:space="preserve"> 1.450</w:t>
      </w:r>
      <w:r>
        <w:rPr>
          <w:sz w:val="18"/>
          <w:szCs w:val="18"/>
        </w:rPr>
        <w:t xml:space="preserve"> per anno.</w:t>
      </w:r>
    </w:p>
  </w:footnote>
  <w:footnote w:id="10">
    <w:p w14:paraId="5FE65AB3" w14:textId="77777777" w:rsidR="003E245D" w:rsidRDefault="003E245D" w:rsidP="003E245D">
      <w:pPr>
        <w:pStyle w:val="Testonotaapidipagina"/>
      </w:pPr>
      <w:r>
        <w:rPr>
          <w:rStyle w:val="Rimandonotaapidipagina"/>
        </w:rPr>
        <w:footnoteRef/>
      </w:r>
      <w:r>
        <w:t xml:space="preserve"> Dati di popolazione ISTAT 2023</w:t>
      </w:r>
    </w:p>
  </w:footnote>
  <w:footnote w:id="11">
    <w:p w14:paraId="233277E5" w14:textId="77777777" w:rsidR="003E245D" w:rsidRPr="003472B4" w:rsidRDefault="003E245D" w:rsidP="003E245D">
      <w:pPr>
        <w:pStyle w:val="Testonotaapidipagina"/>
        <w:spacing w:before="120" w:after="0" w:line="240" w:lineRule="auto"/>
        <w:rPr>
          <w:sz w:val="18"/>
          <w:szCs w:val="18"/>
        </w:rPr>
      </w:pPr>
      <w:r w:rsidRPr="003472B4">
        <w:rPr>
          <w:rStyle w:val="Rimandonotaapidipagina"/>
          <w:sz w:val="18"/>
          <w:szCs w:val="18"/>
        </w:rPr>
        <w:footnoteRef/>
      </w:r>
      <w:r w:rsidRPr="003472B4">
        <w:rPr>
          <w:sz w:val="18"/>
          <w:szCs w:val="18"/>
        </w:rPr>
        <w:t xml:space="preserve"> Relazione sugli affidamenti di TPL - Anno 2022 parte II Paragrafo 4.2 “Verifica sulla congruità dei bacini ottimali con i criteri assunti” </w:t>
      </w:r>
      <w:hyperlink r:id="rId3" w:history="1">
        <w:r w:rsidRPr="003472B4">
          <w:rPr>
            <w:rStyle w:val="Collegamentoipertestuale"/>
            <w:sz w:val="18"/>
            <w:szCs w:val="18"/>
          </w:rPr>
          <w:t>https://mtm.torino.it/wp-content/uploads/2023/06/Relazione_Affidamenti_2022_pubbl_15-06-2023.pdf</w:t>
        </w:r>
      </w:hyperlink>
      <w:r w:rsidRPr="003472B4">
        <w:rPr>
          <w:sz w:val="18"/>
          <w:szCs w:val="18"/>
        </w:rPr>
        <w:t xml:space="preserve"> </w:t>
      </w:r>
    </w:p>
  </w:footnote>
  <w:footnote w:id="12">
    <w:p w14:paraId="69CAB935" w14:textId="77777777" w:rsidR="00D11FD8" w:rsidRDefault="00D11FD8" w:rsidP="00D11FD8">
      <w:pPr>
        <w:pStyle w:val="Testonotaapidipagina"/>
        <w:spacing w:line="240" w:lineRule="auto"/>
        <w:contextualSpacing/>
        <w:rPr>
          <w:sz w:val="18"/>
          <w:szCs w:val="18"/>
        </w:rPr>
      </w:pPr>
      <w:r>
        <w:rPr>
          <w:rStyle w:val="Rimandonotaapidipagina"/>
          <w:sz w:val="18"/>
          <w:szCs w:val="18"/>
        </w:rPr>
        <w:footnoteRef/>
      </w:r>
      <w:r>
        <w:rPr>
          <w:sz w:val="18"/>
          <w:szCs w:val="18"/>
        </w:rPr>
        <w:t xml:space="preserve"> Le SIM di tipologia "Human" di WindTre si riferiscono a quelle SIM utilizzate direttamente dagli utenti per comunicazioni personali. Queste includono:</w:t>
      </w:r>
    </w:p>
    <w:p w14:paraId="21300BDC" w14:textId="77777777" w:rsidR="00D11FD8" w:rsidRDefault="00D11FD8" w:rsidP="00D11FD8">
      <w:pPr>
        <w:pStyle w:val="Testonotaapidipagina"/>
        <w:numPr>
          <w:ilvl w:val="0"/>
          <w:numId w:val="26"/>
        </w:numPr>
        <w:spacing w:after="0" w:line="240" w:lineRule="auto"/>
        <w:contextualSpacing/>
        <w:rPr>
          <w:sz w:val="18"/>
          <w:szCs w:val="18"/>
        </w:rPr>
      </w:pPr>
      <w:r>
        <w:rPr>
          <w:sz w:val="18"/>
          <w:szCs w:val="18"/>
        </w:rPr>
        <w:t>Solo voce: SIM utilizzate esclusivamente per chiamate vocali.</w:t>
      </w:r>
    </w:p>
    <w:p w14:paraId="4B43B616" w14:textId="77777777" w:rsidR="00D11FD8" w:rsidRDefault="00D11FD8" w:rsidP="00D11FD8">
      <w:pPr>
        <w:pStyle w:val="Testonotaapidipagina"/>
        <w:numPr>
          <w:ilvl w:val="0"/>
          <w:numId w:val="26"/>
        </w:numPr>
        <w:spacing w:after="0" w:line="240" w:lineRule="auto"/>
        <w:contextualSpacing/>
        <w:rPr>
          <w:sz w:val="18"/>
          <w:szCs w:val="18"/>
        </w:rPr>
      </w:pPr>
      <w:r>
        <w:rPr>
          <w:sz w:val="18"/>
          <w:szCs w:val="18"/>
        </w:rPr>
        <w:t>Voce + dati: SIM che permettono sia chiamate vocali che l'accesso a dati mobili (internet).</w:t>
      </w:r>
    </w:p>
    <w:p w14:paraId="7FAD488C" w14:textId="77777777" w:rsidR="00D11FD8" w:rsidRDefault="00D11FD8" w:rsidP="00D11FD8">
      <w:pPr>
        <w:pStyle w:val="Testonotaapidipagina"/>
        <w:numPr>
          <w:ilvl w:val="0"/>
          <w:numId w:val="26"/>
        </w:numPr>
        <w:spacing w:after="0" w:line="240" w:lineRule="auto"/>
        <w:contextualSpacing/>
        <w:rPr>
          <w:sz w:val="18"/>
          <w:szCs w:val="18"/>
        </w:rPr>
      </w:pPr>
      <w:r>
        <w:rPr>
          <w:sz w:val="18"/>
          <w:szCs w:val="18"/>
        </w:rPr>
        <w:t>Solo dati: SIM utilizzate esclusivamente per la connessione dati, senza funzionalità di chiamata vocale.</w:t>
      </w:r>
    </w:p>
    <w:p w14:paraId="35C52BE7" w14:textId="77777777" w:rsidR="00D11FD8" w:rsidRDefault="00D11FD8" w:rsidP="00D11FD8">
      <w:pPr>
        <w:pStyle w:val="Testonotaapidipagina"/>
        <w:spacing w:line="240" w:lineRule="auto"/>
        <w:contextualSpacing/>
        <w:rPr>
          <w:sz w:val="18"/>
          <w:szCs w:val="18"/>
        </w:rPr>
      </w:pPr>
      <w:r>
        <w:rPr>
          <w:sz w:val="18"/>
          <w:szCs w:val="18"/>
        </w:rPr>
        <w:t>Queste SIM sono progettate per l'interazione umana, a differenza delle SIM Machine to Machine (M2M), che sono utilizzate per la comunicazione automatica tra dispositivi</w:t>
      </w:r>
    </w:p>
  </w:footnote>
  <w:footnote w:id="13">
    <w:p w14:paraId="68321F4C" w14:textId="77777777" w:rsidR="00D11FD8" w:rsidRDefault="00D11FD8" w:rsidP="00D11FD8">
      <w:pPr>
        <w:pStyle w:val="Testonotaapidipagina"/>
        <w:spacing w:before="120" w:after="0" w:line="240" w:lineRule="auto"/>
        <w:rPr>
          <w:sz w:val="18"/>
          <w:szCs w:val="18"/>
        </w:rPr>
      </w:pPr>
      <w:r>
        <w:rPr>
          <w:rStyle w:val="Rimandonotaapidipagina"/>
          <w:sz w:val="18"/>
          <w:szCs w:val="18"/>
        </w:rPr>
        <w:footnoteRef/>
      </w:r>
      <w:r>
        <w:rPr>
          <w:sz w:val="18"/>
          <w:szCs w:val="18"/>
        </w:rPr>
        <w:t xml:space="preserve"> L'unità minima utilizzata per l'analisi delle presenze e degli spostamenti delle SIM WindTre tramite la piattaforma Analytics è la zona ACE. Le ACE (Aree di CEnsimento) sono definite da ISTAT, per i centri principali e più popolosi, come unità territoriali intermedie fra le sezioni di censimento e i limiti comunali.</w:t>
      </w:r>
    </w:p>
  </w:footnote>
  <w:footnote w:id="14">
    <w:p w14:paraId="33CC13EF" w14:textId="77777777" w:rsidR="003E245D" w:rsidRPr="00E31C27" w:rsidRDefault="003E245D" w:rsidP="003E245D">
      <w:pPr>
        <w:pStyle w:val="Testonotaapidipagina"/>
        <w:spacing w:after="0" w:line="240" w:lineRule="auto"/>
        <w:rPr>
          <w:sz w:val="18"/>
          <w:szCs w:val="18"/>
        </w:rPr>
      </w:pPr>
      <w:r>
        <w:rPr>
          <w:rStyle w:val="Rimandonotaapidipagina"/>
        </w:rPr>
        <w:footnoteRef/>
      </w:r>
      <w:r>
        <w:t xml:space="preserve"> </w:t>
      </w:r>
      <w:r w:rsidRPr="00E31C27">
        <w:rPr>
          <w:sz w:val="18"/>
          <w:szCs w:val="18"/>
        </w:rPr>
        <w:t>Ogni campagna si sviluppa per due settimane; per ciascuna corsa vengono compilate nel rilievo da 1 a 5 schede, una per ciascun giorno di rilevazione a seconda della frequenza, come descritto nella tabella sottostante:</w:t>
      </w:r>
    </w:p>
    <w:p w14:paraId="37258E84" w14:textId="77777777" w:rsidR="003E245D" w:rsidRPr="00E31C27" w:rsidRDefault="003E245D" w:rsidP="003E245D">
      <w:pPr>
        <w:pStyle w:val="Testonotaapidipagina"/>
        <w:spacing w:after="0" w:line="240" w:lineRule="auto"/>
        <w:rPr>
          <w:sz w:val="18"/>
          <w:szCs w:val="18"/>
        </w:rPr>
      </w:pPr>
      <w:r w:rsidRPr="00E31C27">
        <w:rPr>
          <w:noProof/>
          <w:sz w:val="18"/>
          <w:szCs w:val="18"/>
        </w:rPr>
        <w:drawing>
          <wp:inline distT="0" distB="0" distL="0" distR="0" wp14:anchorId="38D3CD4E" wp14:editId="30780799">
            <wp:extent cx="3704664" cy="1001683"/>
            <wp:effectExtent l="0" t="0" r="0" b="8255"/>
            <wp:docPr id="349843165"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737893" cy="1010668"/>
                    </a:xfrm>
                    <a:prstGeom prst="rect">
                      <a:avLst/>
                    </a:prstGeom>
                    <a:noFill/>
                    <a:ln>
                      <a:noFill/>
                    </a:ln>
                  </pic:spPr>
                </pic:pic>
              </a:graphicData>
            </a:graphic>
          </wp:inline>
        </w:drawing>
      </w:r>
    </w:p>
    <w:p w14:paraId="36D93DDD" w14:textId="77777777" w:rsidR="003E245D" w:rsidRDefault="003E245D" w:rsidP="003E245D">
      <w:pPr>
        <w:pStyle w:val="Testonotaapidipagina"/>
        <w:spacing w:after="0" w:line="240" w:lineRule="auto"/>
      </w:pPr>
      <w:r w:rsidRPr="00E31C27">
        <w:rPr>
          <w:sz w:val="18"/>
          <w:szCs w:val="18"/>
        </w:rPr>
        <w:t>Il numero di rilievi effettuati a fronte del totale corse offerte nell’anno comporta un tasso di campionamento compreso tra il 6,5% e il 7% per i rilievi estivi e tra l’1,7% e il 2,2% per i rilievi invernali.</w:t>
      </w:r>
    </w:p>
  </w:footnote>
  <w:footnote w:id="15">
    <w:p w14:paraId="47270DF1" w14:textId="77777777" w:rsidR="003E245D" w:rsidRDefault="003E245D" w:rsidP="003E245D">
      <w:pPr>
        <w:pStyle w:val="Testonotaapidipagina"/>
        <w:spacing w:before="120" w:after="0" w:line="240" w:lineRule="auto"/>
      </w:pPr>
      <w:r>
        <w:rPr>
          <w:rStyle w:val="Rimandonotaapidipagina"/>
        </w:rPr>
        <w:footnoteRef/>
      </w:r>
      <w:r>
        <w:t xml:space="preserve"> </w:t>
      </w:r>
      <w:r w:rsidRPr="00E31C27">
        <w:rPr>
          <w:sz w:val="18"/>
          <w:szCs w:val="18"/>
        </w:rPr>
        <w:t>I passeggeri annui per linea sono calcolati nel seguente modo: (1) Somma dei saliti a tutte le fermate per ogni corsa; (2) Media tra le somme saliti di tutti i rilievi disponibili per ogni corsa; (3) Espansione dei saliti in base al numero di giorni in cui ciascuna corsa è operativa, separatamente a partire dal rilievo di novembre per il periodo invernale (274 giorni) ed a partire dal rilievo estivo per il periodo estivo (91 giorni); nel mese di agosto molte corse extraurbane non sono operative (codici frequenze FER[x]-A): per esse il numero di giorni estivi è inferiore; (4) Calcolo, per ogni linea e rilievo, del rapporto corse totali/corse rilevate (coefficiente di espansione alle corse non rilevate); (5) Linee con alcune corse non rilevate nel singolo rilievo (luglio o novembre): Espansione dei saliti delle corse rilevate di ciascuna linea nel periodo invernale ed estivo con l’applicazione del coefficiente di espansione di cui al punto 4; (6) Linee con nessuna corsa rilevata nel singolo rilievo (luglio o novembre): Stima dei passeggeri del rilievo mancante come media degli ultimi anni in cui il rilievo è disponibile (generalmente due).</w:t>
      </w:r>
    </w:p>
  </w:footnote>
  <w:footnote w:id="16">
    <w:p w14:paraId="404EBB68" w14:textId="77777777" w:rsidR="003E245D" w:rsidRPr="006A089D" w:rsidRDefault="003E245D" w:rsidP="003E245D">
      <w:pPr>
        <w:pStyle w:val="Testonotaapidipagina"/>
        <w:spacing w:before="120" w:after="0" w:line="240" w:lineRule="auto"/>
        <w:rPr>
          <w:sz w:val="18"/>
          <w:szCs w:val="18"/>
        </w:rPr>
      </w:pPr>
      <w:r w:rsidRPr="006A089D">
        <w:rPr>
          <w:rStyle w:val="Rimandonotaapidipagina"/>
          <w:sz w:val="18"/>
          <w:szCs w:val="18"/>
        </w:rPr>
        <w:footnoteRef/>
      </w:r>
      <w:r w:rsidRPr="006A089D">
        <w:rPr>
          <w:sz w:val="18"/>
          <w:szCs w:val="18"/>
        </w:rPr>
        <w:t xml:space="preserve"> Dati del MIUR nota prot. Agenzia n°12487 del 29/04/2024</w:t>
      </w:r>
    </w:p>
  </w:footnote>
  <w:footnote w:id="17">
    <w:p w14:paraId="27784AFE" w14:textId="77777777" w:rsidR="003E245D" w:rsidRDefault="003E245D" w:rsidP="003E245D">
      <w:pPr>
        <w:pStyle w:val="Default"/>
      </w:pPr>
      <w:r>
        <w:rPr>
          <w:rStyle w:val="Rimandonotaapidipagina"/>
        </w:rPr>
        <w:footnoteRef/>
      </w:r>
      <w:r>
        <w:t xml:space="preserve"> </w:t>
      </w:r>
      <w:r w:rsidRPr="00B83396">
        <w:rPr>
          <w:sz w:val="18"/>
          <w:szCs w:val="18"/>
        </w:rPr>
        <w:t>Elaborazione dati fornita dal Mobility Management di Ateneo - Area Sostenibilità - Direzione Edilizia e Sostenibilità dell’Università degli Studi di Torino.</w:t>
      </w:r>
    </w:p>
  </w:footnote>
  <w:footnote w:id="18">
    <w:p w14:paraId="4CE1AD51" w14:textId="77777777" w:rsidR="003E245D" w:rsidRDefault="003E245D" w:rsidP="003E245D">
      <w:pPr>
        <w:pStyle w:val="Default"/>
      </w:pPr>
      <w:r>
        <w:rPr>
          <w:rStyle w:val="Rimandonotaapidipagina"/>
        </w:rPr>
        <w:footnoteRef/>
      </w:r>
      <w:r>
        <w:t xml:space="preserve"> </w:t>
      </w:r>
      <w:r w:rsidRPr="00B83396">
        <w:rPr>
          <w:sz w:val="18"/>
          <w:szCs w:val="18"/>
        </w:rPr>
        <w:t>Elaborazione dati fornita dal Mobility Manager di Ateneo e dal Servizio Sostenibilità del Politecnico di Torino.</w:t>
      </w:r>
    </w:p>
  </w:footnote>
  <w:footnote w:id="19">
    <w:p w14:paraId="08C2DB5D" w14:textId="77777777" w:rsidR="003E245D" w:rsidRPr="00C44197" w:rsidRDefault="003E245D" w:rsidP="003E245D">
      <w:pPr>
        <w:pStyle w:val="Testonotaapidipagina"/>
        <w:spacing w:before="120" w:after="0" w:line="240" w:lineRule="auto"/>
        <w:rPr>
          <w:sz w:val="18"/>
          <w:szCs w:val="18"/>
        </w:rPr>
      </w:pPr>
      <w:r w:rsidRPr="009E7851">
        <w:rPr>
          <w:rStyle w:val="Rimandonotaapidipagina"/>
          <w:sz w:val="18"/>
          <w:szCs w:val="18"/>
        </w:rPr>
        <w:footnoteRef/>
      </w:r>
      <w:r w:rsidRPr="009E7851">
        <w:rPr>
          <w:sz w:val="18"/>
          <w:szCs w:val="18"/>
        </w:rPr>
        <w:t xml:space="preserve"> La piattaforma EMMA, sviluppata dalla Regione Piemonte, è uno strumento digitale progettato per supportare i Mobility Manager aziendali e scolastici nella redazione dei Piani degli Spostamenti Casa-Lavoro (PSCL) e Casa-Studio (PSCS). La piattaforma offre accesso gratuito a tutte le aziende, enti pubblici e scuole del Piemonte, semplificando la raccolta e l'analisi dei dati di mobilità. EMMA fornisce suggerimenti e strumenti per progettare soluzioni di mobilità adeguate, migliorando l'efficienza della pianificazione e programmazione dei trasporti. </w:t>
      </w:r>
      <w:hyperlink r:id="rId5" w:history="1">
        <w:r w:rsidRPr="00C44197">
          <w:rPr>
            <w:rStyle w:val="Collegamentoipertestuale"/>
            <w:sz w:val="18"/>
            <w:szCs w:val="18"/>
          </w:rPr>
          <w:t>https://www.muoversinpiemonte.it/piattaforma-digitale-regionale-emma</w:t>
        </w:r>
      </w:hyperlink>
    </w:p>
  </w:footnote>
  <w:footnote w:id="20">
    <w:p w14:paraId="36663795" w14:textId="77777777" w:rsidR="003E245D" w:rsidRDefault="003E245D" w:rsidP="003E245D">
      <w:pPr>
        <w:pStyle w:val="Testonotaapidipagina"/>
      </w:pPr>
      <w:r>
        <w:rPr>
          <w:rStyle w:val="Rimandonotaapidipagina"/>
        </w:rPr>
        <w:footnoteRef/>
      </w:r>
      <w:r>
        <w:t xml:space="preserve"> </w:t>
      </w:r>
      <w:r w:rsidRPr="00B83396">
        <w:rPr>
          <w:sz w:val="18"/>
          <w:szCs w:val="18"/>
        </w:rPr>
        <w:t xml:space="preserve">Fonte: </w:t>
      </w:r>
      <w:r w:rsidRPr="00B83396">
        <w:rPr>
          <w:i/>
          <w:sz w:val="18"/>
          <w:szCs w:val="18"/>
        </w:rPr>
        <w:t xml:space="preserve">Movimenti turistici dei clienti negli esercizi ricettivi Dati comunali - Anno 2024, </w:t>
      </w:r>
      <w:r w:rsidRPr="00B83396">
        <w:rPr>
          <w:sz w:val="18"/>
          <w:szCs w:val="18"/>
        </w:rPr>
        <w:t>Osservatorio turistico della Regione Piemonte.</w:t>
      </w:r>
    </w:p>
  </w:footnote>
  <w:footnote w:id="21">
    <w:p w14:paraId="0A6F1CD5" w14:textId="77777777" w:rsidR="003E245D" w:rsidRPr="00C128A7" w:rsidRDefault="003E245D" w:rsidP="003E245D">
      <w:pPr>
        <w:pStyle w:val="Testonotaapidipagina"/>
        <w:spacing w:before="120" w:after="0" w:line="240" w:lineRule="auto"/>
        <w:ind w:right="566"/>
        <w:rPr>
          <w:sz w:val="18"/>
          <w:szCs w:val="18"/>
        </w:rPr>
      </w:pPr>
      <w:r w:rsidRPr="00C128A7">
        <w:rPr>
          <w:rStyle w:val="Rimandonotaapidipagina"/>
          <w:sz w:val="18"/>
          <w:szCs w:val="18"/>
        </w:rPr>
        <w:footnoteRef/>
      </w:r>
      <w:r w:rsidRPr="00C44197">
        <w:rPr>
          <w:sz w:val="18"/>
          <w:szCs w:val="18"/>
        </w:rPr>
        <w:t xml:space="preserve"> “Ok Boomer? </w:t>
      </w:r>
      <w:r w:rsidRPr="00C128A7">
        <w:rPr>
          <w:sz w:val="18"/>
          <w:szCs w:val="18"/>
        </w:rPr>
        <w:t xml:space="preserve">Una prospettiva generazionale sui comportamenti di mobilità” - Elena Colli - </w:t>
      </w:r>
      <w:r w:rsidRPr="00C128A7">
        <w:rPr>
          <w:rStyle w:val="Collegamentoipertestuale"/>
          <w:sz w:val="18"/>
          <w:szCs w:val="18"/>
        </w:rPr>
        <w:t>https://datamobility.it/magazine/</w:t>
      </w:r>
      <w:hyperlink r:id="rId6" w:history="1">
        <w:r w:rsidRPr="00C128A7">
          <w:rPr>
            <w:rStyle w:val="Collegamentoipertestuale"/>
            <w:sz w:val="18"/>
            <w:szCs w:val="18"/>
          </w:rPr>
          <w:t>ok-boomer-una prospettiva generazionale sui comportamenti di mobilità</w:t>
        </w:r>
      </w:hyperlink>
      <w:r w:rsidRPr="00C128A7">
        <w:rPr>
          <w:rStyle w:val="Collegamentoipertestuale"/>
          <w:sz w:val="18"/>
          <w:szCs w:val="18"/>
        </w:rPr>
        <w:t>/</w:t>
      </w:r>
    </w:p>
  </w:footnote>
  <w:footnote w:id="22">
    <w:p w14:paraId="63B1D8B7" w14:textId="0105ED6D" w:rsidR="003E245D" w:rsidRPr="00C128A7" w:rsidRDefault="003E245D" w:rsidP="003E245D">
      <w:pPr>
        <w:pStyle w:val="Testonotaapidipagina"/>
        <w:rPr>
          <w:sz w:val="18"/>
          <w:szCs w:val="18"/>
        </w:rPr>
      </w:pPr>
      <w:r w:rsidRPr="00C128A7">
        <w:rPr>
          <w:rStyle w:val="Rimandonotaapidipagina"/>
          <w:sz w:val="18"/>
          <w:szCs w:val="18"/>
        </w:rPr>
        <w:footnoteRef/>
      </w:r>
      <w:r w:rsidRPr="00C128A7">
        <w:rPr>
          <w:sz w:val="18"/>
          <w:szCs w:val="18"/>
        </w:rPr>
        <w:t xml:space="preserve"> </w:t>
      </w:r>
      <w:hyperlink r:id="rId7" w:history="1">
        <w:r w:rsidRPr="00C128A7">
          <w:rPr>
            <w:rStyle w:val="Collegamentoipertestuale"/>
            <w:color w:val="auto"/>
            <w:sz w:val="18"/>
            <w:szCs w:val="18"/>
          </w:rPr>
          <w:t>https://www.istat.it/statistica-sperimentale/previsioni-demografiche-comunali-statistica-sperimentale/</w:t>
        </w:r>
      </w:hyperlink>
    </w:p>
  </w:footnote>
  <w:footnote w:id="23">
    <w:p w14:paraId="194C4AE3" w14:textId="77777777" w:rsidR="00FD2CBB" w:rsidRPr="00C128A7" w:rsidRDefault="00FD2CBB" w:rsidP="00FD2CBB">
      <w:pPr>
        <w:pStyle w:val="Testonotaapidipagina"/>
        <w:rPr>
          <w:sz w:val="18"/>
          <w:szCs w:val="18"/>
        </w:rPr>
      </w:pPr>
      <w:r w:rsidRPr="00C128A7">
        <w:rPr>
          <w:rStyle w:val="Rimandonotaapidipagina"/>
          <w:sz w:val="18"/>
          <w:szCs w:val="18"/>
        </w:rPr>
        <w:footnoteRef/>
      </w:r>
      <w:r w:rsidRPr="00C128A7">
        <w:rPr>
          <w:sz w:val="18"/>
          <w:szCs w:val="18"/>
        </w:rPr>
        <w:t xml:space="preserve"> </w:t>
      </w:r>
      <w:hyperlink r:id="rId8" w:history="1">
        <w:r w:rsidRPr="00C128A7">
          <w:rPr>
            <w:rStyle w:val="Collegamentoipertestuale"/>
            <w:sz w:val="18"/>
            <w:szCs w:val="18"/>
          </w:rPr>
          <w:t>https://mtm.torino.it/it/piani-progetti/progetti-a-scala-regionale/studi-su-linee-ferroviarie-sospese/</w:t>
        </w:r>
      </w:hyperlink>
    </w:p>
  </w:footnote>
  <w:footnote w:id="24">
    <w:p w14:paraId="1EE1B07F" w14:textId="77777777" w:rsidR="00FD2CBB" w:rsidRDefault="00FD2CBB" w:rsidP="00FD2CBB">
      <w:pPr>
        <w:pStyle w:val="Testonotaapidipagina"/>
        <w:spacing w:before="120" w:after="0" w:line="240" w:lineRule="auto"/>
      </w:pPr>
      <w:r>
        <w:rPr>
          <w:rStyle w:val="Rimandonotaapidipagina"/>
        </w:rPr>
        <w:footnoteRef/>
      </w:r>
      <w:r>
        <w:t xml:space="preserve"> </w:t>
      </w:r>
      <w:r w:rsidRPr="00B42258">
        <w:rPr>
          <w:sz w:val="18"/>
          <w:szCs w:val="18"/>
        </w:rPr>
        <w:t xml:space="preserve">Si ricorda che tutta la documentazione contrattuale è consultabile sul sito di AMP nella sezione </w:t>
      </w:r>
      <w:hyperlink r:id="rId9" w:history="1">
        <w:r w:rsidRPr="00B42258">
          <w:rPr>
            <w:rStyle w:val="Collegamentoipertestuale"/>
            <w:sz w:val="18"/>
            <w:szCs w:val="18"/>
          </w:rPr>
          <w:t>https://mtm.torino.it/it/servizi-e-contratti/servizi-tpl/</w:t>
        </w:r>
      </w:hyperlink>
    </w:p>
  </w:footnote>
  <w:footnote w:id="25">
    <w:p w14:paraId="533CBD4B" w14:textId="77777777" w:rsidR="00FD2CBB" w:rsidRDefault="00FD2CBB" w:rsidP="00FD2CBB">
      <w:pPr>
        <w:pStyle w:val="Testonotaapidipagina"/>
      </w:pPr>
      <w:r>
        <w:rPr>
          <w:rStyle w:val="Rimandonotaapidipagina"/>
        </w:rPr>
        <w:footnoteRef/>
      </w:r>
      <w:r w:rsidRPr="00B42258">
        <w:rPr>
          <w:sz w:val="18"/>
          <w:szCs w:val="18"/>
        </w:rPr>
        <w:t xml:space="preserve"> I dati inseriti fanno riferimento al periodo dal 26-10-2024 al 26-10-2025;</w:t>
      </w:r>
    </w:p>
  </w:footnote>
  <w:footnote w:id="26">
    <w:p w14:paraId="5C36D92F" w14:textId="77777777" w:rsidR="00FD2CBB" w:rsidRDefault="00FD2CBB" w:rsidP="00FD2CBB">
      <w:pPr>
        <w:pStyle w:val="Testonotaapidipagina"/>
        <w:spacing w:before="120" w:after="0" w:line="240" w:lineRule="auto"/>
      </w:pPr>
      <w:r>
        <w:rPr>
          <w:rStyle w:val="Rimandonotaapidipagina"/>
        </w:rPr>
        <w:footnoteRef/>
      </w:r>
      <w:r>
        <w:t xml:space="preserve"> </w:t>
      </w:r>
      <w:r w:rsidRPr="00857A2B">
        <w:rPr>
          <w:sz w:val="18"/>
          <w:szCs w:val="18"/>
        </w:rPr>
        <w:t xml:space="preserve">Misura 3 punto 3 della delibera ART n. 53 del 18/04/2024: “…I. </w:t>
      </w:r>
      <w:r w:rsidRPr="00857A2B">
        <w:rPr>
          <w:i/>
          <w:sz w:val="18"/>
          <w:szCs w:val="18"/>
        </w:rPr>
        <w:t>nodi rilevanti di primo livello: costituiti dalle fermate che svolgono il ruolo di nodo di interscambio multimodale (diretto o indiretto) tra il servizio su strada con almeno uno dei seguenti servizi di trasporto pubblico: aeroportuale, ferroviario, navale, metropolitano</w:t>
      </w:r>
      <w:r w:rsidRPr="00857A2B">
        <w:rPr>
          <w:sz w:val="18"/>
          <w:szCs w:val="18"/>
        </w:rPr>
        <w:t>;…”</w:t>
      </w:r>
    </w:p>
  </w:footnote>
  <w:footnote w:id="27">
    <w:p w14:paraId="3F36D257" w14:textId="77777777" w:rsidR="00FD2CBB" w:rsidRPr="00D80920" w:rsidRDefault="00FD2CBB" w:rsidP="00FD2CBB">
      <w:pPr>
        <w:pStyle w:val="Testonotaapidipagina"/>
        <w:spacing w:before="120" w:after="0" w:line="240" w:lineRule="auto"/>
        <w:rPr>
          <w:sz w:val="18"/>
          <w:szCs w:val="18"/>
        </w:rPr>
      </w:pPr>
      <w:r w:rsidRPr="001D2ACA">
        <w:rPr>
          <w:rStyle w:val="Rimandonotaapidipagina"/>
        </w:rPr>
        <w:footnoteRef/>
      </w:r>
      <w:r w:rsidRPr="001D2ACA">
        <w:rPr>
          <w:rStyle w:val="Rimandonotaapidipagina"/>
        </w:rPr>
        <w:t xml:space="preserve"> </w:t>
      </w:r>
      <w:r w:rsidRPr="00D80920">
        <w:rPr>
          <w:sz w:val="18"/>
          <w:szCs w:val="18"/>
        </w:rPr>
        <w:t>Visum è un software di modellazione del traffico pubblico e privato che permette di simulare e analizzare reti complesse.</w:t>
      </w:r>
    </w:p>
  </w:footnote>
  <w:footnote w:id="28">
    <w:p w14:paraId="35302D85" w14:textId="77777777" w:rsidR="00FD2CBB" w:rsidRPr="002C401A" w:rsidRDefault="00FD2CBB" w:rsidP="00FD2CBB">
      <w:pPr>
        <w:pStyle w:val="Testonotaapidipagina"/>
        <w:spacing w:before="120" w:after="0" w:line="240" w:lineRule="auto"/>
        <w:rPr>
          <w:sz w:val="18"/>
          <w:szCs w:val="18"/>
        </w:rPr>
      </w:pPr>
      <w:r w:rsidRPr="002C401A">
        <w:rPr>
          <w:rStyle w:val="Rimandonotaapidipagina"/>
          <w:sz w:val="18"/>
          <w:szCs w:val="18"/>
        </w:rPr>
        <w:footnoteRef/>
      </w:r>
      <w:r w:rsidRPr="002C401A">
        <w:rPr>
          <w:sz w:val="18"/>
          <w:szCs w:val="18"/>
        </w:rPr>
        <w:t xml:space="preserve"> </w:t>
      </w:r>
      <w:r w:rsidRPr="00D80920">
        <w:rPr>
          <w:sz w:val="18"/>
          <w:szCs w:val="18"/>
        </w:rPr>
        <w:t>Remix è una piattaforma web-based di pianificazione del trasporto pubblico che consente di progettare e ottimizzare i servizi di trasporto in base alla domanda.</w:t>
      </w:r>
    </w:p>
  </w:footnote>
  <w:footnote w:id="29">
    <w:p w14:paraId="3EF8B1B7" w14:textId="77777777" w:rsidR="00FD2CBB" w:rsidRPr="00C128A7" w:rsidRDefault="00FD2CBB" w:rsidP="00FD2CBB">
      <w:pPr>
        <w:pStyle w:val="Testonotaapidipagina"/>
        <w:spacing w:before="120" w:after="0" w:line="240" w:lineRule="auto"/>
        <w:rPr>
          <w:sz w:val="18"/>
          <w:szCs w:val="18"/>
          <w:lang w:val="en-GB"/>
        </w:rPr>
      </w:pPr>
      <w:r w:rsidRPr="00C128A7">
        <w:rPr>
          <w:rStyle w:val="Rimandonotaapidipagina"/>
          <w:sz w:val="18"/>
          <w:szCs w:val="18"/>
        </w:rPr>
        <w:footnoteRef/>
      </w:r>
      <w:r w:rsidRPr="00C128A7">
        <w:rPr>
          <w:sz w:val="18"/>
          <w:szCs w:val="18"/>
          <w:lang w:val="en-GB"/>
        </w:rPr>
        <w:t xml:space="preserve"> </w:t>
      </w:r>
      <w:hyperlink r:id="rId10" w:history="1">
        <w:r w:rsidRPr="00C128A7">
          <w:rPr>
            <w:rStyle w:val="Collegamentoipertestuale"/>
            <w:color w:val="auto"/>
            <w:sz w:val="18"/>
            <w:szCs w:val="18"/>
            <w:lang w:val="en-GB"/>
          </w:rPr>
          <w:t>Innovative Funding Solution for Public Transport 2017</w:t>
        </w:r>
      </w:hyperlink>
      <w:r w:rsidRPr="00FF4AE1">
        <w:rPr>
          <w:sz w:val="18"/>
          <w:szCs w:val="18"/>
          <w:lang w:val="en-GB"/>
        </w:rPr>
        <w:t xml:space="preserve"> - EMTA</w:t>
      </w:r>
    </w:p>
  </w:footnote>
  <w:footnote w:id="30">
    <w:p w14:paraId="65C69EB5" w14:textId="77777777" w:rsidR="00FD2CBB" w:rsidRPr="00C128A7" w:rsidRDefault="00FD2CBB" w:rsidP="00FD2CBB">
      <w:pPr>
        <w:pStyle w:val="Testonotaapidipagina"/>
        <w:spacing w:before="120" w:after="0" w:line="240" w:lineRule="auto"/>
        <w:rPr>
          <w:sz w:val="18"/>
          <w:szCs w:val="18"/>
        </w:rPr>
      </w:pPr>
      <w:r w:rsidRPr="00C128A7">
        <w:rPr>
          <w:rStyle w:val="Rimandonotaapidipagina"/>
          <w:sz w:val="18"/>
          <w:szCs w:val="18"/>
        </w:rPr>
        <w:footnoteRef/>
      </w:r>
      <w:r w:rsidRPr="00C128A7">
        <w:rPr>
          <w:sz w:val="18"/>
          <w:szCs w:val="18"/>
        </w:rPr>
        <w:t xml:space="preserve"> Fondo Nazionale Trasporti come definito all’art. 16-bis comma 1 del DL n. 95 del 6 luglio 2012 convertito e modificato con la L. n. 135 del 7 agosto 2012.</w:t>
      </w:r>
    </w:p>
  </w:footnote>
  <w:footnote w:id="31">
    <w:p w14:paraId="26363AAC" w14:textId="77777777" w:rsidR="00FD2CBB" w:rsidRPr="00E6004A" w:rsidRDefault="00FD2CBB" w:rsidP="00FD2CBB">
      <w:pPr>
        <w:pStyle w:val="Testonotaapidipagina"/>
        <w:spacing w:before="120" w:after="0" w:line="240" w:lineRule="auto"/>
        <w:rPr>
          <w:sz w:val="18"/>
          <w:szCs w:val="18"/>
        </w:rPr>
      </w:pPr>
      <w:r w:rsidRPr="00E6004A">
        <w:rPr>
          <w:rStyle w:val="Rimandonotaapidipagina"/>
          <w:sz w:val="18"/>
          <w:szCs w:val="18"/>
        </w:rPr>
        <w:footnoteRef/>
      </w:r>
      <w:r w:rsidRPr="00E6004A">
        <w:rPr>
          <w:sz w:val="18"/>
          <w:szCs w:val="18"/>
        </w:rPr>
        <w:t xml:space="preserve"> Delibera Consiglio di Amministrazione dell’Agenzia n. 5/2025 del 19/02/2025 “Tariffe dei servizi di Trasporto Pubblico Locale; applicazione dell’adeguamento automatico all’inflazione programmata ex. D.G.R. 13-6608 del 04/11/2013 con decorrenza 1 Luglio 2025.</w:t>
      </w:r>
    </w:p>
  </w:footnote>
  <w:footnote w:id="32">
    <w:p w14:paraId="0975B0D4" w14:textId="77777777" w:rsidR="00FD2CBB" w:rsidRPr="00E6004A" w:rsidRDefault="00FD2CBB" w:rsidP="00FD2CBB">
      <w:pPr>
        <w:pStyle w:val="Testonotaapidipagina"/>
        <w:rPr>
          <w:sz w:val="18"/>
          <w:szCs w:val="18"/>
        </w:rPr>
      </w:pPr>
      <w:r w:rsidRPr="00E6004A">
        <w:rPr>
          <w:rStyle w:val="Rimandonotaapidipagina"/>
          <w:sz w:val="18"/>
          <w:szCs w:val="18"/>
        </w:rPr>
        <w:footnoteRef/>
      </w:r>
      <w:r w:rsidRPr="00E6004A">
        <w:rPr>
          <w:sz w:val="18"/>
          <w:szCs w:val="18"/>
        </w:rPr>
        <w:t xml:space="preserve"> Gli adeguamenti tariffari richiamati in precedenza hanno aggiornato il livello di riferimento per questa tariffa che è oggi fissato a 1,80 €</w:t>
      </w:r>
    </w:p>
  </w:footnote>
  <w:footnote w:id="33">
    <w:p w14:paraId="030D6E6A" w14:textId="77777777" w:rsidR="00FD2CBB" w:rsidRDefault="00FD2CBB" w:rsidP="00FD2CBB">
      <w:pPr>
        <w:pStyle w:val="Testonotaapidipagina"/>
      </w:pPr>
      <w:r>
        <w:rPr>
          <w:rStyle w:val="Rimandonotaapidipagina"/>
        </w:rPr>
        <w:footnoteRef/>
      </w:r>
      <w:r>
        <w:t xml:space="preserve"> </w:t>
      </w:r>
      <w:r w:rsidRPr="001D2ACA">
        <w:rPr>
          <w:sz w:val="18"/>
          <w:szCs w:val="18"/>
        </w:rPr>
        <w:t>Gli importi relativi agli abbonamenti mensili e settimanali per l’area del Pinerolese sono stati stabiliti all’interno della delibera del Consiglio di Amministrazione dell’Agenzia della Mobilità Piemontese. I valori degli abbonamenti annuali, inclusi quelli riservati agli studenti, sono calcolati matematicamente sulla base degli importi deliberati.</w:t>
      </w:r>
      <w:r>
        <w:t xml:space="preserve"> </w:t>
      </w:r>
    </w:p>
  </w:footnote>
  <w:footnote w:id="34">
    <w:p w14:paraId="3551913B" w14:textId="77777777" w:rsidR="00FD2CBB" w:rsidRDefault="00FD2CBB" w:rsidP="00FD2CBB">
      <w:pPr>
        <w:pStyle w:val="Testonotaapidipagina"/>
      </w:pPr>
      <w:r>
        <w:rPr>
          <w:rStyle w:val="Rimandonotaapidipagina"/>
        </w:rPr>
        <w:footnoteRef/>
      </w:r>
      <w:r>
        <w:t xml:space="preserve"> </w:t>
      </w:r>
      <w:r w:rsidRPr="001D2ACA">
        <w:rPr>
          <w:sz w:val="18"/>
          <w:szCs w:val="18"/>
        </w:rPr>
        <w:t>Le tariffe sono attualmente in fase di aggiornamento, secondo quanto previsto dalla Delibera n. 5 del CdA di AMP del 19/02/2025.</w:t>
      </w:r>
    </w:p>
  </w:footnote>
  <w:footnote w:id="35">
    <w:p w14:paraId="153D4B2C" w14:textId="77777777" w:rsidR="00FD2CBB" w:rsidRPr="00E6004A" w:rsidRDefault="00FD2CBB" w:rsidP="00FD2CBB">
      <w:pPr>
        <w:pStyle w:val="Testonotaapidipagina"/>
        <w:spacing w:before="120" w:after="0" w:line="240" w:lineRule="auto"/>
        <w:rPr>
          <w:sz w:val="18"/>
          <w:szCs w:val="18"/>
        </w:rPr>
      </w:pPr>
      <w:r w:rsidRPr="00E6004A">
        <w:rPr>
          <w:rStyle w:val="Rimandonotaapidipagina"/>
          <w:sz w:val="18"/>
          <w:szCs w:val="18"/>
        </w:rPr>
        <w:footnoteRef/>
      </w:r>
      <w:r w:rsidRPr="00E6004A">
        <w:rPr>
          <w:sz w:val="18"/>
          <w:szCs w:val="18"/>
        </w:rPr>
        <w:t xml:space="preserve">Sito del Ministero dell’Economia e delle Finanze - Dipartimento del Tesoro: Tasso d’Inflazione Programmata: </w:t>
      </w:r>
      <w:hyperlink r:id="rId11" w:history="1">
        <w:r w:rsidRPr="00E6004A">
          <w:rPr>
            <w:sz w:val="18"/>
            <w:szCs w:val="18"/>
          </w:rPr>
          <w:t>https://www.dt.mef.gov.it/it/attivita_istituzionali/analisi_programmazione_economico_finanziaria/inflaz_programmata/</w:t>
        </w:r>
      </w:hyperlink>
    </w:p>
  </w:footnote>
  <w:footnote w:id="36">
    <w:p w14:paraId="6F837CAC" w14:textId="0B56A372" w:rsidR="00FE182E" w:rsidRPr="00962D9A" w:rsidRDefault="00FE182E" w:rsidP="00962D9A">
      <w:pPr>
        <w:pStyle w:val="Testonotaapidipagina"/>
        <w:spacing w:before="120" w:after="0" w:line="240" w:lineRule="auto"/>
        <w:rPr>
          <w:sz w:val="18"/>
          <w:szCs w:val="18"/>
        </w:rPr>
      </w:pPr>
      <w:r w:rsidRPr="00962D9A">
        <w:rPr>
          <w:rStyle w:val="Rimandonotaapidipagina"/>
          <w:sz w:val="18"/>
          <w:szCs w:val="18"/>
        </w:rPr>
        <w:footnoteRef/>
      </w:r>
      <w:r w:rsidRPr="00962D9A">
        <w:rPr>
          <w:sz w:val="18"/>
          <w:szCs w:val="18"/>
        </w:rPr>
        <w:t xml:space="preserve"> </w:t>
      </w:r>
      <w:r w:rsidR="00DA5814" w:rsidRPr="00962D9A">
        <w:rPr>
          <w:sz w:val="18"/>
          <w:szCs w:val="18"/>
        </w:rPr>
        <w:t xml:space="preserve">Allegato 4 – </w:t>
      </w:r>
      <w:r w:rsidR="00962D9A" w:rsidRPr="00962D9A">
        <w:rPr>
          <w:sz w:val="18"/>
          <w:szCs w:val="18"/>
        </w:rPr>
        <w:tab/>
        <w:t>Indirizzi regionali a supporto dell’Agenzia della Mobilità Piemontese</w:t>
      </w:r>
    </w:p>
  </w:footnote>
  <w:footnote w:id="37">
    <w:p w14:paraId="036F2652" w14:textId="77777777" w:rsidR="00FD2CBB" w:rsidRPr="005943BB" w:rsidRDefault="00FD2CBB" w:rsidP="00AC17FF">
      <w:pPr>
        <w:pStyle w:val="Testonotaapidipagina"/>
        <w:spacing w:before="120" w:after="0" w:line="240" w:lineRule="auto"/>
        <w:rPr>
          <w:sz w:val="18"/>
          <w:szCs w:val="18"/>
        </w:rPr>
      </w:pPr>
      <w:r w:rsidRPr="005943BB">
        <w:rPr>
          <w:rStyle w:val="Rimandonotaapidipagina"/>
          <w:sz w:val="18"/>
          <w:szCs w:val="18"/>
        </w:rPr>
        <w:footnoteRef/>
      </w:r>
      <w:r w:rsidRPr="005943BB">
        <w:rPr>
          <w:sz w:val="18"/>
          <w:szCs w:val="18"/>
        </w:rPr>
        <w:t xml:space="preserve"> AMP – D.D. 20 del 12 gennaio 2024 “Anno 2023 – Verifica e rideterminazione del valore del Massimo Impegno Veicoli (MIV) e del Parco Autobus Ottimale (PAO) ai sensi dell’Allegato B della D.G.R. 5-2912 del 26/02/2021. Pubblicazione dei valori di MIV e PAO relativi alle aziende TPL del Piemonte per il quinquennio 2023-2027”</w:t>
      </w:r>
    </w:p>
  </w:footnote>
  <w:footnote w:id="38">
    <w:p w14:paraId="5A1DC0D9" w14:textId="77777777" w:rsidR="00FD2CBB" w:rsidRPr="005943BB" w:rsidRDefault="00FD2CBB" w:rsidP="0028677F">
      <w:pPr>
        <w:pStyle w:val="Testonotaapidipagina"/>
        <w:spacing w:before="120" w:after="0" w:line="240" w:lineRule="auto"/>
        <w:rPr>
          <w:sz w:val="18"/>
          <w:szCs w:val="18"/>
        </w:rPr>
      </w:pPr>
      <w:r w:rsidRPr="005943BB">
        <w:rPr>
          <w:rStyle w:val="Rimandonotaapidipagina"/>
          <w:sz w:val="18"/>
          <w:szCs w:val="18"/>
        </w:rPr>
        <w:footnoteRef/>
      </w:r>
      <w:r w:rsidRPr="005943BB">
        <w:rPr>
          <w:sz w:val="18"/>
          <w:szCs w:val="18"/>
        </w:rPr>
        <w:t xml:space="preserve"> Optibus è una piattaforma software avanzata progettata per ottimizzare la gestione del trasporto pubblico. Utilizza algoritmi di intelligenza artificiale e tecnologie di cloud computing per migliorare l'efficienza operativa, ridurre i costi e offrire un servizio di qualità superiore, attraverso funzioni di pianificazione e programmazione, simulazione di scenari, gestione in tempo reale, sostenibilità. </w:t>
      </w:r>
    </w:p>
  </w:footnote>
  <w:footnote w:id="39">
    <w:p w14:paraId="34EF875E" w14:textId="33977B62" w:rsidR="00BF35BC" w:rsidRPr="00440115" w:rsidRDefault="00BF35BC" w:rsidP="00BF35BC">
      <w:pPr>
        <w:pStyle w:val="Testonotaapidipagina"/>
        <w:spacing w:before="120" w:after="0" w:line="240" w:lineRule="auto"/>
        <w:rPr>
          <w:color w:val="000000"/>
          <w:sz w:val="18"/>
          <w:szCs w:val="18"/>
        </w:rPr>
      </w:pPr>
      <w:r w:rsidRPr="00440115">
        <w:rPr>
          <w:rStyle w:val="Rimandonotaapidipagina"/>
          <w:color w:val="000000"/>
          <w:sz w:val="18"/>
          <w:szCs w:val="18"/>
        </w:rPr>
        <w:footnoteRef/>
      </w:r>
      <w:r w:rsidRPr="00440115">
        <w:rPr>
          <w:color w:val="000000"/>
          <w:sz w:val="18"/>
          <w:szCs w:val="18"/>
        </w:rPr>
        <w:t xml:space="preserve"> Si specifica che</w:t>
      </w:r>
      <w:r>
        <w:rPr>
          <w:color w:val="000000"/>
          <w:sz w:val="18"/>
          <w:szCs w:val="18"/>
        </w:rPr>
        <w:t xml:space="preserve"> nello </w:t>
      </w:r>
      <w:r w:rsidRPr="00440115">
        <w:rPr>
          <w:color w:val="000000"/>
          <w:sz w:val="18"/>
          <w:szCs w:val="18"/>
        </w:rPr>
        <w:t xml:space="preserve">scenario base riportato nella </w:t>
      </w:r>
      <w:r w:rsidRPr="00440115">
        <w:rPr>
          <w:color w:val="000000"/>
          <w:sz w:val="18"/>
          <w:szCs w:val="18"/>
        </w:rPr>
        <w:fldChar w:fldCharType="begin"/>
      </w:r>
      <w:r w:rsidRPr="00440115">
        <w:rPr>
          <w:color w:val="000000"/>
          <w:sz w:val="18"/>
          <w:szCs w:val="18"/>
        </w:rPr>
        <w:instrText xml:space="preserve"> REF _Ref212904468 \h  \* MERGEFORMAT </w:instrText>
      </w:r>
      <w:r w:rsidRPr="00440115">
        <w:rPr>
          <w:color w:val="000000"/>
          <w:sz w:val="18"/>
          <w:szCs w:val="18"/>
        </w:rPr>
      </w:r>
      <w:r w:rsidRPr="00440115">
        <w:rPr>
          <w:color w:val="000000"/>
          <w:sz w:val="18"/>
          <w:szCs w:val="18"/>
        </w:rPr>
        <w:fldChar w:fldCharType="separate"/>
      </w:r>
      <w:r w:rsidR="00073B6D" w:rsidRPr="00073B6D">
        <w:rPr>
          <w:rFonts w:asciiTheme="minorHAnsi" w:eastAsia="Calibri" w:hAnsiTheme="minorHAnsi" w:cstheme="minorHAnsi"/>
          <w:color w:val="000000"/>
          <w:sz w:val="18"/>
          <w:szCs w:val="18"/>
          <w14:textOutline w14:w="0" w14:cap="rnd" w14:cmpd="sng" w14:algn="ctr">
            <w14:solidFill>
              <w14:srgbClr w14:val="FF6C6C"/>
            </w14:solidFill>
            <w14:prstDash w14:val="solid"/>
            <w14:bevel/>
          </w14:textOutline>
        </w:rPr>
        <w:t xml:space="preserve">Figura </w:t>
      </w:r>
      <w:r w:rsidR="00073B6D" w:rsidRPr="00073B6D">
        <w:rPr>
          <w:rFonts w:asciiTheme="minorHAnsi" w:hAnsiTheme="minorHAnsi" w:cstheme="minorHAnsi"/>
          <w:noProof/>
          <w:color w:val="000000"/>
          <w:sz w:val="18"/>
          <w:szCs w:val="18"/>
          <w14:textOutline w14:w="0" w14:cap="rnd" w14:cmpd="sng" w14:algn="ctr">
            <w14:solidFill>
              <w14:srgbClr w14:val="FF6C6C"/>
            </w14:solidFill>
            <w14:prstDash w14:val="solid"/>
            <w14:bevel/>
          </w14:textOutline>
        </w:rPr>
        <w:t>35</w:t>
      </w:r>
      <w:r w:rsidR="00073B6D" w:rsidRPr="00073B6D">
        <w:rPr>
          <w:rFonts w:asciiTheme="minorHAnsi" w:eastAsia="Calibri" w:hAnsiTheme="minorHAnsi" w:cstheme="minorHAnsi"/>
          <w:color w:val="000000"/>
          <w:sz w:val="18"/>
          <w:szCs w:val="18"/>
          <w14:textOutline w14:w="0" w14:cap="rnd" w14:cmpd="sng" w14:algn="ctr">
            <w14:solidFill>
              <w14:srgbClr w14:val="FF6C6C"/>
            </w14:solidFill>
            <w14:prstDash w14:val="solid"/>
            <w14:bevel/>
          </w14:textOutline>
        </w:rPr>
        <w:t xml:space="preserve"> – Mappa depositi attualmente in uso</w:t>
      </w:r>
      <w:r w:rsidRPr="00440115">
        <w:rPr>
          <w:color w:val="000000"/>
          <w:sz w:val="18"/>
          <w:szCs w:val="18"/>
        </w:rPr>
        <w:fldChar w:fldCharType="end"/>
      </w:r>
      <w:r w:rsidRPr="00440115">
        <w:rPr>
          <w:color w:val="000000"/>
          <w:sz w:val="18"/>
          <w:szCs w:val="18"/>
        </w:rPr>
        <w:t>, che individua n. 51 depositi</w:t>
      </w:r>
      <w:r>
        <w:rPr>
          <w:color w:val="000000"/>
          <w:sz w:val="18"/>
          <w:szCs w:val="18"/>
        </w:rPr>
        <w:t xml:space="preserve"> – definito scenario attuale in tabella –</w:t>
      </w:r>
      <w:r w:rsidRPr="00440115">
        <w:rPr>
          <w:color w:val="000000"/>
          <w:sz w:val="18"/>
          <w:szCs w:val="18"/>
        </w:rPr>
        <w:t xml:space="preserve"> sono stati esclusi i depositi impiegati in via esclusiva per i servizi urbani e suburbani di Torino.</w:t>
      </w:r>
    </w:p>
  </w:footnote>
  <w:footnote w:id="40">
    <w:p w14:paraId="31CADA77" w14:textId="37FC661D" w:rsidR="00FD2CBB" w:rsidRPr="00DA7840" w:rsidRDefault="00FD2CBB" w:rsidP="00E17D74">
      <w:pPr>
        <w:pStyle w:val="Testonotaapidipagina"/>
        <w:spacing w:before="120" w:after="0" w:line="240" w:lineRule="auto"/>
        <w:rPr>
          <w:sz w:val="18"/>
          <w:szCs w:val="18"/>
        </w:rPr>
      </w:pPr>
      <w:r w:rsidRPr="00DA7840">
        <w:rPr>
          <w:rStyle w:val="Rimandonotaapidipagina"/>
          <w:sz w:val="18"/>
          <w:szCs w:val="18"/>
        </w:rPr>
        <w:footnoteRef/>
      </w:r>
      <w:r w:rsidRPr="00DA7840">
        <w:rPr>
          <w:sz w:val="18"/>
          <w:szCs w:val="18"/>
        </w:rPr>
        <w:t xml:space="preserve"> </w:t>
      </w:r>
      <w:r w:rsidRPr="00DA7840">
        <w:rPr>
          <w:rFonts w:eastAsia="Calibri" w:cs="Calibri"/>
          <w:sz w:val="18"/>
          <w:szCs w:val="18"/>
        </w:rPr>
        <w:t xml:space="preserve">Gtt spa </w:t>
      </w:r>
      <w:r w:rsidRPr="00DA7840">
        <w:rPr>
          <w:rFonts w:eastAsia="Calibri" w:cs="Calibri"/>
          <w:color w:val="001D35"/>
          <w:sz w:val="18"/>
          <w:szCs w:val="18"/>
        </w:rPr>
        <w:t>è partecipata al 100% da FCT Holding S.p.A., società finanziaria interamente controllata dal Comune di Torino Ente consorziato dell’Agenzia della mobilità piemontese.</w:t>
      </w:r>
    </w:p>
  </w:footnote>
  <w:footnote w:id="41">
    <w:p w14:paraId="4E2BC7BE" w14:textId="77777777" w:rsidR="00FD2CBB" w:rsidRPr="00704EF2" w:rsidRDefault="00FD2CBB" w:rsidP="00704EF2">
      <w:pPr>
        <w:pStyle w:val="Testonotaapidipagina"/>
        <w:spacing w:before="120" w:after="0" w:line="240" w:lineRule="auto"/>
        <w:rPr>
          <w:sz w:val="18"/>
          <w:szCs w:val="18"/>
        </w:rPr>
      </w:pPr>
      <w:r w:rsidRPr="00704EF2">
        <w:rPr>
          <w:rStyle w:val="Rimandonotaapidipagina"/>
          <w:sz w:val="18"/>
          <w:szCs w:val="18"/>
        </w:rPr>
        <w:footnoteRef/>
      </w:r>
      <w:r w:rsidRPr="00704EF2">
        <w:rPr>
          <w:sz w:val="18"/>
          <w:szCs w:val="18"/>
        </w:rPr>
        <w:t xml:space="preserve"> </w:t>
      </w:r>
      <w:r w:rsidRPr="00704EF2">
        <w:rPr>
          <w:rFonts w:eastAsia="Calibri" w:cs="Calibri"/>
          <w:sz w:val="18"/>
          <w:szCs w:val="18"/>
        </w:rPr>
        <w:t>Art. 4-bis (Disposizioni in materia di trasporto pubblico). 1. Al fine di promuovere l'efficienza e la concorrenza nei singoli settori del trasporto pubblico, le autorità competenti, qualora si avvalgano delle previsioni di cui all'articolo 5, paragrafo 2, del regolamento (CE) n. 1370/ 2007 del Parlamento europeo e del Consiglio, del 23 ottobre 2007, devono aggiudicare tramite contestuale procedura ad evidenza pubblica almeno il 10 per cento dei servizi oggetto dell'affidamento a soggetti diversi da quelli sui quali esercitano il controllo analogo. Alle società che, ai sensi delle previsioni di cui all'articolo 5, ((paragrafi 2, 4 e 5)), e all'articolo 8, paragrafo 2, del medesimo regolamento (CE) n. 1370/2007, risultano aggiudicatarie di contratti di servizio al di fuori di procedure ad evidenza pubblica è fatto divieto di partecipare a procedure di gara per la fornitura di servizi di trasporto pubblico locale organizzate in ambiti territoriali diversi da quelli in cui esse operano.</w:t>
      </w:r>
    </w:p>
  </w:footnote>
  <w:footnote w:id="42">
    <w:p w14:paraId="71A26EC0" w14:textId="15AA7A74" w:rsidR="0076053C" w:rsidRPr="00626BA9" w:rsidRDefault="0076053C" w:rsidP="00121894">
      <w:pPr>
        <w:pStyle w:val="Testonotaapidipagina"/>
        <w:spacing w:before="120" w:after="0" w:line="240" w:lineRule="auto"/>
        <w:rPr>
          <w:sz w:val="18"/>
          <w:szCs w:val="18"/>
        </w:rPr>
      </w:pPr>
      <w:r w:rsidRPr="00626BA9">
        <w:rPr>
          <w:rStyle w:val="Rimandonotaapidipagina"/>
          <w:sz w:val="18"/>
          <w:szCs w:val="18"/>
        </w:rPr>
        <w:footnoteRef/>
      </w:r>
      <w:r w:rsidRPr="00626BA9">
        <w:rPr>
          <w:sz w:val="18"/>
          <w:szCs w:val="18"/>
        </w:rPr>
        <w:t xml:space="preserve"> </w:t>
      </w:r>
      <w:r w:rsidR="006E3CA8" w:rsidRPr="00626BA9">
        <w:rPr>
          <w:sz w:val="18"/>
          <w:szCs w:val="18"/>
        </w:rPr>
        <w:t xml:space="preserve">Considerando </w:t>
      </w:r>
      <w:r w:rsidR="00ED1CF0" w:rsidRPr="00626BA9">
        <w:rPr>
          <w:sz w:val="18"/>
          <w:szCs w:val="18"/>
        </w:rPr>
        <w:t>i servizi urbani ed extraurbani dell’intera regione</w:t>
      </w:r>
      <w:r w:rsidR="00FD337C" w:rsidRPr="00626BA9">
        <w:rPr>
          <w:sz w:val="18"/>
          <w:szCs w:val="18"/>
        </w:rPr>
        <w:t xml:space="preserve"> Piemonte</w:t>
      </w:r>
      <w:r w:rsidR="0003416C" w:rsidRPr="00626BA9">
        <w:rPr>
          <w:sz w:val="18"/>
          <w:szCs w:val="18"/>
        </w:rPr>
        <w:t xml:space="preserve"> saranno posti a gara i</w:t>
      </w:r>
      <w:r w:rsidR="00C26FA2" w:rsidRPr="00626BA9">
        <w:rPr>
          <w:sz w:val="18"/>
          <w:szCs w:val="18"/>
        </w:rPr>
        <w:t>l 5</w:t>
      </w:r>
      <w:r w:rsidR="0027441F" w:rsidRPr="00626BA9">
        <w:rPr>
          <w:sz w:val="18"/>
          <w:szCs w:val="18"/>
        </w:rPr>
        <w:t>1</w:t>
      </w:r>
      <w:r w:rsidR="00406CFF" w:rsidRPr="00626BA9">
        <w:rPr>
          <w:sz w:val="18"/>
          <w:szCs w:val="18"/>
        </w:rPr>
        <w:t xml:space="preserve">,6% dei </w:t>
      </w:r>
      <w:r w:rsidR="0003416C" w:rsidRPr="00626BA9">
        <w:rPr>
          <w:sz w:val="18"/>
          <w:szCs w:val="18"/>
        </w:rPr>
        <w:t>servizi automobilisti</w:t>
      </w:r>
      <w:r w:rsidR="00406CFF" w:rsidRPr="00626BA9">
        <w:rPr>
          <w:sz w:val="18"/>
          <w:szCs w:val="18"/>
        </w:rPr>
        <w:t xml:space="preserve">, lo 0,4% </w:t>
      </w:r>
      <w:r w:rsidR="008E2F78" w:rsidRPr="00626BA9">
        <w:rPr>
          <w:sz w:val="18"/>
          <w:szCs w:val="18"/>
        </w:rPr>
        <w:t>sarà</w:t>
      </w:r>
      <w:r w:rsidR="00406CFF" w:rsidRPr="00626BA9">
        <w:rPr>
          <w:sz w:val="18"/>
          <w:szCs w:val="18"/>
        </w:rPr>
        <w:t xml:space="preserve"> gestit</w:t>
      </w:r>
      <w:r w:rsidR="000B12AF" w:rsidRPr="00626BA9">
        <w:rPr>
          <w:sz w:val="18"/>
          <w:szCs w:val="18"/>
        </w:rPr>
        <w:t xml:space="preserve">o in economia o attraverso affidamenti </w:t>
      </w:r>
      <w:r w:rsidR="0095710B" w:rsidRPr="00626BA9">
        <w:rPr>
          <w:sz w:val="18"/>
          <w:szCs w:val="18"/>
        </w:rPr>
        <w:t>diretti</w:t>
      </w:r>
      <w:r w:rsidR="006B08DA" w:rsidRPr="00626BA9">
        <w:rPr>
          <w:sz w:val="18"/>
          <w:szCs w:val="18"/>
        </w:rPr>
        <w:t>,</w:t>
      </w:r>
      <w:r w:rsidR="0095710B" w:rsidRPr="00626BA9">
        <w:rPr>
          <w:sz w:val="18"/>
          <w:szCs w:val="18"/>
        </w:rPr>
        <w:t xml:space="preserve"> </w:t>
      </w:r>
      <w:r w:rsidR="008E2F78" w:rsidRPr="00626BA9">
        <w:rPr>
          <w:sz w:val="18"/>
          <w:szCs w:val="18"/>
        </w:rPr>
        <w:t>perché in area a domanda debole</w:t>
      </w:r>
      <w:r w:rsidR="006B08DA" w:rsidRPr="00626BA9">
        <w:rPr>
          <w:sz w:val="18"/>
          <w:szCs w:val="18"/>
        </w:rPr>
        <w:t>,</w:t>
      </w:r>
      <w:r w:rsidR="0027441F" w:rsidRPr="00626BA9">
        <w:rPr>
          <w:sz w:val="18"/>
          <w:szCs w:val="18"/>
        </w:rPr>
        <w:t xml:space="preserve"> e </w:t>
      </w:r>
      <w:r w:rsidR="008E2F78" w:rsidRPr="00626BA9">
        <w:rPr>
          <w:sz w:val="18"/>
          <w:szCs w:val="18"/>
        </w:rPr>
        <w:t xml:space="preserve">il restante 48% sarà affidato </w:t>
      </w:r>
      <w:r w:rsidR="008E2F78" w:rsidRPr="00626BA9">
        <w:rPr>
          <w:i/>
          <w:iCs/>
          <w:sz w:val="18"/>
          <w:szCs w:val="18"/>
        </w:rPr>
        <w:t>in-house</w:t>
      </w:r>
      <w:r w:rsidR="00920976" w:rsidRPr="00626BA9">
        <w:rPr>
          <w:i/>
          <w:iCs/>
          <w:sz w:val="18"/>
          <w:szCs w:val="18"/>
        </w:rPr>
        <w:t xml:space="preserve">. </w:t>
      </w:r>
      <w:r w:rsidR="00920976" w:rsidRPr="00626BA9">
        <w:rPr>
          <w:sz w:val="18"/>
          <w:szCs w:val="18"/>
        </w:rPr>
        <w:t xml:space="preserve">Tra i servizi da affidare </w:t>
      </w:r>
      <w:r w:rsidR="00E7774C" w:rsidRPr="008E665F">
        <w:rPr>
          <w:i/>
          <w:sz w:val="18"/>
          <w:szCs w:val="18"/>
        </w:rPr>
        <w:t>in-house</w:t>
      </w:r>
      <w:r w:rsidR="00E7774C" w:rsidRPr="00626BA9">
        <w:rPr>
          <w:sz w:val="18"/>
          <w:szCs w:val="18"/>
        </w:rPr>
        <w:t xml:space="preserve"> sono inclusi anche i servizi tranviari </w:t>
      </w:r>
      <w:r w:rsidR="00F745EF" w:rsidRPr="00626BA9">
        <w:rPr>
          <w:sz w:val="18"/>
          <w:szCs w:val="18"/>
        </w:rPr>
        <w:t xml:space="preserve">e metropolitani di Torino che costituiscono l’8% </w:t>
      </w:r>
      <w:r w:rsidR="00672C8C" w:rsidRPr="00626BA9">
        <w:rPr>
          <w:sz w:val="18"/>
          <w:szCs w:val="18"/>
        </w:rPr>
        <w:t>della produzione.</w:t>
      </w:r>
      <w:r w:rsidR="00335275" w:rsidRPr="00626BA9">
        <w:rPr>
          <w:sz w:val="18"/>
          <w:szCs w:val="18"/>
        </w:rPr>
        <w:t xml:space="preserve"> Se </w:t>
      </w:r>
      <w:r w:rsidR="0027441F" w:rsidRPr="00626BA9">
        <w:rPr>
          <w:sz w:val="18"/>
          <w:szCs w:val="18"/>
        </w:rPr>
        <w:t>si escludono</w:t>
      </w:r>
      <w:r w:rsidR="00335275" w:rsidRPr="00626BA9">
        <w:rPr>
          <w:sz w:val="18"/>
          <w:szCs w:val="18"/>
        </w:rPr>
        <w:t xml:space="preserve"> questi servizi </w:t>
      </w:r>
      <w:r w:rsidR="000F6381" w:rsidRPr="00626BA9">
        <w:rPr>
          <w:sz w:val="18"/>
          <w:szCs w:val="18"/>
        </w:rPr>
        <w:t>dal monte complessivo della produzione</w:t>
      </w:r>
      <w:r w:rsidR="00F86BAE" w:rsidRPr="00626BA9">
        <w:rPr>
          <w:sz w:val="18"/>
          <w:szCs w:val="18"/>
        </w:rPr>
        <w:t xml:space="preserve"> la percentuale dei servizi automobilistici posti a </w:t>
      </w:r>
      <w:r w:rsidR="00FE181D" w:rsidRPr="00626BA9">
        <w:rPr>
          <w:sz w:val="18"/>
          <w:szCs w:val="18"/>
        </w:rPr>
        <w:t>mercato sale al 56%.</w:t>
      </w:r>
    </w:p>
  </w:footnote>
  <w:footnote w:id="43">
    <w:p w14:paraId="02D678D4" w14:textId="52805B7A" w:rsidR="00CA6F0A" w:rsidRPr="009335AC" w:rsidRDefault="00CA6F0A" w:rsidP="00CA6F0A">
      <w:pPr>
        <w:pStyle w:val="Testonotaapidipagina"/>
        <w:spacing w:before="120" w:after="0" w:line="240" w:lineRule="auto"/>
        <w:rPr>
          <w:sz w:val="18"/>
          <w:szCs w:val="18"/>
        </w:rPr>
      </w:pPr>
      <w:r w:rsidRPr="009335AC">
        <w:rPr>
          <w:rStyle w:val="Rimandonotaapidipagina"/>
          <w:sz w:val="18"/>
          <w:szCs w:val="18"/>
        </w:rPr>
        <w:footnoteRef/>
      </w:r>
      <w:r w:rsidRPr="009335AC">
        <w:rPr>
          <w:sz w:val="18"/>
          <w:szCs w:val="18"/>
        </w:rPr>
        <w:t xml:space="preserve"> Nella rendicontazione della Contabilità Regolatoria, GTT calcola la produzione in veicoli-km, non in treni-km. Questo significa che, per la metropolitana, ogni convoglio viene considerato come un insieme di veicoli equivalenti a</w:t>
      </w:r>
      <w:r w:rsidR="00B270B1">
        <w:rPr>
          <w:sz w:val="18"/>
          <w:szCs w:val="18"/>
        </w:rPr>
        <w:t>d</w:t>
      </w:r>
      <w:r w:rsidRPr="009335AC">
        <w:rPr>
          <w:sz w:val="18"/>
          <w:szCs w:val="18"/>
        </w:rPr>
        <w:t xml:space="preserve"> autobus. Un convoglio è composto da due treni accoppiati (doppia composizione) e ciascun treno ha due casse, ognuna assimilabile a un bus. Di conseguenza, ogni convoglio equivale a quattro veicoli: quindi la produzione dichiarata in veicoli-km è pari ai treni-km percorsi moltiplicati per 4. Questo criterio serve a uniformare il calcolo della produzione tra modalità diverse (gomma e ferro), usando come unità di misura il veicolo</w:t>
      </w:r>
    </w:p>
  </w:footnote>
  <w:footnote w:id="44">
    <w:p w14:paraId="009AACED" w14:textId="77777777" w:rsidR="00FD2CBB" w:rsidRPr="007A0905" w:rsidRDefault="00FD2CBB" w:rsidP="007A0905">
      <w:pPr>
        <w:pStyle w:val="Testonotaapidipagina"/>
        <w:spacing w:before="120" w:after="0" w:line="240" w:lineRule="auto"/>
        <w:rPr>
          <w:sz w:val="18"/>
          <w:szCs w:val="18"/>
        </w:rPr>
      </w:pPr>
      <w:r w:rsidRPr="007A0905">
        <w:rPr>
          <w:rStyle w:val="Rimandonotaapidipagina"/>
          <w:sz w:val="18"/>
          <w:szCs w:val="18"/>
        </w:rPr>
        <w:footnoteRef/>
      </w:r>
      <w:r w:rsidRPr="007A0905">
        <w:rPr>
          <w:sz w:val="18"/>
          <w:szCs w:val="18"/>
        </w:rPr>
        <w:t xml:space="preserve"> </w:t>
      </w:r>
      <w:r w:rsidRPr="007A0905">
        <w:rPr>
          <w:rFonts w:eastAsia="Calibri" w:cs="Calibri"/>
          <w:color w:val="19191A"/>
          <w:sz w:val="18"/>
          <w:szCs w:val="18"/>
        </w:rPr>
        <w:t xml:space="preserve">Nel caso di affidamenti </w:t>
      </w:r>
      <w:r w:rsidRPr="007A0905">
        <w:rPr>
          <w:rFonts w:eastAsia="Calibri" w:cs="Calibri"/>
          <w:i/>
          <w:color w:val="19191A"/>
          <w:sz w:val="18"/>
          <w:szCs w:val="18"/>
        </w:rPr>
        <w:t>in-house</w:t>
      </w:r>
      <w:r w:rsidRPr="007A0905">
        <w:rPr>
          <w:rFonts w:eastAsia="Calibri" w:cs="Calibri"/>
          <w:color w:val="19191A"/>
          <w:sz w:val="18"/>
          <w:szCs w:val="18"/>
        </w:rPr>
        <w:t xml:space="preserve"> di importo superiore alle soglie di rilevanza europea in materia di contratti pubblici, fatto salvo il divieto di artificioso frazionamento delle prestazioni, gli enti locali e gli altri enti competenti adottano la deliberazione di affidamento del servizio sulla base di una qualificata motivazione che dia espressamente conto delle ragioni del mancato ricorso al mercato ai fini di un'efficiente gestione del servizio, illustrando, anche sulla base degli atti e degli indicatori di cui agli articoli 7, 8 e 9, i benefici per la collettività della forma di gestione prescelta con riguardo agli investimenti, alla qualità del servizio, ai costi dei servizi per gli utenti, all'impatto sulla finanza pubblica, nonché agli obiettivi di universalità, socialità, tutela dell'ambiente e accessibilità dei servizi, anche in relazione ai risultati conseguiti in eventuali pregresse gestioni </w:t>
      </w:r>
      <w:r w:rsidRPr="007A0905">
        <w:rPr>
          <w:rFonts w:eastAsia="Calibri" w:cs="Calibri"/>
          <w:i/>
          <w:color w:val="19191A"/>
          <w:sz w:val="18"/>
          <w:szCs w:val="18"/>
        </w:rPr>
        <w:t>in-house</w:t>
      </w:r>
      <w:r w:rsidRPr="007A0905">
        <w:rPr>
          <w:rFonts w:eastAsia="Calibri" w:cs="Calibri"/>
          <w:color w:val="19191A"/>
          <w:sz w:val="18"/>
          <w:szCs w:val="18"/>
        </w:rPr>
        <w:t>, tenendo conto dei dati e delle informazioni risultanti dalle verifiche periodiche di cui all'articolo 30.</w:t>
      </w:r>
    </w:p>
  </w:footnote>
  <w:footnote w:id="45">
    <w:p w14:paraId="0E4A5299" w14:textId="0F267EE4" w:rsidR="004B526A" w:rsidRPr="00BC11E0" w:rsidRDefault="004B526A" w:rsidP="00BC11E0">
      <w:pPr>
        <w:pStyle w:val="Testonotaapidipagina"/>
        <w:spacing w:before="120" w:after="0" w:line="240" w:lineRule="auto"/>
        <w:rPr>
          <w:sz w:val="18"/>
          <w:szCs w:val="18"/>
        </w:rPr>
      </w:pPr>
      <w:r w:rsidRPr="00BC11E0">
        <w:rPr>
          <w:rStyle w:val="Rimandonotaapidipagina"/>
          <w:sz w:val="18"/>
          <w:szCs w:val="18"/>
        </w:rPr>
        <w:footnoteRef/>
      </w:r>
      <w:r w:rsidRPr="00BC11E0">
        <w:rPr>
          <w:sz w:val="18"/>
          <w:szCs w:val="18"/>
        </w:rPr>
        <w:t xml:space="preserve"> Tale previsione vi</w:t>
      </w:r>
      <w:r w:rsidR="00BC03D2" w:rsidRPr="00BC11E0">
        <w:rPr>
          <w:sz w:val="18"/>
          <w:szCs w:val="18"/>
        </w:rPr>
        <w:t>en</w:t>
      </w:r>
      <w:r w:rsidR="00152F23" w:rsidRPr="00BC11E0">
        <w:rPr>
          <w:sz w:val="18"/>
          <w:szCs w:val="18"/>
        </w:rPr>
        <w:t>e</w:t>
      </w:r>
      <w:r w:rsidRPr="00BC11E0">
        <w:rPr>
          <w:sz w:val="18"/>
          <w:szCs w:val="18"/>
        </w:rPr>
        <w:t xml:space="preserve"> esplic</w:t>
      </w:r>
      <w:r w:rsidR="00BC03D2" w:rsidRPr="00BC11E0">
        <w:rPr>
          <w:sz w:val="18"/>
          <w:szCs w:val="18"/>
        </w:rPr>
        <w:t>itata in accordo al parere dell’ART. n. 31/2025 reso ad AMP sulla Relazione dei lotti del Bacino Nord-Est</w:t>
      </w:r>
      <w:r w:rsidR="00EA43F8" w:rsidRPr="00BC11E0">
        <w:rPr>
          <w:sz w:val="18"/>
          <w:szCs w:val="18"/>
        </w:rPr>
        <w:t>,</w:t>
      </w:r>
      <w:r w:rsidR="00B3011D" w:rsidRPr="00BC11E0">
        <w:rPr>
          <w:sz w:val="18"/>
          <w:szCs w:val="18"/>
        </w:rPr>
        <w:t xml:space="preserve"> pag. 5</w:t>
      </w:r>
      <w:r w:rsidR="008074BE" w:rsidRPr="00BC11E0">
        <w:rPr>
          <w:sz w:val="18"/>
          <w:szCs w:val="18"/>
        </w:rPr>
        <w:t>,</w:t>
      </w:r>
      <w:r w:rsidR="00B3011D" w:rsidRPr="00BC11E0">
        <w:rPr>
          <w:sz w:val="18"/>
          <w:szCs w:val="18"/>
        </w:rPr>
        <w:t xml:space="preserve"> </w:t>
      </w:r>
      <w:r w:rsidR="008074BE" w:rsidRPr="00BC11E0">
        <w:rPr>
          <w:sz w:val="18"/>
          <w:szCs w:val="18"/>
        </w:rPr>
        <w:t xml:space="preserve">I capoverso </w:t>
      </w:r>
      <w:r w:rsidR="00B3011D" w:rsidRPr="00BC11E0">
        <w:rPr>
          <w:i/>
          <w:iCs/>
          <w:sz w:val="18"/>
          <w:szCs w:val="18"/>
        </w:rPr>
        <w:t>“</w:t>
      </w:r>
      <w:r w:rsidR="00EA43F8" w:rsidRPr="00BC11E0">
        <w:rPr>
          <w:i/>
          <w:iCs/>
          <w:sz w:val="18"/>
          <w:szCs w:val="18"/>
        </w:rPr>
        <w:t xml:space="preserve">[…] </w:t>
      </w:r>
      <w:r w:rsidR="00B3011D" w:rsidRPr="00BC11E0">
        <w:rPr>
          <w:i/>
          <w:iCs/>
          <w:sz w:val="18"/>
          <w:szCs w:val="18"/>
        </w:rPr>
        <w:t>Tuttavia, si ritiene opportuno evidenziare sin da subito che, ai fini della sussistenza del controllo analogo1F2 sulle imprese in house da parte degli enti locali proprietari, è necessaria una forma di controllo anche di tipo economico-finanziario, da rendere coerente con il controllo di tipo regolatorio e gestionale in capo all’Agenzia in qualità di Ente Affidante dei CdS: pertanto si raccomanda di chiarire nella RdL la differenza tra il controllo analogo degli enti locali proprietari e il controllo contrattuale esercitabile dall’Agenzia quale Ente Affidante.</w:t>
      </w:r>
      <w:r w:rsidR="00EA43F8" w:rsidRPr="00BC11E0">
        <w:rPr>
          <w:i/>
          <w:iCs/>
          <w:sz w:val="18"/>
          <w:szCs w:val="18"/>
        </w:rPr>
        <w:t xml:space="preserve"> […]”</w:t>
      </w:r>
    </w:p>
  </w:footnote>
  <w:footnote w:id="46">
    <w:p w14:paraId="48E8BEF6" w14:textId="77777777" w:rsidR="00FD2CBB" w:rsidRPr="007A0905" w:rsidRDefault="00FD2CBB" w:rsidP="007A0905">
      <w:pPr>
        <w:pStyle w:val="Testonotaapidipagina"/>
        <w:spacing w:before="120" w:after="0" w:line="240" w:lineRule="auto"/>
        <w:jc w:val="left"/>
        <w:rPr>
          <w:sz w:val="18"/>
          <w:szCs w:val="18"/>
        </w:rPr>
      </w:pPr>
      <w:r w:rsidRPr="007A0905">
        <w:rPr>
          <w:rStyle w:val="Rimandonotaapidipagina"/>
          <w:sz w:val="18"/>
          <w:szCs w:val="18"/>
        </w:rPr>
        <w:footnoteRef/>
      </w:r>
      <w:r w:rsidRPr="007A0905">
        <w:rPr>
          <w:sz w:val="18"/>
          <w:szCs w:val="18"/>
        </w:rPr>
        <w:t xml:space="preserve"> </w:t>
      </w:r>
      <w:r w:rsidRPr="007A0905">
        <w:rPr>
          <w:rFonts w:eastAsia="Calibri" w:cs="Calibri"/>
          <w:sz w:val="18"/>
          <w:szCs w:val="18"/>
        </w:rPr>
        <w:t xml:space="preserve">Indice di riferimento è pari al 22%. Fonte ISTAT: </w:t>
      </w:r>
      <w:hyperlink r:id="rId12">
        <w:r w:rsidRPr="007A0905">
          <w:rPr>
            <w:rStyle w:val="Collegamentoipertestuale"/>
            <w:rFonts w:eastAsia="Calibri" w:cs="Calibri"/>
            <w:sz w:val="18"/>
            <w:szCs w:val="18"/>
          </w:rPr>
          <w:t>https://rivaluta.istat.it/Rivaluta/Widget/calcolatoreWidget.jsp</w:t>
        </w:r>
      </w:hyperlink>
    </w:p>
  </w:footnote>
  <w:footnote w:id="47">
    <w:p w14:paraId="23F2CC6B" w14:textId="77777777" w:rsidR="00FD2CBB" w:rsidRPr="000A758C" w:rsidRDefault="00FD2CBB" w:rsidP="000A758C">
      <w:pPr>
        <w:pStyle w:val="Testonotaapidipagina"/>
        <w:spacing w:before="120" w:after="0" w:line="240" w:lineRule="auto"/>
        <w:jc w:val="left"/>
        <w:rPr>
          <w:sz w:val="18"/>
          <w:szCs w:val="18"/>
        </w:rPr>
      </w:pPr>
      <w:r w:rsidRPr="000A758C">
        <w:rPr>
          <w:rStyle w:val="Rimandonotaapidipagina"/>
          <w:sz w:val="18"/>
          <w:szCs w:val="18"/>
        </w:rPr>
        <w:footnoteRef/>
      </w:r>
      <w:r w:rsidRPr="000A758C">
        <w:rPr>
          <w:sz w:val="18"/>
          <w:szCs w:val="18"/>
        </w:rPr>
        <w:t xml:space="preserve"> </w:t>
      </w:r>
      <w:r w:rsidRPr="000A758C">
        <w:rPr>
          <w:rFonts w:eastAsia="Calibri" w:cs="Calibri"/>
          <w:sz w:val="18"/>
          <w:szCs w:val="18"/>
        </w:rPr>
        <w:t xml:space="preserve">Indice di riferimento è pari al 22%. Fonte ISTAT: </w:t>
      </w:r>
      <w:hyperlink r:id="rId13">
        <w:r w:rsidRPr="000A758C">
          <w:rPr>
            <w:rStyle w:val="Collegamentoipertestuale"/>
            <w:rFonts w:eastAsia="Calibri" w:cs="Calibri"/>
            <w:sz w:val="18"/>
            <w:szCs w:val="18"/>
          </w:rPr>
          <w:t>https://rivaluta.istat.it/Rivaluta/Widget/calcolatoreWidget.jsp</w:t>
        </w:r>
      </w:hyperlink>
    </w:p>
  </w:footnote>
  <w:footnote w:id="48">
    <w:p w14:paraId="3498FD23" w14:textId="77777777" w:rsidR="00FD2CBB" w:rsidRPr="000A758C" w:rsidRDefault="00FD2CBB" w:rsidP="000A758C">
      <w:pPr>
        <w:pStyle w:val="Testonotaapidipagina"/>
        <w:spacing w:before="120" w:after="0" w:line="240" w:lineRule="auto"/>
        <w:rPr>
          <w:sz w:val="18"/>
          <w:szCs w:val="18"/>
        </w:rPr>
      </w:pPr>
      <w:r w:rsidRPr="000A758C">
        <w:rPr>
          <w:rStyle w:val="Rimandonotaapidipagina"/>
          <w:sz w:val="18"/>
          <w:szCs w:val="18"/>
        </w:rPr>
        <w:footnoteRef/>
      </w:r>
      <w:r w:rsidRPr="000A758C">
        <w:rPr>
          <w:sz w:val="18"/>
          <w:szCs w:val="18"/>
        </w:rPr>
        <w:t xml:space="preserve"> Art. 10 (Aggiornamento e rideterminazione dei costi standard unitari) comma 1 “</w:t>
      </w:r>
      <w:r w:rsidRPr="000A758C">
        <w:rPr>
          <w:i/>
          <w:sz w:val="18"/>
          <w:szCs w:val="18"/>
        </w:rPr>
        <w:t>I costi standard unitari dei servizi definiti con il presente decreto sono calcolati su base annuale, oltre che con le modalità di cui all'articolo 8, applicando il tasso di inflazione effettivo dell'anno precedente, sulla base dell’indice dei prezzi al consumo (ISTAT NIC 072) con decreto del Ministro delle Infrastrutture e dei Trasporti, sentita la Conferenza unificata di cui all'articolo 8 del decreto legislativo 28 agosto 1997, n. 281.</w:t>
      </w:r>
    </w:p>
  </w:footnote>
  <w:footnote w:id="49">
    <w:p w14:paraId="6C340081" w14:textId="77777777" w:rsidR="00FD2CBB" w:rsidRPr="000A758C" w:rsidRDefault="00FD2CBB" w:rsidP="000A758C">
      <w:pPr>
        <w:pStyle w:val="Testonotaapidipagina"/>
        <w:spacing w:before="120" w:after="0" w:line="240" w:lineRule="auto"/>
        <w:rPr>
          <w:sz w:val="18"/>
          <w:szCs w:val="18"/>
        </w:rPr>
      </w:pPr>
      <w:r w:rsidRPr="000A758C">
        <w:rPr>
          <w:rStyle w:val="Rimandonotaapidipagina"/>
          <w:sz w:val="18"/>
          <w:szCs w:val="18"/>
        </w:rPr>
        <w:footnoteRef/>
      </w:r>
      <w:r w:rsidRPr="000A758C">
        <w:rPr>
          <w:sz w:val="18"/>
          <w:szCs w:val="18"/>
        </w:rPr>
        <w:t xml:space="preserve"> dati.istat.it Nic – Medie annue dal 2016 (base 2015) Indice dei prezzi al consumo per l’intera collettività, Italia, Coicop 072 Spese di esercizio mezzi di trasporto; i numeri indici utilizzati per il calcolo del fattore di adeguamento sono : 97,7 (2016) – 101,1 (2017) – 104,8 (2018) – 104,9 (2019) – 101,0 (2020) – 107,9 (2021) – 119,8 (2022) - 121,6 (2023) – 121,6 (2024). </w:t>
      </w:r>
    </w:p>
  </w:footnote>
  <w:footnote w:id="50">
    <w:p w14:paraId="22043812" w14:textId="77777777" w:rsidR="00FD2CBB" w:rsidRPr="000840F9" w:rsidRDefault="00FD2CBB" w:rsidP="00E3289F">
      <w:pPr>
        <w:pStyle w:val="Testonotaapidipagina"/>
        <w:spacing w:before="120" w:after="0" w:line="240" w:lineRule="auto"/>
        <w:contextualSpacing/>
        <w:rPr>
          <w:i/>
          <w:sz w:val="18"/>
          <w:szCs w:val="18"/>
        </w:rPr>
      </w:pPr>
      <w:r w:rsidRPr="000A758C">
        <w:rPr>
          <w:rStyle w:val="Rimandonotaapidipagina"/>
          <w:sz w:val="18"/>
          <w:szCs w:val="18"/>
        </w:rPr>
        <w:footnoteRef/>
      </w:r>
      <w:r w:rsidRPr="000A758C">
        <w:rPr>
          <w:sz w:val="18"/>
          <w:szCs w:val="18"/>
        </w:rPr>
        <w:t xml:space="preserve"> DM 157/2018 Art. 2 (Definizioni) </w:t>
      </w:r>
      <w:r w:rsidRPr="000A758C">
        <w:rPr>
          <w:i/>
          <w:sz w:val="18"/>
          <w:szCs w:val="18"/>
        </w:rPr>
        <w:t>“….. d) "velocità commerciale da programma di esercizio”, condizione operativa che caratterizza lo svolgimento del servizio; per i servizi con modalità di trasporto tranvia, metropolitana e ferroviaria del trasporto ferroviario regionale è calcolata quale lunghezza in chilometri delle corse in servizio commerciale effettivamente realizzate rapportata alla somma puntuale dei tempi di percorrenza, dalla partenza della corsa in servizio al pubblico all'arrivo della medesima, previsti dal programma di esercizio delle medesime corse. Per il servizio di trasporto con la modalità autolinea è</w:t>
      </w:r>
      <w:r w:rsidRPr="000840F9">
        <w:rPr>
          <w:i/>
          <w:sz w:val="18"/>
          <w:szCs w:val="18"/>
        </w:rPr>
        <w:t xml:space="preserve"> calcolata quale lunghezza in chilometri delle corse in servizio al pubblico effettivamente realizzate rapportata alla somma puntuale dei tempi di percorrenza, dalla partenza della corsa in servizio al pubblico all'arrivo della medesima, previsti dal programma di esercizio delle medesime corse e dei relativi tempi di sosta al capolinea (o alla fermata) di fine corsa; il tempo di ciascuna sosta è pari:</w:t>
      </w:r>
    </w:p>
    <w:p w14:paraId="16E7D0E6" w14:textId="77777777" w:rsidR="00FD2CBB" w:rsidRPr="000840F9" w:rsidRDefault="00FD2CBB" w:rsidP="004B0DBE">
      <w:pPr>
        <w:pStyle w:val="Testonotaapidipagina"/>
        <w:numPr>
          <w:ilvl w:val="0"/>
          <w:numId w:val="74"/>
        </w:numPr>
        <w:spacing w:before="120" w:after="0" w:line="240" w:lineRule="auto"/>
        <w:ind w:left="851" w:hanging="284"/>
        <w:contextualSpacing/>
        <w:rPr>
          <w:i/>
          <w:sz w:val="18"/>
          <w:szCs w:val="18"/>
        </w:rPr>
      </w:pPr>
      <w:r w:rsidRPr="000840F9">
        <w:rPr>
          <w:i/>
          <w:sz w:val="18"/>
          <w:szCs w:val="18"/>
        </w:rPr>
        <w:t>a tre minuti per ogni corsa in servizio al pubblico urbano ovvero suburbano;</w:t>
      </w:r>
    </w:p>
    <w:p w14:paraId="5645D089" w14:textId="77777777" w:rsidR="00FD2CBB" w:rsidRPr="000840F9" w:rsidRDefault="00FD2CBB" w:rsidP="004B0DBE">
      <w:pPr>
        <w:pStyle w:val="Testonotaapidipagina"/>
        <w:numPr>
          <w:ilvl w:val="0"/>
          <w:numId w:val="74"/>
        </w:numPr>
        <w:spacing w:before="120" w:after="0" w:line="240" w:lineRule="auto"/>
        <w:ind w:left="851" w:hanging="284"/>
        <w:contextualSpacing/>
        <w:rPr>
          <w:i/>
          <w:sz w:val="18"/>
          <w:szCs w:val="18"/>
        </w:rPr>
      </w:pPr>
      <w:r w:rsidRPr="000840F9">
        <w:rPr>
          <w:i/>
          <w:sz w:val="18"/>
          <w:szCs w:val="18"/>
        </w:rPr>
        <w:t xml:space="preserve">a trenta minuti per ogni corsa in servizio al pubblico interurbano il cui tempo di percorrenza tra i capolinea (o tra le fermate) di inizio e fine della corsa sia maggiore di duecento minuti; </w:t>
      </w:r>
    </w:p>
    <w:p w14:paraId="4F5DEE76" w14:textId="77777777" w:rsidR="00FD2CBB" w:rsidRPr="000840F9" w:rsidRDefault="00FD2CBB" w:rsidP="004B0DBE">
      <w:pPr>
        <w:pStyle w:val="Testonotaapidipagina"/>
        <w:numPr>
          <w:ilvl w:val="0"/>
          <w:numId w:val="74"/>
        </w:numPr>
        <w:spacing w:before="120" w:after="0" w:line="240" w:lineRule="auto"/>
        <w:ind w:left="851" w:hanging="284"/>
        <w:contextualSpacing/>
        <w:rPr>
          <w:sz w:val="18"/>
          <w:szCs w:val="18"/>
        </w:rPr>
      </w:pPr>
      <w:r w:rsidRPr="000840F9">
        <w:rPr>
          <w:i/>
          <w:sz w:val="18"/>
          <w:szCs w:val="18"/>
        </w:rPr>
        <w:t>al 15 per cento del tempo di percorrenza tra i capolinea (o tra le fermate) di inizio e fine corsa per ogni corsa in servizio al pubblico interurbano il cui tempo di percorrenza tra capolinea (o tra le fermate) di inizio e fine corsa sia al più duecento minuti;”</w:t>
      </w:r>
    </w:p>
  </w:footnote>
  <w:footnote w:id="51">
    <w:p w14:paraId="5225C408" w14:textId="7FE5CBC9" w:rsidR="0036205C" w:rsidRPr="0036205C" w:rsidRDefault="0036205C" w:rsidP="00275293">
      <w:pPr>
        <w:pStyle w:val="Testonotaapidipagina"/>
        <w:spacing w:before="120" w:after="0" w:line="240" w:lineRule="auto"/>
        <w:rPr>
          <w:sz w:val="18"/>
          <w:szCs w:val="18"/>
        </w:rPr>
      </w:pPr>
      <w:r w:rsidRPr="0036205C">
        <w:rPr>
          <w:rStyle w:val="Rimandonotaapidipagina"/>
          <w:sz w:val="18"/>
          <w:szCs w:val="18"/>
        </w:rPr>
        <w:footnoteRef/>
      </w:r>
      <w:r w:rsidRPr="0036205C">
        <w:rPr>
          <w:sz w:val="18"/>
          <w:szCs w:val="18"/>
        </w:rPr>
        <w:t xml:space="preserve"> Contratto urbano-suburbano della città di Torino e contratto servizio a chiamata della città di Settimo.</w:t>
      </w:r>
    </w:p>
  </w:footnote>
  <w:footnote w:id="52">
    <w:p w14:paraId="619204C6" w14:textId="77777777" w:rsidR="00FD2CBB" w:rsidRPr="00B7743E" w:rsidRDefault="00FD2CBB" w:rsidP="00FD2CBB">
      <w:pPr>
        <w:pStyle w:val="Testonotaapidipagina"/>
        <w:spacing w:before="120" w:after="0" w:line="240" w:lineRule="auto"/>
        <w:rPr>
          <w:sz w:val="18"/>
          <w:szCs w:val="18"/>
        </w:rPr>
      </w:pPr>
      <w:r w:rsidRPr="00B7743E">
        <w:rPr>
          <w:rStyle w:val="Rimandonotaapidipagina"/>
          <w:sz w:val="18"/>
          <w:szCs w:val="18"/>
        </w:rPr>
        <w:footnoteRef/>
      </w:r>
      <w:r w:rsidRPr="00B7743E">
        <w:rPr>
          <w:sz w:val="18"/>
          <w:szCs w:val="18"/>
        </w:rPr>
        <w:t xml:space="preserve"> </w:t>
      </w:r>
      <w:r w:rsidRPr="0013703C">
        <w:rPr>
          <w:sz w:val="18"/>
          <w:szCs w:val="18"/>
        </w:rPr>
        <w:t xml:space="preserve">Sistema di qualificazione: </w:t>
      </w:r>
      <w:hyperlink r:id="rId14" w:history="1">
        <w:r w:rsidRPr="0013703C">
          <w:rPr>
            <w:rStyle w:val="Collegamentoipertestuale"/>
            <w:sz w:val="18"/>
            <w:szCs w:val="18"/>
          </w:rPr>
          <w:t>https://mtm.torino.it/wp-content/uploads/amministrazione-trasparente/bandi-gara-contratti/sistema-di-qualificazione-concessionari-tpl/sistema-di-qualificazione-normativa-3.00.pdf</w:t>
        </w:r>
      </w:hyperlink>
      <w:r w:rsidRPr="00B7743E">
        <w:rPr>
          <w:sz w:val="18"/>
          <w:szCs w:val="18"/>
        </w:rPr>
        <w:t xml:space="preserve"> </w:t>
      </w:r>
    </w:p>
  </w:footnote>
  <w:footnote w:id="53">
    <w:p w14:paraId="6F1D8EA5" w14:textId="111491D2" w:rsidR="00740ABB" w:rsidRPr="00E93470" w:rsidRDefault="00740ABB" w:rsidP="00E93470">
      <w:pPr>
        <w:pStyle w:val="Testonotaapidipagina"/>
        <w:spacing w:before="120" w:after="0" w:line="240" w:lineRule="auto"/>
        <w:rPr>
          <w:sz w:val="18"/>
          <w:szCs w:val="18"/>
        </w:rPr>
      </w:pPr>
      <w:r w:rsidRPr="00E93470">
        <w:rPr>
          <w:rStyle w:val="Rimandonotaapidipagina"/>
          <w:sz w:val="18"/>
          <w:szCs w:val="18"/>
        </w:rPr>
        <w:footnoteRef/>
      </w:r>
      <w:r w:rsidRPr="00E93470">
        <w:rPr>
          <w:sz w:val="18"/>
          <w:szCs w:val="18"/>
        </w:rPr>
        <w:t xml:space="preserve"> </w:t>
      </w:r>
      <w:hyperlink r:id="rId15" w:history="1">
        <w:r w:rsidRPr="00E93470">
          <w:rPr>
            <w:rStyle w:val="Collegamentoipertestuale"/>
            <w:sz w:val="18"/>
            <w:szCs w:val="18"/>
          </w:rPr>
          <w:t>https://ampartecipa.mtm.torino.it/processes/bacino</w:t>
        </w:r>
        <w:bookmarkStart w:id="448" w:name="_Hlt212733957"/>
        <w:bookmarkStart w:id="449" w:name="_Hlt212733958"/>
        <w:r w:rsidRPr="00E93470">
          <w:rPr>
            <w:rStyle w:val="Collegamentoipertestuale"/>
            <w:sz w:val="18"/>
            <w:szCs w:val="18"/>
          </w:rPr>
          <w:t>-</w:t>
        </w:r>
        <w:bookmarkEnd w:id="448"/>
        <w:bookmarkEnd w:id="449"/>
        <w:r w:rsidRPr="00E93470">
          <w:rPr>
            <w:rStyle w:val="Collegamentoipertestuale"/>
            <w:sz w:val="18"/>
            <w:szCs w:val="18"/>
          </w:rPr>
          <w:t>metropolitano/f/42/posts/11</w:t>
        </w:r>
      </w:hyperlink>
    </w:p>
  </w:footnote>
  <w:footnote w:id="54">
    <w:p w14:paraId="39CE0CF3" w14:textId="02FE6B8D" w:rsidR="00FD2CBB" w:rsidRPr="00E93470" w:rsidRDefault="00FD2CBB" w:rsidP="00E93470">
      <w:pPr>
        <w:pStyle w:val="Testonotaapidipagina"/>
        <w:spacing w:before="120" w:after="0" w:line="240" w:lineRule="auto"/>
        <w:rPr>
          <w:sz w:val="18"/>
          <w:szCs w:val="18"/>
        </w:rPr>
      </w:pPr>
      <w:r w:rsidRPr="00E93470">
        <w:rPr>
          <w:rStyle w:val="Rimandonotaapidipagina"/>
          <w:sz w:val="18"/>
          <w:szCs w:val="18"/>
        </w:rPr>
        <w:footnoteRef/>
      </w:r>
      <w:r w:rsidR="00B15D17">
        <w:rPr>
          <w:sz w:val="18"/>
          <w:szCs w:val="18"/>
        </w:rPr>
        <w:t xml:space="preserve"> </w:t>
      </w:r>
      <w:r w:rsidRPr="00E93470">
        <w:rPr>
          <w:sz w:val="18"/>
          <w:szCs w:val="18"/>
        </w:rPr>
        <w:t>L’offerta per partecipare alla gara dovrà prevedere i Piani Economico Finanziari ed il Piano di Mobilitazione ovvero il cronoprogramma di attività che consentirà all’impresa aggiudicataria di avviare il servizio avendo acquisto tutti i fattori di produzione necessari (autobus, depositi, personale) ed aver attivato i programmi di investimento richiesti in particolare per quanto riguarda la digitalizzazione del servizio.</w:t>
      </w:r>
    </w:p>
  </w:footnote>
  <w:footnote w:id="55">
    <w:p w14:paraId="30D3AB22" w14:textId="77777777" w:rsidR="00FD2CBB" w:rsidRPr="00A92460" w:rsidRDefault="00FD2CBB" w:rsidP="00A92460">
      <w:pPr>
        <w:pStyle w:val="Testonotaapidipagina"/>
        <w:spacing w:before="120" w:after="0" w:line="240" w:lineRule="auto"/>
        <w:rPr>
          <w:sz w:val="18"/>
          <w:szCs w:val="18"/>
        </w:rPr>
      </w:pPr>
      <w:r w:rsidRPr="00A92460">
        <w:rPr>
          <w:rStyle w:val="Rimandonotaapidipagina"/>
          <w:sz w:val="18"/>
          <w:szCs w:val="18"/>
        </w:rPr>
        <w:footnoteRef/>
      </w:r>
      <w:r w:rsidRPr="00A92460">
        <w:rPr>
          <w:sz w:val="18"/>
          <w:szCs w:val="18"/>
        </w:rPr>
        <w:t xml:space="preserve"> Nota protocollo 761 del 22/01/2025 consultabile sulla piattaforma AMPartecipa al seguente link </w:t>
      </w:r>
      <w:hyperlink r:id="rId16" w:history="1">
        <w:r w:rsidRPr="00A92460">
          <w:rPr>
            <w:rStyle w:val="Collegamentoipertestuale"/>
            <w:sz w:val="18"/>
            <w:szCs w:val="18"/>
          </w:rPr>
          <w:t>https://ampartecipa.mtm.torino.it/processes/bacino-metropolitano/f/42/posts/69</w:t>
        </w:r>
      </w:hyperlink>
      <w:r w:rsidRPr="00A92460">
        <w:rPr>
          <w:sz w:val="18"/>
          <w:szCs w:val="18"/>
        </w:rPr>
        <w:t xml:space="preserve"> </w:t>
      </w:r>
    </w:p>
  </w:footnote>
  <w:footnote w:id="56">
    <w:p w14:paraId="4358FD8F" w14:textId="77777777" w:rsidR="00FD2CBB" w:rsidRPr="00A92460" w:rsidRDefault="00FD2CBB" w:rsidP="00A92460">
      <w:pPr>
        <w:pStyle w:val="Testonotaapidipagina"/>
        <w:spacing w:before="120" w:after="0" w:line="240" w:lineRule="auto"/>
        <w:rPr>
          <w:sz w:val="18"/>
          <w:szCs w:val="18"/>
        </w:rPr>
      </w:pPr>
      <w:r w:rsidRPr="00A92460">
        <w:rPr>
          <w:rStyle w:val="Rimandonotaapidipagina"/>
          <w:sz w:val="18"/>
          <w:szCs w:val="18"/>
        </w:rPr>
        <w:footnoteRef/>
      </w:r>
      <w:r w:rsidRPr="00A92460">
        <w:rPr>
          <w:sz w:val="18"/>
          <w:szCs w:val="18"/>
        </w:rPr>
        <w:t xml:space="preserve"> Il termine incumbent si riferisce alle aziende ed agli operatori già presenti e consolidati nello specifico settore ed ambito territoriale.</w:t>
      </w:r>
    </w:p>
  </w:footnote>
  <w:footnote w:id="57">
    <w:p w14:paraId="4804385B" w14:textId="77777777" w:rsidR="00FD2CBB" w:rsidRPr="009457CB" w:rsidRDefault="00FD2CBB" w:rsidP="00FD2CBB">
      <w:pPr>
        <w:pStyle w:val="Testonotaapidipagina"/>
        <w:spacing w:before="120" w:after="0" w:line="240" w:lineRule="auto"/>
        <w:rPr>
          <w:sz w:val="18"/>
          <w:szCs w:val="18"/>
        </w:rPr>
      </w:pPr>
      <w:r w:rsidRPr="009457CB">
        <w:rPr>
          <w:rStyle w:val="Rimandonotaapidipagina"/>
          <w:sz w:val="18"/>
          <w:szCs w:val="18"/>
        </w:rPr>
        <w:footnoteRef/>
      </w:r>
      <w:r w:rsidRPr="009457CB">
        <w:rPr>
          <w:sz w:val="18"/>
          <w:szCs w:val="18"/>
        </w:rPr>
        <w:t xml:space="preserve"> L'analisi SWOT è uno strumento strategico utilizzato per valutare i punti di forza (Strengths), i punti di debolezza (Weaknesses), le opportunità (Opportunities) e le minacce (Threats) di un'organizzazione o di un progetto. Questa analisi aiuta a identificare le aree su cui costruire, quelle da migliorare, le opportunità da sfruttare e i rischi da mitigare, facilitando la pianificazione strategica e decisionale.</w:t>
      </w:r>
    </w:p>
  </w:footnote>
  <w:footnote w:id="58">
    <w:p w14:paraId="7C01BB92" w14:textId="77777777" w:rsidR="00FD2CBB" w:rsidRPr="0013703C" w:rsidRDefault="00FD2CBB" w:rsidP="006B39CF">
      <w:pPr>
        <w:pStyle w:val="norm"/>
        <w:shd w:val="clear" w:color="auto" w:fill="FFFFFF"/>
        <w:spacing w:before="120" w:beforeAutospacing="0" w:after="0" w:afterAutospacing="0"/>
        <w:jc w:val="both"/>
        <w:rPr>
          <w:rFonts w:asciiTheme="minorHAnsi" w:hAnsiTheme="minorHAnsi" w:cstheme="minorHAnsi"/>
          <w:color w:val="000000"/>
          <w:sz w:val="18"/>
          <w:szCs w:val="18"/>
        </w:rPr>
      </w:pPr>
      <w:r w:rsidRPr="0013703C">
        <w:rPr>
          <w:rStyle w:val="Rimandonotaapidipagina"/>
          <w:rFonts w:asciiTheme="minorHAnsi" w:hAnsiTheme="minorHAnsi" w:cstheme="minorHAnsi"/>
          <w:sz w:val="18"/>
          <w:szCs w:val="18"/>
        </w:rPr>
        <w:footnoteRef/>
      </w:r>
      <w:r w:rsidRPr="0013703C">
        <w:rPr>
          <w:rFonts w:asciiTheme="minorHAnsi" w:hAnsiTheme="minorHAnsi" w:cstheme="minorHAnsi"/>
          <w:sz w:val="18"/>
          <w:szCs w:val="18"/>
        </w:rPr>
        <w:t xml:space="preserve"> </w:t>
      </w:r>
      <w:r w:rsidRPr="0013703C">
        <w:rPr>
          <w:rFonts w:asciiTheme="minorHAnsi" w:hAnsiTheme="minorHAnsi" w:cstheme="minorHAnsi"/>
          <w:color w:val="000000"/>
          <w:sz w:val="18"/>
          <w:szCs w:val="18"/>
        </w:rPr>
        <w:t>Art. 5 paragrafo 4 Reg. CE 1370/2007 “A meno che non sia vietato dalla legislazione nazionale, l'autorità competente ha facoltà di aggiudicare direttamente i contratti di servizio pubblico:</w:t>
      </w:r>
    </w:p>
    <w:p w14:paraId="6985BD35" w14:textId="2726B80B" w:rsidR="00FD2CBB" w:rsidRPr="0013703C" w:rsidRDefault="00FD2CBB" w:rsidP="006B39CF">
      <w:pPr>
        <w:pStyle w:val="norm"/>
        <w:shd w:val="clear" w:color="auto" w:fill="FFFFFF"/>
        <w:spacing w:before="120" w:beforeAutospacing="0" w:after="0" w:afterAutospacing="0"/>
        <w:jc w:val="both"/>
        <w:rPr>
          <w:rFonts w:asciiTheme="minorHAnsi" w:hAnsiTheme="minorHAnsi" w:cstheme="minorHAnsi"/>
          <w:color w:val="000000"/>
          <w:sz w:val="18"/>
          <w:szCs w:val="18"/>
        </w:rPr>
      </w:pPr>
      <w:r w:rsidRPr="0013703C">
        <w:rPr>
          <w:rFonts w:asciiTheme="minorHAnsi" w:hAnsiTheme="minorHAnsi" w:cstheme="minorHAnsi"/>
          <w:color w:val="000000"/>
          <w:sz w:val="18"/>
          <w:szCs w:val="18"/>
        </w:rPr>
        <w:t>a)</w:t>
      </w:r>
      <w:r w:rsidR="00826477">
        <w:rPr>
          <w:rFonts w:asciiTheme="minorHAnsi" w:hAnsiTheme="minorHAnsi" w:cstheme="minorHAnsi"/>
          <w:color w:val="000000"/>
          <w:sz w:val="18"/>
          <w:szCs w:val="18"/>
        </w:rPr>
        <w:t xml:space="preserve"> </w:t>
      </w:r>
      <w:r w:rsidRPr="0013703C">
        <w:rPr>
          <w:rFonts w:asciiTheme="minorHAnsi" w:hAnsiTheme="minorHAnsi" w:cstheme="minorHAnsi"/>
          <w:color w:val="000000"/>
          <w:sz w:val="18"/>
          <w:szCs w:val="18"/>
        </w:rPr>
        <w:t>il cui valore annuo medio stimato è inferiore a 1</w:t>
      </w:r>
      <w:r w:rsidR="00D65EF2">
        <w:rPr>
          <w:rFonts w:asciiTheme="minorHAnsi" w:hAnsiTheme="minorHAnsi" w:cstheme="minorHAnsi"/>
          <w:color w:val="000000"/>
          <w:sz w:val="18"/>
          <w:szCs w:val="18"/>
        </w:rPr>
        <w:t>.</w:t>
      </w:r>
      <w:r w:rsidRPr="0013703C">
        <w:rPr>
          <w:rFonts w:asciiTheme="minorHAnsi" w:hAnsiTheme="minorHAnsi" w:cstheme="minorHAnsi"/>
          <w:color w:val="000000"/>
          <w:sz w:val="18"/>
          <w:szCs w:val="18"/>
        </w:rPr>
        <w:t>000</w:t>
      </w:r>
      <w:r w:rsidR="00D65EF2">
        <w:rPr>
          <w:rFonts w:asciiTheme="minorHAnsi" w:hAnsiTheme="minorHAnsi" w:cstheme="minorHAnsi"/>
          <w:color w:val="000000"/>
          <w:sz w:val="18"/>
          <w:szCs w:val="18"/>
        </w:rPr>
        <w:t>.</w:t>
      </w:r>
      <w:r w:rsidRPr="0013703C">
        <w:rPr>
          <w:rFonts w:asciiTheme="minorHAnsi" w:hAnsiTheme="minorHAnsi" w:cstheme="minorHAnsi"/>
          <w:color w:val="000000"/>
          <w:sz w:val="18"/>
          <w:szCs w:val="18"/>
        </w:rPr>
        <w:t>000 EUR o, nel caso di contratto di servizio pubblico che include servizi di trasporto pubblico ferroviario di passeggeri, inferiore a 7</w:t>
      </w:r>
      <w:r w:rsidR="00D65EF2">
        <w:rPr>
          <w:rFonts w:asciiTheme="minorHAnsi" w:hAnsiTheme="minorHAnsi" w:cstheme="minorHAnsi"/>
          <w:color w:val="000000"/>
          <w:sz w:val="18"/>
          <w:szCs w:val="18"/>
        </w:rPr>
        <w:t>.</w:t>
      </w:r>
      <w:r w:rsidRPr="0013703C">
        <w:rPr>
          <w:rFonts w:asciiTheme="minorHAnsi" w:hAnsiTheme="minorHAnsi" w:cstheme="minorHAnsi"/>
          <w:color w:val="000000"/>
          <w:sz w:val="18"/>
          <w:szCs w:val="18"/>
        </w:rPr>
        <w:t>500</w:t>
      </w:r>
      <w:r w:rsidR="00D65EF2">
        <w:rPr>
          <w:rFonts w:asciiTheme="minorHAnsi" w:hAnsiTheme="minorHAnsi" w:cstheme="minorHAnsi"/>
          <w:color w:val="000000"/>
          <w:sz w:val="18"/>
          <w:szCs w:val="18"/>
        </w:rPr>
        <w:t>.</w:t>
      </w:r>
      <w:r w:rsidRPr="0013703C">
        <w:rPr>
          <w:rFonts w:asciiTheme="minorHAnsi" w:hAnsiTheme="minorHAnsi" w:cstheme="minorHAnsi"/>
          <w:color w:val="000000"/>
          <w:sz w:val="18"/>
          <w:szCs w:val="18"/>
        </w:rPr>
        <w:t>000 EUR; oppure</w:t>
      </w:r>
    </w:p>
    <w:p w14:paraId="4AB88D1E" w14:textId="0742DEC0" w:rsidR="00FD2CBB" w:rsidRPr="0013703C" w:rsidRDefault="00FD2CBB" w:rsidP="006B39CF">
      <w:pPr>
        <w:pStyle w:val="norm"/>
        <w:shd w:val="clear" w:color="auto" w:fill="FFFFFF"/>
        <w:spacing w:before="120" w:beforeAutospacing="0" w:after="0" w:afterAutospacing="0"/>
        <w:jc w:val="both"/>
        <w:rPr>
          <w:rFonts w:asciiTheme="minorHAnsi" w:hAnsiTheme="minorHAnsi" w:cstheme="minorHAnsi"/>
          <w:color w:val="000000"/>
          <w:sz w:val="18"/>
          <w:szCs w:val="18"/>
        </w:rPr>
      </w:pPr>
      <w:r w:rsidRPr="0013703C">
        <w:rPr>
          <w:rFonts w:asciiTheme="minorHAnsi" w:hAnsiTheme="minorHAnsi" w:cstheme="minorHAnsi"/>
          <w:color w:val="000000"/>
          <w:sz w:val="18"/>
          <w:szCs w:val="18"/>
        </w:rPr>
        <w:t>b)</w:t>
      </w:r>
      <w:r w:rsidR="00826477">
        <w:rPr>
          <w:rFonts w:asciiTheme="minorHAnsi" w:hAnsiTheme="minorHAnsi" w:cstheme="minorHAnsi"/>
          <w:color w:val="000000"/>
          <w:sz w:val="18"/>
          <w:szCs w:val="18"/>
        </w:rPr>
        <w:t xml:space="preserve"> </w:t>
      </w:r>
      <w:r w:rsidRPr="0013703C">
        <w:rPr>
          <w:rFonts w:asciiTheme="minorHAnsi" w:hAnsiTheme="minorHAnsi" w:cstheme="minorHAnsi"/>
          <w:color w:val="000000"/>
          <w:sz w:val="18"/>
          <w:szCs w:val="18"/>
        </w:rPr>
        <w:t>che riguardano la prestazione di servizi di trasporto pubblico di passeggeri inferiore a 300</w:t>
      </w:r>
      <w:r w:rsidR="00826477">
        <w:rPr>
          <w:rFonts w:asciiTheme="minorHAnsi" w:hAnsiTheme="minorHAnsi" w:cstheme="minorHAnsi"/>
          <w:color w:val="000000"/>
          <w:sz w:val="18"/>
          <w:szCs w:val="18"/>
        </w:rPr>
        <w:t>.</w:t>
      </w:r>
      <w:r w:rsidRPr="0013703C">
        <w:rPr>
          <w:rFonts w:asciiTheme="minorHAnsi" w:hAnsiTheme="minorHAnsi" w:cstheme="minorHAnsi"/>
          <w:color w:val="000000"/>
          <w:sz w:val="18"/>
          <w:szCs w:val="18"/>
        </w:rPr>
        <w:t>000 chilometri l'anno o, nel caso di contratto di servizio pubblico che include servizi di trasporto pubblico di passeggeri ferroviario, inferiore a 500</w:t>
      </w:r>
      <w:r w:rsidR="00D65EF2">
        <w:rPr>
          <w:rFonts w:asciiTheme="minorHAnsi" w:hAnsiTheme="minorHAnsi" w:cstheme="minorHAnsi"/>
          <w:color w:val="000000"/>
          <w:sz w:val="18"/>
          <w:szCs w:val="18"/>
        </w:rPr>
        <w:t>.</w:t>
      </w:r>
      <w:r w:rsidRPr="0013703C">
        <w:rPr>
          <w:rFonts w:asciiTheme="minorHAnsi" w:hAnsiTheme="minorHAnsi" w:cstheme="minorHAnsi"/>
          <w:color w:val="000000"/>
          <w:sz w:val="18"/>
          <w:szCs w:val="18"/>
        </w:rPr>
        <w:t>000 chilometri l'anno.</w:t>
      </w:r>
    </w:p>
    <w:p w14:paraId="250AA333" w14:textId="1598990C" w:rsidR="00FD2CBB" w:rsidRPr="00C4344B" w:rsidRDefault="00FD2CBB" w:rsidP="006B39CF">
      <w:pPr>
        <w:pStyle w:val="norm"/>
        <w:shd w:val="clear" w:color="auto" w:fill="FFFFFF"/>
        <w:spacing w:before="120" w:beforeAutospacing="0" w:after="0" w:afterAutospacing="0"/>
        <w:jc w:val="both"/>
        <w:rPr>
          <w:rFonts w:asciiTheme="minorHAnsi" w:hAnsiTheme="minorHAnsi" w:cstheme="minorHAnsi"/>
          <w:sz w:val="18"/>
          <w:szCs w:val="18"/>
        </w:rPr>
      </w:pPr>
      <w:r w:rsidRPr="0013703C">
        <w:rPr>
          <w:rFonts w:asciiTheme="minorHAnsi" w:hAnsiTheme="minorHAnsi" w:cstheme="minorHAnsi"/>
          <w:color w:val="000000"/>
          <w:sz w:val="18"/>
          <w:szCs w:val="18"/>
        </w:rPr>
        <w:t>Qualora un contratto di servizio pubblico sia aggiudicato direttamente a una piccola o media impresa che ha in esercizio non più di 23 veicoli stradali, dette soglie possono essere aumentate a un valore annuo medio stimato inferiore a 2</w:t>
      </w:r>
      <w:r w:rsidR="00D65EF2">
        <w:rPr>
          <w:rFonts w:asciiTheme="minorHAnsi" w:hAnsiTheme="minorHAnsi" w:cstheme="minorHAnsi"/>
          <w:color w:val="000000"/>
          <w:sz w:val="18"/>
          <w:szCs w:val="18"/>
        </w:rPr>
        <w:t>.</w:t>
      </w:r>
      <w:r w:rsidRPr="0013703C">
        <w:rPr>
          <w:rFonts w:asciiTheme="minorHAnsi" w:hAnsiTheme="minorHAnsi" w:cstheme="minorHAnsi"/>
          <w:color w:val="000000"/>
          <w:sz w:val="18"/>
          <w:szCs w:val="18"/>
        </w:rPr>
        <w:t>000</w:t>
      </w:r>
      <w:r w:rsidR="00D65EF2">
        <w:rPr>
          <w:rFonts w:asciiTheme="minorHAnsi" w:hAnsiTheme="minorHAnsi" w:cstheme="minorHAnsi"/>
          <w:color w:val="000000"/>
          <w:sz w:val="18"/>
          <w:szCs w:val="18"/>
        </w:rPr>
        <w:t>.</w:t>
      </w:r>
      <w:r w:rsidRPr="0013703C">
        <w:rPr>
          <w:rFonts w:asciiTheme="minorHAnsi" w:hAnsiTheme="minorHAnsi" w:cstheme="minorHAnsi"/>
          <w:color w:val="000000"/>
          <w:sz w:val="18"/>
          <w:szCs w:val="18"/>
        </w:rPr>
        <w:t>000 EUR oppure alla prestazione di servizi di trasporto pubblico di passeggeri inferiore a 600</w:t>
      </w:r>
      <w:r w:rsidR="00D65EF2">
        <w:rPr>
          <w:rFonts w:asciiTheme="minorHAnsi" w:hAnsiTheme="minorHAnsi" w:cstheme="minorHAnsi"/>
          <w:color w:val="000000"/>
          <w:sz w:val="18"/>
          <w:szCs w:val="18"/>
        </w:rPr>
        <w:t>.</w:t>
      </w:r>
      <w:r w:rsidRPr="0013703C">
        <w:rPr>
          <w:rFonts w:asciiTheme="minorHAnsi" w:hAnsiTheme="minorHAnsi" w:cstheme="minorHAnsi"/>
          <w:color w:val="000000"/>
          <w:sz w:val="18"/>
          <w:szCs w:val="18"/>
        </w:rPr>
        <w:t>000 chilometri l'anno.”</w:t>
      </w:r>
    </w:p>
  </w:footnote>
  <w:footnote w:id="59">
    <w:p w14:paraId="24239333" w14:textId="77777777" w:rsidR="00FD2CBB" w:rsidRPr="00A1366D" w:rsidRDefault="00FD2CBB" w:rsidP="006038E3">
      <w:pPr>
        <w:pStyle w:val="Testonotaapidipagina"/>
        <w:spacing w:before="120" w:after="0" w:line="240" w:lineRule="auto"/>
        <w:rPr>
          <w:sz w:val="18"/>
          <w:szCs w:val="18"/>
        </w:rPr>
      </w:pPr>
      <w:r w:rsidRPr="00A1366D">
        <w:rPr>
          <w:rStyle w:val="Rimandonotaapidipagina"/>
          <w:sz w:val="18"/>
          <w:szCs w:val="18"/>
        </w:rPr>
        <w:footnoteRef/>
      </w:r>
      <w:r w:rsidRPr="00A1366D">
        <w:rPr>
          <w:sz w:val="18"/>
          <w:szCs w:val="18"/>
        </w:rPr>
        <w:t xml:space="preserve"> DM 157/2018 art. 1 comma 5. “</w:t>
      </w:r>
      <w:r w:rsidRPr="00A1366D">
        <w:rPr>
          <w:i/>
          <w:sz w:val="18"/>
          <w:szCs w:val="18"/>
        </w:rPr>
        <w:t>I costi standard determinati in applicazione del decreto del Ministero delle infrastrutture e dei trasporti di cui all'articolo l, comma 84, della legge 27 dicembre 2013, n. 147, e gli indicatori programmatori ivi definiti con criteri di efficienza ed economicità sono utilizzati dagli enti che affidano i servizi di trasporto pubblico locale e regionale come elemento di riferimento per la quantificazione delle compensazioni economiche e dei corrispettivi da porre a base d’asta, determinati ai sensi dell'articolo 17 del decreto legislativo 19 novembre 1997, n. 422, e delle normative europee sugli obblighi di servizio pubblico, con le eventuali integrazioni che tengano conto della specificità del servizio e degli obiettivi degli enti locali in termini di programmazione dei servizi e di promozione dell'efficienza del settore. Tali specificità si riferiscono prioritariamente: a) ai servizi con la modalità di trasporto autolinea svolti nelle aree a domanda debole e ad elevato campo di variazione varianza altimetrica; b) ai servizi ferroviari caratterizzati da particolari modalità di esercizio; c) ai servizi ulteriori, in relazione a specifici livelli di qualità e caratteristiche tecnologiche e di alimentazione anche del materiale rotabile, richiesti nei contratti di servizio dagli enti affidanti; d) ulteriori peculiarità caratterizzanti i territori in cui i servizi sono offerti e la relativa domanda. Inoltre, nelle more delle determinazioni di competenza dell'Autorità di Regolazione dei Trasporti, il costo medio ponderato del capitale (WACC), applicato nell'ambito degli affidamenti diretti, può essere determinato in misura inferiore rispetto a quanto stabilito nell'articolo 5, comma 2, del presente decreto sulla base delle offerte degli operatori.</w:t>
      </w:r>
      <w:r w:rsidRPr="00A1366D">
        <w:rPr>
          <w:sz w:val="18"/>
          <w:szCs w:val="18"/>
        </w:rPr>
        <w:t>”</w:t>
      </w:r>
    </w:p>
  </w:footnote>
  <w:footnote w:id="60">
    <w:p w14:paraId="03D2E3CC" w14:textId="77777777" w:rsidR="00FD2CBB" w:rsidRPr="00E73468" w:rsidRDefault="00FD2CBB" w:rsidP="00FD2CBB">
      <w:pPr>
        <w:spacing w:before="120" w:after="0" w:line="240" w:lineRule="auto"/>
        <w:rPr>
          <w:sz w:val="18"/>
          <w:szCs w:val="18"/>
        </w:rPr>
      </w:pPr>
      <w:r w:rsidRPr="00F22C31">
        <w:rPr>
          <w:rStyle w:val="Rimandonotaapidipagina"/>
          <w:sz w:val="18"/>
          <w:szCs w:val="18"/>
        </w:rPr>
        <w:footnoteRef/>
      </w:r>
      <w:r w:rsidRPr="00F22C31">
        <w:rPr>
          <w:sz w:val="18"/>
          <w:szCs w:val="18"/>
        </w:rPr>
        <w:t xml:space="preserve"> </w:t>
      </w:r>
      <w:r w:rsidRPr="000D4746">
        <w:rPr>
          <w:sz w:val="18"/>
          <w:szCs w:val="18"/>
        </w:rPr>
        <w:t xml:space="preserve">Misura 6 delibera ART n: 48/2017 – “…… </w:t>
      </w:r>
      <w:r w:rsidRPr="000D4746">
        <w:rPr>
          <w:i/>
          <w:iCs/>
          <w:sz w:val="18"/>
          <w:szCs w:val="18"/>
        </w:rPr>
        <w:t>Allo stesso, nel caso in cui vengano presentate un’unica offerta o manifestazione di interesse valide, il bando o la lettera di invito prevedono che il soggetto competente rivaluti in autotutela la scelta in merito alla definizione dei lotti. In tali ipotesi, l’eventuale esercizio dei poteri in autotutela può avere luogo entro e non oltre l’apertura delle offerte</w:t>
      </w:r>
      <w:r w:rsidRPr="000D4746">
        <w:rPr>
          <w:sz w:val="18"/>
          <w:szCs w:val="18"/>
        </w:rPr>
        <w:t>. …”.</w:t>
      </w:r>
    </w:p>
  </w:footnote>
  <w:footnote w:id="61">
    <w:p w14:paraId="78643FB5" w14:textId="2F624D7A" w:rsidR="008B7FE3" w:rsidRDefault="008B7FE3" w:rsidP="008B7FE3">
      <w:pPr>
        <w:pStyle w:val="Testonotaapidipagina"/>
        <w:spacing w:before="120" w:after="0" w:line="240" w:lineRule="auto"/>
      </w:pPr>
      <w:r>
        <w:rPr>
          <w:rStyle w:val="Rimandonotaapidipagina"/>
        </w:rPr>
        <w:footnoteRef/>
      </w:r>
      <w:r>
        <w:t xml:space="preserve"> </w:t>
      </w:r>
      <w:r w:rsidRPr="004B1138">
        <w:rPr>
          <w:sz w:val="18"/>
          <w:szCs w:val="18"/>
        </w:rPr>
        <w:t>Il contratto di servizio che regola il servizio della città di Torino e dei comuni conurbati è denominato “Contratto dei servizi di mobilità urbana e metropolitana di Torino 2012-2027” nel testo della relazione è ri</w:t>
      </w:r>
      <w:r w:rsidR="002367AD">
        <w:rPr>
          <w:sz w:val="18"/>
          <w:szCs w:val="18"/>
        </w:rPr>
        <w:t>chiamato con l’acronimo</w:t>
      </w:r>
      <w:r w:rsidRPr="004B1138">
        <w:rPr>
          <w:sz w:val="18"/>
          <w:szCs w:val="18"/>
        </w:rPr>
        <w:t xml:space="preserve"> CdS TO</w:t>
      </w:r>
      <w:r>
        <w:rPr>
          <w:sz w:val="18"/>
          <w:szCs w:val="18"/>
        </w:rPr>
        <w:t>.</w:t>
      </w:r>
    </w:p>
  </w:footnote>
  <w:footnote w:id="62">
    <w:p w14:paraId="685A7DCA" w14:textId="0D8BE916" w:rsidR="005B5428" w:rsidRPr="00B90669" w:rsidRDefault="005B5428" w:rsidP="00AE42CD">
      <w:pPr>
        <w:pStyle w:val="Testonotaapidipagina"/>
        <w:spacing w:before="120" w:after="0" w:line="240" w:lineRule="auto"/>
        <w:rPr>
          <w:sz w:val="18"/>
          <w:szCs w:val="18"/>
        </w:rPr>
      </w:pPr>
      <w:r w:rsidRPr="00B90669">
        <w:rPr>
          <w:rStyle w:val="Rimandonotaapidipagina"/>
          <w:sz w:val="18"/>
          <w:szCs w:val="18"/>
        </w:rPr>
        <w:footnoteRef/>
      </w:r>
      <w:r w:rsidRPr="00B90669">
        <w:rPr>
          <w:sz w:val="18"/>
          <w:szCs w:val="18"/>
        </w:rPr>
        <w:t xml:space="preserve"> Si ricorda che le somme complessivamente destinate alla copertura degli obblighi di servizio</w:t>
      </w:r>
      <w:r w:rsidR="00A55A70" w:rsidRPr="00B90669">
        <w:rPr>
          <w:sz w:val="18"/>
          <w:szCs w:val="18"/>
        </w:rPr>
        <w:t xml:space="preserve"> </w:t>
      </w:r>
      <w:r w:rsidR="00B27545" w:rsidRPr="00B90669">
        <w:rPr>
          <w:sz w:val="18"/>
          <w:szCs w:val="18"/>
        </w:rPr>
        <w:t>comprendono risorse trasferite dagli EE.LL. che andranno confermate in sede di consultazion</w:t>
      </w:r>
      <w:r w:rsidR="00AE42CD" w:rsidRPr="00B90669">
        <w:rPr>
          <w:sz w:val="18"/>
          <w:szCs w:val="18"/>
        </w:rPr>
        <w:t>e</w:t>
      </w:r>
      <w:r w:rsidR="003972BF">
        <w:rPr>
          <w:sz w:val="18"/>
          <w:szCs w:val="18"/>
        </w:rPr>
        <w:t xml:space="preserve"> e successivamente</w:t>
      </w:r>
      <w:r w:rsidR="00AE42CD" w:rsidRPr="00B90669">
        <w:rPr>
          <w:sz w:val="18"/>
          <w:szCs w:val="18"/>
        </w:rPr>
        <w:t xml:space="preserve"> formalizzate con appositi AdP fra AMP ed EE.LL.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77FD69" w14:textId="339E28EB" w:rsidR="005E032B" w:rsidRDefault="005E032B" w:rsidP="009F1A5C">
    <w:pPr>
      <w:pStyle w:val="Intestazione"/>
      <w:pBdr>
        <w:bottom w:val="single" w:sz="6" w:space="1" w:color="EE3438"/>
      </w:pBdr>
      <w:tabs>
        <w:tab w:val="left" w:pos="3160"/>
      </w:tabs>
      <w:jc w:val="right"/>
    </w:pPr>
    <w:r w:rsidRPr="00DB7262">
      <w:rPr>
        <w:noProof/>
        <w:color w:val="A5C34C" w:themeColor="accent6" w:themeShade="BF"/>
      </w:rPr>
      <w:drawing>
        <wp:anchor distT="0" distB="0" distL="114300" distR="114300" simplePos="0" relativeHeight="251658240" behindDoc="0" locked="0" layoutInCell="1" allowOverlap="1" wp14:anchorId="71BBD5B7" wp14:editId="4E02B5C8">
          <wp:simplePos x="0" y="0"/>
          <wp:positionH relativeFrom="column">
            <wp:posOffset>-24130</wp:posOffset>
          </wp:positionH>
          <wp:positionV relativeFrom="paragraph">
            <wp:posOffset>-50165</wp:posOffset>
          </wp:positionV>
          <wp:extent cx="1068705" cy="474980"/>
          <wp:effectExtent l="0" t="0" r="0" b="1270"/>
          <wp:wrapNone/>
          <wp:docPr id="1585267231" name="Immagine 1585267231" descr="C:\Users\pace\AppData\Local\Microsoft\Windows\INetCache\Content.Word\logo_AMP_SFONDO_CHIA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ace\AppData\Local\Microsoft\Windows\INetCache\Content.Word\logo_AMP_SFONDO_CHIAR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8705" cy="474980"/>
                  </a:xfrm>
                  <a:prstGeom prst="rect">
                    <a:avLst/>
                  </a:prstGeom>
                  <a:noFill/>
                  <a:ln>
                    <a:noFill/>
                  </a:ln>
                </pic:spPr>
              </pic:pic>
            </a:graphicData>
          </a:graphic>
        </wp:anchor>
      </w:drawing>
    </w:r>
  </w:p>
  <w:p w14:paraId="5A5BB641" w14:textId="77777777" w:rsidR="005E032B" w:rsidRPr="00FD7002" w:rsidRDefault="005E032B" w:rsidP="009F1A5C">
    <w:pPr>
      <w:pStyle w:val="Intestazione"/>
      <w:pBdr>
        <w:bottom w:val="single" w:sz="6" w:space="1" w:color="EE3438"/>
      </w:pBdr>
      <w:tabs>
        <w:tab w:val="left" w:pos="3160"/>
      </w:tabs>
      <w:jc w:val="right"/>
      <w:rPr>
        <w:color w:val="EE0000"/>
      </w:rPr>
    </w:pPr>
    <w:r w:rsidRPr="00FD7002">
      <w:rPr>
        <w:color w:val="EE0000"/>
      </w:rPr>
      <w:t>Relazione sui lotti di gara - Bacino Metropolitano</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63C620" w14:textId="77777777" w:rsidR="00EA223D" w:rsidRDefault="00EA223D" w:rsidP="009F1A5C">
    <w:pPr>
      <w:pStyle w:val="Intestazione"/>
      <w:pBdr>
        <w:bottom w:val="single" w:sz="6" w:space="1" w:color="EE3438"/>
      </w:pBdr>
      <w:tabs>
        <w:tab w:val="left" w:pos="3160"/>
      </w:tabs>
      <w:jc w:val="right"/>
    </w:pPr>
    <w:r w:rsidRPr="00DB7262">
      <w:rPr>
        <w:noProof/>
        <w:color w:val="A5C34C" w:themeColor="accent6" w:themeShade="BF"/>
      </w:rPr>
      <w:drawing>
        <wp:anchor distT="0" distB="0" distL="114300" distR="114300" simplePos="0" relativeHeight="251658241" behindDoc="0" locked="0" layoutInCell="1" allowOverlap="1" wp14:anchorId="009D27F1" wp14:editId="2811F728">
          <wp:simplePos x="0" y="0"/>
          <wp:positionH relativeFrom="column">
            <wp:posOffset>-24130</wp:posOffset>
          </wp:positionH>
          <wp:positionV relativeFrom="paragraph">
            <wp:posOffset>-50165</wp:posOffset>
          </wp:positionV>
          <wp:extent cx="1068705" cy="474980"/>
          <wp:effectExtent l="0" t="0" r="0" b="1270"/>
          <wp:wrapNone/>
          <wp:docPr id="1875282722" name="Immagine 1875282722" descr="C:\Users\pace\AppData\Local\Microsoft\Windows\INetCache\Content.Word\logo_AMP_SFONDO_CHIA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ace\AppData\Local\Microsoft\Windows\INetCache\Content.Word\logo_AMP_SFONDO_CHIAR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8705" cy="474980"/>
                  </a:xfrm>
                  <a:prstGeom prst="rect">
                    <a:avLst/>
                  </a:prstGeom>
                  <a:noFill/>
                  <a:ln>
                    <a:noFill/>
                  </a:ln>
                </pic:spPr>
              </pic:pic>
            </a:graphicData>
          </a:graphic>
        </wp:anchor>
      </w:drawing>
    </w:r>
  </w:p>
  <w:p w14:paraId="0CB844B9" w14:textId="77777777" w:rsidR="00EA223D" w:rsidRPr="00FD7002" w:rsidRDefault="00EA223D" w:rsidP="009F1A5C">
    <w:pPr>
      <w:pStyle w:val="Intestazione"/>
      <w:pBdr>
        <w:bottom w:val="single" w:sz="6" w:space="1" w:color="EE3438"/>
      </w:pBdr>
      <w:tabs>
        <w:tab w:val="left" w:pos="3160"/>
      </w:tabs>
      <w:jc w:val="right"/>
      <w:rPr>
        <w:color w:val="EE0000"/>
      </w:rPr>
    </w:pPr>
    <w:r w:rsidRPr="00FD7002">
      <w:rPr>
        <w:color w:val="EE0000"/>
      </w:rPr>
      <w:t>Relazione sui lotti di gara - Bacino Metropolitano</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4DAD70" w14:textId="77777777" w:rsidR="00BA33AB" w:rsidRPr="00CB33A1" w:rsidRDefault="00BA33AB" w:rsidP="00CB33A1">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80C9F5" w14:textId="77777777" w:rsidR="00BA33AB" w:rsidRPr="00C761EB" w:rsidRDefault="00BA33AB" w:rsidP="00C761EB">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E70E924C"/>
    <w:lvl w:ilvl="0">
      <w:start w:val="1"/>
      <w:numFmt w:val="decimal"/>
      <w:pStyle w:val="Numeroelenco5"/>
      <w:lvlText w:val="%1."/>
      <w:lvlJc w:val="left"/>
      <w:pPr>
        <w:tabs>
          <w:tab w:val="num" w:pos="1492"/>
        </w:tabs>
        <w:ind w:left="1492" w:hanging="360"/>
      </w:pPr>
    </w:lvl>
  </w:abstractNum>
  <w:abstractNum w:abstractNumId="1" w15:restartNumberingAfterBreak="0">
    <w:nsid w:val="FFFFFF7D"/>
    <w:multiLevelType w:val="singleLevel"/>
    <w:tmpl w:val="54DE6404"/>
    <w:lvl w:ilvl="0">
      <w:start w:val="1"/>
      <w:numFmt w:val="decimal"/>
      <w:pStyle w:val="Numeroelenco4"/>
      <w:lvlText w:val="%1."/>
      <w:lvlJc w:val="left"/>
      <w:pPr>
        <w:tabs>
          <w:tab w:val="num" w:pos="1209"/>
        </w:tabs>
        <w:ind w:left="1209" w:hanging="360"/>
      </w:pPr>
    </w:lvl>
  </w:abstractNum>
  <w:abstractNum w:abstractNumId="2" w15:restartNumberingAfterBreak="0">
    <w:nsid w:val="FFFFFF7E"/>
    <w:multiLevelType w:val="singleLevel"/>
    <w:tmpl w:val="1FB02812"/>
    <w:lvl w:ilvl="0">
      <w:start w:val="1"/>
      <w:numFmt w:val="decimal"/>
      <w:pStyle w:val="Numeroelenco3"/>
      <w:lvlText w:val="%1."/>
      <w:lvlJc w:val="left"/>
      <w:pPr>
        <w:tabs>
          <w:tab w:val="num" w:pos="926"/>
        </w:tabs>
        <w:ind w:left="926" w:hanging="360"/>
      </w:pPr>
    </w:lvl>
  </w:abstractNum>
  <w:abstractNum w:abstractNumId="3" w15:restartNumberingAfterBreak="0">
    <w:nsid w:val="FFFFFF7F"/>
    <w:multiLevelType w:val="singleLevel"/>
    <w:tmpl w:val="5B461CD2"/>
    <w:lvl w:ilvl="0">
      <w:start w:val="1"/>
      <w:numFmt w:val="decimal"/>
      <w:pStyle w:val="Numeroelenco2"/>
      <w:lvlText w:val="%1."/>
      <w:lvlJc w:val="left"/>
      <w:pPr>
        <w:tabs>
          <w:tab w:val="num" w:pos="643"/>
        </w:tabs>
        <w:ind w:left="643" w:hanging="360"/>
      </w:pPr>
    </w:lvl>
  </w:abstractNum>
  <w:abstractNum w:abstractNumId="4" w15:restartNumberingAfterBreak="0">
    <w:nsid w:val="FFFFFF80"/>
    <w:multiLevelType w:val="singleLevel"/>
    <w:tmpl w:val="B26AFA10"/>
    <w:lvl w:ilvl="0">
      <w:start w:val="1"/>
      <w:numFmt w:val="bullet"/>
      <w:pStyle w:val="Puntoelenco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D4C218"/>
    <w:lvl w:ilvl="0">
      <w:start w:val="1"/>
      <w:numFmt w:val="bullet"/>
      <w:pStyle w:val="Puntoelenco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B4CFB3A"/>
    <w:lvl w:ilvl="0">
      <w:start w:val="1"/>
      <w:numFmt w:val="bullet"/>
      <w:pStyle w:val="Puntoelenco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6C7F00"/>
    <w:lvl w:ilvl="0">
      <w:start w:val="1"/>
      <w:numFmt w:val="bullet"/>
      <w:pStyle w:val="Puntoelenco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5B69142"/>
    <w:lvl w:ilvl="0">
      <w:start w:val="1"/>
      <w:numFmt w:val="decimal"/>
      <w:pStyle w:val="Numeroelenco"/>
      <w:lvlText w:val="%1."/>
      <w:lvlJc w:val="left"/>
      <w:pPr>
        <w:tabs>
          <w:tab w:val="num" w:pos="360"/>
        </w:tabs>
        <w:ind w:left="360" w:hanging="360"/>
      </w:pPr>
    </w:lvl>
  </w:abstractNum>
  <w:abstractNum w:abstractNumId="9" w15:restartNumberingAfterBreak="0">
    <w:nsid w:val="FFFFFF89"/>
    <w:multiLevelType w:val="singleLevel"/>
    <w:tmpl w:val="1220B336"/>
    <w:lvl w:ilvl="0">
      <w:start w:val="1"/>
      <w:numFmt w:val="bullet"/>
      <w:pStyle w:val="Puntoelenco"/>
      <w:lvlText w:val=""/>
      <w:lvlJc w:val="left"/>
      <w:pPr>
        <w:tabs>
          <w:tab w:val="num" w:pos="360"/>
        </w:tabs>
        <w:ind w:left="360" w:hanging="360"/>
      </w:pPr>
      <w:rPr>
        <w:rFonts w:ascii="Symbol" w:hAnsi="Symbol" w:hint="default"/>
      </w:rPr>
    </w:lvl>
  </w:abstractNum>
  <w:abstractNum w:abstractNumId="10" w15:restartNumberingAfterBreak="0">
    <w:nsid w:val="0000000C"/>
    <w:multiLevelType w:val="singleLevel"/>
    <w:tmpl w:val="0000000C"/>
    <w:name w:val="WW8Num18"/>
    <w:lvl w:ilvl="0">
      <w:start w:val="1"/>
      <w:numFmt w:val="bullet"/>
      <w:lvlText w:val=""/>
      <w:lvlJc w:val="left"/>
      <w:pPr>
        <w:tabs>
          <w:tab w:val="num" w:pos="720"/>
        </w:tabs>
        <w:ind w:left="720" w:hanging="360"/>
      </w:pPr>
      <w:rPr>
        <w:rFonts w:ascii="Symbol" w:hAnsi="Symbol" w:cs="Symbol"/>
      </w:rPr>
    </w:lvl>
  </w:abstractNum>
  <w:abstractNum w:abstractNumId="11" w15:restartNumberingAfterBreak="0">
    <w:nsid w:val="00000010"/>
    <w:multiLevelType w:val="singleLevel"/>
    <w:tmpl w:val="00000010"/>
    <w:name w:val="WW8Num42"/>
    <w:lvl w:ilvl="0">
      <w:start w:val="1"/>
      <w:numFmt w:val="bullet"/>
      <w:lvlText w:val=""/>
      <w:lvlJc w:val="left"/>
      <w:pPr>
        <w:tabs>
          <w:tab w:val="num" w:pos="720"/>
        </w:tabs>
        <w:ind w:left="720" w:hanging="360"/>
      </w:pPr>
      <w:rPr>
        <w:rFonts w:ascii="Symbol" w:hAnsi="Symbol" w:cs="Symbol"/>
        <w:szCs w:val="22"/>
      </w:rPr>
    </w:lvl>
  </w:abstractNum>
  <w:abstractNum w:abstractNumId="12" w15:restartNumberingAfterBreak="0">
    <w:nsid w:val="00000011"/>
    <w:multiLevelType w:val="singleLevel"/>
    <w:tmpl w:val="00000011"/>
    <w:name w:val="WW8Num44"/>
    <w:lvl w:ilvl="0">
      <w:start w:val="1"/>
      <w:numFmt w:val="bullet"/>
      <w:lvlText w:val=""/>
      <w:lvlJc w:val="left"/>
      <w:pPr>
        <w:tabs>
          <w:tab w:val="num" w:pos="720"/>
        </w:tabs>
        <w:ind w:left="720" w:hanging="360"/>
      </w:pPr>
      <w:rPr>
        <w:rFonts w:ascii="Symbol" w:hAnsi="Symbol" w:cs="Symbol"/>
        <w:sz w:val="20"/>
        <w:szCs w:val="22"/>
      </w:rPr>
    </w:lvl>
  </w:abstractNum>
  <w:abstractNum w:abstractNumId="13" w15:restartNumberingAfterBreak="0">
    <w:nsid w:val="00000014"/>
    <w:multiLevelType w:val="singleLevel"/>
    <w:tmpl w:val="00000014"/>
    <w:name w:val="WW8Num49"/>
    <w:lvl w:ilvl="0">
      <w:start w:val="1"/>
      <w:numFmt w:val="bullet"/>
      <w:lvlText w:val=""/>
      <w:lvlJc w:val="left"/>
      <w:pPr>
        <w:tabs>
          <w:tab w:val="num" w:pos="1417"/>
        </w:tabs>
        <w:ind w:left="1417" w:hanging="360"/>
      </w:pPr>
      <w:rPr>
        <w:rFonts w:ascii="Symbol" w:hAnsi="Symbol" w:cs="Symbol"/>
      </w:rPr>
    </w:lvl>
  </w:abstractNum>
  <w:abstractNum w:abstractNumId="14" w15:restartNumberingAfterBreak="0">
    <w:nsid w:val="00000015"/>
    <w:multiLevelType w:val="singleLevel"/>
    <w:tmpl w:val="00000015"/>
    <w:name w:val="WW8Num51"/>
    <w:lvl w:ilvl="0">
      <w:start w:val="1"/>
      <w:numFmt w:val="bullet"/>
      <w:lvlText w:val=""/>
      <w:lvlJc w:val="left"/>
      <w:pPr>
        <w:tabs>
          <w:tab w:val="num" w:pos="720"/>
        </w:tabs>
        <w:ind w:left="720" w:hanging="360"/>
      </w:pPr>
      <w:rPr>
        <w:rFonts w:ascii="Symbol" w:hAnsi="Symbol" w:cs="Symbol"/>
        <w:szCs w:val="22"/>
      </w:rPr>
    </w:lvl>
  </w:abstractNum>
  <w:abstractNum w:abstractNumId="15" w15:restartNumberingAfterBreak="0">
    <w:nsid w:val="00000016"/>
    <w:multiLevelType w:val="singleLevel"/>
    <w:tmpl w:val="00000016"/>
    <w:name w:val="WW8Num54"/>
    <w:lvl w:ilvl="0">
      <w:start w:val="1"/>
      <w:numFmt w:val="bullet"/>
      <w:lvlText w:val="-"/>
      <w:lvlJc w:val="left"/>
      <w:pPr>
        <w:tabs>
          <w:tab w:val="num" w:pos="720"/>
        </w:tabs>
        <w:ind w:left="720" w:hanging="360"/>
      </w:pPr>
      <w:rPr>
        <w:rFonts w:ascii="Calibri" w:hAnsi="Calibri" w:cs="Calibri"/>
        <w:szCs w:val="22"/>
        <w:highlight w:val="white"/>
      </w:rPr>
    </w:lvl>
  </w:abstractNum>
  <w:abstractNum w:abstractNumId="16" w15:restartNumberingAfterBreak="0">
    <w:nsid w:val="0000002B"/>
    <w:multiLevelType w:val="singleLevel"/>
    <w:tmpl w:val="0000002B"/>
    <w:name w:val="WW8Num45"/>
    <w:lvl w:ilvl="0">
      <w:start w:val="1"/>
      <w:numFmt w:val="bullet"/>
      <w:lvlText w:val=""/>
      <w:lvlJc w:val="left"/>
      <w:pPr>
        <w:tabs>
          <w:tab w:val="num" w:pos="360"/>
        </w:tabs>
        <w:ind w:left="360" w:hanging="360"/>
      </w:pPr>
      <w:rPr>
        <w:rFonts w:ascii="Symbol" w:hAnsi="Symbol" w:cs="Symbol"/>
      </w:rPr>
    </w:lvl>
  </w:abstractNum>
  <w:abstractNum w:abstractNumId="17" w15:restartNumberingAfterBreak="0">
    <w:nsid w:val="0000002F"/>
    <w:multiLevelType w:val="singleLevel"/>
    <w:tmpl w:val="0000002F"/>
    <w:name w:val="WW8Num58"/>
    <w:lvl w:ilvl="0">
      <w:start w:val="1"/>
      <w:numFmt w:val="bullet"/>
      <w:lvlText w:val=""/>
      <w:lvlJc w:val="left"/>
      <w:pPr>
        <w:tabs>
          <w:tab w:val="num" w:pos="720"/>
        </w:tabs>
        <w:ind w:left="720" w:hanging="360"/>
      </w:pPr>
      <w:rPr>
        <w:rFonts w:ascii="Symbol" w:hAnsi="Symbol"/>
      </w:rPr>
    </w:lvl>
  </w:abstractNum>
  <w:abstractNum w:abstractNumId="18" w15:restartNumberingAfterBreak="0">
    <w:nsid w:val="00000032"/>
    <w:multiLevelType w:val="singleLevel"/>
    <w:tmpl w:val="00000032"/>
    <w:name w:val="WW8Num61"/>
    <w:lvl w:ilvl="0">
      <w:start w:val="1"/>
      <w:numFmt w:val="bullet"/>
      <w:lvlText w:val=""/>
      <w:lvlJc w:val="left"/>
      <w:pPr>
        <w:tabs>
          <w:tab w:val="num" w:pos="720"/>
        </w:tabs>
        <w:ind w:left="720" w:hanging="360"/>
      </w:pPr>
      <w:rPr>
        <w:rFonts w:ascii="Symbol" w:hAnsi="Symbol"/>
      </w:rPr>
    </w:lvl>
  </w:abstractNum>
  <w:abstractNum w:abstractNumId="19" w15:restartNumberingAfterBreak="0">
    <w:nsid w:val="00451400"/>
    <w:multiLevelType w:val="hybridMultilevel"/>
    <w:tmpl w:val="F860FF1C"/>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0" w15:restartNumberingAfterBreak="0">
    <w:nsid w:val="037A02E4"/>
    <w:multiLevelType w:val="multilevel"/>
    <w:tmpl w:val="7BD29D44"/>
    <w:lvl w:ilvl="0">
      <w:numFmt w:val="decimal"/>
      <w:pStyle w:val="Titolo1"/>
      <w:lvlText w:val="%1"/>
      <w:lvlJc w:val="left"/>
      <w:pPr>
        <w:ind w:left="432" w:hanging="432"/>
      </w:pPr>
      <w:rPr>
        <w:rFonts w:hint="default"/>
      </w:rPr>
    </w:lvl>
    <w:lvl w:ilvl="1">
      <w:start w:val="1"/>
      <w:numFmt w:val="decimal"/>
      <w:pStyle w:val="Titolo2"/>
      <w:lvlText w:val="%1.%2"/>
      <w:lvlJc w:val="left"/>
      <w:pPr>
        <w:ind w:left="8089" w:hanging="576"/>
      </w:pPr>
      <w:rPr>
        <w:rFonts w:hint="default"/>
      </w:rPr>
    </w:lvl>
    <w:lvl w:ilvl="2">
      <w:start w:val="1"/>
      <w:numFmt w:val="decimal"/>
      <w:pStyle w:val="Titolo3"/>
      <w:lvlText w:val="%1.%2.%3"/>
      <w:lvlJc w:val="left"/>
      <w:pPr>
        <w:ind w:left="9226" w:hanging="720"/>
      </w:pPr>
      <w:rPr>
        <w:rFonts w:hint="default"/>
      </w:rPr>
    </w:lvl>
    <w:lvl w:ilvl="3">
      <w:start w:val="1"/>
      <w:numFmt w:val="decimal"/>
      <w:pStyle w:val="Titolo4"/>
      <w:lvlText w:val="%1.%2.%3.%4"/>
      <w:lvlJc w:val="left"/>
      <w:pPr>
        <w:ind w:left="864" w:hanging="864"/>
      </w:pPr>
      <w:rPr>
        <w:rFonts w:hint="default"/>
      </w:rPr>
    </w:lvl>
    <w:lvl w:ilvl="4">
      <w:start w:val="1"/>
      <w:numFmt w:val="decimal"/>
      <w:pStyle w:val="Titolo5"/>
      <w:lvlText w:val="%1.%2.%3.%4.%5"/>
      <w:lvlJc w:val="left"/>
      <w:pPr>
        <w:ind w:left="1008" w:hanging="1008"/>
      </w:pPr>
      <w:rPr>
        <w:rFonts w:hint="default"/>
      </w:rPr>
    </w:lvl>
    <w:lvl w:ilvl="5">
      <w:start w:val="1"/>
      <w:numFmt w:val="decimal"/>
      <w:pStyle w:val="Titolo6"/>
      <w:lvlText w:val="%1.%2.%3.%4.%5.%6"/>
      <w:lvlJc w:val="left"/>
      <w:pPr>
        <w:ind w:left="1152" w:hanging="1152"/>
      </w:pPr>
      <w:rPr>
        <w:rFonts w:hint="default"/>
      </w:rPr>
    </w:lvl>
    <w:lvl w:ilvl="6">
      <w:start w:val="1"/>
      <w:numFmt w:val="decimal"/>
      <w:pStyle w:val="Titolo7"/>
      <w:lvlText w:val="%1.%2.%3.%4.%5.%6.%7"/>
      <w:lvlJc w:val="left"/>
      <w:pPr>
        <w:ind w:left="1296" w:hanging="1296"/>
      </w:pPr>
      <w:rPr>
        <w:rFonts w:hint="default"/>
      </w:rPr>
    </w:lvl>
    <w:lvl w:ilvl="7">
      <w:start w:val="1"/>
      <w:numFmt w:val="decimal"/>
      <w:pStyle w:val="Titolo8"/>
      <w:lvlText w:val="%1.%2.%3.%4.%5.%6.%7.%8"/>
      <w:lvlJc w:val="left"/>
      <w:pPr>
        <w:ind w:left="1440" w:hanging="1440"/>
      </w:pPr>
      <w:rPr>
        <w:rFonts w:hint="default"/>
      </w:rPr>
    </w:lvl>
    <w:lvl w:ilvl="8">
      <w:start w:val="1"/>
      <w:numFmt w:val="decimal"/>
      <w:pStyle w:val="Titolo9"/>
      <w:lvlText w:val="%1.%2.%3.%4.%5.%6.%7.%8.%9"/>
      <w:lvlJc w:val="left"/>
      <w:pPr>
        <w:ind w:left="1584" w:hanging="1584"/>
      </w:pPr>
      <w:rPr>
        <w:rFonts w:hint="default"/>
      </w:rPr>
    </w:lvl>
  </w:abstractNum>
  <w:abstractNum w:abstractNumId="21" w15:restartNumberingAfterBreak="0">
    <w:nsid w:val="040570A3"/>
    <w:multiLevelType w:val="hybridMultilevel"/>
    <w:tmpl w:val="F376871A"/>
    <w:lvl w:ilvl="0" w:tplc="04100001">
      <w:start w:val="1"/>
      <w:numFmt w:val="bullet"/>
      <w:lvlText w:val=""/>
      <w:lvlJc w:val="left"/>
      <w:pPr>
        <w:ind w:left="1800" w:hanging="360"/>
      </w:pPr>
      <w:rPr>
        <w:rFonts w:ascii="Symbol" w:hAnsi="Symbol" w:hint="default"/>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22" w15:restartNumberingAfterBreak="0">
    <w:nsid w:val="059F45FD"/>
    <w:multiLevelType w:val="hybridMultilevel"/>
    <w:tmpl w:val="22EE46E4"/>
    <w:lvl w:ilvl="0" w:tplc="05AE601A">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0666390E"/>
    <w:multiLevelType w:val="multilevel"/>
    <w:tmpl w:val="244CC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7086CE7"/>
    <w:multiLevelType w:val="hybridMultilevel"/>
    <w:tmpl w:val="55CCF64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07200260"/>
    <w:multiLevelType w:val="hybridMultilevel"/>
    <w:tmpl w:val="8614520E"/>
    <w:lvl w:ilvl="0" w:tplc="781A1946">
      <w:start w:val="1"/>
      <w:numFmt w:val="bullet"/>
      <w:pStyle w:val="03ELENCO"/>
      <w:lvlText w:val=""/>
      <w:lvlJc w:val="left"/>
      <w:pPr>
        <w:tabs>
          <w:tab w:val="num" w:pos="360"/>
        </w:tabs>
        <w:ind w:left="360" w:hanging="360"/>
      </w:pPr>
      <w:rPr>
        <w:rFonts w:ascii="Wingdings" w:hAnsi="Wingdings"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081369A3"/>
    <w:multiLevelType w:val="hybridMultilevel"/>
    <w:tmpl w:val="B6627812"/>
    <w:lvl w:ilvl="0" w:tplc="04100001">
      <w:start w:val="1"/>
      <w:numFmt w:val="bullet"/>
      <w:lvlText w:val=""/>
      <w:lvlJc w:val="left"/>
      <w:pPr>
        <w:ind w:left="720" w:hanging="360"/>
      </w:pPr>
      <w:rPr>
        <w:rFonts w:ascii="Symbol" w:hAnsi="Symbol" w:hint="default"/>
      </w:rPr>
    </w:lvl>
    <w:lvl w:ilvl="1" w:tplc="D5884572">
      <w:numFmt w:val="bullet"/>
      <w:lvlText w:val="•"/>
      <w:lvlJc w:val="left"/>
      <w:pPr>
        <w:ind w:left="1440" w:hanging="360"/>
      </w:pPr>
      <w:rPr>
        <w:rFonts w:ascii="Calibri" w:eastAsia="Calibri" w:hAnsi="Calibri" w:cs="Calibri"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08765266"/>
    <w:multiLevelType w:val="hybridMultilevel"/>
    <w:tmpl w:val="A39C2C2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08DD3955"/>
    <w:multiLevelType w:val="hybridMultilevel"/>
    <w:tmpl w:val="6AA6C8D2"/>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9" w15:restartNumberingAfterBreak="0">
    <w:nsid w:val="0B99303E"/>
    <w:multiLevelType w:val="hybridMultilevel"/>
    <w:tmpl w:val="F6CEE33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0BE73BDC"/>
    <w:multiLevelType w:val="hybridMultilevel"/>
    <w:tmpl w:val="321A9A8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0CD03E2B"/>
    <w:multiLevelType w:val="hybridMultilevel"/>
    <w:tmpl w:val="7FD69D2E"/>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2" w15:restartNumberingAfterBreak="0">
    <w:nsid w:val="0D047B19"/>
    <w:multiLevelType w:val="hybridMultilevel"/>
    <w:tmpl w:val="25EE9B98"/>
    <w:lvl w:ilvl="0" w:tplc="9E8022F2">
      <w:start w:val="1"/>
      <w:numFmt w:val="decimal"/>
      <w:lvlText w:val="%1."/>
      <w:lvlJc w:val="left"/>
      <w:pPr>
        <w:ind w:left="1068" w:hanging="708"/>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131136DA"/>
    <w:multiLevelType w:val="hybridMultilevel"/>
    <w:tmpl w:val="0D360DA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13E86E96"/>
    <w:multiLevelType w:val="hybridMultilevel"/>
    <w:tmpl w:val="9528871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145E07BB"/>
    <w:multiLevelType w:val="hybridMultilevel"/>
    <w:tmpl w:val="6906664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168E6EBA"/>
    <w:multiLevelType w:val="hybridMultilevel"/>
    <w:tmpl w:val="2A3480DA"/>
    <w:lvl w:ilvl="0" w:tplc="04100001">
      <w:start w:val="1"/>
      <w:numFmt w:val="bullet"/>
      <w:pStyle w:val="StileTitolo1TimesNewRoman13ptGiustificatoprima0p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16BB3A9D"/>
    <w:multiLevelType w:val="hybridMultilevel"/>
    <w:tmpl w:val="C6A07FE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8" w15:restartNumberingAfterBreak="0">
    <w:nsid w:val="19225806"/>
    <w:multiLevelType w:val="hybridMultilevel"/>
    <w:tmpl w:val="44BC507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19371AFB"/>
    <w:multiLevelType w:val="hybridMultilevel"/>
    <w:tmpl w:val="A740AFC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1B955BFD"/>
    <w:multiLevelType w:val="hybridMultilevel"/>
    <w:tmpl w:val="463CBEF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15:restartNumberingAfterBreak="0">
    <w:nsid w:val="1C134218"/>
    <w:multiLevelType w:val="hybridMultilevel"/>
    <w:tmpl w:val="84649918"/>
    <w:lvl w:ilvl="0" w:tplc="97CAB8FA">
      <w:start w:val="139"/>
      <w:numFmt w:val="bullet"/>
      <w:lvlText w:val="-"/>
      <w:lvlJc w:val="left"/>
      <w:pPr>
        <w:ind w:left="36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15:restartNumberingAfterBreak="0">
    <w:nsid w:val="1CFA59FB"/>
    <w:multiLevelType w:val="hybridMultilevel"/>
    <w:tmpl w:val="549E9AB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43" w15:restartNumberingAfterBreak="0">
    <w:nsid w:val="1E6A77A5"/>
    <w:multiLevelType w:val="hybridMultilevel"/>
    <w:tmpl w:val="91608E1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4" w15:restartNumberingAfterBreak="0">
    <w:nsid w:val="20272362"/>
    <w:multiLevelType w:val="multilevel"/>
    <w:tmpl w:val="902C60A2"/>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238B4E4E"/>
    <w:multiLevelType w:val="hybridMultilevel"/>
    <w:tmpl w:val="94CA6C8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24E77CAC"/>
    <w:multiLevelType w:val="hybridMultilevel"/>
    <w:tmpl w:val="61CAF04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7" w15:restartNumberingAfterBreak="0">
    <w:nsid w:val="2A2D4B29"/>
    <w:multiLevelType w:val="hybridMultilevel"/>
    <w:tmpl w:val="34E4588E"/>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48" w15:restartNumberingAfterBreak="0">
    <w:nsid w:val="2AC33CC1"/>
    <w:multiLevelType w:val="multilevel"/>
    <w:tmpl w:val="08B445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2FF225E2"/>
    <w:multiLevelType w:val="hybridMultilevel"/>
    <w:tmpl w:val="43B4B59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50" w15:restartNumberingAfterBreak="0">
    <w:nsid w:val="334E7423"/>
    <w:multiLevelType w:val="hybridMultilevel"/>
    <w:tmpl w:val="5E206E5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1" w15:restartNumberingAfterBreak="0">
    <w:nsid w:val="33D3507E"/>
    <w:multiLevelType w:val="hybridMultilevel"/>
    <w:tmpl w:val="7D70D2C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2" w15:restartNumberingAfterBreak="0">
    <w:nsid w:val="38A25604"/>
    <w:multiLevelType w:val="hybridMultilevel"/>
    <w:tmpl w:val="22D470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53" w15:restartNumberingAfterBreak="0">
    <w:nsid w:val="398C7102"/>
    <w:multiLevelType w:val="hybridMultilevel"/>
    <w:tmpl w:val="69B2659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54" w15:restartNumberingAfterBreak="0">
    <w:nsid w:val="3FE45AF9"/>
    <w:multiLevelType w:val="hybridMultilevel"/>
    <w:tmpl w:val="8C087510"/>
    <w:lvl w:ilvl="0" w:tplc="2DB85EC8">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5" w15:restartNumberingAfterBreak="0">
    <w:nsid w:val="4142311A"/>
    <w:multiLevelType w:val="hybridMultilevel"/>
    <w:tmpl w:val="CCE0563C"/>
    <w:lvl w:ilvl="0" w:tplc="3A0AEC7C">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41A34B8B"/>
    <w:multiLevelType w:val="multilevel"/>
    <w:tmpl w:val="C2304586"/>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441E7E59"/>
    <w:multiLevelType w:val="hybridMultilevel"/>
    <w:tmpl w:val="78303240"/>
    <w:lvl w:ilvl="0" w:tplc="08090001">
      <w:start w:val="1"/>
      <w:numFmt w:val="bullet"/>
      <w:lvlText w:val=""/>
      <w:lvlJc w:val="left"/>
      <w:pPr>
        <w:ind w:left="720" w:hanging="360"/>
      </w:pPr>
      <w:rPr>
        <w:rFonts w:ascii="Symbol" w:hAnsi="Symbol" w:hint="default"/>
      </w:rPr>
    </w:lvl>
    <w:lvl w:ilvl="1" w:tplc="2226525C">
      <w:numFmt w:val="bullet"/>
      <w:lvlText w:val="•"/>
      <w:lvlJc w:val="left"/>
      <w:pPr>
        <w:ind w:left="1785" w:hanging="705"/>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444833EB"/>
    <w:multiLevelType w:val="hybridMultilevel"/>
    <w:tmpl w:val="DC74DE9C"/>
    <w:lvl w:ilvl="0" w:tplc="0410000B">
      <w:start w:val="1"/>
      <w:numFmt w:val="bullet"/>
      <w:lvlText w:val=""/>
      <w:lvlJc w:val="left"/>
      <w:pPr>
        <w:ind w:left="720" w:hanging="360"/>
      </w:pPr>
      <w:rPr>
        <w:rFonts w:ascii="Wingdings" w:hAnsi="Wingding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9" w15:restartNumberingAfterBreak="0">
    <w:nsid w:val="44D6766B"/>
    <w:multiLevelType w:val="multilevel"/>
    <w:tmpl w:val="65421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453D759A"/>
    <w:multiLevelType w:val="hybridMultilevel"/>
    <w:tmpl w:val="C8F886B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1" w15:restartNumberingAfterBreak="0">
    <w:nsid w:val="45674D11"/>
    <w:multiLevelType w:val="multilevel"/>
    <w:tmpl w:val="11FC30BE"/>
    <w:lvl w:ilvl="0">
      <w:start w:val="1"/>
      <w:numFmt w:val="decimal"/>
      <w:lvlText w:val="%1."/>
      <w:lvlJc w:val="left"/>
      <w:pPr>
        <w:ind w:left="360" w:hanging="360"/>
      </w:pPr>
    </w:lvl>
    <w:lvl w:ilvl="1">
      <w:start w:val="1"/>
      <w:numFmt w:val="decimal"/>
      <w:pStyle w:val="Stile4"/>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45EA7295"/>
    <w:multiLevelType w:val="hybridMultilevel"/>
    <w:tmpl w:val="00AE67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3" w15:restartNumberingAfterBreak="0">
    <w:nsid w:val="48CC6D95"/>
    <w:multiLevelType w:val="multilevel"/>
    <w:tmpl w:val="9ACE5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49284B96"/>
    <w:multiLevelType w:val="hybridMultilevel"/>
    <w:tmpl w:val="D97E663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5" w15:restartNumberingAfterBreak="0">
    <w:nsid w:val="4A3C1F8A"/>
    <w:multiLevelType w:val="hybridMultilevel"/>
    <w:tmpl w:val="38547A8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66" w15:restartNumberingAfterBreak="0">
    <w:nsid w:val="4AEF781B"/>
    <w:multiLevelType w:val="hybridMultilevel"/>
    <w:tmpl w:val="0AD269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4AFC785B"/>
    <w:multiLevelType w:val="hybridMultilevel"/>
    <w:tmpl w:val="FFCCF4EE"/>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68" w15:restartNumberingAfterBreak="0">
    <w:nsid w:val="4CF50743"/>
    <w:multiLevelType w:val="hybridMultilevel"/>
    <w:tmpl w:val="7C46177E"/>
    <w:lvl w:ilvl="0" w:tplc="04100001">
      <w:start w:val="1"/>
      <w:numFmt w:val="bullet"/>
      <w:lvlText w:val=""/>
      <w:lvlJc w:val="left"/>
      <w:pPr>
        <w:ind w:left="715" w:hanging="360"/>
      </w:pPr>
      <w:rPr>
        <w:rFonts w:ascii="Symbol" w:hAnsi="Symbol" w:hint="default"/>
      </w:rPr>
    </w:lvl>
    <w:lvl w:ilvl="1" w:tplc="04100003" w:tentative="1">
      <w:start w:val="1"/>
      <w:numFmt w:val="bullet"/>
      <w:lvlText w:val="o"/>
      <w:lvlJc w:val="left"/>
      <w:pPr>
        <w:ind w:left="1435" w:hanging="360"/>
      </w:pPr>
      <w:rPr>
        <w:rFonts w:ascii="Courier New" w:hAnsi="Courier New" w:cs="Courier New" w:hint="default"/>
      </w:rPr>
    </w:lvl>
    <w:lvl w:ilvl="2" w:tplc="04100005" w:tentative="1">
      <w:start w:val="1"/>
      <w:numFmt w:val="bullet"/>
      <w:lvlText w:val=""/>
      <w:lvlJc w:val="left"/>
      <w:pPr>
        <w:ind w:left="2155" w:hanging="360"/>
      </w:pPr>
      <w:rPr>
        <w:rFonts w:ascii="Wingdings" w:hAnsi="Wingdings" w:hint="default"/>
      </w:rPr>
    </w:lvl>
    <w:lvl w:ilvl="3" w:tplc="04100001" w:tentative="1">
      <w:start w:val="1"/>
      <w:numFmt w:val="bullet"/>
      <w:lvlText w:val=""/>
      <w:lvlJc w:val="left"/>
      <w:pPr>
        <w:ind w:left="2875" w:hanging="360"/>
      </w:pPr>
      <w:rPr>
        <w:rFonts w:ascii="Symbol" w:hAnsi="Symbol" w:hint="default"/>
      </w:rPr>
    </w:lvl>
    <w:lvl w:ilvl="4" w:tplc="04100003" w:tentative="1">
      <w:start w:val="1"/>
      <w:numFmt w:val="bullet"/>
      <w:lvlText w:val="o"/>
      <w:lvlJc w:val="left"/>
      <w:pPr>
        <w:ind w:left="3595" w:hanging="360"/>
      </w:pPr>
      <w:rPr>
        <w:rFonts w:ascii="Courier New" w:hAnsi="Courier New" w:cs="Courier New" w:hint="default"/>
      </w:rPr>
    </w:lvl>
    <w:lvl w:ilvl="5" w:tplc="04100005" w:tentative="1">
      <w:start w:val="1"/>
      <w:numFmt w:val="bullet"/>
      <w:lvlText w:val=""/>
      <w:lvlJc w:val="left"/>
      <w:pPr>
        <w:ind w:left="4315" w:hanging="360"/>
      </w:pPr>
      <w:rPr>
        <w:rFonts w:ascii="Wingdings" w:hAnsi="Wingdings" w:hint="default"/>
      </w:rPr>
    </w:lvl>
    <w:lvl w:ilvl="6" w:tplc="04100001" w:tentative="1">
      <w:start w:val="1"/>
      <w:numFmt w:val="bullet"/>
      <w:lvlText w:val=""/>
      <w:lvlJc w:val="left"/>
      <w:pPr>
        <w:ind w:left="5035" w:hanging="360"/>
      </w:pPr>
      <w:rPr>
        <w:rFonts w:ascii="Symbol" w:hAnsi="Symbol" w:hint="default"/>
      </w:rPr>
    </w:lvl>
    <w:lvl w:ilvl="7" w:tplc="04100003" w:tentative="1">
      <w:start w:val="1"/>
      <w:numFmt w:val="bullet"/>
      <w:lvlText w:val="o"/>
      <w:lvlJc w:val="left"/>
      <w:pPr>
        <w:ind w:left="5755" w:hanging="360"/>
      </w:pPr>
      <w:rPr>
        <w:rFonts w:ascii="Courier New" w:hAnsi="Courier New" w:cs="Courier New" w:hint="default"/>
      </w:rPr>
    </w:lvl>
    <w:lvl w:ilvl="8" w:tplc="04100005" w:tentative="1">
      <w:start w:val="1"/>
      <w:numFmt w:val="bullet"/>
      <w:lvlText w:val=""/>
      <w:lvlJc w:val="left"/>
      <w:pPr>
        <w:ind w:left="6475" w:hanging="360"/>
      </w:pPr>
      <w:rPr>
        <w:rFonts w:ascii="Wingdings" w:hAnsi="Wingdings" w:hint="default"/>
      </w:rPr>
    </w:lvl>
  </w:abstractNum>
  <w:abstractNum w:abstractNumId="69" w15:restartNumberingAfterBreak="0">
    <w:nsid w:val="4D847AE2"/>
    <w:multiLevelType w:val="hybridMultilevel"/>
    <w:tmpl w:val="127C8AF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0" w15:restartNumberingAfterBreak="0">
    <w:nsid w:val="4FF244BF"/>
    <w:multiLevelType w:val="multilevel"/>
    <w:tmpl w:val="F6AA779A"/>
    <w:lvl w:ilvl="0">
      <w:start w:val="139"/>
      <w:numFmt w:val="bullet"/>
      <w:lvlText w:val="-"/>
      <w:lvlJc w:val="left"/>
      <w:pPr>
        <w:tabs>
          <w:tab w:val="num" w:pos="720"/>
        </w:tabs>
        <w:ind w:left="720" w:hanging="360"/>
      </w:pPr>
      <w:rPr>
        <w:rFonts w:ascii="Calibri" w:eastAsia="Calibri" w:hAnsi="Calibri" w:cs="Calibri"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51B14A60"/>
    <w:multiLevelType w:val="hybridMultilevel"/>
    <w:tmpl w:val="F730B06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72" w15:restartNumberingAfterBreak="0">
    <w:nsid w:val="52BB1227"/>
    <w:multiLevelType w:val="hybridMultilevel"/>
    <w:tmpl w:val="37E0ECB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3" w15:restartNumberingAfterBreak="0">
    <w:nsid w:val="52D75330"/>
    <w:multiLevelType w:val="hybridMultilevel"/>
    <w:tmpl w:val="53E053CE"/>
    <w:lvl w:ilvl="0" w:tplc="04100001">
      <w:start w:val="1"/>
      <w:numFmt w:val="bullet"/>
      <w:lvlText w:val=""/>
      <w:lvlJc w:val="left"/>
      <w:pPr>
        <w:ind w:left="1800" w:hanging="360"/>
      </w:pPr>
      <w:rPr>
        <w:rFonts w:ascii="Symbol" w:hAnsi="Symbol" w:hint="default"/>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74" w15:restartNumberingAfterBreak="0">
    <w:nsid w:val="537449AA"/>
    <w:multiLevelType w:val="hybridMultilevel"/>
    <w:tmpl w:val="72D60F40"/>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5" w15:restartNumberingAfterBreak="0">
    <w:nsid w:val="545F76F6"/>
    <w:multiLevelType w:val="hybridMultilevel"/>
    <w:tmpl w:val="011CE8A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6" w15:restartNumberingAfterBreak="0">
    <w:nsid w:val="54B237E3"/>
    <w:multiLevelType w:val="hybridMultilevel"/>
    <w:tmpl w:val="1E003020"/>
    <w:lvl w:ilvl="0" w:tplc="C71E7A0C">
      <w:start w:val="1"/>
      <w:numFmt w:val="bullet"/>
      <w:lvlText w:val="·"/>
      <w:lvlJc w:val="left"/>
      <w:pPr>
        <w:ind w:left="720" w:hanging="360"/>
      </w:pPr>
      <w:rPr>
        <w:rFonts w:ascii="Symbol" w:hAnsi="Symbol" w:hint="default"/>
      </w:rPr>
    </w:lvl>
    <w:lvl w:ilvl="1" w:tplc="79F053D8">
      <w:start w:val="1"/>
      <w:numFmt w:val="bullet"/>
      <w:lvlText w:val="o"/>
      <w:lvlJc w:val="left"/>
      <w:pPr>
        <w:ind w:left="1440" w:hanging="360"/>
      </w:pPr>
      <w:rPr>
        <w:rFonts w:ascii="Courier New" w:hAnsi="Courier New" w:hint="default"/>
      </w:rPr>
    </w:lvl>
    <w:lvl w:ilvl="2" w:tplc="DA241EA4">
      <w:start w:val="1"/>
      <w:numFmt w:val="bullet"/>
      <w:lvlText w:val=""/>
      <w:lvlJc w:val="left"/>
      <w:pPr>
        <w:ind w:left="2160" w:hanging="360"/>
      </w:pPr>
      <w:rPr>
        <w:rFonts w:ascii="Wingdings" w:hAnsi="Wingdings" w:hint="default"/>
      </w:rPr>
    </w:lvl>
    <w:lvl w:ilvl="3" w:tplc="BFD604B2">
      <w:start w:val="1"/>
      <w:numFmt w:val="bullet"/>
      <w:lvlText w:val=""/>
      <w:lvlJc w:val="left"/>
      <w:pPr>
        <w:ind w:left="2880" w:hanging="360"/>
      </w:pPr>
      <w:rPr>
        <w:rFonts w:ascii="Symbol" w:hAnsi="Symbol" w:hint="default"/>
      </w:rPr>
    </w:lvl>
    <w:lvl w:ilvl="4" w:tplc="68A8845E">
      <w:start w:val="1"/>
      <w:numFmt w:val="bullet"/>
      <w:lvlText w:val="o"/>
      <w:lvlJc w:val="left"/>
      <w:pPr>
        <w:ind w:left="3600" w:hanging="360"/>
      </w:pPr>
      <w:rPr>
        <w:rFonts w:ascii="Courier New" w:hAnsi="Courier New" w:hint="default"/>
      </w:rPr>
    </w:lvl>
    <w:lvl w:ilvl="5" w:tplc="7FA0B986">
      <w:start w:val="1"/>
      <w:numFmt w:val="bullet"/>
      <w:lvlText w:val=""/>
      <w:lvlJc w:val="left"/>
      <w:pPr>
        <w:ind w:left="4320" w:hanging="360"/>
      </w:pPr>
      <w:rPr>
        <w:rFonts w:ascii="Wingdings" w:hAnsi="Wingdings" w:hint="default"/>
      </w:rPr>
    </w:lvl>
    <w:lvl w:ilvl="6" w:tplc="D8F60BE4">
      <w:start w:val="1"/>
      <w:numFmt w:val="bullet"/>
      <w:lvlText w:val=""/>
      <w:lvlJc w:val="left"/>
      <w:pPr>
        <w:ind w:left="5040" w:hanging="360"/>
      </w:pPr>
      <w:rPr>
        <w:rFonts w:ascii="Symbol" w:hAnsi="Symbol" w:hint="default"/>
      </w:rPr>
    </w:lvl>
    <w:lvl w:ilvl="7" w:tplc="7BBA1748">
      <w:start w:val="1"/>
      <w:numFmt w:val="bullet"/>
      <w:lvlText w:val="o"/>
      <w:lvlJc w:val="left"/>
      <w:pPr>
        <w:ind w:left="5760" w:hanging="360"/>
      </w:pPr>
      <w:rPr>
        <w:rFonts w:ascii="Courier New" w:hAnsi="Courier New" w:hint="default"/>
      </w:rPr>
    </w:lvl>
    <w:lvl w:ilvl="8" w:tplc="67C68900">
      <w:start w:val="1"/>
      <w:numFmt w:val="bullet"/>
      <w:lvlText w:val=""/>
      <w:lvlJc w:val="left"/>
      <w:pPr>
        <w:ind w:left="6480" w:hanging="360"/>
      </w:pPr>
      <w:rPr>
        <w:rFonts w:ascii="Wingdings" w:hAnsi="Wingdings" w:hint="default"/>
      </w:rPr>
    </w:lvl>
  </w:abstractNum>
  <w:abstractNum w:abstractNumId="77" w15:restartNumberingAfterBreak="0">
    <w:nsid w:val="552A7904"/>
    <w:multiLevelType w:val="hybridMultilevel"/>
    <w:tmpl w:val="C5F026C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8" w15:restartNumberingAfterBreak="0">
    <w:nsid w:val="5879DED0"/>
    <w:multiLevelType w:val="hybridMultilevel"/>
    <w:tmpl w:val="FFFFFFFF"/>
    <w:lvl w:ilvl="0" w:tplc="696CC3CA">
      <w:start w:val="1"/>
      <w:numFmt w:val="bullet"/>
      <w:lvlText w:val=""/>
      <w:lvlJc w:val="left"/>
      <w:pPr>
        <w:ind w:left="720" w:hanging="360"/>
      </w:pPr>
      <w:rPr>
        <w:rFonts w:ascii="Symbol" w:hAnsi="Symbol" w:hint="default"/>
      </w:rPr>
    </w:lvl>
    <w:lvl w:ilvl="1" w:tplc="D4B82A0C">
      <w:start w:val="1"/>
      <w:numFmt w:val="bullet"/>
      <w:lvlText w:val="o"/>
      <w:lvlJc w:val="left"/>
      <w:pPr>
        <w:ind w:left="1440" w:hanging="360"/>
      </w:pPr>
      <w:rPr>
        <w:rFonts w:ascii="Courier New" w:hAnsi="Courier New" w:hint="default"/>
      </w:rPr>
    </w:lvl>
    <w:lvl w:ilvl="2" w:tplc="5B983EAA">
      <w:start w:val="1"/>
      <w:numFmt w:val="bullet"/>
      <w:lvlText w:val=""/>
      <w:lvlJc w:val="left"/>
      <w:pPr>
        <w:ind w:left="2160" w:hanging="360"/>
      </w:pPr>
      <w:rPr>
        <w:rFonts w:ascii="Wingdings" w:hAnsi="Wingdings" w:hint="default"/>
      </w:rPr>
    </w:lvl>
    <w:lvl w:ilvl="3" w:tplc="6A443EBC">
      <w:start w:val="1"/>
      <w:numFmt w:val="bullet"/>
      <w:lvlText w:val=""/>
      <w:lvlJc w:val="left"/>
      <w:pPr>
        <w:ind w:left="2880" w:hanging="360"/>
      </w:pPr>
      <w:rPr>
        <w:rFonts w:ascii="Symbol" w:hAnsi="Symbol" w:hint="default"/>
      </w:rPr>
    </w:lvl>
    <w:lvl w:ilvl="4" w:tplc="0194ECE4">
      <w:start w:val="1"/>
      <w:numFmt w:val="bullet"/>
      <w:lvlText w:val="o"/>
      <w:lvlJc w:val="left"/>
      <w:pPr>
        <w:ind w:left="3600" w:hanging="360"/>
      </w:pPr>
      <w:rPr>
        <w:rFonts w:ascii="Courier New" w:hAnsi="Courier New" w:hint="default"/>
      </w:rPr>
    </w:lvl>
    <w:lvl w:ilvl="5" w:tplc="726E7890">
      <w:start w:val="1"/>
      <w:numFmt w:val="bullet"/>
      <w:lvlText w:val=""/>
      <w:lvlJc w:val="left"/>
      <w:pPr>
        <w:ind w:left="4320" w:hanging="360"/>
      </w:pPr>
      <w:rPr>
        <w:rFonts w:ascii="Wingdings" w:hAnsi="Wingdings" w:hint="default"/>
      </w:rPr>
    </w:lvl>
    <w:lvl w:ilvl="6" w:tplc="CE868BE4">
      <w:start w:val="1"/>
      <w:numFmt w:val="bullet"/>
      <w:lvlText w:val=""/>
      <w:lvlJc w:val="left"/>
      <w:pPr>
        <w:ind w:left="5040" w:hanging="360"/>
      </w:pPr>
      <w:rPr>
        <w:rFonts w:ascii="Symbol" w:hAnsi="Symbol" w:hint="default"/>
      </w:rPr>
    </w:lvl>
    <w:lvl w:ilvl="7" w:tplc="5366C280">
      <w:start w:val="1"/>
      <w:numFmt w:val="bullet"/>
      <w:lvlText w:val="o"/>
      <w:lvlJc w:val="left"/>
      <w:pPr>
        <w:ind w:left="5760" w:hanging="360"/>
      </w:pPr>
      <w:rPr>
        <w:rFonts w:ascii="Courier New" w:hAnsi="Courier New" w:hint="default"/>
      </w:rPr>
    </w:lvl>
    <w:lvl w:ilvl="8" w:tplc="36047F9C">
      <w:start w:val="1"/>
      <w:numFmt w:val="bullet"/>
      <w:lvlText w:val=""/>
      <w:lvlJc w:val="left"/>
      <w:pPr>
        <w:ind w:left="6480" w:hanging="360"/>
      </w:pPr>
      <w:rPr>
        <w:rFonts w:ascii="Wingdings" w:hAnsi="Wingdings" w:hint="default"/>
      </w:rPr>
    </w:lvl>
  </w:abstractNum>
  <w:abstractNum w:abstractNumId="79" w15:restartNumberingAfterBreak="0">
    <w:nsid w:val="5886614A"/>
    <w:multiLevelType w:val="hybridMultilevel"/>
    <w:tmpl w:val="52C277A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0" w15:restartNumberingAfterBreak="0">
    <w:nsid w:val="599D2E6D"/>
    <w:multiLevelType w:val="multilevel"/>
    <w:tmpl w:val="91560430"/>
    <w:lvl w:ilvl="0">
      <w:start w:val="1"/>
      <w:numFmt w:val="decimal"/>
      <w:pStyle w:val="01TitoloCapitolo"/>
      <w:lvlText w:val="%1."/>
      <w:lvlJc w:val="left"/>
      <w:pPr>
        <w:tabs>
          <w:tab w:val="num" w:pos="0"/>
        </w:tabs>
        <w:ind w:left="539" w:hanging="539"/>
      </w:pPr>
      <w:rPr>
        <w:rFonts w:hint="default"/>
      </w:rPr>
    </w:lvl>
    <w:lvl w:ilvl="1">
      <w:start w:val="1"/>
      <w:numFmt w:val="decimal"/>
      <w:pStyle w:val="01titoloparagrafo"/>
      <w:lvlText w:val="%1.%2."/>
      <w:lvlJc w:val="left"/>
      <w:pPr>
        <w:tabs>
          <w:tab w:val="num" w:pos="180"/>
        </w:tabs>
        <w:ind w:left="719" w:hanging="539"/>
      </w:pPr>
      <w:rPr>
        <w:rFonts w:hint="default"/>
      </w:rPr>
    </w:lvl>
    <w:lvl w:ilvl="2">
      <w:start w:val="1"/>
      <w:numFmt w:val="none"/>
      <w:suff w:val="nothing"/>
      <w:lvlText w:val=""/>
      <w:lvlJc w:val="left"/>
      <w:pPr>
        <w:ind w:left="-357" w:firstLine="0"/>
      </w:pPr>
      <w:rPr>
        <w:rFonts w:hint="default"/>
      </w:rPr>
    </w:lvl>
    <w:lvl w:ilvl="3">
      <w:start w:val="1"/>
      <w:numFmt w:val="none"/>
      <w:suff w:val="nothing"/>
      <w:lvlText w:val=""/>
      <w:lvlJc w:val="left"/>
      <w:pPr>
        <w:ind w:left="-357" w:firstLine="0"/>
      </w:pPr>
      <w:rPr>
        <w:rFonts w:hint="default"/>
      </w:rPr>
    </w:lvl>
    <w:lvl w:ilvl="4">
      <w:start w:val="1"/>
      <w:numFmt w:val="none"/>
      <w:suff w:val="nothing"/>
      <w:lvlText w:val=""/>
      <w:lvlJc w:val="left"/>
      <w:pPr>
        <w:ind w:left="-357" w:firstLine="0"/>
      </w:pPr>
      <w:rPr>
        <w:rFonts w:hint="default"/>
      </w:rPr>
    </w:lvl>
    <w:lvl w:ilvl="5">
      <w:start w:val="1"/>
      <w:numFmt w:val="none"/>
      <w:suff w:val="nothing"/>
      <w:lvlText w:val=""/>
      <w:lvlJc w:val="left"/>
      <w:pPr>
        <w:ind w:left="-357" w:firstLine="0"/>
      </w:pPr>
      <w:rPr>
        <w:rFonts w:hint="default"/>
      </w:rPr>
    </w:lvl>
    <w:lvl w:ilvl="6">
      <w:start w:val="1"/>
      <w:numFmt w:val="none"/>
      <w:suff w:val="nothing"/>
      <w:lvlText w:val=""/>
      <w:lvlJc w:val="left"/>
      <w:pPr>
        <w:ind w:left="-357" w:firstLine="0"/>
      </w:pPr>
      <w:rPr>
        <w:rFonts w:hint="default"/>
      </w:rPr>
    </w:lvl>
    <w:lvl w:ilvl="7">
      <w:start w:val="1"/>
      <w:numFmt w:val="none"/>
      <w:suff w:val="nothing"/>
      <w:lvlText w:val=""/>
      <w:lvlJc w:val="left"/>
      <w:pPr>
        <w:ind w:left="-357" w:firstLine="0"/>
      </w:pPr>
      <w:rPr>
        <w:rFonts w:hint="default"/>
      </w:rPr>
    </w:lvl>
    <w:lvl w:ilvl="8">
      <w:start w:val="1"/>
      <w:numFmt w:val="none"/>
      <w:suff w:val="nothing"/>
      <w:lvlText w:val=""/>
      <w:lvlJc w:val="left"/>
      <w:pPr>
        <w:ind w:left="-357" w:firstLine="0"/>
      </w:pPr>
      <w:rPr>
        <w:rFonts w:hint="default"/>
      </w:rPr>
    </w:lvl>
  </w:abstractNum>
  <w:abstractNum w:abstractNumId="81" w15:restartNumberingAfterBreak="0">
    <w:nsid w:val="59D63639"/>
    <w:multiLevelType w:val="hybridMultilevel"/>
    <w:tmpl w:val="E4622078"/>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82" w15:restartNumberingAfterBreak="0">
    <w:nsid w:val="5AB63AFD"/>
    <w:multiLevelType w:val="hybridMultilevel"/>
    <w:tmpl w:val="B604591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3" w15:restartNumberingAfterBreak="0">
    <w:nsid w:val="5DB8201C"/>
    <w:multiLevelType w:val="hybridMultilevel"/>
    <w:tmpl w:val="F4AC173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4" w15:restartNumberingAfterBreak="0">
    <w:nsid w:val="5EB03D64"/>
    <w:multiLevelType w:val="multilevel"/>
    <w:tmpl w:val="E08AA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5EE411AE"/>
    <w:multiLevelType w:val="hybridMultilevel"/>
    <w:tmpl w:val="0930C34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6" w15:restartNumberingAfterBreak="0">
    <w:nsid w:val="60B0178B"/>
    <w:multiLevelType w:val="multilevel"/>
    <w:tmpl w:val="AC26CA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6173538B"/>
    <w:multiLevelType w:val="hybridMultilevel"/>
    <w:tmpl w:val="7F66FC6C"/>
    <w:lvl w:ilvl="0" w:tplc="DEFA9FEC">
      <w:start w:val="3"/>
      <w:numFmt w:val="bullet"/>
      <w:lvlText w:val="-"/>
      <w:lvlJc w:val="left"/>
      <w:pPr>
        <w:ind w:left="720" w:hanging="360"/>
      </w:pPr>
      <w:rPr>
        <w:rFonts w:ascii="Cambria" w:eastAsiaTheme="minorEastAsia" w:hAnsi="Cambria"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8" w15:restartNumberingAfterBreak="0">
    <w:nsid w:val="624368C0"/>
    <w:multiLevelType w:val="hybridMultilevel"/>
    <w:tmpl w:val="63063AF0"/>
    <w:lvl w:ilvl="0" w:tplc="0410000F">
      <w:start w:val="1"/>
      <w:numFmt w:val="decimal"/>
      <w:lvlText w:val="%1."/>
      <w:lvlJc w:val="left"/>
      <w:pPr>
        <w:ind w:left="720" w:hanging="360"/>
      </w:pPr>
    </w:lvl>
    <w:lvl w:ilvl="1" w:tplc="92BA6A9C">
      <w:numFmt w:val="bullet"/>
      <w:lvlText w:val="-"/>
      <w:lvlJc w:val="left"/>
      <w:pPr>
        <w:ind w:left="1440" w:hanging="360"/>
      </w:pPr>
      <w:rPr>
        <w:rFonts w:ascii="Calibri" w:eastAsiaTheme="minorHAnsi" w:hAnsi="Calibri" w:cs="Calibri"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9" w15:restartNumberingAfterBreak="0">
    <w:nsid w:val="644E5604"/>
    <w:multiLevelType w:val="hybridMultilevel"/>
    <w:tmpl w:val="BCC8E6F0"/>
    <w:lvl w:ilvl="0" w:tplc="04100001">
      <w:start w:val="1"/>
      <w:numFmt w:val="upperRoman"/>
      <w:pStyle w:val="0titolo"/>
      <w:lvlText w:val="CAP. %1"/>
      <w:lvlJc w:val="left"/>
      <w:pPr>
        <w:tabs>
          <w:tab w:val="num" w:pos="720"/>
        </w:tabs>
        <w:ind w:left="720" w:hanging="720"/>
      </w:pPr>
      <w:rPr>
        <w:rFonts w:hint="default"/>
      </w:rPr>
    </w:lvl>
    <w:lvl w:ilvl="1" w:tplc="04100003" w:tentative="1">
      <w:start w:val="1"/>
      <w:numFmt w:val="lowerLetter"/>
      <w:lvlText w:val="%2."/>
      <w:lvlJc w:val="left"/>
      <w:pPr>
        <w:tabs>
          <w:tab w:val="num" w:pos="1440"/>
        </w:tabs>
        <w:ind w:left="1440" w:hanging="360"/>
      </w:pPr>
    </w:lvl>
    <w:lvl w:ilvl="2" w:tplc="04100005" w:tentative="1">
      <w:start w:val="1"/>
      <w:numFmt w:val="lowerRoman"/>
      <w:lvlText w:val="%3."/>
      <w:lvlJc w:val="right"/>
      <w:pPr>
        <w:tabs>
          <w:tab w:val="num" w:pos="2160"/>
        </w:tabs>
        <w:ind w:left="2160" w:hanging="180"/>
      </w:pPr>
    </w:lvl>
    <w:lvl w:ilvl="3" w:tplc="04100001" w:tentative="1">
      <w:start w:val="1"/>
      <w:numFmt w:val="decimal"/>
      <w:lvlText w:val="%4."/>
      <w:lvlJc w:val="left"/>
      <w:pPr>
        <w:tabs>
          <w:tab w:val="num" w:pos="2880"/>
        </w:tabs>
        <w:ind w:left="2880" w:hanging="360"/>
      </w:pPr>
    </w:lvl>
    <w:lvl w:ilvl="4" w:tplc="04100003" w:tentative="1">
      <w:start w:val="1"/>
      <w:numFmt w:val="lowerLetter"/>
      <w:lvlText w:val="%5."/>
      <w:lvlJc w:val="left"/>
      <w:pPr>
        <w:tabs>
          <w:tab w:val="num" w:pos="3600"/>
        </w:tabs>
        <w:ind w:left="3600" w:hanging="360"/>
      </w:pPr>
    </w:lvl>
    <w:lvl w:ilvl="5" w:tplc="04100005" w:tentative="1">
      <w:start w:val="1"/>
      <w:numFmt w:val="lowerRoman"/>
      <w:lvlText w:val="%6."/>
      <w:lvlJc w:val="right"/>
      <w:pPr>
        <w:tabs>
          <w:tab w:val="num" w:pos="4320"/>
        </w:tabs>
        <w:ind w:left="4320" w:hanging="180"/>
      </w:pPr>
    </w:lvl>
    <w:lvl w:ilvl="6" w:tplc="04100001" w:tentative="1">
      <w:start w:val="1"/>
      <w:numFmt w:val="decimal"/>
      <w:lvlText w:val="%7."/>
      <w:lvlJc w:val="left"/>
      <w:pPr>
        <w:tabs>
          <w:tab w:val="num" w:pos="5040"/>
        </w:tabs>
        <w:ind w:left="5040" w:hanging="360"/>
      </w:pPr>
    </w:lvl>
    <w:lvl w:ilvl="7" w:tplc="04100003" w:tentative="1">
      <w:start w:val="1"/>
      <w:numFmt w:val="lowerLetter"/>
      <w:lvlText w:val="%8."/>
      <w:lvlJc w:val="left"/>
      <w:pPr>
        <w:tabs>
          <w:tab w:val="num" w:pos="5760"/>
        </w:tabs>
        <w:ind w:left="5760" w:hanging="360"/>
      </w:pPr>
    </w:lvl>
    <w:lvl w:ilvl="8" w:tplc="04100005" w:tentative="1">
      <w:start w:val="1"/>
      <w:numFmt w:val="lowerRoman"/>
      <w:lvlText w:val="%9."/>
      <w:lvlJc w:val="right"/>
      <w:pPr>
        <w:tabs>
          <w:tab w:val="num" w:pos="6480"/>
        </w:tabs>
        <w:ind w:left="6480" w:hanging="180"/>
      </w:pPr>
    </w:lvl>
  </w:abstractNum>
  <w:abstractNum w:abstractNumId="90" w15:restartNumberingAfterBreak="0">
    <w:nsid w:val="659C4E0B"/>
    <w:multiLevelType w:val="hybridMultilevel"/>
    <w:tmpl w:val="9D4A85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91" w15:restartNumberingAfterBreak="0">
    <w:nsid w:val="659C6EB3"/>
    <w:multiLevelType w:val="multilevel"/>
    <w:tmpl w:val="40960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66A47631"/>
    <w:multiLevelType w:val="multilevel"/>
    <w:tmpl w:val="795EAAF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00"/>
      <w:numFmt w:val="bullet"/>
      <w:lvlText w:val="-"/>
      <w:lvlJc w:val="left"/>
      <w:pPr>
        <w:ind w:left="2160" w:hanging="360"/>
      </w:pPr>
      <w:rPr>
        <w:rFonts w:ascii="Calibri" w:eastAsiaTheme="minorHAnsi" w:hAnsi="Calibri" w:cs="Calibri"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15:restartNumberingAfterBreak="0">
    <w:nsid w:val="70467D94"/>
    <w:multiLevelType w:val="hybridMultilevel"/>
    <w:tmpl w:val="F04C292E"/>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94" w15:restartNumberingAfterBreak="0">
    <w:nsid w:val="730903E7"/>
    <w:multiLevelType w:val="hybridMultilevel"/>
    <w:tmpl w:val="E414550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5" w15:restartNumberingAfterBreak="0">
    <w:nsid w:val="73485A2F"/>
    <w:multiLevelType w:val="hybridMultilevel"/>
    <w:tmpl w:val="0CA68AEE"/>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96" w15:restartNumberingAfterBreak="0">
    <w:nsid w:val="73B3693B"/>
    <w:multiLevelType w:val="hybridMultilevel"/>
    <w:tmpl w:val="732CE6D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7" w15:restartNumberingAfterBreak="0">
    <w:nsid w:val="7409454D"/>
    <w:multiLevelType w:val="hybridMultilevel"/>
    <w:tmpl w:val="BE566FF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8" w15:restartNumberingAfterBreak="0">
    <w:nsid w:val="74CA4726"/>
    <w:multiLevelType w:val="hybridMultilevel"/>
    <w:tmpl w:val="A0F0A6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9" w15:restartNumberingAfterBreak="0">
    <w:nsid w:val="75B900A4"/>
    <w:multiLevelType w:val="hybridMultilevel"/>
    <w:tmpl w:val="8D0685F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0" w15:restartNumberingAfterBreak="0">
    <w:nsid w:val="76FA22E4"/>
    <w:multiLevelType w:val="hybridMultilevel"/>
    <w:tmpl w:val="949A75F2"/>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1" w15:restartNumberingAfterBreak="0">
    <w:nsid w:val="77763B7B"/>
    <w:multiLevelType w:val="multilevel"/>
    <w:tmpl w:val="38E64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78AC2CD9"/>
    <w:multiLevelType w:val="hybridMultilevel"/>
    <w:tmpl w:val="6E1EE1EC"/>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3" w15:restartNumberingAfterBreak="0">
    <w:nsid w:val="7CEA5FAD"/>
    <w:multiLevelType w:val="multilevel"/>
    <w:tmpl w:val="90B856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85427705">
    <w:abstractNumId w:val="36"/>
  </w:num>
  <w:num w:numId="2" w16cid:durableId="424812724">
    <w:abstractNumId w:val="89"/>
  </w:num>
  <w:num w:numId="3" w16cid:durableId="1027373600">
    <w:abstractNumId w:val="2"/>
  </w:num>
  <w:num w:numId="4" w16cid:durableId="139424719">
    <w:abstractNumId w:val="25"/>
  </w:num>
  <w:num w:numId="5" w16cid:durableId="1413503660">
    <w:abstractNumId w:val="80"/>
  </w:num>
  <w:num w:numId="6" w16cid:durableId="1356229445">
    <w:abstractNumId w:val="8"/>
  </w:num>
  <w:num w:numId="7" w16cid:durableId="2014722003">
    <w:abstractNumId w:val="3"/>
  </w:num>
  <w:num w:numId="8" w16cid:durableId="1781996460">
    <w:abstractNumId w:val="1"/>
  </w:num>
  <w:num w:numId="9" w16cid:durableId="1747149186">
    <w:abstractNumId w:val="0"/>
  </w:num>
  <w:num w:numId="10" w16cid:durableId="1560744016">
    <w:abstractNumId w:val="9"/>
  </w:num>
  <w:num w:numId="11" w16cid:durableId="1848443420">
    <w:abstractNumId w:val="7"/>
  </w:num>
  <w:num w:numId="12" w16cid:durableId="1867332284">
    <w:abstractNumId w:val="6"/>
  </w:num>
  <w:num w:numId="13" w16cid:durableId="1218008117">
    <w:abstractNumId w:val="5"/>
  </w:num>
  <w:num w:numId="14" w16cid:durableId="1650329062">
    <w:abstractNumId w:val="4"/>
  </w:num>
  <w:num w:numId="15" w16cid:durableId="1266111274">
    <w:abstractNumId w:val="20"/>
  </w:num>
  <w:num w:numId="16" w16cid:durableId="1954825125">
    <w:abstractNumId w:val="27"/>
  </w:num>
  <w:num w:numId="17" w16cid:durableId="2012878223">
    <w:abstractNumId w:val="61"/>
  </w:num>
  <w:num w:numId="18" w16cid:durableId="953756397">
    <w:abstractNumId w:val="98"/>
  </w:num>
  <w:num w:numId="19" w16cid:durableId="1033310554">
    <w:abstractNumId w:val="59"/>
  </w:num>
  <w:num w:numId="20" w16cid:durableId="2011332199">
    <w:abstractNumId w:val="43"/>
  </w:num>
  <w:num w:numId="21" w16cid:durableId="748423995">
    <w:abstractNumId w:val="70"/>
  </w:num>
  <w:num w:numId="22" w16cid:durableId="1512909782">
    <w:abstractNumId w:val="35"/>
  </w:num>
  <w:num w:numId="23" w16cid:durableId="1568034487">
    <w:abstractNumId w:val="72"/>
  </w:num>
  <w:num w:numId="24" w16cid:durableId="1230534452">
    <w:abstractNumId w:val="85"/>
  </w:num>
  <w:num w:numId="25" w16cid:durableId="1967855703">
    <w:abstractNumId w:val="40"/>
  </w:num>
  <w:num w:numId="26" w16cid:durableId="451092715">
    <w:abstractNumId w:val="41"/>
  </w:num>
  <w:num w:numId="27" w16cid:durableId="35400988">
    <w:abstractNumId w:val="64"/>
  </w:num>
  <w:num w:numId="28" w16cid:durableId="2050884187">
    <w:abstractNumId w:val="29"/>
  </w:num>
  <w:num w:numId="29" w16cid:durableId="756440339">
    <w:abstractNumId w:val="38"/>
  </w:num>
  <w:num w:numId="30" w16cid:durableId="1614314771">
    <w:abstractNumId w:val="97"/>
  </w:num>
  <w:num w:numId="31" w16cid:durableId="1043866246">
    <w:abstractNumId w:val="99"/>
  </w:num>
  <w:num w:numId="32" w16cid:durableId="1260673082">
    <w:abstractNumId w:val="96"/>
  </w:num>
  <w:num w:numId="33" w16cid:durableId="872307817">
    <w:abstractNumId w:val="50"/>
  </w:num>
  <w:num w:numId="34" w16cid:durableId="1022822531">
    <w:abstractNumId w:val="46"/>
  </w:num>
  <w:num w:numId="35" w16cid:durableId="970406578">
    <w:abstractNumId w:val="69"/>
  </w:num>
  <w:num w:numId="36" w16cid:durableId="559438080">
    <w:abstractNumId w:val="87"/>
  </w:num>
  <w:num w:numId="37" w16cid:durableId="1571387708">
    <w:abstractNumId w:val="24"/>
  </w:num>
  <w:num w:numId="38" w16cid:durableId="1903757906">
    <w:abstractNumId w:val="94"/>
  </w:num>
  <w:num w:numId="39" w16cid:durableId="1427651818">
    <w:abstractNumId w:val="34"/>
  </w:num>
  <w:num w:numId="40" w16cid:durableId="587733134">
    <w:abstractNumId w:val="44"/>
  </w:num>
  <w:num w:numId="41" w16cid:durableId="1799713599">
    <w:abstractNumId w:val="56"/>
  </w:num>
  <w:num w:numId="42" w16cid:durableId="1364483370">
    <w:abstractNumId w:val="73"/>
  </w:num>
  <w:num w:numId="43" w16cid:durableId="1326517862">
    <w:abstractNumId w:val="103"/>
  </w:num>
  <w:num w:numId="44" w16cid:durableId="1569684019">
    <w:abstractNumId w:val="82"/>
  </w:num>
  <w:num w:numId="45" w16cid:durableId="454301469">
    <w:abstractNumId w:val="88"/>
  </w:num>
  <w:num w:numId="46" w16cid:durableId="2109496936">
    <w:abstractNumId w:val="60"/>
  </w:num>
  <w:num w:numId="47" w16cid:durableId="13848904">
    <w:abstractNumId w:val="30"/>
  </w:num>
  <w:num w:numId="48" w16cid:durableId="2002780204">
    <w:abstractNumId w:val="75"/>
  </w:num>
  <w:num w:numId="49" w16cid:durableId="524290746">
    <w:abstractNumId w:val="45"/>
  </w:num>
  <w:num w:numId="50" w16cid:durableId="1362322338">
    <w:abstractNumId w:val="52"/>
  </w:num>
  <w:num w:numId="51" w16cid:durableId="1823231701">
    <w:abstractNumId w:val="31"/>
  </w:num>
  <w:num w:numId="52" w16cid:durableId="881136316">
    <w:abstractNumId w:val="81"/>
  </w:num>
  <w:num w:numId="53" w16cid:durableId="1312097609">
    <w:abstractNumId w:val="55"/>
  </w:num>
  <w:num w:numId="54" w16cid:durableId="1072775668">
    <w:abstractNumId w:val="54"/>
  </w:num>
  <w:num w:numId="55" w16cid:durableId="1264411998">
    <w:abstractNumId w:val="47"/>
  </w:num>
  <w:num w:numId="56" w16cid:durableId="1384135721">
    <w:abstractNumId w:val="74"/>
  </w:num>
  <w:num w:numId="57" w16cid:durableId="703484833">
    <w:abstractNumId w:val="42"/>
  </w:num>
  <w:num w:numId="58" w16cid:durableId="40175530">
    <w:abstractNumId w:val="65"/>
  </w:num>
  <w:num w:numId="59" w16cid:durableId="2083285060">
    <w:abstractNumId w:val="67"/>
  </w:num>
  <w:num w:numId="60" w16cid:durableId="198665592">
    <w:abstractNumId w:val="19"/>
  </w:num>
  <w:num w:numId="61" w16cid:durableId="198322970">
    <w:abstractNumId w:val="79"/>
  </w:num>
  <w:num w:numId="62" w16cid:durableId="2044554182">
    <w:abstractNumId w:val="78"/>
  </w:num>
  <w:num w:numId="63" w16cid:durableId="1795899820">
    <w:abstractNumId w:val="76"/>
  </w:num>
  <w:num w:numId="64" w16cid:durableId="32389177">
    <w:abstractNumId w:val="57"/>
  </w:num>
  <w:num w:numId="65" w16cid:durableId="1232733812">
    <w:abstractNumId w:val="58"/>
  </w:num>
  <w:num w:numId="66" w16cid:durableId="1938176246">
    <w:abstractNumId w:val="49"/>
  </w:num>
  <w:num w:numId="67" w16cid:durableId="371393395">
    <w:abstractNumId w:val="66"/>
  </w:num>
  <w:num w:numId="68" w16cid:durableId="1324239229">
    <w:abstractNumId w:val="23"/>
  </w:num>
  <w:num w:numId="69" w16cid:durableId="6955139">
    <w:abstractNumId w:val="92"/>
  </w:num>
  <w:num w:numId="70" w16cid:durableId="840316241">
    <w:abstractNumId w:val="86"/>
  </w:num>
  <w:num w:numId="71" w16cid:durableId="1770658093">
    <w:abstractNumId w:val="83"/>
  </w:num>
  <w:num w:numId="72" w16cid:durableId="2140568371">
    <w:abstractNumId w:val="48"/>
  </w:num>
  <w:num w:numId="73" w16cid:durableId="1318152609">
    <w:abstractNumId w:val="33"/>
  </w:num>
  <w:num w:numId="74" w16cid:durableId="170536745">
    <w:abstractNumId w:val="32"/>
  </w:num>
  <w:num w:numId="75" w16cid:durableId="903838386">
    <w:abstractNumId w:val="95"/>
  </w:num>
  <w:num w:numId="76" w16cid:durableId="1458723054">
    <w:abstractNumId w:val="37"/>
  </w:num>
  <w:num w:numId="77" w16cid:durableId="1818649973">
    <w:abstractNumId w:val="53"/>
  </w:num>
  <w:num w:numId="78" w16cid:durableId="1561481896">
    <w:abstractNumId w:val="90"/>
  </w:num>
  <w:num w:numId="79" w16cid:durableId="1295286151">
    <w:abstractNumId w:val="21"/>
  </w:num>
  <w:num w:numId="80" w16cid:durableId="874805949">
    <w:abstractNumId w:val="102"/>
  </w:num>
  <w:num w:numId="81" w16cid:durableId="171338091">
    <w:abstractNumId w:val="71"/>
  </w:num>
  <w:num w:numId="82" w16cid:durableId="382020752">
    <w:abstractNumId w:val="51"/>
  </w:num>
  <w:num w:numId="83" w16cid:durableId="227157908">
    <w:abstractNumId w:val="100"/>
  </w:num>
  <w:num w:numId="84" w16cid:durableId="406921251">
    <w:abstractNumId w:val="28"/>
  </w:num>
  <w:num w:numId="85" w16cid:durableId="1816487375">
    <w:abstractNumId w:val="26"/>
  </w:num>
  <w:num w:numId="86" w16cid:durableId="1583176734">
    <w:abstractNumId w:val="77"/>
  </w:num>
  <w:num w:numId="87" w16cid:durableId="525363142">
    <w:abstractNumId w:val="93"/>
  </w:num>
  <w:num w:numId="88" w16cid:durableId="1938906652">
    <w:abstractNumId w:val="62"/>
  </w:num>
  <w:num w:numId="89" w16cid:durableId="1792362645">
    <w:abstractNumId w:val="63"/>
  </w:num>
  <w:num w:numId="90" w16cid:durableId="1925263959">
    <w:abstractNumId w:val="91"/>
  </w:num>
  <w:num w:numId="91" w16cid:durableId="1429235778">
    <w:abstractNumId w:val="84"/>
  </w:num>
  <w:num w:numId="92" w16cid:durableId="1260022584">
    <w:abstractNumId w:val="101"/>
  </w:num>
  <w:num w:numId="93" w16cid:durableId="773863939">
    <w:abstractNumId w:val="22"/>
  </w:num>
  <w:num w:numId="94" w16cid:durableId="1368722403">
    <w:abstractNumId w:val="39"/>
  </w:num>
  <w:num w:numId="95" w16cid:durableId="423963683">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1870987372">
    <w:abstractNumId w:val="68"/>
  </w:num>
  <w:num w:numId="97" w16cid:durableId="220868694">
    <w:abstractNumId w:val="38"/>
  </w:num>
  <w:num w:numId="98" w16cid:durableId="148209602">
    <w:abstractNumId w:val="41"/>
  </w:num>
  <w:num w:numId="99" w16cid:durableId="1136684096">
    <w:abstractNumId w:val="20"/>
  </w:num>
  <w:num w:numId="100" w16cid:durableId="195117186">
    <w:abstractNumId w:val="20"/>
  </w:num>
  <w:num w:numId="101" w16cid:durableId="1639920310">
    <w:abstractNumId w:val="20"/>
  </w:num>
  <w:num w:numId="102" w16cid:durableId="446042127">
    <w:abstractNumId w:val="20"/>
  </w:num>
  <w:numIdMacAtCleanup w:val="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activeWritingStyle w:appName="MSWord" w:lang="it-IT" w:vendorID="64" w:dllVersion="6" w:nlCheck="1" w:checkStyle="0"/>
  <w:activeWritingStyle w:appName="MSWord" w:lang="en-GB" w:vendorID="64" w:dllVersion="6" w:nlCheck="1" w:checkStyle="1"/>
  <w:activeWritingStyle w:appName="MSWord" w:lang="it-IT" w:vendorID="64" w:dllVersion="0" w:nlCheck="1" w:checkStyle="0"/>
  <w:activeWritingStyle w:appName="MSWord" w:lang="en-GB" w:vendorID="64" w:dllVersion="0" w:nlCheck="1" w:checkStyle="0"/>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stylePaneSortMethod w:val="0000"/>
  <w:defaultTabStop w:val="0"/>
  <w:hyphenationZone w:val="283"/>
  <w:characterSpacingControl w:val="doNotCompress"/>
  <w:hdrShapeDefaults>
    <o:shapedefaults v:ext="edit" spidmax="205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30FB"/>
    <w:rsid w:val="000003F2"/>
    <w:rsid w:val="00001054"/>
    <w:rsid w:val="000014C3"/>
    <w:rsid w:val="00001531"/>
    <w:rsid w:val="00001948"/>
    <w:rsid w:val="00001CB0"/>
    <w:rsid w:val="00001F37"/>
    <w:rsid w:val="00002423"/>
    <w:rsid w:val="000024B7"/>
    <w:rsid w:val="00002BD6"/>
    <w:rsid w:val="00002C80"/>
    <w:rsid w:val="00002F7A"/>
    <w:rsid w:val="0000319C"/>
    <w:rsid w:val="00003286"/>
    <w:rsid w:val="000033A4"/>
    <w:rsid w:val="000034C7"/>
    <w:rsid w:val="0000351E"/>
    <w:rsid w:val="0000361D"/>
    <w:rsid w:val="00003A66"/>
    <w:rsid w:val="00003AB6"/>
    <w:rsid w:val="000049D5"/>
    <w:rsid w:val="00004D3F"/>
    <w:rsid w:val="0000503C"/>
    <w:rsid w:val="000057AA"/>
    <w:rsid w:val="000059A6"/>
    <w:rsid w:val="00005A86"/>
    <w:rsid w:val="00005A89"/>
    <w:rsid w:val="00005C69"/>
    <w:rsid w:val="0000601F"/>
    <w:rsid w:val="0000670A"/>
    <w:rsid w:val="00006803"/>
    <w:rsid w:val="00006F29"/>
    <w:rsid w:val="000070C5"/>
    <w:rsid w:val="00007448"/>
    <w:rsid w:val="000076AF"/>
    <w:rsid w:val="00007F7F"/>
    <w:rsid w:val="00010755"/>
    <w:rsid w:val="000108C5"/>
    <w:rsid w:val="00010B70"/>
    <w:rsid w:val="00010B7A"/>
    <w:rsid w:val="0001135F"/>
    <w:rsid w:val="000115D6"/>
    <w:rsid w:val="00011D97"/>
    <w:rsid w:val="00011DDD"/>
    <w:rsid w:val="000121B0"/>
    <w:rsid w:val="00012C5D"/>
    <w:rsid w:val="00012D56"/>
    <w:rsid w:val="00013433"/>
    <w:rsid w:val="0001356E"/>
    <w:rsid w:val="00013785"/>
    <w:rsid w:val="000138BB"/>
    <w:rsid w:val="00014557"/>
    <w:rsid w:val="000146A7"/>
    <w:rsid w:val="000146CC"/>
    <w:rsid w:val="000147CA"/>
    <w:rsid w:val="00014A70"/>
    <w:rsid w:val="00014F4A"/>
    <w:rsid w:val="00015B2C"/>
    <w:rsid w:val="00015D11"/>
    <w:rsid w:val="000160EF"/>
    <w:rsid w:val="0001619F"/>
    <w:rsid w:val="00016E8B"/>
    <w:rsid w:val="000172D2"/>
    <w:rsid w:val="000173D4"/>
    <w:rsid w:val="00017C78"/>
    <w:rsid w:val="00020DBD"/>
    <w:rsid w:val="00020E2E"/>
    <w:rsid w:val="000212F0"/>
    <w:rsid w:val="0002157E"/>
    <w:rsid w:val="00021585"/>
    <w:rsid w:val="000218E4"/>
    <w:rsid w:val="00021E2A"/>
    <w:rsid w:val="00021EA8"/>
    <w:rsid w:val="000223C6"/>
    <w:rsid w:val="00022753"/>
    <w:rsid w:val="000228E3"/>
    <w:rsid w:val="00022AE5"/>
    <w:rsid w:val="00022D07"/>
    <w:rsid w:val="000233D8"/>
    <w:rsid w:val="0002371D"/>
    <w:rsid w:val="00023DD7"/>
    <w:rsid w:val="00023E25"/>
    <w:rsid w:val="00023E94"/>
    <w:rsid w:val="00024402"/>
    <w:rsid w:val="0002456B"/>
    <w:rsid w:val="00024C3A"/>
    <w:rsid w:val="00024E5D"/>
    <w:rsid w:val="00024EBB"/>
    <w:rsid w:val="00024F7C"/>
    <w:rsid w:val="00024FC5"/>
    <w:rsid w:val="00025762"/>
    <w:rsid w:val="00025A7C"/>
    <w:rsid w:val="00025D95"/>
    <w:rsid w:val="00025E2B"/>
    <w:rsid w:val="00025EA3"/>
    <w:rsid w:val="00026999"/>
    <w:rsid w:val="000269DD"/>
    <w:rsid w:val="00026F06"/>
    <w:rsid w:val="000272CF"/>
    <w:rsid w:val="00027420"/>
    <w:rsid w:val="000275F8"/>
    <w:rsid w:val="000279C1"/>
    <w:rsid w:val="00027DA3"/>
    <w:rsid w:val="00027F54"/>
    <w:rsid w:val="00027FA4"/>
    <w:rsid w:val="000300B4"/>
    <w:rsid w:val="0003032F"/>
    <w:rsid w:val="000303C0"/>
    <w:rsid w:val="000305F3"/>
    <w:rsid w:val="000305F7"/>
    <w:rsid w:val="00030979"/>
    <w:rsid w:val="0003178E"/>
    <w:rsid w:val="0003190E"/>
    <w:rsid w:val="00031A98"/>
    <w:rsid w:val="00031AE7"/>
    <w:rsid w:val="00031B9E"/>
    <w:rsid w:val="00031C00"/>
    <w:rsid w:val="000322A2"/>
    <w:rsid w:val="00032329"/>
    <w:rsid w:val="000323CE"/>
    <w:rsid w:val="000324AC"/>
    <w:rsid w:val="00032519"/>
    <w:rsid w:val="00032B37"/>
    <w:rsid w:val="000330A3"/>
    <w:rsid w:val="000331FA"/>
    <w:rsid w:val="00033D25"/>
    <w:rsid w:val="00033D56"/>
    <w:rsid w:val="0003416C"/>
    <w:rsid w:val="0003492C"/>
    <w:rsid w:val="0003499D"/>
    <w:rsid w:val="00034BAF"/>
    <w:rsid w:val="00034CB1"/>
    <w:rsid w:val="00034ED1"/>
    <w:rsid w:val="00034F65"/>
    <w:rsid w:val="0003509F"/>
    <w:rsid w:val="00035D15"/>
    <w:rsid w:val="000360CD"/>
    <w:rsid w:val="000365FF"/>
    <w:rsid w:val="00036DB2"/>
    <w:rsid w:val="00036E9D"/>
    <w:rsid w:val="00037061"/>
    <w:rsid w:val="00037BD7"/>
    <w:rsid w:val="00037C35"/>
    <w:rsid w:val="00037F01"/>
    <w:rsid w:val="000402EE"/>
    <w:rsid w:val="00040648"/>
    <w:rsid w:val="00040706"/>
    <w:rsid w:val="0004091A"/>
    <w:rsid w:val="000409D1"/>
    <w:rsid w:val="0004129F"/>
    <w:rsid w:val="00041441"/>
    <w:rsid w:val="000414B9"/>
    <w:rsid w:val="00041878"/>
    <w:rsid w:val="00041C7A"/>
    <w:rsid w:val="00041ECA"/>
    <w:rsid w:val="00042780"/>
    <w:rsid w:val="00042C42"/>
    <w:rsid w:val="00042E4B"/>
    <w:rsid w:val="00042F9B"/>
    <w:rsid w:val="00043B4A"/>
    <w:rsid w:val="000440BB"/>
    <w:rsid w:val="00044797"/>
    <w:rsid w:val="00044D05"/>
    <w:rsid w:val="00044E59"/>
    <w:rsid w:val="00045184"/>
    <w:rsid w:val="00045557"/>
    <w:rsid w:val="0004565C"/>
    <w:rsid w:val="00046034"/>
    <w:rsid w:val="000470C7"/>
    <w:rsid w:val="0004750E"/>
    <w:rsid w:val="00047565"/>
    <w:rsid w:val="000478BB"/>
    <w:rsid w:val="00047AF5"/>
    <w:rsid w:val="00050079"/>
    <w:rsid w:val="000507B7"/>
    <w:rsid w:val="00050F3D"/>
    <w:rsid w:val="00051161"/>
    <w:rsid w:val="000513A5"/>
    <w:rsid w:val="000517CF"/>
    <w:rsid w:val="000518DC"/>
    <w:rsid w:val="00051AA3"/>
    <w:rsid w:val="00051FF1"/>
    <w:rsid w:val="0005210A"/>
    <w:rsid w:val="000529C2"/>
    <w:rsid w:val="00052E3A"/>
    <w:rsid w:val="00053024"/>
    <w:rsid w:val="00053317"/>
    <w:rsid w:val="00053775"/>
    <w:rsid w:val="00053AF7"/>
    <w:rsid w:val="00053F06"/>
    <w:rsid w:val="00054BEA"/>
    <w:rsid w:val="00055146"/>
    <w:rsid w:val="00055149"/>
    <w:rsid w:val="00055779"/>
    <w:rsid w:val="000559BE"/>
    <w:rsid w:val="000559F1"/>
    <w:rsid w:val="00055D27"/>
    <w:rsid w:val="00055FE6"/>
    <w:rsid w:val="0005699A"/>
    <w:rsid w:val="00056DCE"/>
    <w:rsid w:val="00056FAC"/>
    <w:rsid w:val="00057093"/>
    <w:rsid w:val="000575FF"/>
    <w:rsid w:val="00057F38"/>
    <w:rsid w:val="000600EF"/>
    <w:rsid w:val="00060245"/>
    <w:rsid w:val="00060282"/>
    <w:rsid w:val="00060632"/>
    <w:rsid w:val="000606D5"/>
    <w:rsid w:val="000606DE"/>
    <w:rsid w:val="00060DF8"/>
    <w:rsid w:val="0006162D"/>
    <w:rsid w:val="00061EDF"/>
    <w:rsid w:val="00061F0D"/>
    <w:rsid w:val="0006217A"/>
    <w:rsid w:val="00062345"/>
    <w:rsid w:val="000625A3"/>
    <w:rsid w:val="00062FB7"/>
    <w:rsid w:val="00063245"/>
    <w:rsid w:val="00063256"/>
    <w:rsid w:val="000634C1"/>
    <w:rsid w:val="00063D6D"/>
    <w:rsid w:val="00063EAF"/>
    <w:rsid w:val="0006463B"/>
    <w:rsid w:val="00064AE5"/>
    <w:rsid w:val="00065439"/>
    <w:rsid w:val="00065BD2"/>
    <w:rsid w:val="000662A1"/>
    <w:rsid w:val="000664E7"/>
    <w:rsid w:val="00066A4C"/>
    <w:rsid w:val="00066D90"/>
    <w:rsid w:val="00066DB2"/>
    <w:rsid w:val="00066E46"/>
    <w:rsid w:val="0006710E"/>
    <w:rsid w:val="00067399"/>
    <w:rsid w:val="00067948"/>
    <w:rsid w:val="000679F7"/>
    <w:rsid w:val="00067B7D"/>
    <w:rsid w:val="00067C79"/>
    <w:rsid w:val="000703C4"/>
    <w:rsid w:val="000708EE"/>
    <w:rsid w:val="00070E32"/>
    <w:rsid w:val="000713EF"/>
    <w:rsid w:val="00071E22"/>
    <w:rsid w:val="00071F1E"/>
    <w:rsid w:val="00072059"/>
    <w:rsid w:val="000723C2"/>
    <w:rsid w:val="000729CC"/>
    <w:rsid w:val="00072AA8"/>
    <w:rsid w:val="0007325D"/>
    <w:rsid w:val="00073273"/>
    <w:rsid w:val="0007381F"/>
    <w:rsid w:val="00073B6D"/>
    <w:rsid w:val="00073E03"/>
    <w:rsid w:val="00073EF6"/>
    <w:rsid w:val="00074612"/>
    <w:rsid w:val="00074A9C"/>
    <w:rsid w:val="00075393"/>
    <w:rsid w:val="0007578B"/>
    <w:rsid w:val="000759EE"/>
    <w:rsid w:val="00075C78"/>
    <w:rsid w:val="00075F1F"/>
    <w:rsid w:val="000760BA"/>
    <w:rsid w:val="00076575"/>
    <w:rsid w:val="00076615"/>
    <w:rsid w:val="0007686F"/>
    <w:rsid w:val="000768A1"/>
    <w:rsid w:val="00076C6B"/>
    <w:rsid w:val="00077370"/>
    <w:rsid w:val="0007749E"/>
    <w:rsid w:val="000779DF"/>
    <w:rsid w:val="00077A34"/>
    <w:rsid w:val="00077BE1"/>
    <w:rsid w:val="00077F5B"/>
    <w:rsid w:val="000801F2"/>
    <w:rsid w:val="00080656"/>
    <w:rsid w:val="0008092D"/>
    <w:rsid w:val="00080D61"/>
    <w:rsid w:val="00080F4E"/>
    <w:rsid w:val="00081CD1"/>
    <w:rsid w:val="00082045"/>
    <w:rsid w:val="00082063"/>
    <w:rsid w:val="000824F5"/>
    <w:rsid w:val="00082AB0"/>
    <w:rsid w:val="00082BD7"/>
    <w:rsid w:val="00082DC6"/>
    <w:rsid w:val="00082EE7"/>
    <w:rsid w:val="00083187"/>
    <w:rsid w:val="00083A40"/>
    <w:rsid w:val="00083BB2"/>
    <w:rsid w:val="00083EF3"/>
    <w:rsid w:val="00084089"/>
    <w:rsid w:val="000840F9"/>
    <w:rsid w:val="00084624"/>
    <w:rsid w:val="0008494E"/>
    <w:rsid w:val="00084EF6"/>
    <w:rsid w:val="00085126"/>
    <w:rsid w:val="00085192"/>
    <w:rsid w:val="0008556C"/>
    <w:rsid w:val="00086B1E"/>
    <w:rsid w:val="00086D7C"/>
    <w:rsid w:val="000873FE"/>
    <w:rsid w:val="000874B4"/>
    <w:rsid w:val="0008764A"/>
    <w:rsid w:val="000876B3"/>
    <w:rsid w:val="00087EDC"/>
    <w:rsid w:val="00090158"/>
    <w:rsid w:val="00090361"/>
    <w:rsid w:val="00090478"/>
    <w:rsid w:val="0009055F"/>
    <w:rsid w:val="00090897"/>
    <w:rsid w:val="00090900"/>
    <w:rsid w:val="00090BAA"/>
    <w:rsid w:val="0009104C"/>
    <w:rsid w:val="00091CCB"/>
    <w:rsid w:val="00091D5A"/>
    <w:rsid w:val="00092102"/>
    <w:rsid w:val="0009278F"/>
    <w:rsid w:val="000934B0"/>
    <w:rsid w:val="00093A03"/>
    <w:rsid w:val="00093BF3"/>
    <w:rsid w:val="0009435E"/>
    <w:rsid w:val="000944CC"/>
    <w:rsid w:val="0009465C"/>
    <w:rsid w:val="00094BE1"/>
    <w:rsid w:val="00094EA3"/>
    <w:rsid w:val="00095B80"/>
    <w:rsid w:val="00095C65"/>
    <w:rsid w:val="00095EA7"/>
    <w:rsid w:val="000961CD"/>
    <w:rsid w:val="000962F6"/>
    <w:rsid w:val="000964B9"/>
    <w:rsid w:val="00096B26"/>
    <w:rsid w:val="00097078"/>
    <w:rsid w:val="00097262"/>
    <w:rsid w:val="000973BC"/>
    <w:rsid w:val="000A0388"/>
    <w:rsid w:val="000A053E"/>
    <w:rsid w:val="000A06CA"/>
    <w:rsid w:val="000A0D7D"/>
    <w:rsid w:val="000A0ECC"/>
    <w:rsid w:val="000A0F0F"/>
    <w:rsid w:val="000A250D"/>
    <w:rsid w:val="000A2922"/>
    <w:rsid w:val="000A2B93"/>
    <w:rsid w:val="000A30FB"/>
    <w:rsid w:val="000A32E6"/>
    <w:rsid w:val="000A374A"/>
    <w:rsid w:val="000A38EB"/>
    <w:rsid w:val="000A3D6D"/>
    <w:rsid w:val="000A408F"/>
    <w:rsid w:val="000A42BF"/>
    <w:rsid w:val="000A4577"/>
    <w:rsid w:val="000A46D1"/>
    <w:rsid w:val="000A4D11"/>
    <w:rsid w:val="000A4ED2"/>
    <w:rsid w:val="000A5239"/>
    <w:rsid w:val="000A561D"/>
    <w:rsid w:val="000A572A"/>
    <w:rsid w:val="000A58F8"/>
    <w:rsid w:val="000A617E"/>
    <w:rsid w:val="000A6690"/>
    <w:rsid w:val="000A6ACA"/>
    <w:rsid w:val="000A6C02"/>
    <w:rsid w:val="000A6D54"/>
    <w:rsid w:val="000A758C"/>
    <w:rsid w:val="000A7A85"/>
    <w:rsid w:val="000A7E1D"/>
    <w:rsid w:val="000B0060"/>
    <w:rsid w:val="000B00D9"/>
    <w:rsid w:val="000B0458"/>
    <w:rsid w:val="000B047A"/>
    <w:rsid w:val="000B0500"/>
    <w:rsid w:val="000B080B"/>
    <w:rsid w:val="000B09AA"/>
    <w:rsid w:val="000B12AF"/>
    <w:rsid w:val="000B19EE"/>
    <w:rsid w:val="000B2263"/>
    <w:rsid w:val="000B23F7"/>
    <w:rsid w:val="000B2D32"/>
    <w:rsid w:val="000B30BF"/>
    <w:rsid w:val="000B3682"/>
    <w:rsid w:val="000B39F4"/>
    <w:rsid w:val="000B41AC"/>
    <w:rsid w:val="000B423E"/>
    <w:rsid w:val="000B47C6"/>
    <w:rsid w:val="000B4FF6"/>
    <w:rsid w:val="000B597A"/>
    <w:rsid w:val="000B5A5C"/>
    <w:rsid w:val="000B6208"/>
    <w:rsid w:val="000B6350"/>
    <w:rsid w:val="000B6A8B"/>
    <w:rsid w:val="000B6B18"/>
    <w:rsid w:val="000B6D26"/>
    <w:rsid w:val="000B7232"/>
    <w:rsid w:val="000B75EF"/>
    <w:rsid w:val="000B7897"/>
    <w:rsid w:val="000B78DD"/>
    <w:rsid w:val="000C01F4"/>
    <w:rsid w:val="000C0DEA"/>
    <w:rsid w:val="000C0FDE"/>
    <w:rsid w:val="000C1011"/>
    <w:rsid w:val="000C112F"/>
    <w:rsid w:val="000C12FF"/>
    <w:rsid w:val="000C180A"/>
    <w:rsid w:val="000C1987"/>
    <w:rsid w:val="000C1EB2"/>
    <w:rsid w:val="000C2AA1"/>
    <w:rsid w:val="000C2F5A"/>
    <w:rsid w:val="000C31DC"/>
    <w:rsid w:val="000C34FB"/>
    <w:rsid w:val="000C37C6"/>
    <w:rsid w:val="000C37E7"/>
    <w:rsid w:val="000C3E60"/>
    <w:rsid w:val="000C406A"/>
    <w:rsid w:val="000C43B7"/>
    <w:rsid w:val="000C4740"/>
    <w:rsid w:val="000C4EDF"/>
    <w:rsid w:val="000C5551"/>
    <w:rsid w:val="000C5676"/>
    <w:rsid w:val="000C58AC"/>
    <w:rsid w:val="000C6009"/>
    <w:rsid w:val="000C61A1"/>
    <w:rsid w:val="000C61F0"/>
    <w:rsid w:val="000C621F"/>
    <w:rsid w:val="000C62DE"/>
    <w:rsid w:val="000C6868"/>
    <w:rsid w:val="000C6B34"/>
    <w:rsid w:val="000C6F5D"/>
    <w:rsid w:val="000C6FD2"/>
    <w:rsid w:val="000C7499"/>
    <w:rsid w:val="000C7617"/>
    <w:rsid w:val="000C76E8"/>
    <w:rsid w:val="000D0118"/>
    <w:rsid w:val="000D0426"/>
    <w:rsid w:val="000D0BE5"/>
    <w:rsid w:val="000D0F3A"/>
    <w:rsid w:val="000D1238"/>
    <w:rsid w:val="000D175E"/>
    <w:rsid w:val="000D19AA"/>
    <w:rsid w:val="000D1A30"/>
    <w:rsid w:val="000D1B54"/>
    <w:rsid w:val="000D1B56"/>
    <w:rsid w:val="000D1D80"/>
    <w:rsid w:val="000D22C0"/>
    <w:rsid w:val="000D271D"/>
    <w:rsid w:val="000D31E8"/>
    <w:rsid w:val="000D31F8"/>
    <w:rsid w:val="000D3266"/>
    <w:rsid w:val="000D34CA"/>
    <w:rsid w:val="000D389B"/>
    <w:rsid w:val="000D3D4C"/>
    <w:rsid w:val="000D45E2"/>
    <w:rsid w:val="000D4746"/>
    <w:rsid w:val="000D48F4"/>
    <w:rsid w:val="000D4F13"/>
    <w:rsid w:val="000D5168"/>
    <w:rsid w:val="000D5249"/>
    <w:rsid w:val="000D551E"/>
    <w:rsid w:val="000D5647"/>
    <w:rsid w:val="000D578B"/>
    <w:rsid w:val="000D5EBD"/>
    <w:rsid w:val="000D61C0"/>
    <w:rsid w:val="000D6572"/>
    <w:rsid w:val="000D6B6A"/>
    <w:rsid w:val="000D6C30"/>
    <w:rsid w:val="000D6C9D"/>
    <w:rsid w:val="000D7059"/>
    <w:rsid w:val="000D70A2"/>
    <w:rsid w:val="000D729B"/>
    <w:rsid w:val="000D7725"/>
    <w:rsid w:val="000E0212"/>
    <w:rsid w:val="000E04C1"/>
    <w:rsid w:val="000E1435"/>
    <w:rsid w:val="000E16A0"/>
    <w:rsid w:val="000E17B7"/>
    <w:rsid w:val="000E1BF4"/>
    <w:rsid w:val="000E1D01"/>
    <w:rsid w:val="000E2180"/>
    <w:rsid w:val="000E2532"/>
    <w:rsid w:val="000E2837"/>
    <w:rsid w:val="000E2C41"/>
    <w:rsid w:val="000E2C87"/>
    <w:rsid w:val="000E30B7"/>
    <w:rsid w:val="000E4039"/>
    <w:rsid w:val="000E4041"/>
    <w:rsid w:val="000E48D0"/>
    <w:rsid w:val="000E4CCA"/>
    <w:rsid w:val="000E5A40"/>
    <w:rsid w:val="000E6481"/>
    <w:rsid w:val="000E6670"/>
    <w:rsid w:val="000E6693"/>
    <w:rsid w:val="000E6990"/>
    <w:rsid w:val="000E743E"/>
    <w:rsid w:val="000E7B81"/>
    <w:rsid w:val="000F02DB"/>
    <w:rsid w:val="000F051E"/>
    <w:rsid w:val="000F0692"/>
    <w:rsid w:val="000F08D8"/>
    <w:rsid w:val="000F0E53"/>
    <w:rsid w:val="000F2136"/>
    <w:rsid w:val="000F28EB"/>
    <w:rsid w:val="000F2A45"/>
    <w:rsid w:val="000F2DE4"/>
    <w:rsid w:val="000F2F70"/>
    <w:rsid w:val="000F3890"/>
    <w:rsid w:val="000F3D32"/>
    <w:rsid w:val="000F4515"/>
    <w:rsid w:val="000F4809"/>
    <w:rsid w:val="000F4C97"/>
    <w:rsid w:val="000F5260"/>
    <w:rsid w:val="000F5406"/>
    <w:rsid w:val="000F5560"/>
    <w:rsid w:val="000F589B"/>
    <w:rsid w:val="000F5A27"/>
    <w:rsid w:val="000F5D0F"/>
    <w:rsid w:val="000F5F24"/>
    <w:rsid w:val="000F622F"/>
    <w:rsid w:val="000F6381"/>
    <w:rsid w:val="000F6767"/>
    <w:rsid w:val="000F6F89"/>
    <w:rsid w:val="000F709A"/>
    <w:rsid w:val="000F71F9"/>
    <w:rsid w:val="000F752A"/>
    <w:rsid w:val="000F75A8"/>
    <w:rsid w:val="000F7704"/>
    <w:rsid w:val="000F7C97"/>
    <w:rsid w:val="000F7F25"/>
    <w:rsid w:val="000F7F79"/>
    <w:rsid w:val="001001D2"/>
    <w:rsid w:val="001005B1"/>
    <w:rsid w:val="0010097F"/>
    <w:rsid w:val="00100D89"/>
    <w:rsid w:val="0010137B"/>
    <w:rsid w:val="001014BE"/>
    <w:rsid w:val="00101523"/>
    <w:rsid w:val="0010153E"/>
    <w:rsid w:val="00101A9A"/>
    <w:rsid w:val="00102596"/>
    <w:rsid w:val="00102874"/>
    <w:rsid w:val="0010298D"/>
    <w:rsid w:val="00102DB1"/>
    <w:rsid w:val="00102E43"/>
    <w:rsid w:val="00102FE5"/>
    <w:rsid w:val="00103371"/>
    <w:rsid w:val="001033A9"/>
    <w:rsid w:val="0010383A"/>
    <w:rsid w:val="0010434C"/>
    <w:rsid w:val="001045B2"/>
    <w:rsid w:val="00104A75"/>
    <w:rsid w:val="00104C18"/>
    <w:rsid w:val="001053F7"/>
    <w:rsid w:val="00105C24"/>
    <w:rsid w:val="00106022"/>
    <w:rsid w:val="00106120"/>
    <w:rsid w:val="0010701F"/>
    <w:rsid w:val="0010703F"/>
    <w:rsid w:val="0010709A"/>
    <w:rsid w:val="00107355"/>
    <w:rsid w:val="00107375"/>
    <w:rsid w:val="00107835"/>
    <w:rsid w:val="001079A9"/>
    <w:rsid w:val="00107BEE"/>
    <w:rsid w:val="00107F3C"/>
    <w:rsid w:val="001100A1"/>
    <w:rsid w:val="0011077C"/>
    <w:rsid w:val="00110C19"/>
    <w:rsid w:val="00110F2F"/>
    <w:rsid w:val="00110FC0"/>
    <w:rsid w:val="001112F2"/>
    <w:rsid w:val="00111370"/>
    <w:rsid w:val="0011191E"/>
    <w:rsid w:val="00111BB8"/>
    <w:rsid w:val="00111BFF"/>
    <w:rsid w:val="00111CB1"/>
    <w:rsid w:val="00112486"/>
    <w:rsid w:val="00112A5E"/>
    <w:rsid w:val="00113145"/>
    <w:rsid w:val="001131E3"/>
    <w:rsid w:val="001132DA"/>
    <w:rsid w:val="00113397"/>
    <w:rsid w:val="001135B8"/>
    <w:rsid w:val="0011459E"/>
    <w:rsid w:val="00114AED"/>
    <w:rsid w:val="00114B8F"/>
    <w:rsid w:val="00114DE5"/>
    <w:rsid w:val="001152F0"/>
    <w:rsid w:val="001154A2"/>
    <w:rsid w:val="00115509"/>
    <w:rsid w:val="001158DE"/>
    <w:rsid w:val="00115A42"/>
    <w:rsid w:val="00115C93"/>
    <w:rsid w:val="00116088"/>
    <w:rsid w:val="001160C2"/>
    <w:rsid w:val="001162C4"/>
    <w:rsid w:val="001163E9"/>
    <w:rsid w:val="001166E6"/>
    <w:rsid w:val="00116ECB"/>
    <w:rsid w:val="00116ED4"/>
    <w:rsid w:val="00117BCE"/>
    <w:rsid w:val="00117D13"/>
    <w:rsid w:val="00117D80"/>
    <w:rsid w:val="00117DC3"/>
    <w:rsid w:val="00117E64"/>
    <w:rsid w:val="0012009B"/>
    <w:rsid w:val="001201FC"/>
    <w:rsid w:val="0012031C"/>
    <w:rsid w:val="00120791"/>
    <w:rsid w:val="001207A3"/>
    <w:rsid w:val="001210A3"/>
    <w:rsid w:val="00121318"/>
    <w:rsid w:val="00121383"/>
    <w:rsid w:val="00121779"/>
    <w:rsid w:val="0012185C"/>
    <w:rsid w:val="00121894"/>
    <w:rsid w:val="00121992"/>
    <w:rsid w:val="00121FCE"/>
    <w:rsid w:val="001226A9"/>
    <w:rsid w:val="001228C4"/>
    <w:rsid w:val="00122B86"/>
    <w:rsid w:val="00123033"/>
    <w:rsid w:val="001230EE"/>
    <w:rsid w:val="00123351"/>
    <w:rsid w:val="00123448"/>
    <w:rsid w:val="001234F9"/>
    <w:rsid w:val="001235B0"/>
    <w:rsid w:val="00123812"/>
    <w:rsid w:val="00123B6B"/>
    <w:rsid w:val="00123D8B"/>
    <w:rsid w:val="00123F77"/>
    <w:rsid w:val="001241F4"/>
    <w:rsid w:val="00124581"/>
    <w:rsid w:val="00124A44"/>
    <w:rsid w:val="00124D62"/>
    <w:rsid w:val="00125068"/>
    <w:rsid w:val="001252E3"/>
    <w:rsid w:val="001256B4"/>
    <w:rsid w:val="00125D29"/>
    <w:rsid w:val="001269B4"/>
    <w:rsid w:val="00126EC2"/>
    <w:rsid w:val="001278DB"/>
    <w:rsid w:val="00127A52"/>
    <w:rsid w:val="001302F6"/>
    <w:rsid w:val="0013057C"/>
    <w:rsid w:val="001310E3"/>
    <w:rsid w:val="001312AF"/>
    <w:rsid w:val="001314C9"/>
    <w:rsid w:val="00131591"/>
    <w:rsid w:val="001316A5"/>
    <w:rsid w:val="00131AB1"/>
    <w:rsid w:val="00131C67"/>
    <w:rsid w:val="0013273E"/>
    <w:rsid w:val="00132C5D"/>
    <w:rsid w:val="00132F16"/>
    <w:rsid w:val="00132F70"/>
    <w:rsid w:val="001331A8"/>
    <w:rsid w:val="00133862"/>
    <w:rsid w:val="00133E79"/>
    <w:rsid w:val="00133FE6"/>
    <w:rsid w:val="00134088"/>
    <w:rsid w:val="00134336"/>
    <w:rsid w:val="0013441F"/>
    <w:rsid w:val="0013445E"/>
    <w:rsid w:val="00134BF2"/>
    <w:rsid w:val="00134FF2"/>
    <w:rsid w:val="00135149"/>
    <w:rsid w:val="00135D82"/>
    <w:rsid w:val="00135E0B"/>
    <w:rsid w:val="0013613D"/>
    <w:rsid w:val="001361C3"/>
    <w:rsid w:val="001365BD"/>
    <w:rsid w:val="00136B70"/>
    <w:rsid w:val="00136C90"/>
    <w:rsid w:val="0013703C"/>
    <w:rsid w:val="00137795"/>
    <w:rsid w:val="00137DBC"/>
    <w:rsid w:val="00140556"/>
    <w:rsid w:val="001407DC"/>
    <w:rsid w:val="001409A4"/>
    <w:rsid w:val="00140D97"/>
    <w:rsid w:val="00140ED2"/>
    <w:rsid w:val="00141026"/>
    <w:rsid w:val="0014142C"/>
    <w:rsid w:val="00141458"/>
    <w:rsid w:val="001417F1"/>
    <w:rsid w:val="001418E7"/>
    <w:rsid w:val="00141A49"/>
    <w:rsid w:val="00141FA6"/>
    <w:rsid w:val="00142330"/>
    <w:rsid w:val="0014262D"/>
    <w:rsid w:val="001427B3"/>
    <w:rsid w:val="00142CC5"/>
    <w:rsid w:val="00142D33"/>
    <w:rsid w:val="00142F7F"/>
    <w:rsid w:val="00143569"/>
    <w:rsid w:val="00143785"/>
    <w:rsid w:val="00143FB7"/>
    <w:rsid w:val="00143FC6"/>
    <w:rsid w:val="001447F7"/>
    <w:rsid w:val="00144A11"/>
    <w:rsid w:val="00144A7C"/>
    <w:rsid w:val="00144E20"/>
    <w:rsid w:val="0014507A"/>
    <w:rsid w:val="001452FC"/>
    <w:rsid w:val="00145862"/>
    <w:rsid w:val="00145A07"/>
    <w:rsid w:val="00145E1D"/>
    <w:rsid w:val="00146030"/>
    <w:rsid w:val="00146824"/>
    <w:rsid w:val="0014688B"/>
    <w:rsid w:val="00146AEF"/>
    <w:rsid w:val="0014719A"/>
    <w:rsid w:val="0014766F"/>
    <w:rsid w:val="0014778B"/>
    <w:rsid w:val="00147890"/>
    <w:rsid w:val="0014790B"/>
    <w:rsid w:val="00147E35"/>
    <w:rsid w:val="00150130"/>
    <w:rsid w:val="001503A0"/>
    <w:rsid w:val="001506DC"/>
    <w:rsid w:val="00150B73"/>
    <w:rsid w:val="00150BDA"/>
    <w:rsid w:val="00150CED"/>
    <w:rsid w:val="00150FAB"/>
    <w:rsid w:val="0015155A"/>
    <w:rsid w:val="00151856"/>
    <w:rsid w:val="001518A1"/>
    <w:rsid w:val="0015205E"/>
    <w:rsid w:val="00152556"/>
    <w:rsid w:val="0015299F"/>
    <w:rsid w:val="00152D52"/>
    <w:rsid w:val="00152D79"/>
    <w:rsid w:val="00152F23"/>
    <w:rsid w:val="00152FC2"/>
    <w:rsid w:val="00153295"/>
    <w:rsid w:val="0015383A"/>
    <w:rsid w:val="001538A5"/>
    <w:rsid w:val="00153AC8"/>
    <w:rsid w:val="00153B6B"/>
    <w:rsid w:val="00153BD7"/>
    <w:rsid w:val="00153F03"/>
    <w:rsid w:val="00153FEB"/>
    <w:rsid w:val="00154398"/>
    <w:rsid w:val="001543F3"/>
    <w:rsid w:val="00154D3B"/>
    <w:rsid w:val="001553A1"/>
    <w:rsid w:val="001558A2"/>
    <w:rsid w:val="001558C9"/>
    <w:rsid w:val="00155EEF"/>
    <w:rsid w:val="00156126"/>
    <w:rsid w:val="0015618D"/>
    <w:rsid w:val="00156FF5"/>
    <w:rsid w:val="00156FFD"/>
    <w:rsid w:val="00157090"/>
    <w:rsid w:val="001570EE"/>
    <w:rsid w:val="00157300"/>
    <w:rsid w:val="0015737F"/>
    <w:rsid w:val="00157FF8"/>
    <w:rsid w:val="001600D8"/>
    <w:rsid w:val="00160645"/>
    <w:rsid w:val="0016097A"/>
    <w:rsid w:val="00161954"/>
    <w:rsid w:val="001620AE"/>
    <w:rsid w:val="00162229"/>
    <w:rsid w:val="0016254C"/>
    <w:rsid w:val="0016297D"/>
    <w:rsid w:val="00162C86"/>
    <w:rsid w:val="00162DC9"/>
    <w:rsid w:val="00162DE4"/>
    <w:rsid w:val="00162E8C"/>
    <w:rsid w:val="001632ED"/>
    <w:rsid w:val="00163384"/>
    <w:rsid w:val="00163BA2"/>
    <w:rsid w:val="00163C33"/>
    <w:rsid w:val="00163DED"/>
    <w:rsid w:val="00163F2D"/>
    <w:rsid w:val="001648CC"/>
    <w:rsid w:val="00164ACE"/>
    <w:rsid w:val="00164F71"/>
    <w:rsid w:val="00165252"/>
    <w:rsid w:val="00165308"/>
    <w:rsid w:val="001655C3"/>
    <w:rsid w:val="001659AF"/>
    <w:rsid w:val="00165AF5"/>
    <w:rsid w:val="00165BB7"/>
    <w:rsid w:val="00165F8D"/>
    <w:rsid w:val="00165FDE"/>
    <w:rsid w:val="001661C2"/>
    <w:rsid w:val="0016630A"/>
    <w:rsid w:val="00166862"/>
    <w:rsid w:val="00166DA7"/>
    <w:rsid w:val="00166DED"/>
    <w:rsid w:val="00166EDE"/>
    <w:rsid w:val="00166F09"/>
    <w:rsid w:val="00166F51"/>
    <w:rsid w:val="00167135"/>
    <w:rsid w:val="00167156"/>
    <w:rsid w:val="0016717C"/>
    <w:rsid w:val="001672A5"/>
    <w:rsid w:val="0016733E"/>
    <w:rsid w:val="0016739D"/>
    <w:rsid w:val="001674BD"/>
    <w:rsid w:val="00167B9C"/>
    <w:rsid w:val="00167D36"/>
    <w:rsid w:val="00167D98"/>
    <w:rsid w:val="00167DC3"/>
    <w:rsid w:val="00170D7A"/>
    <w:rsid w:val="00170E01"/>
    <w:rsid w:val="00170E3D"/>
    <w:rsid w:val="00171BE7"/>
    <w:rsid w:val="00171DA6"/>
    <w:rsid w:val="001722A4"/>
    <w:rsid w:val="0017259E"/>
    <w:rsid w:val="0017267D"/>
    <w:rsid w:val="00172996"/>
    <w:rsid w:val="00172B76"/>
    <w:rsid w:val="00172C5E"/>
    <w:rsid w:val="00172D9D"/>
    <w:rsid w:val="00173F8E"/>
    <w:rsid w:val="001741C6"/>
    <w:rsid w:val="00174772"/>
    <w:rsid w:val="0017480A"/>
    <w:rsid w:val="001751C2"/>
    <w:rsid w:val="00175543"/>
    <w:rsid w:val="001757AE"/>
    <w:rsid w:val="001758B4"/>
    <w:rsid w:val="00175F0F"/>
    <w:rsid w:val="001761DF"/>
    <w:rsid w:val="00176222"/>
    <w:rsid w:val="001762A5"/>
    <w:rsid w:val="0017662C"/>
    <w:rsid w:val="0017663C"/>
    <w:rsid w:val="001768FF"/>
    <w:rsid w:val="00176C8F"/>
    <w:rsid w:val="00176F4E"/>
    <w:rsid w:val="001770AF"/>
    <w:rsid w:val="001772A6"/>
    <w:rsid w:val="00177D18"/>
    <w:rsid w:val="00180211"/>
    <w:rsid w:val="00180770"/>
    <w:rsid w:val="001809DF"/>
    <w:rsid w:val="00180A46"/>
    <w:rsid w:val="001812B0"/>
    <w:rsid w:val="0018155C"/>
    <w:rsid w:val="00181A2E"/>
    <w:rsid w:val="00181D41"/>
    <w:rsid w:val="00182280"/>
    <w:rsid w:val="001822BB"/>
    <w:rsid w:val="0018241D"/>
    <w:rsid w:val="001827F5"/>
    <w:rsid w:val="00182E8E"/>
    <w:rsid w:val="00183251"/>
    <w:rsid w:val="001833E6"/>
    <w:rsid w:val="0018346E"/>
    <w:rsid w:val="00183D7F"/>
    <w:rsid w:val="00183DAD"/>
    <w:rsid w:val="00183FF9"/>
    <w:rsid w:val="0018426A"/>
    <w:rsid w:val="0018487A"/>
    <w:rsid w:val="001849DB"/>
    <w:rsid w:val="00184A18"/>
    <w:rsid w:val="00184FA3"/>
    <w:rsid w:val="00185765"/>
    <w:rsid w:val="00185E37"/>
    <w:rsid w:val="00185E48"/>
    <w:rsid w:val="00186866"/>
    <w:rsid w:val="00186CE5"/>
    <w:rsid w:val="0018703C"/>
    <w:rsid w:val="001873AB"/>
    <w:rsid w:val="001873BE"/>
    <w:rsid w:val="001873C6"/>
    <w:rsid w:val="0018771A"/>
    <w:rsid w:val="00187740"/>
    <w:rsid w:val="00187A36"/>
    <w:rsid w:val="00187AD7"/>
    <w:rsid w:val="00187C2F"/>
    <w:rsid w:val="00190716"/>
    <w:rsid w:val="00190DA0"/>
    <w:rsid w:val="00190FAB"/>
    <w:rsid w:val="00191157"/>
    <w:rsid w:val="001914E3"/>
    <w:rsid w:val="00191B09"/>
    <w:rsid w:val="00191C53"/>
    <w:rsid w:val="00192682"/>
    <w:rsid w:val="00192B32"/>
    <w:rsid w:val="00192D39"/>
    <w:rsid w:val="00193154"/>
    <w:rsid w:val="00193252"/>
    <w:rsid w:val="0019386E"/>
    <w:rsid w:val="00193E3C"/>
    <w:rsid w:val="00194593"/>
    <w:rsid w:val="0019473E"/>
    <w:rsid w:val="0019544F"/>
    <w:rsid w:val="00195886"/>
    <w:rsid w:val="00195923"/>
    <w:rsid w:val="0019598B"/>
    <w:rsid w:val="00195A08"/>
    <w:rsid w:val="00195A1C"/>
    <w:rsid w:val="00195D9B"/>
    <w:rsid w:val="00195FCC"/>
    <w:rsid w:val="0019611D"/>
    <w:rsid w:val="001964FB"/>
    <w:rsid w:val="00196663"/>
    <w:rsid w:val="00196688"/>
    <w:rsid w:val="001966E0"/>
    <w:rsid w:val="001969E6"/>
    <w:rsid w:val="00196B54"/>
    <w:rsid w:val="00196C63"/>
    <w:rsid w:val="00196EAF"/>
    <w:rsid w:val="00196F00"/>
    <w:rsid w:val="00196F87"/>
    <w:rsid w:val="00197623"/>
    <w:rsid w:val="001A0111"/>
    <w:rsid w:val="001A020C"/>
    <w:rsid w:val="001A0672"/>
    <w:rsid w:val="001A0A8C"/>
    <w:rsid w:val="001A0CD2"/>
    <w:rsid w:val="001A13EB"/>
    <w:rsid w:val="001A1F54"/>
    <w:rsid w:val="001A246B"/>
    <w:rsid w:val="001A27AA"/>
    <w:rsid w:val="001A2976"/>
    <w:rsid w:val="001A33E5"/>
    <w:rsid w:val="001A35E4"/>
    <w:rsid w:val="001A3962"/>
    <w:rsid w:val="001A3A5B"/>
    <w:rsid w:val="001A3A8A"/>
    <w:rsid w:val="001A3AED"/>
    <w:rsid w:val="001A4C00"/>
    <w:rsid w:val="001A4ECE"/>
    <w:rsid w:val="001A5FAC"/>
    <w:rsid w:val="001A5FC6"/>
    <w:rsid w:val="001A6E26"/>
    <w:rsid w:val="001A7037"/>
    <w:rsid w:val="001A71DF"/>
    <w:rsid w:val="001A7FEB"/>
    <w:rsid w:val="001B046F"/>
    <w:rsid w:val="001B05B6"/>
    <w:rsid w:val="001B08A5"/>
    <w:rsid w:val="001B09AD"/>
    <w:rsid w:val="001B0B91"/>
    <w:rsid w:val="001B10EA"/>
    <w:rsid w:val="001B1C81"/>
    <w:rsid w:val="001B1DC0"/>
    <w:rsid w:val="001B1F4D"/>
    <w:rsid w:val="001B206F"/>
    <w:rsid w:val="001B26FC"/>
    <w:rsid w:val="001B2A08"/>
    <w:rsid w:val="001B303D"/>
    <w:rsid w:val="001B3855"/>
    <w:rsid w:val="001B3A19"/>
    <w:rsid w:val="001B3AFC"/>
    <w:rsid w:val="001B3E67"/>
    <w:rsid w:val="001B42C4"/>
    <w:rsid w:val="001B46CB"/>
    <w:rsid w:val="001B481F"/>
    <w:rsid w:val="001B4C2A"/>
    <w:rsid w:val="001B4D59"/>
    <w:rsid w:val="001B502C"/>
    <w:rsid w:val="001B5045"/>
    <w:rsid w:val="001B5207"/>
    <w:rsid w:val="001B5456"/>
    <w:rsid w:val="001B560B"/>
    <w:rsid w:val="001B5C12"/>
    <w:rsid w:val="001B60D7"/>
    <w:rsid w:val="001B6746"/>
    <w:rsid w:val="001B6A39"/>
    <w:rsid w:val="001B6ACB"/>
    <w:rsid w:val="001B6F4B"/>
    <w:rsid w:val="001B79C9"/>
    <w:rsid w:val="001B7B6C"/>
    <w:rsid w:val="001C00B5"/>
    <w:rsid w:val="001C0BE7"/>
    <w:rsid w:val="001C0D2F"/>
    <w:rsid w:val="001C0D3A"/>
    <w:rsid w:val="001C0FC9"/>
    <w:rsid w:val="001C105F"/>
    <w:rsid w:val="001C111A"/>
    <w:rsid w:val="001C13E8"/>
    <w:rsid w:val="001C1543"/>
    <w:rsid w:val="001C1CFE"/>
    <w:rsid w:val="001C205F"/>
    <w:rsid w:val="001C207B"/>
    <w:rsid w:val="001C27DD"/>
    <w:rsid w:val="001C2D0C"/>
    <w:rsid w:val="001C2D51"/>
    <w:rsid w:val="001C330C"/>
    <w:rsid w:val="001C362F"/>
    <w:rsid w:val="001C37DF"/>
    <w:rsid w:val="001C393C"/>
    <w:rsid w:val="001C3B35"/>
    <w:rsid w:val="001C3E44"/>
    <w:rsid w:val="001C42F0"/>
    <w:rsid w:val="001C496B"/>
    <w:rsid w:val="001C49B3"/>
    <w:rsid w:val="001C4F5F"/>
    <w:rsid w:val="001C5006"/>
    <w:rsid w:val="001C59C7"/>
    <w:rsid w:val="001C5AAA"/>
    <w:rsid w:val="001C5C6D"/>
    <w:rsid w:val="001C5DBC"/>
    <w:rsid w:val="001C5EC3"/>
    <w:rsid w:val="001C60BF"/>
    <w:rsid w:val="001C628E"/>
    <w:rsid w:val="001C635D"/>
    <w:rsid w:val="001C64B9"/>
    <w:rsid w:val="001C6686"/>
    <w:rsid w:val="001C67A7"/>
    <w:rsid w:val="001C695A"/>
    <w:rsid w:val="001C6BB1"/>
    <w:rsid w:val="001C6BEB"/>
    <w:rsid w:val="001C6CAE"/>
    <w:rsid w:val="001C6E9B"/>
    <w:rsid w:val="001C7629"/>
    <w:rsid w:val="001C769C"/>
    <w:rsid w:val="001C77FF"/>
    <w:rsid w:val="001C7AAB"/>
    <w:rsid w:val="001C7CF0"/>
    <w:rsid w:val="001C7E5F"/>
    <w:rsid w:val="001C7F4F"/>
    <w:rsid w:val="001C7F77"/>
    <w:rsid w:val="001D01D3"/>
    <w:rsid w:val="001D0531"/>
    <w:rsid w:val="001D0841"/>
    <w:rsid w:val="001D0D8E"/>
    <w:rsid w:val="001D130A"/>
    <w:rsid w:val="001D16CC"/>
    <w:rsid w:val="001D24BF"/>
    <w:rsid w:val="001D269D"/>
    <w:rsid w:val="001D26D4"/>
    <w:rsid w:val="001D2A79"/>
    <w:rsid w:val="001D2ACA"/>
    <w:rsid w:val="001D2C86"/>
    <w:rsid w:val="001D3342"/>
    <w:rsid w:val="001D3559"/>
    <w:rsid w:val="001D3AA8"/>
    <w:rsid w:val="001D3C27"/>
    <w:rsid w:val="001D3DEC"/>
    <w:rsid w:val="001D451C"/>
    <w:rsid w:val="001D4545"/>
    <w:rsid w:val="001D46EC"/>
    <w:rsid w:val="001D5528"/>
    <w:rsid w:val="001D5603"/>
    <w:rsid w:val="001D57C2"/>
    <w:rsid w:val="001D589F"/>
    <w:rsid w:val="001D5DD6"/>
    <w:rsid w:val="001D5E11"/>
    <w:rsid w:val="001D61DD"/>
    <w:rsid w:val="001D632C"/>
    <w:rsid w:val="001D67A3"/>
    <w:rsid w:val="001D68CB"/>
    <w:rsid w:val="001D6963"/>
    <w:rsid w:val="001D6CFC"/>
    <w:rsid w:val="001D6D85"/>
    <w:rsid w:val="001D7078"/>
    <w:rsid w:val="001D7683"/>
    <w:rsid w:val="001D7885"/>
    <w:rsid w:val="001D7B74"/>
    <w:rsid w:val="001D7C96"/>
    <w:rsid w:val="001D7CE3"/>
    <w:rsid w:val="001D7D6C"/>
    <w:rsid w:val="001E04C6"/>
    <w:rsid w:val="001E08EB"/>
    <w:rsid w:val="001E0B18"/>
    <w:rsid w:val="001E0C0D"/>
    <w:rsid w:val="001E0FAD"/>
    <w:rsid w:val="001E101C"/>
    <w:rsid w:val="001E11B5"/>
    <w:rsid w:val="001E1333"/>
    <w:rsid w:val="001E1763"/>
    <w:rsid w:val="001E19C7"/>
    <w:rsid w:val="001E1CAC"/>
    <w:rsid w:val="001E1FBD"/>
    <w:rsid w:val="001E3530"/>
    <w:rsid w:val="001E3A20"/>
    <w:rsid w:val="001E3B01"/>
    <w:rsid w:val="001E3DBA"/>
    <w:rsid w:val="001E403A"/>
    <w:rsid w:val="001E416E"/>
    <w:rsid w:val="001E4861"/>
    <w:rsid w:val="001E4A2B"/>
    <w:rsid w:val="001E53E5"/>
    <w:rsid w:val="001E58A7"/>
    <w:rsid w:val="001E5B00"/>
    <w:rsid w:val="001E5BF8"/>
    <w:rsid w:val="001E5CAF"/>
    <w:rsid w:val="001E6247"/>
    <w:rsid w:val="001E6339"/>
    <w:rsid w:val="001E640F"/>
    <w:rsid w:val="001E68AE"/>
    <w:rsid w:val="001E69C8"/>
    <w:rsid w:val="001E6F4D"/>
    <w:rsid w:val="001E79F6"/>
    <w:rsid w:val="001E7B69"/>
    <w:rsid w:val="001E7D55"/>
    <w:rsid w:val="001E7DA4"/>
    <w:rsid w:val="001E7F44"/>
    <w:rsid w:val="001F00B1"/>
    <w:rsid w:val="001F00EF"/>
    <w:rsid w:val="001F060F"/>
    <w:rsid w:val="001F151F"/>
    <w:rsid w:val="001F1F85"/>
    <w:rsid w:val="001F2235"/>
    <w:rsid w:val="001F2E59"/>
    <w:rsid w:val="001F313C"/>
    <w:rsid w:val="001F3334"/>
    <w:rsid w:val="001F3350"/>
    <w:rsid w:val="001F3628"/>
    <w:rsid w:val="001F3886"/>
    <w:rsid w:val="001F3976"/>
    <w:rsid w:val="001F3CA9"/>
    <w:rsid w:val="001F3DDA"/>
    <w:rsid w:val="001F3FE3"/>
    <w:rsid w:val="001F43AB"/>
    <w:rsid w:val="001F468A"/>
    <w:rsid w:val="001F49AB"/>
    <w:rsid w:val="001F580E"/>
    <w:rsid w:val="001F5834"/>
    <w:rsid w:val="001F6098"/>
    <w:rsid w:val="001F6266"/>
    <w:rsid w:val="001F684D"/>
    <w:rsid w:val="001F6F4F"/>
    <w:rsid w:val="001F6F7C"/>
    <w:rsid w:val="001F7A03"/>
    <w:rsid w:val="001F7C4B"/>
    <w:rsid w:val="00200391"/>
    <w:rsid w:val="00200C89"/>
    <w:rsid w:val="00200E57"/>
    <w:rsid w:val="00200EC6"/>
    <w:rsid w:val="0020137B"/>
    <w:rsid w:val="002016A3"/>
    <w:rsid w:val="00201844"/>
    <w:rsid w:val="00201CD1"/>
    <w:rsid w:val="002020EA"/>
    <w:rsid w:val="002023D9"/>
    <w:rsid w:val="00202634"/>
    <w:rsid w:val="00202B6A"/>
    <w:rsid w:val="00202F31"/>
    <w:rsid w:val="00203152"/>
    <w:rsid w:val="00203806"/>
    <w:rsid w:val="00203C40"/>
    <w:rsid w:val="00203CE5"/>
    <w:rsid w:val="00204217"/>
    <w:rsid w:val="002043C6"/>
    <w:rsid w:val="00204519"/>
    <w:rsid w:val="00204B73"/>
    <w:rsid w:val="00204D20"/>
    <w:rsid w:val="002051EC"/>
    <w:rsid w:val="002054D5"/>
    <w:rsid w:val="002061C5"/>
    <w:rsid w:val="0020663F"/>
    <w:rsid w:val="00206A78"/>
    <w:rsid w:val="00206CCC"/>
    <w:rsid w:val="00207140"/>
    <w:rsid w:val="0020717A"/>
    <w:rsid w:val="002076FE"/>
    <w:rsid w:val="00207886"/>
    <w:rsid w:val="0020798E"/>
    <w:rsid w:val="00207ED9"/>
    <w:rsid w:val="00207F79"/>
    <w:rsid w:val="002100EF"/>
    <w:rsid w:val="002102D4"/>
    <w:rsid w:val="00210CC5"/>
    <w:rsid w:val="002114AF"/>
    <w:rsid w:val="00212182"/>
    <w:rsid w:val="0021278D"/>
    <w:rsid w:val="002128F2"/>
    <w:rsid w:val="00212C8B"/>
    <w:rsid w:val="002135D5"/>
    <w:rsid w:val="002137D1"/>
    <w:rsid w:val="00213C08"/>
    <w:rsid w:val="00213FE9"/>
    <w:rsid w:val="002144E5"/>
    <w:rsid w:val="002145D2"/>
    <w:rsid w:val="00214693"/>
    <w:rsid w:val="00214C0D"/>
    <w:rsid w:val="00214FD3"/>
    <w:rsid w:val="002150E3"/>
    <w:rsid w:val="00215345"/>
    <w:rsid w:val="00215404"/>
    <w:rsid w:val="00215B47"/>
    <w:rsid w:val="002162D1"/>
    <w:rsid w:val="00216A2E"/>
    <w:rsid w:val="00216C90"/>
    <w:rsid w:val="00216F95"/>
    <w:rsid w:val="00216FB6"/>
    <w:rsid w:val="002171E3"/>
    <w:rsid w:val="00217C64"/>
    <w:rsid w:val="00217CC5"/>
    <w:rsid w:val="00220526"/>
    <w:rsid w:val="00220A30"/>
    <w:rsid w:val="00220CEA"/>
    <w:rsid w:val="00222315"/>
    <w:rsid w:val="00222326"/>
    <w:rsid w:val="00222585"/>
    <w:rsid w:val="00222D11"/>
    <w:rsid w:val="00222D51"/>
    <w:rsid w:val="00222EB3"/>
    <w:rsid w:val="002231EB"/>
    <w:rsid w:val="0022354B"/>
    <w:rsid w:val="00223E92"/>
    <w:rsid w:val="0022519A"/>
    <w:rsid w:val="002253B2"/>
    <w:rsid w:val="002258F4"/>
    <w:rsid w:val="002259A7"/>
    <w:rsid w:val="00225C3A"/>
    <w:rsid w:val="002262F3"/>
    <w:rsid w:val="00226FBC"/>
    <w:rsid w:val="002272A2"/>
    <w:rsid w:val="0022774A"/>
    <w:rsid w:val="00227E4A"/>
    <w:rsid w:val="002305B3"/>
    <w:rsid w:val="00230654"/>
    <w:rsid w:val="00230786"/>
    <w:rsid w:val="002309B9"/>
    <w:rsid w:val="00230B1F"/>
    <w:rsid w:val="00230DB3"/>
    <w:rsid w:val="00231093"/>
    <w:rsid w:val="00231D3D"/>
    <w:rsid w:val="00231E3B"/>
    <w:rsid w:val="00231EE6"/>
    <w:rsid w:val="00232073"/>
    <w:rsid w:val="002324E3"/>
    <w:rsid w:val="00233962"/>
    <w:rsid w:val="00233B17"/>
    <w:rsid w:val="0023464F"/>
    <w:rsid w:val="002346E0"/>
    <w:rsid w:val="00234ADC"/>
    <w:rsid w:val="00235903"/>
    <w:rsid w:val="00235AA6"/>
    <w:rsid w:val="00235D51"/>
    <w:rsid w:val="00235E65"/>
    <w:rsid w:val="00235EC6"/>
    <w:rsid w:val="0023610A"/>
    <w:rsid w:val="00236435"/>
    <w:rsid w:val="0023646E"/>
    <w:rsid w:val="002367AD"/>
    <w:rsid w:val="002371DC"/>
    <w:rsid w:val="00237318"/>
    <w:rsid w:val="0023762C"/>
    <w:rsid w:val="002376D4"/>
    <w:rsid w:val="00237B49"/>
    <w:rsid w:val="00237E31"/>
    <w:rsid w:val="002400D6"/>
    <w:rsid w:val="0024032E"/>
    <w:rsid w:val="002403F6"/>
    <w:rsid w:val="00240505"/>
    <w:rsid w:val="002405AF"/>
    <w:rsid w:val="0024083D"/>
    <w:rsid w:val="00240A18"/>
    <w:rsid w:val="00242482"/>
    <w:rsid w:val="0024273B"/>
    <w:rsid w:val="00242915"/>
    <w:rsid w:val="0024316A"/>
    <w:rsid w:val="002432D7"/>
    <w:rsid w:val="002434CB"/>
    <w:rsid w:val="0024358C"/>
    <w:rsid w:val="00243A1D"/>
    <w:rsid w:val="00243C12"/>
    <w:rsid w:val="00243E11"/>
    <w:rsid w:val="00243F2D"/>
    <w:rsid w:val="0024427A"/>
    <w:rsid w:val="00244F59"/>
    <w:rsid w:val="002454E6"/>
    <w:rsid w:val="00245BB1"/>
    <w:rsid w:val="00245EEF"/>
    <w:rsid w:val="0024623C"/>
    <w:rsid w:val="0024631D"/>
    <w:rsid w:val="0024639B"/>
    <w:rsid w:val="00246A4A"/>
    <w:rsid w:val="00246B8F"/>
    <w:rsid w:val="00247159"/>
    <w:rsid w:val="00247859"/>
    <w:rsid w:val="002500AD"/>
    <w:rsid w:val="002500B0"/>
    <w:rsid w:val="00250458"/>
    <w:rsid w:val="00250999"/>
    <w:rsid w:val="00251174"/>
    <w:rsid w:val="0025144D"/>
    <w:rsid w:val="00251E32"/>
    <w:rsid w:val="002523F0"/>
    <w:rsid w:val="002527B0"/>
    <w:rsid w:val="00252A40"/>
    <w:rsid w:val="00252C57"/>
    <w:rsid w:val="0025313D"/>
    <w:rsid w:val="00253151"/>
    <w:rsid w:val="0025347A"/>
    <w:rsid w:val="00253699"/>
    <w:rsid w:val="00253728"/>
    <w:rsid w:val="00253E95"/>
    <w:rsid w:val="00253FA4"/>
    <w:rsid w:val="0025407C"/>
    <w:rsid w:val="002543C2"/>
    <w:rsid w:val="002544B6"/>
    <w:rsid w:val="0025471C"/>
    <w:rsid w:val="00254D1E"/>
    <w:rsid w:val="00254DFE"/>
    <w:rsid w:val="0025517E"/>
    <w:rsid w:val="002554E5"/>
    <w:rsid w:val="002559CE"/>
    <w:rsid w:val="002559FA"/>
    <w:rsid w:val="00255A84"/>
    <w:rsid w:val="00255E27"/>
    <w:rsid w:val="0025653A"/>
    <w:rsid w:val="0025685C"/>
    <w:rsid w:val="00257780"/>
    <w:rsid w:val="002577BB"/>
    <w:rsid w:val="002577E2"/>
    <w:rsid w:val="00257C65"/>
    <w:rsid w:val="00260470"/>
    <w:rsid w:val="00260989"/>
    <w:rsid w:val="00260E2C"/>
    <w:rsid w:val="0026109C"/>
    <w:rsid w:val="002611DF"/>
    <w:rsid w:val="002613E9"/>
    <w:rsid w:val="00261899"/>
    <w:rsid w:val="00261A14"/>
    <w:rsid w:val="00261ACD"/>
    <w:rsid w:val="002623FE"/>
    <w:rsid w:val="0026267C"/>
    <w:rsid w:val="002630C9"/>
    <w:rsid w:val="0026326F"/>
    <w:rsid w:val="00263343"/>
    <w:rsid w:val="00264191"/>
    <w:rsid w:val="002643C1"/>
    <w:rsid w:val="00264724"/>
    <w:rsid w:val="00264729"/>
    <w:rsid w:val="002652B6"/>
    <w:rsid w:val="00265C7D"/>
    <w:rsid w:val="00265F04"/>
    <w:rsid w:val="00265F4A"/>
    <w:rsid w:val="00266609"/>
    <w:rsid w:val="0026661A"/>
    <w:rsid w:val="00266906"/>
    <w:rsid w:val="00266D23"/>
    <w:rsid w:val="00266D76"/>
    <w:rsid w:val="00266D9D"/>
    <w:rsid w:val="00266E08"/>
    <w:rsid w:val="00266E98"/>
    <w:rsid w:val="00267914"/>
    <w:rsid w:val="00270804"/>
    <w:rsid w:val="002708E1"/>
    <w:rsid w:val="00271076"/>
    <w:rsid w:val="0027156A"/>
    <w:rsid w:val="00271B2D"/>
    <w:rsid w:val="0027228B"/>
    <w:rsid w:val="00272632"/>
    <w:rsid w:val="002727DF"/>
    <w:rsid w:val="00272AF7"/>
    <w:rsid w:val="00273063"/>
    <w:rsid w:val="00273286"/>
    <w:rsid w:val="0027441F"/>
    <w:rsid w:val="00274645"/>
    <w:rsid w:val="00274982"/>
    <w:rsid w:val="00274C89"/>
    <w:rsid w:val="00275293"/>
    <w:rsid w:val="00275622"/>
    <w:rsid w:val="00275846"/>
    <w:rsid w:val="00275E7F"/>
    <w:rsid w:val="002764A7"/>
    <w:rsid w:val="00276649"/>
    <w:rsid w:val="00276701"/>
    <w:rsid w:val="002767A1"/>
    <w:rsid w:val="00276F51"/>
    <w:rsid w:val="00277764"/>
    <w:rsid w:val="00277C36"/>
    <w:rsid w:val="00277C52"/>
    <w:rsid w:val="00280011"/>
    <w:rsid w:val="00280187"/>
    <w:rsid w:val="002805ED"/>
    <w:rsid w:val="0028064D"/>
    <w:rsid w:val="00280851"/>
    <w:rsid w:val="00280932"/>
    <w:rsid w:val="00280BC3"/>
    <w:rsid w:val="00280C79"/>
    <w:rsid w:val="00281156"/>
    <w:rsid w:val="002816A9"/>
    <w:rsid w:val="00281F47"/>
    <w:rsid w:val="00282269"/>
    <w:rsid w:val="00282559"/>
    <w:rsid w:val="0028304D"/>
    <w:rsid w:val="00283126"/>
    <w:rsid w:val="002834AC"/>
    <w:rsid w:val="0028360C"/>
    <w:rsid w:val="00283668"/>
    <w:rsid w:val="0028375F"/>
    <w:rsid w:val="002843B9"/>
    <w:rsid w:val="002849CE"/>
    <w:rsid w:val="00284A9B"/>
    <w:rsid w:val="00284C3D"/>
    <w:rsid w:val="00284D03"/>
    <w:rsid w:val="00284F3F"/>
    <w:rsid w:val="00284FB8"/>
    <w:rsid w:val="002856D3"/>
    <w:rsid w:val="00285715"/>
    <w:rsid w:val="00286133"/>
    <w:rsid w:val="002864F9"/>
    <w:rsid w:val="0028677F"/>
    <w:rsid w:val="00286812"/>
    <w:rsid w:val="00286B18"/>
    <w:rsid w:val="002875AD"/>
    <w:rsid w:val="002876A4"/>
    <w:rsid w:val="002877D4"/>
    <w:rsid w:val="00287B9C"/>
    <w:rsid w:val="002910F6"/>
    <w:rsid w:val="002912FA"/>
    <w:rsid w:val="00291528"/>
    <w:rsid w:val="002919CE"/>
    <w:rsid w:val="00291EDA"/>
    <w:rsid w:val="00292039"/>
    <w:rsid w:val="0029276D"/>
    <w:rsid w:val="002927E2"/>
    <w:rsid w:val="00292865"/>
    <w:rsid w:val="002929D9"/>
    <w:rsid w:val="00292B31"/>
    <w:rsid w:val="00292C2C"/>
    <w:rsid w:val="00292D49"/>
    <w:rsid w:val="00292F9D"/>
    <w:rsid w:val="00292FEC"/>
    <w:rsid w:val="002931E9"/>
    <w:rsid w:val="002934B9"/>
    <w:rsid w:val="0029365E"/>
    <w:rsid w:val="00293A35"/>
    <w:rsid w:val="002943CE"/>
    <w:rsid w:val="00294488"/>
    <w:rsid w:val="002945E6"/>
    <w:rsid w:val="0029463E"/>
    <w:rsid w:val="00294C67"/>
    <w:rsid w:val="002951F4"/>
    <w:rsid w:val="0029521E"/>
    <w:rsid w:val="00295819"/>
    <w:rsid w:val="00295961"/>
    <w:rsid w:val="00295EB6"/>
    <w:rsid w:val="00295FFE"/>
    <w:rsid w:val="0029662E"/>
    <w:rsid w:val="0029776A"/>
    <w:rsid w:val="002A01A1"/>
    <w:rsid w:val="002A03EC"/>
    <w:rsid w:val="002A0BD9"/>
    <w:rsid w:val="002A1350"/>
    <w:rsid w:val="002A1D6D"/>
    <w:rsid w:val="002A2AC9"/>
    <w:rsid w:val="002A2B35"/>
    <w:rsid w:val="002A2CEE"/>
    <w:rsid w:val="002A2DA7"/>
    <w:rsid w:val="002A312C"/>
    <w:rsid w:val="002A319A"/>
    <w:rsid w:val="002A3687"/>
    <w:rsid w:val="002A3BC5"/>
    <w:rsid w:val="002A3E6C"/>
    <w:rsid w:val="002A40A0"/>
    <w:rsid w:val="002A4772"/>
    <w:rsid w:val="002A5293"/>
    <w:rsid w:val="002A5B64"/>
    <w:rsid w:val="002A5D08"/>
    <w:rsid w:val="002A6F68"/>
    <w:rsid w:val="002A7856"/>
    <w:rsid w:val="002A78C2"/>
    <w:rsid w:val="002B024E"/>
    <w:rsid w:val="002B0604"/>
    <w:rsid w:val="002B06E1"/>
    <w:rsid w:val="002B0ACD"/>
    <w:rsid w:val="002B117B"/>
    <w:rsid w:val="002B11E6"/>
    <w:rsid w:val="002B1A99"/>
    <w:rsid w:val="002B27BE"/>
    <w:rsid w:val="002B2A87"/>
    <w:rsid w:val="002B2CA6"/>
    <w:rsid w:val="002B2DD9"/>
    <w:rsid w:val="002B3752"/>
    <w:rsid w:val="002B395D"/>
    <w:rsid w:val="002B3C12"/>
    <w:rsid w:val="002B3E3B"/>
    <w:rsid w:val="002B445F"/>
    <w:rsid w:val="002B4474"/>
    <w:rsid w:val="002B4665"/>
    <w:rsid w:val="002B474E"/>
    <w:rsid w:val="002B4F86"/>
    <w:rsid w:val="002B570F"/>
    <w:rsid w:val="002B5853"/>
    <w:rsid w:val="002B59B7"/>
    <w:rsid w:val="002B5FC5"/>
    <w:rsid w:val="002B63FB"/>
    <w:rsid w:val="002B66B1"/>
    <w:rsid w:val="002B6829"/>
    <w:rsid w:val="002B6BB8"/>
    <w:rsid w:val="002B6DED"/>
    <w:rsid w:val="002B72CF"/>
    <w:rsid w:val="002B7BF4"/>
    <w:rsid w:val="002B7FEC"/>
    <w:rsid w:val="002C0072"/>
    <w:rsid w:val="002C010E"/>
    <w:rsid w:val="002C0183"/>
    <w:rsid w:val="002C01C1"/>
    <w:rsid w:val="002C0751"/>
    <w:rsid w:val="002C0836"/>
    <w:rsid w:val="002C0E3B"/>
    <w:rsid w:val="002C0F6B"/>
    <w:rsid w:val="002C12ED"/>
    <w:rsid w:val="002C18F7"/>
    <w:rsid w:val="002C2082"/>
    <w:rsid w:val="002C20D4"/>
    <w:rsid w:val="002C2233"/>
    <w:rsid w:val="002C22A2"/>
    <w:rsid w:val="002C2468"/>
    <w:rsid w:val="002C2609"/>
    <w:rsid w:val="002C3636"/>
    <w:rsid w:val="002C3718"/>
    <w:rsid w:val="002C3A02"/>
    <w:rsid w:val="002C3A55"/>
    <w:rsid w:val="002C3EC8"/>
    <w:rsid w:val="002C401A"/>
    <w:rsid w:val="002C43D5"/>
    <w:rsid w:val="002C4A47"/>
    <w:rsid w:val="002C54B8"/>
    <w:rsid w:val="002C5912"/>
    <w:rsid w:val="002C5CB8"/>
    <w:rsid w:val="002C5DC8"/>
    <w:rsid w:val="002C605A"/>
    <w:rsid w:val="002C65CA"/>
    <w:rsid w:val="002C66AD"/>
    <w:rsid w:val="002C6912"/>
    <w:rsid w:val="002C6F2B"/>
    <w:rsid w:val="002C720D"/>
    <w:rsid w:val="002C77C2"/>
    <w:rsid w:val="002C7BF6"/>
    <w:rsid w:val="002C7D32"/>
    <w:rsid w:val="002C7D86"/>
    <w:rsid w:val="002D0095"/>
    <w:rsid w:val="002D02B6"/>
    <w:rsid w:val="002D0399"/>
    <w:rsid w:val="002D0A69"/>
    <w:rsid w:val="002D1001"/>
    <w:rsid w:val="002D10B0"/>
    <w:rsid w:val="002D10B6"/>
    <w:rsid w:val="002D130D"/>
    <w:rsid w:val="002D1488"/>
    <w:rsid w:val="002D15BE"/>
    <w:rsid w:val="002D1672"/>
    <w:rsid w:val="002D16DB"/>
    <w:rsid w:val="002D1763"/>
    <w:rsid w:val="002D238E"/>
    <w:rsid w:val="002D2598"/>
    <w:rsid w:val="002D2816"/>
    <w:rsid w:val="002D2A7C"/>
    <w:rsid w:val="002D2C11"/>
    <w:rsid w:val="002D3705"/>
    <w:rsid w:val="002D386A"/>
    <w:rsid w:val="002D3F00"/>
    <w:rsid w:val="002D5107"/>
    <w:rsid w:val="002D54F6"/>
    <w:rsid w:val="002D5A90"/>
    <w:rsid w:val="002D5B13"/>
    <w:rsid w:val="002D5E2F"/>
    <w:rsid w:val="002D61DA"/>
    <w:rsid w:val="002D6773"/>
    <w:rsid w:val="002D6A2C"/>
    <w:rsid w:val="002D715A"/>
    <w:rsid w:val="002D7402"/>
    <w:rsid w:val="002D74F1"/>
    <w:rsid w:val="002D790E"/>
    <w:rsid w:val="002D7E87"/>
    <w:rsid w:val="002E0043"/>
    <w:rsid w:val="002E0B1C"/>
    <w:rsid w:val="002E0CAA"/>
    <w:rsid w:val="002E0D82"/>
    <w:rsid w:val="002E0EA3"/>
    <w:rsid w:val="002E1050"/>
    <w:rsid w:val="002E13C1"/>
    <w:rsid w:val="002E1797"/>
    <w:rsid w:val="002E1802"/>
    <w:rsid w:val="002E1952"/>
    <w:rsid w:val="002E1A45"/>
    <w:rsid w:val="002E1BC0"/>
    <w:rsid w:val="002E1C59"/>
    <w:rsid w:val="002E23F7"/>
    <w:rsid w:val="002E25C6"/>
    <w:rsid w:val="002E2637"/>
    <w:rsid w:val="002E267F"/>
    <w:rsid w:val="002E2843"/>
    <w:rsid w:val="002E2A2A"/>
    <w:rsid w:val="002E2C0C"/>
    <w:rsid w:val="002E2CD1"/>
    <w:rsid w:val="002E2D48"/>
    <w:rsid w:val="002E2FA4"/>
    <w:rsid w:val="002E2FA7"/>
    <w:rsid w:val="002E3340"/>
    <w:rsid w:val="002E3937"/>
    <w:rsid w:val="002E3D87"/>
    <w:rsid w:val="002E470D"/>
    <w:rsid w:val="002E474C"/>
    <w:rsid w:val="002E4867"/>
    <w:rsid w:val="002E4A34"/>
    <w:rsid w:val="002E4FB3"/>
    <w:rsid w:val="002E57E3"/>
    <w:rsid w:val="002E5D4A"/>
    <w:rsid w:val="002E636B"/>
    <w:rsid w:val="002E68E5"/>
    <w:rsid w:val="002E7B70"/>
    <w:rsid w:val="002E7C74"/>
    <w:rsid w:val="002E7E62"/>
    <w:rsid w:val="002F02FD"/>
    <w:rsid w:val="002F03F1"/>
    <w:rsid w:val="002F09D3"/>
    <w:rsid w:val="002F0D33"/>
    <w:rsid w:val="002F0FE9"/>
    <w:rsid w:val="002F13D2"/>
    <w:rsid w:val="002F197C"/>
    <w:rsid w:val="002F1B2A"/>
    <w:rsid w:val="002F1ED6"/>
    <w:rsid w:val="002F2121"/>
    <w:rsid w:val="002F299F"/>
    <w:rsid w:val="002F30BB"/>
    <w:rsid w:val="002F31BD"/>
    <w:rsid w:val="002F322C"/>
    <w:rsid w:val="002F3F06"/>
    <w:rsid w:val="002F4021"/>
    <w:rsid w:val="002F420E"/>
    <w:rsid w:val="002F4249"/>
    <w:rsid w:val="002F431C"/>
    <w:rsid w:val="002F4D11"/>
    <w:rsid w:val="002F4DCD"/>
    <w:rsid w:val="002F65E1"/>
    <w:rsid w:val="002F6812"/>
    <w:rsid w:val="002F685C"/>
    <w:rsid w:val="002F68ED"/>
    <w:rsid w:val="002F6C35"/>
    <w:rsid w:val="002F6C85"/>
    <w:rsid w:val="002F6CFB"/>
    <w:rsid w:val="002F6D3A"/>
    <w:rsid w:val="002F6E5B"/>
    <w:rsid w:val="002F6EA7"/>
    <w:rsid w:val="003000BF"/>
    <w:rsid w:val="003001F6"/>
    <w:rsid w:val="003003D4"/>
    <w:rsid w:val="0030050D"/>
    <w:rsid w:val="00300ADC"/>
    <w:rsid w:val="00300CA5"/>
    <w:rsid w:val="00300E19"/>
    <w:rsid w:val="00300E3E"/>
    <w:rsid w:val="003013B3"/>
    <w:rsid w:val="0030192C"/>
    <w:rsid w:val="003024B2"/>
    <w:rsid w:val="00302540"/>
    <w:rsid w:val="003025F6"/>
    <w:rsid w:val="00302790"/>
    <w:rsid w:val="00302B53"/>
    <w:rsid w:val="00303213"/>
    <w:rsid w:val="003033F4"/>
    <w:rsid w:val="00303643"/>
    <w:rsid w:val="00303D41"/>
    <w:rsid w:val="0030411B"/>
    <w:rsid w:val="00304400"/>
    <w:rsid w:val="003045DA"/>
    <w:rsid w:val="00305554"/>
    <w:rsid w:val="00305DB0"/>
    <w:rsid w:val="00305EF9"/>
    <w:rsid w:val="00305FB6"/>
    <w:rsid w:val="003060E5"/>
    <w:rsid w:val="003063EC"/>
    <w:rsid w:val="00306BEA"/>
    <w:rsid w:val="00307254"/>
    <w:rsid w:val="00307A0C"/>
    <w:rsid w:val="00307B8C"/>
    <w:rsid w:val="0031032A"/>
    <w:rsid w:val="003106B3"/>
    <w:rsid w:val="00311121"/>
    <w:rsid w:val="0031133C"/>
    <w:rsid w:val="00311379"/>
    <w:rsid w:val="00311638"/>
    <w:rsid w:val="003116B1"/>
    <w:rsid w:val="00311722"/>
    <w:rsid w:val="00311844"/>
    <w:rsid w:val="0031199B"/>
    <w:rsid w:val="00312160"/>
    <w:rsid w:val="0031222C"/>
    <w:rsid w:val="003125D1"/>
    <w:rsid w:val="00312817"/>
    <w:rsid w:val="00312C1D"/>
    <w:rsid w:val="003130CE"/>
    <w:rsid w:val="003130F3"/>
    <w:rsid w:val="00313141"/>
    <w:rsid w:val="00313196"/>
    <w:rsid w:val="003134BD"/>
    <w:rsid w:val="003134D4"/>
    <w:rsid w:val="003135A0"/>
    <w:rsid w:val="00313DC2"/>
    <w:rsid w:val="00314033"/>
    <w:rsid w:val="003148CA"/>
    <w:rsid w:val="00314B6B"/>
    <w:rsid w:val="00314BA9"/>
    <w:rsid w:val="00314CDF"/>
    <w:rsid w:val="003152F4"/>
    <w:rsid w:val="003160A9"/>
    <w:rsid w:val="0031622C"/>
    <w:rsid w:val="00316B16"/>
    <w:rsid w:val="00317141"/>
    <w:rsid w:val="00317573"/>
    <w:rsid w:val="0031772E"/>
    <w:rsid w:val="00317B20"/>
    <w:rsid w:val="00317C12"/>
    <w:rsid w:val="00317D26"/>
    <w:rsid w:val="003201F2"/>
    <w:rsid w:val="00320258"/>
    <w:rsid w:val="00320CB8"/>
    <w:rsid w:val="00321156"/>
    <w:rsid w:val="0032148E"/>
    <w:rsid w:val="00321794"/>
    <w:rsid w:val="0032186D"/>
    <w:rsid w:val="00321CBC"/>
    <w:rsid w:val="0032227A"/>
    <w:rsid w:val="0032283E"/>
    <w:rsid w:val="003228CD"/>
    <w:rsid w:val="00322DF1"/>
    <w:rsid w:val="00323482"/>
    <w:rsid w:val="0032376A"/>
    <w:rsid w:val="00323BF0"/>
    <w:rsid w:val="00323E2D"/>
    <w:rsid w:val="0032433F"/>
    <w:rsid w:val="003249B0"/>
    <w:rsid w:val="00324B30"/>
    <w:rsid w:val="00324F1F"/>
    <w:rsid w:val="00325098"/>
    <w:rsid w:val="00325212"/>
    <w:rsid w:val="00325BAE"/>
    <w:rsid w:val="003260D9"/>
    <w:rsid w:val="003262C6"/>
    <w:rsid w:val="00326393"/>
    <w:rsid w:val="0032687F"/>
    <w:rsid w:val="00326E29"/>
    <w:rsid w:val="00327258"/>
    <w:rsid w:val="00327E71"/>
    <w:rsid w:val="003307CD"/>
    <w:rsid w:val="00330AA6"/>
    <w:rsid w:val="00330D66"/>
    <w:rsid w:val="0033183E"/>
    <w:rsid w:val="003319FE"/>
    <w:rsid w:val="00331A9B"/>
    <w:rsid w:val="00331D1D"/>
    <w:rsid w:val="00331F0C"/>
    <w:rsid w:val="00332559"/>
    <w:rsid w:val="00332FB4"/>
    <w:rsid w:val="00333284"/>
    <w:rsid w:val="0033361F"/>
    <w:rsid w:val="00333F7D"/>
    <w:rsid w:val="00333F8F"/>
    <w:rsid w:val="00334078"/>
    <w:rsid w:val="00334E2C"/>
    <w:rsid w:val="00335275"/>
    <w:rsid w:val="00335312"/>
    <w:rsid w:val="00335B41"/>
    <w:rsid w:val="00335B81"/>
    <w:rsid w:val="00336212"/>
    <w:rsid w:val="003368CD"/>
    <w:rsid w:val="00337069"/>
    <w:rsid w:val="003370FC"/>
    <w:rsid w:val="00337466"/>
    <w:rsid w:val="0034020A"/>
    <w:rsid w:val="00340B3A"/>
    <w:rsid w:val="00340BE7"/>
    <w:rsid w:val="00340E2F"/>
    <w:rsid w:val="00341203"/>
    <w:rsid w:val="00341375"/>
    <w:rsid w:val="00341E6C"/>
    <w:rsid w:val="003420B0"/>
    <w:rsid w:val="00342122"/>
    <w:rsid w:val="00342495"/>
    <w:rsid w:val="00342580"/>
    <w:rsid w:val="00342EDF"/>
    <w:rsid w:val="00342F13"/>
    <w:rsid w:val="003431B2"/>
    <w:rsid w:val="00343533"/>
    <w:rsid w:val="0034384C"/>
    <w:rsid w:val="00344045"/>
    <w:rsid w:val="00344437"/>
    <w:rsid w:val="0034476C"/>
    <w:rsid w:val="003447A5"/>
    <w:rsid w:val="00344C4F"/>
    <w:rsid w:val="00344F5E"/>
    <w:rsid w:val="003452A3"/>
    <w:rsid w:val="003452C3"/>
    <w:rsid w:val="00345858"/>
    <w:rsid w:val="003458AD"/>
    <w:rsid w:val="00345989"/>
    <w:rsid w:val="003459D3"/>
    <w:rsid w:val="00346912"/>
    <w:rsid w:val="00346ACD"/>
    <w:rsid w:val="00346BDA"/>
    <w:rsid w:val="003472B4"/>
    <w:rsid w:val="00347C13"/>
    <w:rsid w:val="003500B8"/>
    <w:rsid w:val="00350441"/>
    <w:rsid w:val="003505C6"/>
    <w:rsid w:val="00350C45"/>
    <w:rsid w:val="00350C76"/>
    <w:rsid w:val="00350D23"/>
    <w:rsid w:val="00351610"/>
    <w:rsid w:val="00351635"/>
    <w:rsid w:val="00351DE7"/>
    <w:rsid w:val="0035225F"/>
    <w:rsid w:val="00352C6D"/>
    <w:rsid w:val="00352CDC"/>
    <w:rsid w:val="00352E0B"/>
    <w:rsid w:val="00352FBC"/>
    <w:rsid w:val="0035304F"/>
    <w:rsid w:val="00353AD4"/>
    <w:rsid w:val="00353C56"/>
    <w:rsid w:val="00353D9C"/>
    <w:rsid w:val="00354754"/>
    <w:rsid w:val="003547DD"/>
    <w:rsid w:val="00354B24"/>
    <w:rsid w:val="00354BA0"/>
    <w:rsid w:val="00355438"/>
    <w:rsid w:val="00355986"/>
    <w:rsid w:val="00355B55"/>
    <w:rsid w:val="00355B89"/>
    <w:rsid w:val="00355D99"/>
    <w:rsid w:val="00356447"/>
    <w:rsid w:val="00356AB2"/>
    <w:rsid w:val="00356F94"/>
    <w:rsid w:val="00357782"/>
    <w:rsid w:val="00357B03"/>
    <w:rsid w:val="00357C76"/>
    <w:rsid w:val="0036001C"/>
    <w:rsid w:val="00361984"/>
    <w:rsid w:val="00361AAC"/>
    <w:rsid w:val="00361FFA"/>
    <w:rsid w:val="0036205C"/>
    <w:rsid w:val="00362B84"/>
    <w:rsid w:val="00362BF3"/>
    <w:rsid w:val="00362E1D"/>
    <w:rsid w:val="00362EFE"/>
    <w:rsid w:val="00363115"/>
    <w:rsid w:val="00363839"/>
    <w:rsid w:val="00363F73"/>
    <w:rsid w:val="00364696"/>
    <w:rsid w:val="00364C5D"/>
    <w:rsid w:val="00364E52"/>
    <w:rsid w:val="003656A9"/>
    <w:rsid w:val="003657B5"/>
    <w:rsid w:val="00365886"/>
    <w:rsid w:val="00365A2A"/>
    <w:rsid w:val="00365CE6"/>
    <w:rsid w:val="00365E62"/>
    <w:rsid w:val="00366025"/>
    <w:rsid w:val="00366165"/>
    <w:rsid w:val="00367036"/>
    <w:rsid w:val="0036730E"/>
    <w:rsid w:val="0036755E"/>
    <w:rsid w:val="00367A8E"/>
    <w:rsid w:val="00367BF3"/>
    <w:rsid w:val="00370155"/>
    <w:rsid w:val="00370674"/>
    <w:rsid w:val="00370AC0"/>
    <w:rsid w:val="00370B28"/>
    <w:rsid w:val="003712EC"/>
    <w:rsid w:val="00371372"/>
    <w:rsid w:val="003713AB"/>
    <w:rsid w:val="00372205"/>
    <w:rsid w:val="00372774"/>
    <w:rsid w:val="00372D15"/>
    <w:rsid w:val="00373043"/>
    <w:rsid w:val="003730CA"/>
    <w:rsid w:val="003730E6"/>
    <w:rsid w:val="003730FB"/>
    <w:rsid w:val="0037364E"/>
    <w:rsid w:val="003737D2"/>
    <w:rsid w:val="0037392E"/>
    <w:rsid w:val="003739BC"/>
    <w:rsid w:val="003739F5"/>
    <w:rsid w:val="00373BF4"/>
    <w:rsid w:val="00373E45"/>
    <w:rsid w:val="00374524"/>
    <w:rsid w:val="0037494C"/>
    <w:rsid w:val="00374E1F"/>
    <w:rsid w:val="0037504F"/>
    <w:rsid w:val="003750EE"/>
    <w:rsid w:val="00375AFB"/>
    <w:rsid w:val="00376132"/>
    <w:rsid w:val="0037633F"/>
    <w:rsid w:val="0037640E"/>
    <w:rsid w:val="003773E0"/>
    <w:rsid w:val="0037744F"/>
    <w:rsid w:val="00377503"/>
    <w:rsid w:val="003775C6"/>
    <w:rsid w:val="00377625"/>
    <w:rsid w:val="00377DC2"/>
    <w:rsid w:val="00377DC5"/>
    <w:rsid w:val="00380075"/>
    <w:rsid w:val="00381124"/>
    <w:rsid w:val="0038167B"/>
    <w:rsid w:val="0038193B"/>
    <w:rsid w:val="00381EE4"/>
    <w:rsid w:val="00382A11"/>
    <w:rsid w:val="00382E03"/>
    <w:rsid w:val="00382E14"/>
    <w:rsid w:val="0038355A"/>
    <w:rsid w:val="00383BC9"/>
    <w:rsid w:val="003843C3"/>
    <w:rsid w:val="00384820"/>
    <w:rsid w:val="003849DA"/>
    <w:rsid w:val="00384A35"/>
    <w:rsid w:val="0038500B"/>
    <w:rsid w:val="00385091"/>
    <w:rsid w:val="003854EA"/>
    <w:rsid w:val="0038583F"/>
    <w:rsid w:val="00385BBD"/>
    <w:rsid w:val="00386518"/>
    <w:rsid w:val="00386A00"/>
    <w:rsid w:val="003872E8"/>
    <w:rsid w:val="003876D3"/>
    <w:rsid w:val="00387D16"/>
    <w:rsid w:val="00390587"/>
    <w:rsid w:val="003909BD"/>
    <w:rsid w:val="00390AE0"/>
    <w:rsid w:val="00390C99"/>
    <w:rsid w:val="00390DE4"/>
    <w:rsid w:val="00390EA6"/>
    <w:rsid w:val="00390EC3"/>
    <w:rsid w:val="00390FE1"/>
    <w:rsid w:val="00391182"/>
    <w:rsid w:val="00391388"/>
    <w:rsid w:val="003919F5"/>
    <w:rsid w:val="00391B49"/>
    <w:rsid w:val="00391D82"/>
    <w:rsid w:val="00392756"/>
    <w:rsid w:val="00393E7B"/>
    <w:rsid w:val="00393FC3"/>
    <w:rsid w:val="003940E2"/>
    <w:rsid w:val="003948C3"/>
    <w:rsid w:val="00394963"/>
    <w:rsid w:val="00394BC6"/>
    <w:rsid w:val="00394CBC"/>
    <w:rsid w:val="00394FF3"/>
    <w:rsid w:val="00395DC1"/>
    <w:rsid w:val="00395E95"/>
    <w:rsid w:val="003962E5"/>
    <w:rsid w:val="00396450"/>
    <w:rsid w:val="00396BB3"/>
    <w:rsid w:val="00396C01"/>
    <w:rsid w:val="00396EBA"/>
    <w:rsid w:val="00396EE8"/>
    <w:rsid w:val="003972BF"/>
    <w:rsid w:val="0039764A"/>
    <w:rsid w:val="003A017F"/>
    <w:rsid w:val="003A0252"/>
    <w:rsid w:val="003A033E"/>
    <w:rsid w:val="003A03D3"/>
    <w:rsid w:val="003A074B"/>
    <w:rsid w:val="003A0A00"/>
    <w:rsid w:val="003A117C"/>
    <w:rsid w:val="003A1420"/>
    <w:rsid w:val="003A1747"/>
    <w:rsid w:val="003A208F"/>
    <w:rsid w:val="003A2427"/>
    <w:rsid w:val="003A29A8"/>
    <w:rsid w:val="003A2B61"/>
    <w:rsid w:val="003A2F43"/>
    <w:rsid w:val="003A30BA"/>
    <w:rsid w:val="003A31A8"/>
    <w:rsid w:val="003A31A9"/>
    <w:rsid w:val="003A3764"/>
    <w:rsid w:val="003A37C1"/>
    <w:rsid w:val="003A39EF"/>
    <w:rsid w:val="003A3B92"/>
    <w:rsid w:val="003A3FE1"/>
    <w:rsid w:val="003A4483"/>
    <w:rsid w:val="003A452B"/>
    <w:rsid w:val="003A45B8"/>
    <w:rsid w:val="003A4A7A"/>
    <w:rsid w:val="003A4E92"/>
    <w:rsid w:val="003A52C2"/>
    <w:rsid w:val="003A54A8"/>
    <w:rsid w:val="003A59A3"/>
    <w:rsid w:val="003A59FD"/>
    <w:rsid w:val="003A641F"/>
    <w:rsid w:val="003A654C"/>
    <w:rsid w:val="003A6770"/>
    <w:rsid w:val="003A6C05"/>
    <w:rsid w:val="003A71B2"/>
    <w:rsid w:val="003A71C2"/>
    <w:rsid w:val="003A75CB"/>
    <w:rsid w:val="003A78F2"/>
    <w:rsid w:val="003A79E2"/>
    <w:rsid w:val="003A7AC1"/>
    <w:rsid w:val="003A7BFA"/>
    <w:rsid w:val="003A7D13"/>
    <w:rsid w:val="003B02AC"/>
    <w:rsid w:val="003B02CC"/>
    <w:rsid w:val="003B056C"/>
    <w:rsid w:val="003B090A"/>
    <w:rsid w:val="003B0E21"/>
    <w:rsid w:val="003B13DD"/>
    <w:rsid w:val="003B1C46"/>
    <w:rsid w:val="003B1E98"/>
    <w:rsid w:val="003B252F"/>
    <w:rsid w:val="003B2BDB"/>
    <w:rsid w:val="003B2CC8"/>
    <w:rsid w:val="003B2F6F"/>
    <w:rsid w:val="003B31D9"/>
    <w:rsid w:val="003B32AE"/>
    <w:rsid w:val="003B3DDF"/>
    <w:rsid w:val="003B4687"/>
    <w:rsid w:val="003B48DC"/>
    <w:rsid w:val="003B4E55"/>
    <w:rsid w:val="003B5979"/>
    <w:rsid w:val="003B6870"/>
    <w:rsid w:val="003B6897"/>
    <w:rsid w:val="003B69F5"/>
    <w:rsid w:val="003B6A7D"/>
    <w:rsid w:val="003B70F0"/>
    <w:rsid w:val="003B7210"/>
    <w:rsid w:val="003B7648"/>
    <w:rsid w:val="003B7864"/>
    <w:rsid w:val="003B7A6D"/>
    <w:rsid w:val="003B7BAD"/>
    <w:rsid w:val="003B7CF8"/>
    <w:rsid w:val="003B7E50"/>
    <w:rsid w:val="003B7E88"/>
    <w:rsid w:val="003B7F85"/>
    <w:rsid w:val="003C0FBF"/>
    <w:rsid w:val="003C0FFB"/>
    <w:rsid w:val="003C1079"/>
    <w:rsid w:val="003C109A"/>
    <w:rsid w:val="003C1111"/>
    <w:rsid w:val="003C123C"/>
    <w:rsid w:val="003C16AF"/>
    <w:rsid w:val="003C16E4"/>
    <w:rsid w:val="003C18C7"/>
    <w:rsid w:val="003C1C48"/>
    <w:rsid w:val="003C21F1"/>
    <w:rsid w:val="003C23E9"/>
    <w:rsid w:val="003C247E"/>
    <w:rsid w:val="003C2BB3"/>
    <w:rsid w:val="003C2CE6"/>
    <w:rsid w:val="003C2D8A"/>
    <w:rsid w:val="003C3108"/>
    <w:rsid w:val="003C31B2"/>
    <w:rsid w:val="003C3411"/>
    <w:rsid w:val="003C34BF"/>
    <w:rsid w:val="003C36BD"/>
    <w:rsid w:val="003C3A3E"/>
    <w:rsid w:val="003C3BEC"/>
    <w:rsid w:val="003C44C8"/>
    <w:rsid w:val="003C5715"/>
    <w:rsid w:val="003C571C"/>
    <w:rsid w:val="003C5FA8"/>
    <w:rsid w:val="003C6428"/>
    <w:rsid w:val="003C6B10"/>
    <w:rsid w:val="003C6DCE"/>
    <w:rsid w:val="003C7367"/>
    <w:rsid w:val="003C7647"/>
    <w:rsid w:val="003C76E4"/>
    <w:rsid w:val="003C76F6"/>
    <w:rsid w:val="003D0548"/>
    <w:rsid w:val="003D0852"/>
    <w:rsid w:val="003D0F69"/>
    <w:rsid w:val="003D1211"/>
    <w:rsid w:val="003D1A02"/>
    <w:rsid w:val="003D1BE5"/>
    <w:rsid w:val="003D1CD8"/>
    <w:rsid w:val="003D22A8"/>
    <w:rsid w:val="003D2B00"/>
    <w:rsid w:val="003D2E5A"/>
    <w:rsid w:val="003D3336"/>
    <w:rsid w:val="003D36A0"/>
    <w:rsid w:val="003D3B1B"/>
    <w:rsid w:val="003D49F0"/>
    <w:rsid w:val="003D4BA2"/>
    <w:rsid w:val="003D4F45"/>
    <w:rsid w:val="003D4F84"/>
    <w:rsid w:val="003D5295"/>
    <w:rsid w:val="003D590B"/>
    <w:rsid w:val="003D5CEE"/>
    <w:rsid w:val="003D6566"/>
    <w:rsid w:val="003D6787"/>
    <w:rsid w:val="003D68A3"/>
    <w:rsid w:val="003D69F8"/>
    <w:rsid w:val="003D6E3D"/>
    <w:rsid w:val="003D70C5"/>
    <w:rsid w:val="003D73E0"/>
    <w:rsid w:val="003D7D6B"/>
    <w:rsid w:val="003D7F18"/>
    <w:rsid w:val="003E0175"/>
    <w:rsid w:val="003E025C"/>
    <w:rsid w:val="003E0754"/>
    <w:rsid w:val="003E0DDE"/>
    <w:rsid w:val="003E0E19"/>
    <w:rsid w:val="003E1182"/>
    <w:rsid w:val="003E147D"/>
    <w:rsid w:val="003E14A8"/>
    <w:rsid w:val="003E1807"/>
    <w:rsid w:val="003E245D"/>
    <w:rsid w:val="003E26BB"/>
    <w:rsid w:val="003E2862"/>
    <w:rsid w:val="003E2AFE"/>
    <w:rsid w:val="003E2CB8"/>
    <w:rsid w:val="003E3249"/>
    <w:rsid w:val="003E3255"/>
    <w:rsid w:val="003E3C14"/>
    <w:rsid w:val="003E40A3"/>
    <w:rsid w:val="003E4223"/>
    <w:rsid w:val="003E4296"/>
    <w:rsid w:val="003E46CB"/>
    <w:rsid w:val="003E48F6"/>
    <w:rsid w:val="003E4C21"/>
    <w:rsid w:val="003E5229"/>
    <w:rsid w:val="003E537E"/>
    <w:rsid w:val="003E5FFA"/>
    <w:rsid w:val="003E60F3"/>
    <w:rsid w:val="003E62DB"/>
    <w:rsid w:val="003E6E28"/>
    <w:rsid w:val="003E724B"/>
    <w:rsid w:val="003E72BF"/>
    <w:rsid w:val="003E78A9"/>
    <w:rsid w:val="003E79DD"/>
    <w:rsid w:val="003F063B"/>
    <w:rsid w:val="003F0D12"/>
    <w:rsid w:val="003F0EDA"/>
    <w:rsid w:val="003F117A"/>
    <w:rsid w:val="003F134D"/>
    <w:rsid w:val="003F1448"/>
    <w:rsid w:val="003F15AE"/>
    <w:rsid w:val="003F179A"/>
    <w:rsid w:val="003F17B5"/>
    <w:rsid w:val="003F1883"/>
    <w:rsid w:val="003F1E71"/>
    <w:rsid w:val="003F207B"/>
    <w:rsid w:val="003F2138"/>
    <w:rsid w:val="003F21EF"/>
    <w:rsid w:val="003F22AE"/>
    <w:rsid w:val="003F24E1"/>
    <w:rsid w:val="003F261A"/>
    <w:rsid w:val="003F2682"/>
    <w:rsid w:val="003F2925"/>
    <w:rsid w:val="003F2A59"/>
    <w:rsid w:val="003F31C3"/>
    <w:rsid w:val="003F3F8C"/>
    <w:rsid w:val="003F4184"/>
    <w:rsid w:val="003F4287"/>
    <w:rsid w:val="003F4764"/>
    <w:rsid w:val="003F476A"/>
    <w:rsid w:val="003F494F"/>
    <w:rsid w:val="003F4D82"/>
    <w:rsid w:val="003F586D"/>
    <w:rsid w:val="003F5ED3"/>
    <w:rsid w:val="003F6D33"/>
    <w:rsid w:val="003F6D83"/>
    <w:rsid w:val="003F7A14"/>
    <w:rsid w:val="004008FF"/>
    <w:rsid w:val="00400FF0"/>
    <w:rsid w:val="0040110B"/>
    <w:rsid w:val="004016BA"/>
    <w:rsid w:val="00401B50"/>
    <w:rsid w:val="00401EAF"/>
    <w:rsid w:val="00402072"/>
    <w:rsid w:val="00402B21"/>
    <w:rsid w:val="00402BD4"/>
    <w:rsid w:val="00403142"/>
    <w:rsid w:val="0040321F"/>
    <w:rsid w:val="0040339E"/>
    <w:rsid w:val="004036A3"/>
    <w:rsid w:val="00403AEB"/>
    <w:rsid w:val="00403E12"/>
    <w:rsid w:val="00404182"/>
    <w:rsid w:val="00404D46"/>
    <w:rsid w:val="00404E45"/>
    <w:rsid w:val="004053F5"/>
    <w:rsid w:val="0040568D"/>
    <w:rsid w:val="00405CC7"/>
    <w:rsid w:val="0040610D"/>
    <w:rsid w:val="0040615A"/>
    <w:rsid w:val="00406776"/>
    <w:rsid w:val="0040699F"/>
    <w:rsid w:val="00406BDB"/>
    <w:rsid w:val="00406CFF"/>
    <w:rsid w:val="00406ECF"/>
    <w:rsid w:val="00406F17"/>
    <w:rsid w:val="00407490"/>
    <w:rsid w:val="0040779A"/>
    <w:rsid w:val="00407B0D"/>
    <w:rsid w:val="00407BC2"/>
    <w:rsid w:val="00407EE0"/>
    <w:rsid w:val="004103A9"/>
    <w:rsid w:val="0041153F"/>
    <w:rsid w:val="004115D5"/>
    <w:rsid w:val="00411F07"/>
    <w:rsid w:val="0041209C"/>
    <w:rsid w:val="00412693"/>
    <w:rsid w:val="00412928"/>
    <w:rsid w:val="004129B5"/>
    <w:rsid w:val="00412A7A"/>
    <w:rsid w:val="00413198"/>
    <w:rsid w:val="00413495"/>
    <w:rsid w:val="0041356E"/>
    <w:rsid w:val="00413D52"/>
    <w:rsid w:val="00413FE6"/>
    <w:rsid w:val="00414092"/>
    <w:rsid w:val="00414336"/>
    <w:rsid w:val="00414688"/>
    <w:rsid w:val="00414760"/>
    <w:rsid w:val="004147C7"/>
    <w:rsid w:val="00414C65"/>
    <w:rsid w:val="00415344"/>
    <w:rsid w:val="00415DC1"/>
    <w:rsid w:val="00415F49"/>
    <w:rsid w:val="004161BC"/>
    <w:rsid w:val="00416269"/>
    <w:rsid w:val="004166D7"/>
    <w:rsid w:val="00416922"/>
    <w:rsid w:val="00417233"/>
    <w:rsid w:val="00417535"/>
    <w:rsid w:val="004175C1"/>
    <w:rsid w:val="004177B5"/>
    <w:rsid w:val="00420188"/>
    <w:rsid w:val="00420233"/>
    <w:rsid w:val="00420289"/>
    <w:rsid w:val="004203ED"/>
    <w:rsid w:val="0042089F"/>
    <w:rsid w:val="0042090B"/>
    <w:rsid w:val="00420A87"/>
    <w:rsid w:val="00420AB2"/>
    <w:rsid w:val="00420C15"/>
    <w:rsid w:val="00420FD7"/>
    <w:rsid w:val="0042172C"/>
    <w:rsid w:val="0042172E"/>
    <w:rsid w:val="0042194E"/>
    <w:rsid w:val="00421C74"/>
    <w:rsid w:val="00421F06"/>
    <w:rsid w:val="00422146"/>
    <w:rsid w:val="004221E3"/>
    <w:rsid w:val="004225DB"/>
    <w:rsid w:val="004225E6"/>
    <w:rsid w:val="004228C2"/>
    <w:rsid w:val="00422950"/>
    <w:rsid w:val="0042297A"/>
    <w:rsid w:val="004232D6"/>
    <w:rsid w:val="004237B2"/>
    <w:rsid w:val="004237C7"/>
    <w:rsid w:val="004240A4"/>
    <w:rsid w:val="00424494"/>
    <w:rsid w:val="0042459C"/>
    <w:rsid w:val="00424689"/>
    <w:rsid w:val="004248CD"/>
    <w:rsid w:val="00424D4F"/>
    <w:rsid w:val="004250D7"/>
    <w:rsid w:val="00425270"/>
    <w:rsid w:val="00425384"/>
    <w:rsid w:val="00425863"/>
    <w:rsid w:val="004258A0"/>
    <w:rsid w:val="00425A70"/>
    <w:rsid w:val="00426489"/>
    <w:rsid w:val="0042708E"/>
    <w:rsid w:val="0042709D"/>
    <w:rsid w:val="004270A8"/>
    <w:rsid w:val="00427159"/>
    <w:rsid w:val="004275B6"/>
    <w:rsid w:val="00427752"/>
    <w:rsid w:val="004300F8"/>
    <w:rsid w:val="004302F8"/>
    <w:rsid w:val="004304ED"/>
    <w:rsid w:val="004305A3"/>
    <w:rsid w:val="00430728"/>
    <w:rsid w:val="004307EA"/>
    <w:rsid w:val="00430A5F"/>
    <w:rsid w:val="00430FA9"/>
    <w:rsid w:val="004311EE"/>
    <w:rsid w:val="00431789"/>
    <w:rsid w:val="00431872"/>
    <w:rsid w:val="00431B90"/>
    <w:rsid w:val="00431D72"/>
    <w:rsid w:val="00432133"/>
    <w:rsid w:val="0043213F"/>
    <w:rsid w:val="0043243D"/>
    <w:rsid w:val="00432C50"/>
    <w:rsid w:val="00433435"/>
    <w:rsid w:val="0043380E"/>
    <w:rsid w:val="00433911"/>
    <w:rsid w:val="00433C79"/>
    <w:rsid w:val="00433D11"/>
    <w:rsid w:val="0043459A"/>
    <w:rsid w:val="00434772"/>
    <w:rsid w:val="004349E2"/>
    <w:rsid w:val="00434E4B"/>
    <w:rsid w:val="004358B6"/>
    <w:rsid w:val="00435E42"/>
    <w:rsid w:val="00435EFD"/>
    <w:rsid w:val="00436410"/>
    <w:rsid w:val="0043642E"/>
    <w:rsid w:val="00436451"/>
    <w:rsid w:val="00436987"/>
    <w:rsid w:val="00436CF2"/>
    <w:rsid w:val="0043701D"/>
    <w:rsid w:val="0043702A"/>
    <w:rsid w:val="0043776C"/>
    <w:rsid w:val="00437A6C"/>
    <w:rsid w:val="00440115"/>
    <w:rsid w:val="004403D1"/>
    <w:rsid w:val="00440639"/>
    <w:rsid w:val="00440992"/>
    <w:rsid w:val="00441095"/>
    <w:rsid w:val="00441A0B"/>
    <w:rsid w:val="00441C08"/>
    <w:rsid w:val="004422BD"/>
    <w:rsid w:val="00442DCB"/>
    <w:rsid w:val="00442E87"/>
    <w:rsid w:val="00442F5F"/>
    <w:rsid w:val="00443118"/>
    <w:rsid w:val="00443171"/>
    <w:rsid w:val="004433E0"/>
    <w:rsid w:val="0044344E"/>
    <w:rsid w:val="00443730"/>
    <w:rsid w:val="00443A7E"/>
    <w:rsid w:val="00443C50"/>
    <w:rsid w:val="00443E11"/>
    <w:rsid w:val="00444139"/>
    <w:rsid w:val="00444D0D"/>
    <w:rsid w:val="00444ED4"/>
    <w:rsid w:val="004450F6"/>
    <w:rsid w:val="00445476"/>
    <w:rsid w:val="00445649"/>
    <w:rsid w:val="004457B5"/>
    <w:rsid w:val="0044590E"/>
    <w:rsid w:val="00445922"/>
    <w:rsid w:val="00445E05"/>
    <w:rsid w:val="004460EC"/>
    <w:rsid w:val="00446884"/>
    <w:rsid w:val="004468F1"/>
    <w:rsid w:val="00446906"/>
    <w:rsid w:val="00446C01"/>
    <w:rsid w:val="00446C5F"/>
    <w:rsid w:val="004478CC"/>
    <w:rsid w:val="004478D6"/>
    <w:rsid w:val="00447CCF"/>
    <w:rsid w:val="00447DBD"/>
    <w:rsid w:val="00450329"/>
    <w:rsid w:val="00450B59"/>
    <w:rsid w:val="00450BAF"/>
    <w:rsid w:val="0045115F"/>
    <w:rsid w:val="004512C6"/>
    <w:rsid w:val="00451327"/>
    <w:rsid w:val="00451F37"/>
    <w:rsid w:val="00452034"/>
    <w:rsid w:val="00452AB1"/>
    <w:rsid w:val="004533AC"/>
    <w:rsid w:val="004537E6"/>
    <w:rsid w:val="004539D3"/>
    <w:rsid w:val="00453E5F"/>
    <w:rsid w:val="00454083"/>
    <w:rsid w:val="0045432E"/>
    <w:rsid w:val="004543E2"/>
    <w:rsid w:val="00454DF4"/>
    <w:rsid w:val="00454F79"/>
    <w:rsid w:val="004550B8"/>
    <w:rsid w:val="0045606F"/>
    <w:rsid w:val="00456AE5"/>
    <w:rsid w:val="00456BED"/>
    <w:rsid w:val="004570FC"/>
    <w:rsid w:val="0045729D"/>
    <w:rsid w:val="00457324"/>
    <w:rsid w:val="004578D5"/>
    <w:rsid w:val="00457C11"/>
    <w:rsid w:val="00460013"/>
    <w:rsid w:val="004606C6"/>
    <w:rsid w:val="0046072C"/>
    <w:rsid w:val="00460A51"/>
    <w:rsid w:val="00460D84"/>
    <w:rsid w:val="004612F8"/>
    <w:rsid w:val="004613C8"/>
    <w:rsid w:val="004614F9"/>
    <w:rsid w:val="0046173E"/>
    <w:rsid w:val="00461A9E"/>
    <w:rsid w:val="0046240F"/>
    <w:rsid w:val="00462BB4"/>
    <w:rsid w:val="00462C0E"/>
    <w:rsid w:val="00462E62"/>
    <w:rsid w:val="00463B86"/>
    <w:rsid w:val="00463B9F"/>
    <w:rsid w:val="00463BBC"/>
    <w:rsid w:val="004659A4"/>
    <w:rsid w:val="00465BDA"/>
    <w:rsid w:val="00465D9F"/>
    <w:rsid w:val="00465FFA"/>
    <w:rsid w:val="0046612A"/>
    <w:rsid w:val="0046644F"/>
    <w:rsid w:val="0046651F"/>
    <w:rsid w:val="00466531"/>
    <w:rsid w:val="00466745"/>
    <w:rsid w:val="00466B82"/>
    <w:rsid w:val="004671B4"/>
    <w:rsid w:val="004678FC"/>
    <w:rsid w:val="00467DB6"/>
    <w:rsid w:val="00467DE5"/>
    <w:rsid w:val="00467EA3"/>
    <w:rsid w:val="00470CE0"/>
    <w:rsid w:val="00470DD7"/>
    <w:rsid w:val="00470F60"/>
    <w:rsid w:val="00471068"/>
    <w:rsid w:val="0047122C"/>
    <w:rsid w:val="00471262"/>
    <w:rsid w:val="004712D8"/>
    <w:rsid w:val="00471953"/>
    <w:rsid w:val="00471972"/>
    <w:rsid w:val="0047243B"/>
    <w:rsid w:val="004729FC"/>
    <w:rsid w:val="00472B86"/>
    <w:rsid w:val="00472BC0"/>
    <w:rsid w:val="00472EF6"/>
    <w:rsid w:val="00472F1B"/>
    <w:rsid w:val="0047307D"/>
    <w:rsid w:val="004732A8"/>
    <w:rsid w:val="004732AF"/>
    <w:rsid w:val="004734CA"/>
    <w:rsid w:val="004735C6"/>
    <w:rsid w:val="00473832"/>
    <w:rsid w:val="00473E38"/>
    <w:rsid w:val="00473F9F"/>
    <w:rsid w:val="0047407A"/>
    <w:rsid w:val="0047478C"/>
    <w:rsid w:val="0047499C"/>
    <w:rsid w:val="004754F2"/>
    <w:rsid w:val="004762EB"/>
    <w:rsid w:val="004765A1"/>
    <w:rsid w:val="0047704F"/>
    <w:rsid w:val="00477AAC"/>
    <w:rsid w:val="00477CEC"/>
    <w:rsid w:val="00477DAD"/>
    <w:rsid w:val="004800DC"/>
    <w:rsid w:val="00481273"/>
    <w:rsid w:val="004813A6"/>
    <w:rsid w:val="00481C27"/>
    <w:rsid w:val="00482081"/>
    <w:rsid w:val="00482CEC"/>
    <w:rsid w:val="004830DF"/>
    <w:rsid w:val="004834C0"/>
    <w:rsid w:val="004839FB"/>
    <w:rsid w:val="00483A2E"/>
    <w:rsid w:val="00483C63"/>
    <w:rsid w:val="00483D24"/>
    <w:rsid w:val="00483FAA"/>
    <w:rsid w:val="004844EA"/>
    <w:rsid w:val="00484761"/>
    <w:rsid w:val="004853E6"/>
    <w:rsid w:val="00485731"/>
    <w:rsid w:val="0048574E"/>
    <w:rsid w:val="0048595B"/>
    <w:rsid w:val="00485CE4"/>
    <w:rsid w:val="00486092"/>
    <w:rsid w:val="0048631E"/>
    <w:rsid w:val="00486F7C"/>
    <w:rsid w:val="0048788A"/>
    <w:rsid w:val="00490F67"/>
    <w:rsid w:val="00491142"/>
    <w:rsid w:val="004914FE"/>
    <w:rsid w:val="00491853"/>
    <w:rsid w:val="00491915"/>
    <w:rsid w:val="00491B60"/>
    <w:rsid w:val="00491DA2"/>
    <w:rsid w:val="004921AB"/>
    <w:rsid w:val="0049225F"/>
    <w:rsid w:val="00492349"/>
    <w:rsid w:val="00492718"/>
    <w:rsid w:val="00492766"/>
    <w:rsid w:val="004928C2"/>
    <w:rsid w:val="00492B0B"/>
    <w:rsid w:val="00492CA9"/>
    <w:rsid w:val="00492D48"/>
    <w:rsid w:val="004930C0"/>
    <w:rsid w:val="004931CF"/>
    <w:rsid w:val="004931D3"/>
    <w:rsid w:val="004932D9"/>
    <w:rsid w:val="00493E18"/>
    <w:rsid w:val="00493F15"/>
    <w:rsid w:val="00494091"/>
    <w:rsid w:val="004943FD"/>
    <w:rsid w:val="004945B1"/>
    <w:rsid w:val="00494D06"/>
    <w:rsid w:val="00495674"/>
    <w:rsid w:val="00496010"/>
    <w:rsid w:val="00496048"/>
    <w:rsid w:val="00496291"/>
    <w:rsid w:val="00496539"/>
    <w:rsid w:val="0049677B"/>
    <w:rsid w:val="00496CB3"/>
    <w:rsid w:val="0049774D"/>
    <w:rsid w:val="00497C37"/>
    <w:rsid w:val="00497DC2"/>
    <w:rsid w:val="004A00D3"/>
    <w:rsid w:val="004A02B5"/>
    <w:rsid w:val="004A0BAE"/>
    <w:rsid w:val="004A1899"/>
    <w:rsid w:val="004A18B2"/>
    <w:rsid w:val="004A1AC5"/>
    <w:rsid w:val="004A1B7A"/>
    <w:rsid w:val="004A2117"/>
    <w:rsid w:val="004A2C9C"/>
    <w:rsid w:val="004A2D23"/>
    <w:rsid w:val="004A3149"/>
    <w:rsid w:val="004A3773"/>
    <w:rsid w:val="004A3C08"/>
    <w:rsid w:val="004A3CEB"/>
    <w:rsid w:val="004A3EAD"/>
    <w:rsid w:val="004A4069"/>
    <w:rsid w:val="004A40CA"/>
    <w:rsid w:val="004A4200"/>
    <w:rsid w:val="004A4694"/>
    <w:rsid w:val="004A484B"/>
    <w:rsid w:val="004A4AFF"/>
    <w:rsid w:val="004A50D8"/>
    <w:rsid w:val="004A518C"/>
    <w:rsid w:val="004A524C"/>
    <w:rsid w:val="004A55F0"/>
    <w:rsid w:val="004A57B8"/>
    <w:rsid w:val="004A58FD"/>
    <w:rsid w:val="004A5AB2"/>
    <w:rsid w:val="004A678F"/>
    <w:rsid w:val="004A6979"/>
    <w:rsid w:val="004A69F6"/>
    <w:rsid w:val="004A7B4D"/>
    <w:rsid w:val="004B0DBE"/>
    <w:rsid w:val="004B1138"/>
    <w:rsid w:val="004B12FD"/>
    <w:rsid w:val="004B1500"/>
    <w:rsid w:val="004B16A4"/>
    <w:rsid w:val="004B1923"/>
    <w:rsid w:val="004B19C8"/>
    <w:rsid w:val="004B1D9A"/>
    <w:rsid w:val="004B1F39"/>
    <w:rsid w:val="004B24EB"/>
    <w:rsid w:val="004B2F29"/>
    <w:rsid w:val="004B322E"/>
    <w:rsid w:val="004B35BD"/>
    <w:rsid w:val="004B37CB"/>
    <w:rsid w:val="004B3BB2"/>
    <w:rsid w:val="004B4003"/>
    <w:rsid w:val="004B439F"/>
    <w:rsid w:val="004B4AB0"/>
    <w:rsid w:val="004B4E3D"/>
    <w:rsid w:val="004B5003"/>
    <w:rsid w:val="004B526A"/>
    <w:rsid w:val="004B572A"/>
    <w:rsid w:val="004B6351"/>
    <w:rsid w:val="004B63BB"/>
    <w:rsid w:val="004B6443"/>
    <w:rsid w:val="004B65D2"/>
    <w:rsid w:val="004B670A"/>
    <w:rsid w:val="004B6A10"/>
    <w:rsid w:val="004B6CDA"/>
    <w:rsid w:val="004B711C"/>
    <w:rsid w:val="004B7124"/>
    <w:rsid w:val="004C0292"/>
    <w:rsid w:val="004C02A0"/>
    <w:rsid w:val="004C0657"/>
    <w:rsid w:val="004C0BD0"/>
    <w:rsid w:val="004C0D00"/>
    <w:rsid w:val="004C1967"/>
    <w:rsid w:val="004C1D0D"/>
    <w:rsid w:val="004C1D26"/>
    <w:rsid w:val="004C25D7"/>
    <w:rsid w:val="004C29AE"/>
    <w:rsid w:val="004C2AFF"/>
    <w:rsid w:val="004C3821"/>
    <w:rsid w:val="004C3AE6"/>
    <w:rsid w:val="004C402F"/>
    <w:rsid w:val="004C412E"/>
    <w:rsid w:val="004C41CC"/>
    <w:rsid w:val="004C4733"/>
    <w:rsid w:val="004C490D"/>
    <w:rsid w:val="004C4C79"/>
    <w:rsid w:val="004C5B81"/>
    <w:rsid w:val="004C5CB0"/>
    <w:rsid w:val="004C6929"/>
    <w:rsid w:val="004C696C"/>
    <w:rsid w:val="004C6B4B"/>
    <w:rsid w:val="004C721D"/>
    <w:rsid w:val="004C758D"/>
    <w:rsid w:val="004C75F8"/>
    <w:rsid w:val="004C760C"/>
    <w:rsid w:val="004C77D6"/>
    <w:rsid w:val="004C7F4A"/>
    <w:rsid w:val="004D0058"/>
    <w:rsid w:val="004D0145"/>
    <w:rsid w:val="004D0205"/>
    <w:rsid w:val="004D02D1"/>
    <w:rsid w:val="004D0C45"/>
    <w:rsid w:val="004D0FEB"/>
    <w:rsid w:val="004D18EC"/>
    <w:rsid w:val="004D1C48"/>
    <w:rsid w:val="004D1CF0"/>
    <w:rsid w:val="004D1D38"/>
    <w:rsid w:val="004D2344"/>
    <w:rsid w:val="004D23AB"/>
    <w:rsid w:val="004D2B05"/>
    <w:rsid w:val="004D362A"/>
    <w:rsid w:val="004D3672"/>
    <w:rsid w:val="004D3929"/>
    <w:rsid w:val="004D397B"/>
    <w:rsid w:val="004D3F78"/>
    <w:rsid w:val="004D4030"/>
    <w:rsid w:val="004D46C1"/>
    <w:rsid w:val="004D47C8"/>
    <w:rsid w:val="004D4D49"/>
    <w:rsid w:val="004D52E1"/>
    <w:rsid w:val="004D5372"/>
    <w:rsid w:val="004D565D"/>
    <w:rsid w:val="004D5F50"/>
    <w:rsid w:val="004D5FA1"/>
    <w:rsid w:val="004D601C"/>
    <w:rsid w:val="004D6AD3"/>
    <w:rsid w:val="004D6CEF"/>
    <w:rsid w:val="004D7416"/>
    <w:rsid w:val="004D7C51"/>
    <w:rsid w:val="004E049C"/>
    <w:rsid w:val="004E057E"/>
    <w:rsid w:val="004E061D"/>
    <w:rsid w:val="004E0D8B"/>
    <w:rsid w:val="004E1157"/>
    <w:rsid w:val="004E237D"/>
    <w:rsid w:val="004E2AA5"/>
    <w:rsid w:val="004E2E96"/>
    <w:rsid w:val="004E336D"/>
    <w:rsid w:val="004E445F"/>
    <w:rsid w:val="004E51AF"/>
    <w:rsid w:val="004E5711"/>
    <w:rsid w:val="004E5E87"/>
    <w:rsid w:val="004E626F"/>
    <w:rsid w:val="004E63B1"/>
    <w:rsid w:val="004E65EC"/>
    <w:rsid w:val="004E7933"/>
    <w:rsid w:val="004E7B65"/>
    <w:rsid w:val="004E7C6D"/>
    <w:rsid w:val="004F02BD"/>
    <w:rsid w:val="004F041B"/>
    <w:rsid w:val="004F0666"/>
    <w:rsid w:val="004F0781"/>
    <w:rsid w:val="004F0D23"/>
    <w:rsid w:val="004F16F9"/>
    <w:rsid w:val="004F19EE"/>
    <w:rsid w:val="004F1CE8"/>
    <w:rsid w:val="004F1ED2"/>
    <w:rsid w:val="004F267C"/>
    <w:rsid w:val="004F29C0"/>
    <w:rsid w:val="004F3240"/>
    <w:rsid w:val="004F3433"/>
    <w:rsid w:val="004F39A3"/>
    <w:rsid w:val="004F3A8E"/>
    <w:rsid w:val="004F3B6E"/>
    <w:rsid w:val="004F3F5B"/>
    <w:rsid w:val="004F3FC7"/>
    <w:rsid w:val="004F4741"/>
    <w:rsid w:val="004F57C8"/>
    <w:rsid w:val="004F58EF"/>
    <w:rsid w:val="004F5F23"/>
    <w:rsid w:val="004F68AE"/>
    <w:rsid w:val="004F6953"/>
    <w:rsid w:val="004F6EFE"/>
    <w:rsid w:val="004F740D"/>
    <w:rsid w:val="004F7484"/>
    <w:rsid w:val="004F7647"/>
    <w:rsid w:val="004F7DB2"/>
    <w:rsid w:val="005005E7"/>
    <w:rsid w:val="00500688"/>
    <w:rsid w:val="00501134"/>
    <w:rsid w:val="005020B1"/>
    <w:rsid w:val="005026FF"/>
    <w:rsid w:val="00502D8B"/>
    <w:rsid w:val="0050331B"/>
    <w:rsid w:val="0050373F"/>
    <w:rsid w:val="005039A3"/>
    <w:rsid w:val="005041C6"/>
    <w:rsid w:val="0050455D"/>
    <w:rsid w:val="00504562"/>
    <w:rsid w:val="00504863"/>
    <w:rsid w:val="00504D78"/>
    <w:rsid w:val="00504F4F"/>
    <w:rsid w:val="00505518"/>
    <w:rsid w:val="0050576A"/>
    <w:rsid w:val="00505EDA"/>
    <w:rsid w:val="005062EE"/>
    <w:rsid w:val="0050678C"/>
    <w:rsid w:val="0050686E"/>
    <w:rsid w:val="005069B7"/>
    <w:rsid w:val="0050755D"/>
    <w:rsid w:val="005076C3"/>
    <w:rsid w:val="00507A53"/>
    <w:rsid w:val="00507CB6"/>
    <w:rsid w:val="005101F9"/>
    <w:rsid w:val="005106C6"/>
    <w:rsid w:val="005113AA"/>
    <w:rsid w:val="005114B6"/>
    <w:rsid w:val="0051151B"/>
    <w:rsid w:val="00511768"/>
    <w:rsid w:val="00511B9B"/>
    <w:rsid w:val="00511D08"/>
    <w:rsid w:val="00511E8C"/>
    <w:rsid w:val="00512343"/>
    <w:rsid w:val="00512552"/>
    <w:rsid w:val="005129CB"/>
    <w:rsid w:val="00512CD1"/>
    <w:rsid w:val="00513033"/>
    <w:rsid w:val="00513325"/>
    <w:rsid w:val="005136D6"/>
    <w:rsid w:val="00514837"/>
    <w:rsid w:val="00514DBA"/>
    <w:rsid w:val="00514DEF"/>
    <w:rsid w:val="00514EF5"/>
    <w:rsid w:val="00514F97"/>
    <w:rsid w:val="00515187"/>
    <w:rsid w:val="005154FC"/>
    <w:rsid w:val="00516029"/>
    <w:rsid w:val="005161D2"/>
    <w:rsid w:val="0051632C"/>
    <w:rsid w:val="0051641A"/>
    <w:rsid w:val="0051645C"/>
    <w:rsid w:val="005169AF"/>
    <w:rsid w:val="00516B06"/>
    <w:rsid w:val="00516C83"/>
    <w:rsid w:val="0051727B"/>
    <w:rsid w:val="0051785F"/>
    <w:rsid w:val="00517CC4"/>
    <w:rsid w:val="00520013"/>
    <w:rsid w:val="00520067"/>
    <w:rsid w:val="00520087"/>
    <w:rsid w:val="005200AC"/>
    <w:rsid w:val="005202E0"/>
    <w:rsid w:val="005203D1"/>
    <w:rsid w:val="00520718"/>
    <w:rsid w:val="00520D66"/>
    <w:rsid w:val="005210EC"/>
    <w:rsid w:val="00521B75"/>
    <w:rsid w:val="00521F4A"/>
    <w:rsid w:val="00521FC6"/>
    <w:rsid w:val="005222BA"/>
    <w:rsid w:val="00522307"/>
    <w:rsid w:val="0052294F"/>
    <w:rsid w:val="00522A22"/>
    <w:rsid w:val="00522B48"/>
    <w:rsid w:val="005233EF"/>
    <w:rsid w:val="005241F2"/>
    <w:rsid w:val="0052443F"/>
    <w:rsid w:val="005249ED"/>
    <w:rsid w:val="005249F0"/>
    <w:rsid w:val="00524AB4"/>
    <w:rsid w:val="00524C8A"/>
    <w:rsid w:val="00524F10"/>
    <w:rsid w:val="00525195"/>
    <w:rsid w:val="0052542B"/>
    <w:rsid w:val="00525690"/>
    <w:rsid w:val="005257FD"/>
    <w:rsid w:val="00525BAD"/>
    <w:rsid w:val="00525C8B"/>
    <w:rsid w:val="00525F0B"/>
    <w:rsid w:val="00526ABD"/>
    <w:rsid w:val="00527020"/>
    <w:rsid w:val="00527226"/>
    <w:rsid w:val="005273B4"/>
    <w:rsid w:val="005276A3"/>
    <w:rsid w:val="00527860"/>
    <w:rsid w:val="00527A39"/>
    <w:rsid w:val="00527EB5"/>
    <w:rsid w:val="00530584"/>
    <w:rsid w:val="00530810"/>
    <w:rsid w:val="00530C6C"/>
    <w:rsid w:val="00530CE7"/>
    <w:rsid w:val="00531822"/>
    <w:rsid w:val="00531BDE"/>
    <w:rsid w:val="00531D8A"/>
    <w:rsid w:val="00532169"/>
    <w:rsid w:val="00532202"/>
    <w:rsid w:val="00532AE5"/>
    <w:rsid w:val="00532CEF"/>
    <w:rsid w:val="00532E32"/>
    <w:rsid w:val="00532FF3"/>
    <w:rsid w:val="00533B68"/>
    <w:rsid w:val="00533F21"/>
    <w:rsid w:val="00534420"/>
    <w:rsid w:val="005346B7"/>
    <w:rsid w:val="00534A60"/>
    <w:rsid w:val="00534B3C"/>
    <w:rsid w:val="00534B70"/>
    <w:rsid w:val="00535472"/>
    <w:rsid w:val="00535484"/>
    <w:rsid w:val="005356CB"/>
    <w:rsid w:val="00535709"/>
    <w:rsid w:val="005361AC"/>
    <w:rsid w:val="005361F4"/>
    <w:rsid w:val="005362EE"/>
    <w:rsid w:val="00536640"/>
    <w:rsid w:val="005367E5"/>
    <w:rsid w:val="00536A8D"/>
    <w:rsid w:val="00536C12"/>
    <w:rsid w:val="0053729E"/>
    <w:rsid w:val="00537496"/>
    <w:rsid w:val="005379F2"/>
    <w:rsid w:val="00537DEB"/>
    <w:rsid w:val="005401D7"/>
    <w:rsid w:val="00540ADE"/>
    <w:rsid w:val="00540CD4"/>
    <w:rsid w:val="00541540"/>
    <w:rsid w:val="00541607"/>
    <w:rsid w:val="00541FA7"/>
    <w:rsid w:val="005422A8"/>
    <w:rsid w:val="0054268D"/>
    <w:rsid w:val="005426A9"/>
    <w:rsid w:val="0054319A"/>
    <w:rsid w:val="00543396"/>
    <w:rsid w:val="00543A74"/>
    <w:rsid w:val="00543EB3"/>
    <w:rsid w:val="00543FA6"/>
    <w:rsid w:val="00544203"/>
    <w:rsid w:val="00544510"/>
    <w:rsid w:val="00544602"/>
    <w:rsid w:val="00544A54"/>
    <w:rsid w:val="00545158"/>
    <w:rsid w:val="005451B4"/>
    <w:rsid w:val="00545363"/>
    <w:rsid w:val="0054568C"/>
    <w:rsid w:val="005460D8"/>
    <w:rsid w:val="00546332"/>
    <w:rsid w:val="0054639B"/>
    <w:rsid w:val="005464D9"/>
    <w:rsid w:val="005464E0"/>
    <w:rsid w:val="00546835"/>
    <w:rsid w:val="00546A2E"/>
    <w:rsid w:val="00546C6F"/>
    <w:rsid w:val="00547119"/>
    <w:rsid w:val="00547150"/>
    <w:rsid w:val="0054752F"/>
    <w:rsid w:val="00547BE8"/>
    <w:rsid w:val="00547E48"/>
    <w:rsid w:val="0055025F"/>
    <w:rsid w:val="00550423"/>
    <w:rsid w:val="00550C3E"/>
    <w:rsid w:val="00550E93"/>
    <w:rsid w:val="0055110D"/>
    <w:rsid w:val="0055116A"/>
    <w:rsid w:val="00551FDE"/>
    <w:rsid w:val="005520E6"/>
    <w:rsid w:val="005526CF"/>
    <w:rsid w:val="005527D5"/>
    <w:rsid w:val="00552B40"/>
    <w:rsid w:val="00552F90"/>
    <w:rsid w:val="0055365B"/>
    <w:rsid w:val="00553753"/>
    <w:rsid w:val="00553D34"/>
    <w:rsid w:val="00554171"/>
    <w:rsid w:val="0055433D"/>
    <w:rsid w:val="005544CD"/>
    <w:rsid w:val="00554513"/>
    <w:rsid w:val="005547F5"/>
    <w:rsid w:val="00554E9D"/>
    <w:rsid w:val="00554F7F"/>
    <w:rsid w:val="00555379"/>
    <w:rsid w:val="00555449"/>
    <w:rsid w:val="00555782"/>
    <w:rsid w:val="00555D1E"/>
    <w:rsid w:val="00555D39"/>
    <w:rsid w:val="00555FEC"/>
    <w:rsid w:val="005566A9"/>
    <w:rsid w:val="005566CB"/>
    <w:rsid w:val="005569DF"/>
    <w:rsid w:val="00556E56"/>
    <w:rsid w:val="00557402"/>
    <w:rsid w:val="00557A0B"/>
    <w:rsid w:val="00557C5E"/>
    <w:rsid w:val="00557E35"/>
    <w:rsid w:val="00557ED8"/>
    <w:rsid w:val="0056020C"/>
    <w:rsid w:val="00560B6A"/>
    <w:rsid w:val="00560CE1"/>
    <w:rsid w:val="00560F76"/>
    <w:rsid w:val="00561061"/>
    <w:rsid w:val="005614C7"/>
    <w:rsid w:val="00561AA9"/>
    <w:rsid w:val="00561D0C"/>
    <w:rsid w:val="0056270B"/>
    <w:rsid w:val="00563125"/>
    <w:rsid w:val="005638CD"/>
    <w:rsid w:val="00563A78"/>
    <w:rsid w:val="00563D75"/>
    <w:rsid w:val="005645ED"/>
    <w:rsid w:val="005655EC"/>
    <w:rsid w:val="00565850"/>
    <w:rsid w:val="00565851"/>
    <w:rsid w:val="00566674"/>
    <w:rsid w:val="00566D6A"/>
    <w:rsid w:val="005676CD"/>
    <w:rsid w:val="00567855"/>
    <w:rsid w:val="0056797A"/>
    <w:rsid w:val="00567A1F"/>
    <w:rsid w:val="00567A93"/>
    <w:rsid w:val="00567B8E"/>
    <w:rsid w:val="00567E24"/>
    <w:rsid w:val="00570031"/>
    <w:rsid w:val="005708E4"/>
    <w:rsid w:val="00570A9B"/>
    <w:rsid w:val="00570AF3"/>
    <w:rsid w:val="00570C42"/>
    <w:rsid w:val="00570C98"/>
    <w:rsid w:val="00570FC4"/>
    <w:rsid w:val="0057123B"/>
    <w:rsid w:val="0057130F"/>
    <w:rsid w:val="005713AC"/>
    <w:rsid w:val="0057160B"/>
    <w:rsid w:val="0057166D"/>
    <w:rsid w:val="0057184C"/>
    <w:rsid w:val="00571A3E"/>
    <w:rsid w:val="00571C46"/>
    <w:rsid w:val="00572039"/>
    <w:rsid w:val="005724D3"/>
    <w:rsid w:val="005729A7"/>
    <w:rsid w:val="00573251"/>
    <w:rsid w:val="00573668"/>
    <w:rsid w:val="00573C09"/>
    <w:rsid w:val="00573F1D"/>
    <w:rsid w:val="005743E4"/>
    <w:rsid w:val="00574538"/>
    <w:rsid w:val="00574553"/>
    <w:rsid w:val="00574593"/>
    <w:rsid w:val="00574855"/>
    <w:rsid w:val="00574A79"/>
    <w:rsid w:val="00574B37"/>
    <w:rsid w:val="00574DF7"/>
    <w:rsid w:val="00574FEF"/>
    <w:rsid w:val="00575918"/>
    <w:rsid w:val="00575929"/>
    <w:rsid w:val="00575DE5"/>
    <w:rsid w:val="0057609A"/>
    <w:rsid w:val="005765E6"/>
    <w:rsid w:val="0057676A"/>
    <w:rsid w:val="005769A2"/>
    <w:rsid w:val="00576AF2"/>
    <w:rsid w:val="00576B64"/>
    <w:rsid w:val="00577475"/>
    <w:rsid w:val="0057765A"/>
    <w:rsid w:val="00577806"/>
    <w:rsid w:val="005779E9"/>
    <w:rsid w:val="00577DA4"/>
    <w:rsid w:val="005807FD"/>
    <w:rsid w:val="0058139E"/>
    <w:rsid w:val="005813D0"/>
    <w:rsid w:val="00581441"/>
    <w:rsid w:val="0058168B"/>
    <w:rsid w:val="00581AEA"/>
    <w:rsid w:val="00581CB2"/>
    <w:rsid w:val="00581E47"/>
    <w:rsid w:val="00581FE3"/>
    <w:rsid w:val="005822A5"/>
    <w:rsid w:val="0058245E"/>
    <w:rsid w:val="005829FE"/>
    <w:rsid w:val="00582B3C"/>
    <w:rsid w:val="00582EA5"/>
    <w:rsid w:val="005833FD"/>
    <w:rsid w:val="005835A4"/>
    <w:rsid w:val="00583E68"/>
    <w:rsid w:val="00584157"/>
    <w:rsid w:val="00584784"/>
    <w:rsid w:val="00584EF0"/>
    <w:rsid w:val="005858CF"/>
    <w:rsid w:val="00585D55"/>
    <w:rsid w:val="00585F88"/>
    <w:rsid w:val="00586031"/>
    <w:rsid w:val="00586AC2"/>
    <w:rsid w:val="00586B83"/>
    <w:rsid w:val="00586C7D"/>
    <w:rsid w:val="00586DD6"/>
    <w:rsid w:val="00586E0E"/>
    <w:rsid w:val="005870AB"/>
    <w:rsid w:val="0058718A"/>
    <w:rsid w:val="00587574"/>
    <w:rsid w:val="005878F4"/>
    <w:rsid w:val="00587962"/>
    <w:rsid w:val="0058797B"/>
    <w:rsid w:val="00587B9D"/>
    <w:rsid w:val="00587F12"/>
    <w:rsid w:val="005902CA"/>
    <w:rsid w:val="00590C9F"/>
    <w:rsid w:val="00590D59"/>
    <w:rsid w:val="00590E0D"/>
    <w:rsid w:val="0059103A"/>
    <w:rsid w:val="0059103E"/>
    <w:rsid w:val="00591355"/>
    <w:rsid w:val="005914F5"/>
    <w:rsid w:val="005915D4"/>
    <w:rsid w:val="005918F9"/>
    <w:rsid w:val="005928B4"/>
    <w:rsid w:val="00592B34"/>
    <w:rsid w:val="00592D41"/>
    <w:rsid w:val="00592F21"/>
    <w:rsid w:val="00593047"/>
    <w:rsid w:val="005932C9"/>
    <w:rsid w:val="0059337A"/>
    <w:rsid w:val="00593544"/>
    <w:rsid w:val="00593A1A"/>
    <w:rsid w:val="00593C8A"/>
    <w:rsid w:val="005941C1"/>
    <w:rsid w:val="0059431E"/>
    <w:rsid w:val="005943BB"/>
    <w:rsid w:val="005944DE"/>
    <w:rsid w:val="005951AB"/>
    <w:rsid w:val="00595474"/>
    <w:rsid w:val="00595622"/>
    <w:rsid w:val="005958E6"/>
    <w:rsid w:val="00595A30"/>
    <w:rsid w:val="00596646"/>
    <w:rsid w:val="00596CC0"/>
    <w:rsid w:val="005973F8"/>
    <w:rsid w:val="005A0290"/>
    <w:rsid w:val="005A058A"/>
    <w:rsid w:val="005A09EC"/>
    <w:rsid w:val="005A1157"/>
    <w:rsid w:val="005A136D"/>
    <w:rsid w:val="005A13DE"/>
    <w:rsid w:val="005A1536"/>
    <w:rsid w:val="005A1D6E"/>
    <w:rsid w:val="005A1DBC"/>
    <w:rsid w:val="005A1ED9"/>
    <w:rsid w:val="005A2398"/>
    <w:rsid w:val="005A263A"/>
    <w:rsid w:val="005A263C"/>
    <w:rsid w:val="005A27D4"/>
    <w:rsid w:val="005A28A0"/>
    <w:rsid w:val="005A2A43"/>
    <w:rsid w:val="005A31DC"/>
    <w:rsid w:val="005A350A"/>
    <w:rsid w:val="005A4046"/>
    <w:rsid w:val="005A40AE"/>
    <w:rsid w:val="005A4112"/>
    <w:rsid w:val="005A437A"/>
    <w:rsid w:val="005A459E"/>
    <w:rsid w:val="005A5446"/>
    <w:rsid w:val="005A573D"/>
    <w:rsid w:val="005A6C0C"/>
    <w:rsid w:val="005A6E14"/>
    <w:rsid w:val="005A6F24"/>
    <w:rsid w:val="005A70F3"/>
    <w:rsid w:val="005A718C"/>
    <w:rsid w:val="005A7A09"/>
    <w:rsid w:val="005A7B02"/>
    <w:rsid w:val="005A7B6B"/>
    <w:rsid w:val="005A7C11"/>
    <w:rsid w:val="005B017D"/>
    <w:rsid w:val="005B0597"/>
    <w:rsid w:val="005B0868"/>
    <w:rsid w:val="005B09FE"/>
    <w:rsid w:val="005B0C46"/>
    <w:rsid w:val="005B2167"/>
    <w:rsid w:val="005B2454"/>
    <w:rsid w:val="005B2B8D"/>
    <w:rsid w:val="005B2DEC"/>
    <w:rsid w:val="005B3121"/>
    <w:rsid w:val="005B3289"/>
    <w:rsid w:val="005B3336"/>
    <w:rsid w:val="005B38E2"/>
    <w:rsid w:val="005B3905"/>
    <w:rsid w:val="005B395F"/>
    <w:rsid w:val="005B3B40"/>
    <w:rsid w:val="005B4238"/>
    <w:rsid w:val="005B4319"/>
    <w:rsid w:val="005B4527"/>
    <w:rsid w:val="005B49E4"/>
    <w:rsid w:val="005B4AA2"/>
    <w:rsid w:val="005B4B46"/>
    <w:rsid w:val="005B4F4C"/>
    <w:rsid w:val="005B5338"/>
    <w:rsid w:val="005B534B"/>
    <w:rsid w:val="005B5428"/>
    <w:rsid w:val="005B6118"/>
    <w:rsid w:val="005B643B"/>
    <w:rsid w:val="005B6666"/>
    <w:rsid w:val="005B66D5"/>
    <w:rsid w:val="005B6D83"/>
    <w:rsid w:val="005B7134"/>
    <w:rsid w:val="005B7356"/>
    <w:rsid w:val="005B74F8"/>
    <w:rsid w:val="005B7A33"/>
    <w:rsid w:val="005B7AC9"/>
    <w:rsid w:val="005B7BA4"/>
    <w:rsid w:val="005B7E29"/>
    <w:rsid w:val="005B7EB3"/>
    <w:rsid w:val="005C01E6"/>
    <w:rsid w:val="005C0A72"/>
    <w:rsid w:val="005C0E23"/>
    <w:rsid w:val="005C10DC"/>
    <w:rsid w:val="005C11B2"/>
    <w:rsid w:val="005C1B87"/>
    <w:rsid w:val="005C1FA9"/>
    <w:rsid w:val="005C24BA"/>
    <w:rsid w:val="005C2BEA"/>
    <w:rsid w:val="005C2DBC"/>
    <w:rsid w:val="005C3144"/>
    <w:rsid w:val="005C3384"/>
    <w:rsid w:val="005C38FE"/>
    <w:rsid w:val="005C3AE9"/>
    <w:rsid w:val="005C3D68"/>
    <w:rsid w:val="005C4029"/>
    <w:rsid w:val="005C41B2"/>
    <w:rsid w:val="005C42B8"/>
    <w:rsid w:val="005C431E"/>
    <w:rsid w:val="005C457C"/>
    <w:rsid w:val="005C48DB"/>
    <w:rsid w:val="005C4DAA"/>
    <w:rsid w:val="005C5768"/>
    <w:rsid w:val="005C5960"/>
    <w:rsid w:val="005C5B3F"/>
    <w:rsid w:val="005C5B56"/>
    <w:rsid w:val="005C62E8"/>
    <w:rsid w:val="005C64A6"/>
    <w:rsid w:val="005C64B0"/>
    <w:rsid w:val="005C657E"/>
    <w:rsid w:val="005C69C0"/>
    <w:rsid w:val="005C7180"/>
    <w:rsid w:val="005C71B3"/>
    <w:rsid w:val="005C76BE"/>
    <w:rsid w:val="005C7787"/>
    <w:rsid w:val="005C7F19"/>
    <w:rsid w:val="005D01EC"/>
    <w:rsid w:val="005D0269"/>
    <w:rsid w:val="005D0E20"/>
    <w:rsid w:val="005D10B6"/>
    <w:rsid w:val="005D14C9"/>
    <w:rsid w:val="005D1550"/>
    <w:rsid w:val="005D1D31"/>
    <w:rsid w:val="005D2100"/>
    <w:rsid w:val="005D2DEC"/>
    <w:rsid w:val="005D3117"/>
    <w:rsid w:val="005D3B2A"/>
    <w:rsid w:val="005D46FA"/>
    <w:rsid w:val="005D48E0"/>
    <w:rsid w:val="005D4C8F"/>
    <w:rsid w:val="005D528A"/>
    <w:rsid w:val="005D53B8"/>
    <w:rsid w:val="005D5913"/>
    <w:rsid w:val="005D5E9B"/>
    <w:rsid w:val="005D5F1D"/>
    <w:rsid w:val="005D6240"/>
    <w:rsid w:val="005D647D"/>
    <w:rsid w:val="005D696D"/>
    <w:rsid w:val="005D7424"/>
    <w:rsid w:val="005D7784"/>
    <w:rsid w:val="005D77F5"/>
    <w:rsid w:val="005E032B"/>
    <w:rsid w:val="005E0642"/>
    <w:rsid w:val="005E096F"/>
    <w:rsid w:val="005E0E1A"/>
    <w:rsid w:val="005E0E8F"/>
    <w:rsid w:val="005E0F51"/>
    <w:rsid w:val="005E0FF4"/>
    <w:rsid w:val="005E1032"/>
    <w:rsid w:val="005E1A16"/>
    <w:rsid w:val="005E213D"/>
    <w:rsid w:val="005E228C"/>
    <w:rsid w:val="005E22FB"/>
    <w:rsid w:val="005E25DF"/>
    <w:rsid w:val="005E2B69"/>
    <w:rsid w:val="005E305F"/>
    <w:rsid w:val="005E38BD"/>
    <w:rsid w:val="005E3A63"/>
    <w:rsid w:val="005E42CE"/>
    <w:rsid w:val="005E44F2"/>
    <w:rsid w:val="005E4621"/>
    <w:rsid w:val="005E4702"/>
    <w:rsid w:val="005E4A20"/>
    <w:rsid w:val="005E4C23"/>
    <w:rsid w:val="005E4E27"/>
    <w:rsid w:val="005E5A29"/>
    <w:rsid w:val="005E5E77"/>
    <w:rsid w:val="005E6000"/>
    <w:rsid w:val="005E60A0"/>
    <w:rsid w:val="005E60DD"/>
    <w:rsid w:val="005E61B6"/>
    <w:rsid w:val="005E62E6"/>
    <w:rsid w:val="005E65B4"/>
    <w:rsid w:val="005E6A2E"/>
    <w:rsid w:val="005E6DC1"/>
    <w:rsid w:val="005E712A"/>
    <w:rsid w:val="005E72DC"/>
    <w:rsid w:val="005E7310"/>
    <w:rsid w:val="005E7915"/>
    <w:rsid w:val="005E7AFC"/>
    <w:rsid w:val="005E7DC0"/>
    <w:rsid w:val="005E7DC8"/>
    <w:rsid w:val="005F018F"/>
    <w:rsid w:val="005F0713"/>
    <w:rsid w:val="005F0999"/>
    <w:rsid w:val="005F0BA2"/>
    <w:rsid w:val="005F0D41"/>
    <w:rsid w:val="005F1004"/>
    <w:rsid w:val="005F1155"/>
    <w:rsid w:val="005F121C"/>
    <w:rsid w:val="005F12CD"/>
    <w:rsid w:val="005F12D2"/>
    <w:rsid w:val="005F1A5A"/>
    <w:rsid w:val="005F23A0"/>
    <w:rsid w:val="005F314A"/>
    <w:rsid w:val="005F31FF"/>
    <w:rsid w:val="005F4361"/>
    <w:rsid w:val="005F460E"/>
    <w:rsid w:val="005F48F2"/>
    <w:rsid w:val="005F4AEF"/>
    <w:rsid w:val="005F4C9C"/>
    <w:rsid w:val="005F52A0"/>
    <w:rsid w:val="005F5300"/>
    <w:rsid w:val="005F57F7"/>
    <w:rsid w:val="005F5E78"/>
    <w:rsid w:val="005F5E86"/>
    <w:rsid w:val="005F602E"/>
    <w:rsid w:val="005F63BA"/>
    <w:rsid w:val="005F6466"/>
    <w:rsid w:val="005F668E"/>
    <w:rsid w:val="005F67C6"/>
    <w:rsid w:val="005F6C0F"/>
    <w:rsid w:val="005F7454"/>
    <w:rsid w:val="005F7827"/>
    <w:rsid w:val="005F79C0"/>
    <w:rsid w:val="005F7A07"/>
    <w:rsid w:val="005F7B30"/>
    <w:rsid w:val="005F7D39"/>
    <w:rsid w:val="005F7EA6"/>
    <w:rsid w:val="0060023E"/>
    <w:rsid w:val="006003E5"/>
    <w:rsid w:val="0060073E"/>
    <w:rsid w:val="006010DC"/>
    <w:rsid w:val="006010E9"/>
    <w:rsid w:val="00601290"/>
    <w:rsid w:val="0060150E"/>
    <w:rsid w:val="00601E84"/>
    <w:rsid w:val="00601FEF"/>
    <w:rsid w:val="0060210A"/>
    <w:rsid w:val="006025CF"/>
    <w:rsid w:val="00602756"/>
    <w:rsid w:val="00602B12"/>
    <w:rsid w:val="00602FA3"/>
    <w:rsid w:val="00603322"/>
    <w:rsid w:val="0060347C"/>
    <w:rsid w:val="006038E3"/>
    <w:rsid w:val="00603C20"/>
    <w:rsid w:val="006043BD"/>
    <w:rsid w:val="00604449"/>
    <w:rsid w:val="00604567"/>
    <w:rsid w:val="0060478F"/>
    <w:rsid w:val="006047BC"/>
    <w:rsid w:val="006049F2"/>
    <w:rsid w:val="00604A39"/>
    <w:rsid w:val="00604B59"/>
    <w:rsid w:val="00604D21"/>
    <w:rsid w:val="006054D0"/>
    <w:rsid w:val="006057BB"/>
    <w:rsid w:val="0060590D"/>
    <w:rsid w:val="00605C79"/>
    <w:rsid w:val="00606371"/>
    <w:rsid w:val="006064FE"/>
    <w:rsid w:val="006068FC"/>
    <w:rsid w:val="00606A72"/>
    <w:rsid w:val="00606AB1"/>
    <w:rsid w:val="00606BAA"/>
    <w:rsid w:val="00606DE9"/>
    <w:rsid w:val="00606E7A"/>
    <w:rsid w:val="00606F27"/>
    <w:rsid w:val="00607B14"/>
    <w:rsid w:val="00610152"/>
    <w:rsid w:val="00610498"/>
    <w:rsid w:val="006106B2"/>
    <w:rsid w:val="00610BFB"/>
    <w:rsid w:val="006111C8"/>
    <w:rsid w:val="006111D3"/>
    <w:rsid w:val="006116EF"/>
    <w:rsid w:val="006119CB"/>
    <w:rsid w:val="006119F1"/>
    <w:rsid w:val="00611B7F"/>
    <w:rsid w:val="006125D3"/>
    <w:rsid w:val="006135B8"/>
    <w:rsid w:val="00613799"/>
    <w:rsid w:val="00613AA0"/>
    <w:rsid w:val="00613CF8"/>
    <w:rsid w:val="00614029"/>
    <w:rsid w:val="00614C87"/>
    <w:rsid w:val="00614C9A"/>
    <w:rsid w:val="0061594A"/>
    <w:rsid w:val="00615AC1"/>
    <w:rsid w:val="0061679B"/>
    <w:rsid w:val="00616821"/>
    <w:rsid w:val="00616B66"/>
    <w:rsid w:val="00617017"/>
    <w:rsid w:val="006172C6"/>
    <w:rsid w:val="0061758C"/>
    <w:rsid w:val="006177EE"/>
    <w:rsid w:val="00617B45"/>
    <w:rsid w:val="00617EAA"/>
    <w:rsid w:val="00617FFC"/>
    <w:rsid w:val="0062086C"/>
    <w:rsid w:val="00620A4D"/>
    <w:rsid w:val="00620CE6"/>
    <w:rsid w:val="00620E26"/>
    <w:rsid w:val="00621372"/>
    <w:rsid w:val="00621645"/>
    <w:rsid w:val="00621C13"/>
    <w:rsid w:val="00621E00"/>
    <w:rsid w:val="006225C5"/>
    <w:rsid w:val="006226D8"/>
    <w:rsid w:val="00622AB5"/>
    <w:rsid w:val="00623676"/>
    <w:rsid w:val="0062375E"/>
    <w:rsid w:val="00624160"/>
    <w:rsid w:val="0062443B"/>
    <w:rsid w:val="006249FD"/>
    <w:rsid w:val="00624BA5"/>
    <w:rsid w:val="00626426"/>
    <w:rsid w:val="006265DA"/>
    <w:rsid w:val="00626756"/>
    <w:rsid w:val="00626B9D"/>
    <w:rsid w:val="00626BA9"/>
    <w:rsid w:val="0062730E"/>
    <w:rsid w:val="006301B5"/>
    <w:rsid w:val="006306CD"/>
    <w:rsid w:val="0063075A"/>
    <w:rsid w:val="00631504"/>
    <w:rsid w:val="0063159A"/>
    <w:rsid w:val="00631A24"/>
    <w:rsid w:val="00631B94"/>
    <w:rsid w:val="00631D22"/>
    <w:rsid w:val="00631FEC"/>
    <w:rsid w:val="00632465"/>
    <w:rsid w:val="00632616"/>
    <w:rsid w:val="00632A76"/>
    <w:rsid w:val="006330D6"/>
    <w:rsid w:val="00633245"/>
    <w:rsid w:val="0063324E"/>
    <w:rsid w:val="00633356"/>
    <w:rsid w:val="0063388C"/>
    <w:rsid w:val="006338A8"/>
    <w:rsid w:val="00633B7E"/>
    <w:rsid w:val="00633C91"/>
    <w:rsid w:val="00633D92"/>
    <w:rsid w:val="00633ECB"/>
    <w:rsid w:val="00634511"/>
    <w:rsid w:val="006347D0"/>
    <w:rsid w:val="00634EB1"/>
    <w:rsid w:val="00635320"/>
    <w:rsid w:val="006354DB"/>
    <w:rsid w:val="006354ED"/>
    <w:rsid w:val="00636CAE"/>
    <w:rsid w:val="00636D69"/>
    <w:rsid w:val="006373D9"/>
    <w:rsid w:val="00637418"/>
    <w:rsid w:val="006375DE"/>
    <w:rsid w:val="006378F2"/>
    <w:rsid w:val="00637E2B"/>
    <w:rsid w:val="006403F0"/>
    <w:rsid w:val="006404D1"/>
    <w:rsid w:val="00640544"/>
    <w:rsid w:val="00640A9A"/>
    <w:rsid w:val="00640CD3"/>
    <w:rsid w:val="00640F6F"/>
    <w:rsid w:val="00641589"/>
    <w:rsid w:val="00641853"/>
    <w:rsid w:val="00641B05"/>
    <w:rsid w:val="00641E5D"/>
    <w:rsid w:val="00641FB3"/>
    <w:rsid w:val="00642476"/>
    <w:rsid w:val="00642636"/>
    <w:rsid w:val="00642D2C"/>
    <w:rsid w:val="00643044"/>
    <w:rsid w:val="006436F4"/>
    <w:rsid w:val="00643943"/>
    <w:rsid w:val="006453BC"/>
    <w:rsid w:val="0064548F"/>
    <w:rsid w:val="006455BF"/>
    <w:rsid w:val="00645669"/>
    <w:rsid w:val="00645CC1"/>
    <w:rsid w:val="00646136"/>
    <w:rsid w:val="00646DE9"/>
    <w:rsid w:val="0064720A"/>
    <w:rsid w:val="00647811"/>
    <w:rsid w:val="00647B13"/>
    <w:rsid w:val="00650486"/>
    <w:rsid w:val="0065112A"/>
    <w:rsid w:val="00651225"/>
    <w:rsid w:val="00651499"/>
    <w:rsid w:val="0065157D"/>
    <w:rsid w:val="0065176B"/>
    <w:rsid w:val="00651AF2"/>
    <w:rsid w:val="00652279"/>
    <w:rsid w:val="006525B9"/>
    <w:rsid w:val="00652C2C"/>
    <w:rsid w:val="00652D6B"/>
    <w:rsid w:val="00652D6E"/>
    <w:rsid w:val="00652DBB"/>
    <w:rsid w:val="00653C3B"/>
    <w:rsid w:val="00653CF8"/>
    <w:rsid w:val="0065419A"/>
    <w:rsid w:val="00654293"/>
    <w:rsid w:val="00654A10"/>
    <w:rsid w:val="00654E00"/>
    <w:rsid w:val="0065511B"/>
    <w:rsid w:val="0065550A"/>
    <w:rsid w:val="00655A0D"/>
    <w:rsid w:val="00655A65"/>
    <w:rsid w:val="00655C05"/>
    <w:rsid w:val="00655CAF"/>
    <w:rsid w:val="0065606E"/>
    <w:rsid w:val="00656C81"/>
    <w:rsid w:val="006607B7"/>
    <w:rsid w:val="00660AF4"/>
    <w:rsid w:val="00660D6F"/>
    <w:rsid w:val="006610C1"/>
    <w:rsid w:val="006611EC"/>
    <w:rsid w:val="00661E34"/>
    <w:rsid w:val="00661E49"/>
    <w:rsid w:val="00661FF3"/>
    <w:rsid w:val="0066272B"/>
    <w:rsid w:val="00662AC7"/>
    <w:rsid w:val="0066303C"/>
    <w:rsid w:val="00663313"/>
    <w:rsid w:val="00663A52"/>
    <w:rsid w:val="0066411F"/>
    <w:rsid w:val="006642F3"/>
    <w:rsid w:val="006647FC"/>
    <w:rsid w:val="00664AAF"/>
    <w:rsid w:val="00664EAC"/>
    <w:rsid w:val="0066500E"/>
    <w:rsid w:val="0066532D"/>
    <w:rsid w:val="0066573A"/>
    <w:rsid w:val="0066584E"/>
    <w:rsid w:val="00665E51"/>
    <w:rsid w:val="00666170"/>
    <w:rsid w:val="006669CD"/>
    <w:rsid w:val="00666A12"/>
    <w:rsid w:val="00666DA2"/>
    <w:rsid w:val="00666E63"/>
    <w:rsid w:val="00666F43"/>
    <w:rsid w:val="006679AF"/>
    <w:rsid w:val="00667F43"/>
    <w:rsid w:val="00667FEC"/>
    <w:rsid w:val="00670903"/>
    <w:rsid w:val="00670BF6"/>
    <w:rsid w:val="00671534"/>
    <w:rsid w:val="00671705"/>
    <w:rsid w:val="006721B3"/>
    <w:rsid w:val="00672BF9"/>
    <w:rsid w:val="00672C8C"/>
    <w:rsid w:val="00672E2C"/>
    <w:rsid w:val="006730AB"/>
    <w:rsid w:val="006733C5"/>
    <w:rsid w:val="006733FA"/>
    <w:rsid w:val="00673BFB"/>
    <w:rsid w:val="00673F18"/>
    <w:rsid w:val="00673F53"/>
    <w:rsid w:val="0067449E"/>
    <w:rsid w:val="0067470C"/>
    <w:rsid w:val="00674D57"/>
    <w:rsid w:val="00674EA4"/>
    <w:rsid w:val="00675395"/>
    <w:rsid w:val="0067556A"/>
    <w:rsid w:val="006756F5"/>
    <w:rsid w:val="00675B79"/>
    <w:rsid w:val="006763E0"/>
    <w:rsid w:val="0067644D"/>
    <w:rsid w:val="00676C4C"/>
    <w:rsid w:val="00677120"/>
    <w:rsid w:val="006771E7"/>
    <w:rsid w:val="006779F5"/>
    <w:rsid w:val="00677A61"/>
    <w:rsid w:val="00677ABA"/>
    <w:rsid w:val="00677BB7"/>
    <w:rsid w:val="00677BE4"/>
    <w:rsid w:val="00677E5C"/>
    <w:rsid w:val="006800F8"/>
    <w:rsid w:val="00680621"/>
    <w:rsid w:val="00680CAA"/>
    <w:rsid w:val="006812D4"/>
    <w:rsid w:val="006813DD"/>
    <w:rsid w:val="0068149B"/>
    <w:rsid w:val="00681FB4"/>
    <w:rsid w:val="006829A4"/>
    <w:rsid w:val="00682A35"/>
    <w:rsid w:val="00683C05"/>
    <w:rsid w:val="006842FA"/>
    <w:rsid w:val="00684691"/>
    <w:rsid w:val="00685109"/>
    <w:rsid w:val="00685428"/>
    <w:rsid w:val="00685A3F"/>
    <w:rsid w:val="00685D5D"/>
    <w:rsid w:val="00685D6E"/>
    <w:rsid w:val="00686836"/>
    <w:rsid w:val="00687159"/>
    <w:rsid w:val="0069016E"/>
    <w:rsid w:val="0069027B"/>
    <w:rsid w:val="006903C3"/>
    <w:rsid w:val="006910DC"/>
    <w:rsid w:val="00691397"/>
    <w:rsid w:val="006918E5"/>
    <w:rsid w:val="00691996"/>
    <w:rsid w:val="00691EF0"/>
    <w:rsid w:val="00691FEF"/>
    <w:rsid w:val="00692901"/>
    <w:rsid w:val="00692AE8"/>
    <w:rsid w:val="00692E9A"/>
    <w:rsid w:val="006930A2"/>
    <w:rsid w:val="00693149"/>
    <w:rsid w:val="00693151"/>
    <w:rsid w:val="0069328E"/>
    <w:rsid w:val="0069337B"/>
    <w:rsid w:val="00693391"/>
    <w:rsid w:val="0069364A"/>
    <w:rsid w:val="00693679"/>
    <w:rsid w:val="006939B6"/>
    <w:rsid w:val="00693F25"/>
    <w:rsid w:val="006940A8"/>
    <w:rsid w:val="006941F0"/>
    <w:rsid w:val="00694C9B"/>
    <w:rsid w:val="00694FED"/>
    <w:rsid w:val="00695599"/>
    <w:rsid w:val="00695945"/>
    <w:rsid w:val="00695C66"/>
    <w:rsid w:val="0069627B"/>
    <w:rsid w:val="006963A6"/>
    <w:rsid w:val="00696673"/>
    <w:rsid w:val="00696D7F"/>
    <w:rsid w:val="00696EB1"/>
    <w:rsid w:val="00696F92"/>
    <w:rsid w:val="00697BF6"/>
    <w:rsid w:val="00697C8D"/>
    <w:rsid w:val="006A05BC"/>
    <w:rsid w:val="006A0758"/>
    <w:rsid w:val="006A089D"/>
    <w:rsid w:val="006A08AA"/>
    <w:rsid w:val="006A0B32"/>
    <w:rsid w:val="006A1EA4"/>
    <w:rsid w:val="006A22C1"/>
    <w:rsid w:val="006A248A"/>
    <w:rsid w:val="006A285C"/>
    <w:rsid w:val="006A2B9C"/>
    <w:rsid w:val="006A3147"/>
    <w:rsid w:val="006A3B74"/>
    <w:rsid w:val="006A3F1E"/>
    <w:rsid w:val="006A44DD"/>
    <w:rsid w:val="006A4B12"/>
    <w:rsid w:val="006A4BD1"/>
    <w:rsid w:val="006A50EA"/>
    <w:rsid w:val="006A523E"/>
    <w:rsid w:val="006A576B"/>
    <w:rsid w:val="006A5A14"/>
    <w:rsid w:val="006A5BAF"/>
    <w:rsid w:val="006A5E5B"/>
    <w:rsid w:val="006A5F5F"/>
    <w:rsid w:val="006A6057"/>
    <w:rsid w:val="006A6808"/>
    <w:rsid w:val="006A728F"/>
    <w:rsid w:val="006A7CD5"/>
    <w:rsid w:val="006B04F0"/>
    <w:rsid w:val="006B062E"/>
    <w:rsid w:val="006B0819"/>
    <w:rsid w:val="006B08DA"/>
    <w:rsid w:val="006B0A9D"/>
    <w:rsid w:val="006B0B03"/>
    <w:rsid w:val="006B0E3B"/>
    <w:rsid w:val="006B1168"/>
    <w:rsid w:val="006B12C9"/>
    <w:rsid w:val="006B17C2"/>
    <w:rsid w:val="006B28DA"/>
    <w:rsid w:val="006B2AC5"/>
    <w:rsid w:val="006B2B04"/>
    <w:rsid w:val="006B2B37"/>
    <w:rsid w:val="006B3119"/>
    <w:rsid w:val="006B3469"/>
    <w:rsid w:val="006B356D"/>
    <w:rsid w:val="006B365D"/>
    <w:rsid w:val="006B39CF"/>
    <w:rsid w:val="006B44F3"/>
    <w:rsid w:val="006B4F13"/>
    <w:rsid w:val="006B54A8"/>
    <w:rsid w:val="006B5561"/>
    <w:rsid w:val="006B55F5"/>
    <w:rsid w:val="006B5995"/>
    <w:rsid w:val="006B61D3"/>
    <w:rsid w:val="006B6271"/>
    <w:rsid w:val="006B6364"/>
    <w:rsid w:val="006B667C"/>
    <w:rsid w:val="006B6B71"/>
    <w:rsid w:val="006B6BC4"/>
    <w:rsid w:val="006B6EC9"/>
    <w:rsid w:val="006B71AC"/>
    <w:rsid w:val="006B77AC"/>
    <w:rsid w:val="006B781C"/>
    <w:rsid w:val="006B790F"/>
    <w:rsid w:val="006B7C97"/>
    <w:rsid w:val="006C015D"/>
    <w:rsid w:val="006C08EF"/>
    <w:rsid w:val="006C0A04"/>
    <w:rsid w:val="006C0A22"/>
    <w:rsid w:val="006C1344"/>
    <w:rsid w:val="006C1A85"/>
    <w:rsid w:val="006C1B36"/>
    <w:rsid w:val="006C1E5B"/>
    <w:rsid w:val="006C2038"/>
    <w:rsid w:val="006C207B"/>
    <w:rsid w:val="006C256A"/>
    <w:rsid w:val="006C2718"/>
    <w:rsid w:val="006C29A9"/>
    <w:rsid w:val="006C29B8"/>
    <w:rsid w:val="006C2D1C"/>
    <w:rsid w:val="006C36A9"/>
    <w:rsid w:val="006C399F"/>
    <w:rsid w:val="006C3ACF"/>
    <w:rsid w:val="006C3E83"/>
    <w:rsid w:val="006C3EE6"/>
    <w:rsid w:val="006C4636"/>
    <w:rsid w:val="006C48C6"/>
    <w:rsid w:val="006C4977"/>
    <w:rsid w:val="006C4D54"/>
    <w:rsid w:val="006C5030"/>
    <w:rsid w:val="006C56DF"/>
    <w:rsid w:val="006C5754"/>
    <w:rsid w:val="006C578C"/>
    <w:rsid w:val="006C5FFC"/>
    <w:rsid w:val="006C60D7"/>
    <w:rsid w:val="006C65C9"/>
    <w:rsid w:val="006C66E0"/>
    <w:rsid w:val="006C675E"/>
    <w:rsid w:val="006C6E89"/>
    <w:rsid w:val="006C7280"/>
    <w:rsid w:val="006C7460"/>
    <w:rsid w:val="006C785C"/>
    <w:rsid w:val="006C7B0A"/>
    <w:rsid w:val="006D03A7"/>
    <w:rsid w:val="006D07F5"/>
    <w:rsid w:val="006D0A2D"/>
    <w:rsid w:val="006D0B04"/>
    <w:rsid w:val="006D0CF6"/>
    <w:rsid w:val="006D0ECE"/>
    <w:rsid w:val="006D10DB"/>
    <w:rsid w:val="006D1649"/>
    <w:rsid w:val="006D19B0"/>
    <w:rsid w:val="006D2017"/>
    <w:rsid w:val="006D269B"/>
    <w:rsid w:val="006D2733"/>
    <w:rsid w:val="006D38F4"/>
    <w:rsid w:val="006D43FA"/>
    <w:rsid w:val="006D4649"/>
    <w:rsid w:val="006D4AC9"/>
    <w:rsid w:val="006D4BD5"/>
    <w:rsid w:val="006D52DA"/>
    <w:rsid w:val="006D55FD"/>
    <w:rsid w:val="006D5F4B"/>
    <w:rsid w:val="006D5FE8"/>
    <w:rsid w:val="006D6090"/>
    <w:rsid w:val="006D6C75"/>
    <w:rsid w:val="006D6CFE"/>
    <w:rsid w:val="006D713C"/>
    <w:rsid w:val="006D71E1"/>
    <w:rsid w:val="006D797B"/>
    <w:rsid w:val="006D7E6F"/>
    <w:rsid w:val="006D7F55"/>
    <w:rsid w:val="006D7FF3"/>
    <w:rsid w:val="006E05F2"/>
    <w:rsid w:val="006E0748"/>
    <w:rsid w:val="006E1078"/>
    <w:rsid w:val="006E1A10"/>
    <w:rsid w:val="006E20AD"/>
    <w:rsid w:val="006E20F7"/>
    <w:rsid w:val="006E254B"/>
    <w:rsid w:val="006E260A"/>
    <w:rsid w:val="006E29FA"/>
    <w:rsid w:val="006E2D91"/>
    <w:rsid w:val="006E2E36"/>
    <w:rsid w:val="006E2F77"/>
    <w:rsid w:val="006E3047"/>
    <w:rsid w:val="006E3232"/>
    <w:rsid w:val="006E323A"/>
    <w:rsid w:val="006E32E4"/>
    <w:rsid w:val="006E3A23"/>
    <w:rsid w:val="006E3AC9"/>
    <w:rsid w:val="006E3CA8"/>
    <w:rsid w:val="006E3D15"/>
    <w:rsid w:val="006E40F9"/>
    <w:rsid w:val="006E44AB"/>
    <w:rsid w:val="006E4FFB"/>
    <w:rsid w:val="006E504F"/>
    <w:rsid w:val="006E52AF"/>
    <w:rsid w:val="006E5453"/>
    <w:rsid w:val="006E54DC"/>
    <w:rsid w:val="006E5981"/>
    <w:rsid w:val="006E60F6"/>
    <w:rsid w:val="006E6161"/>
    <w:rsid w:val="006E65FA"/>
    <w:rsid w:val="006E6D0C"/>
    <w:rsid w:val="006E7063"/>
    <w:rsid w:val="006E75FB"/>
    <w:rsid w:val="006E782B"/>
    <w:rsid w:val="006E7A94"/>
    <w:rsid w:val="006F0101"/>
    <w:rsid w:val="006F0740"/>
    <w:rsid w:val="006F0842"/>
    <w:rsid w:val="006F0BC4"/>
    <w:rsid w:val="006F0CB2"/>
    <w:rsid w:val="006F0F1B"/>
    <w:rsid w:val="006F11F5"/>
    <w:rsid w:val="006F1572"/>
    <w:rsid w:val="006F158F"/>
    <w:rsid w:val="006F17CB"/>
    <w:rsid w:val="006F1AD1"/>
    <w:rsid w:val="006F1CB5"/>
    <w:rsid w:val="006F2013"/>
    <w:rsid w:val="006F228E"/>
    <w:rsid w:val="006F299B"/>
    <w:rsid w:val="006F2C7A"/>
    <w:rsid w:val="006F2CB5"/>
    <w:rsid w:val="006F2E9C"/>
    <w:rsid w:val="006F2F25"/>
    <w:rsid w:val="006F38D7"/>
    <w:rsid w:val="006F3E57"/>
    <w:rsid w:val="006F42AC"/>
    <w:rsid w:val="006F45D4"/>
    <w:rsid w:val="006F4861"/>
    <w:rsid w:val="006F4AE7"/>
    <w:rsid w:val="006F4C4A"/>
    <w:rsid w:val="006F5862"/>
    <w:rsid w:val="006F5896"/>
    <w:rsid w:val="006F5AC7"/>
    <w:rsid w:val="006F5B0C"/>
    <w:rsid w:val="006F668D"/>
    <w:rsid w:val="006F70A4"/>
    <w:rsid w:val="006F7758"/>
    <w:rsid w:val="006F7857"/>
    <w:rsid w:val="006F7999"/>
    <w:rsid w:val="006F79EF"/>
    <w:rsid w:val="006F7F8A"/>
    <w:rsid w:val="00700145"/>
    <w:rsid w:val="007003CE"/>
    <w:rsid w:val="00700803"/>
    <w:rsid w:val="007008F2"/>
    <w:rsid w:val="00700BFD"/>
    <w:rsid w:val="007013C2"/>
    <w:rsid w:val="0070155F"/>
    <w:rsid w:val="0070190B"/>
    <w:rsid w:val="00701EAF"/>
    <w:rsid w:val="007022D5"/>
    <w:rsid w:val="00702818"/>
    <w:rsid w:val="00702E47"/>
    <w:rsid w:val="007032B8"/>
    <w:rsid w:val="007045CA"/>
    <w:rsid w:val="007046B9"/>
    <w:rsid w:val="00704720"/>
    <w:rsid w:val="00704CBA"/>
    <w:rsid w:val="00704E8E"/>
    <w:rsid w:val="00704EF2"/>
    <w:rsid w:val="00704EF3"/>
    <w:rsid w:val="00705698"/>
    <w:rsid w:val="00705CB5"/>
    <w:rsid w:val="0070615A"/>
    <w:rsid w:val="0070632D"/>
    <w:rsid w:val="0070636B"/>
    <w:rsid w:val="007064B9"/>
    <w:rsid w:val="00706595"/>
    <w:rsid w:val="00706A41"/>
    <w:rsid w:val="007072D1"/>
    <w:rsid w:val="00707505"/>
    <w:rsid w:val="0070786D"/>
    <w:rsid w:val="00707DE6"/>
    <w:rsid w:val="00707F3B"/>
    <w:rsid w:val="00710265"/>
    <w:rsid w:val="00710C11"/>
    <w:rsid w:val="00710CE8"/>
    <w:rsid w:val="00710E52"/>
    <w:rsid w:val="00710F17"/>
    <w:rsid w:val="007110EE"/>
    <w:rsid w:val="007111A7"/>
    <w:rsid w:val="007115F7"/>
    <w:rsid w:val="00711658"/>
    <w:rsid w:val="00712252"/>
    <w:rsid w:val="00712450"/>
    <w:rsid w:val="00712761"/>
    <w:rsid w:val="00713417"/>
    <w:rsid w:val="007143E7"/>
    <w:rsid w:val="007148D6"/>
    <w:rsid w:val="00714911"/>
    <w:rsid w:val="00715015"/>
    <w:rsid w:val="00715160"/>
    <w:rsid w:val="007152F2"/>
    <w:rsid w:val="007155EB"/>
    <w:rsid w:val="00716338"/>
    <w:rsid w:val="0071633A"/>
    <w:rsid w:val="00716997"/>
    <w:rsid w:val="00716C8F"/>
    <w:rsid w:val="00716DEF"/>
    <w:rsid w:val="00716FE1"/>
    <w:rsid w:val="00717180"/>
    <w:rsid w:val="00717718"/>
    <w:rsid w:val="00717B03"/>
    <w:rsid w:val="00717B05"/>
    <w:rsid w:val="00717BDB"/>
    <w:rsid w:val="00717CD2"/>
    <w:rsid w:val="00720592"/>
    <w:rsid w:val="007208B1"/>
    <w:rsid w:val="00720A98"/>
    <w:rsid w:val="00720B0F"/>
    <w:rsid w:val="00720B7A"/>
    <w:rsid w:val="00720E23"/>
    <w:rsid w:val="00720FA4"/>
    <w:rsid w:val="00721373"/>
    <w:rsid w:val="007213A9"/>
    <w:rsid w:val="00721745"/>
    <w:rsid w:val="00721E05"/>
    <w:rsid w:val="00721F66"/>
    <w:rsid w:val="00721FAB"/>
    <w:rsid w:val="00722025"/>
    <w:rsid w:val="007222C8"/>
    <w:rsid w:val="0072243E"/>
    <w:rsid w:val="00722FFD"/>
    <w:rsid w:val="00723113"/>
    <w:rsid w:val="0072311E"/>
    <w:rsid w:val="00723298"/>
    <w:rsid w:val="00723469"/>
    <w:rsid w:val="007238A7"/>
    <w:rsid w:val="00723D48"/>
    <w:rsid w:val="007240A2"/>
    <w:rsid w:val="007241C0"/>
    <w:rsid w:val="0072460E"/>
    <w:rsid w:val="00724B49"/>
    <w:rsid w:val="00724DFB"/>
    <w:rsid w:val="007253F5"/>
    <w:rsid w:val="0072570B"/>
    <w:rsid w:val="00725B7A"/>
    <w:rsid w:val="00725CD0"/>
    <w:rsid w:val="00726047"/>
    <w:rsid w:val="007260A2"/>
    <w:rsid w:val="00727719"/>
    <w:rsid w:val="00727817"/>
    <w:rsid w:val="00727B87"/>
    <w:rsid w:val="00730421"/>
    <w:rsid w:val="007304AA"/>
    <w:rsid w:val="0073053F"/>
    <w:rsid w:val="00730622"/>
    <w:rsid w:val="007309BC"/>
    <w:rsid w:val="00730CAF"/>
    <w:rsid w:val="007310CE"/>
    <w:rsid w:val="0073246E"/>
    <w:rsid w:val="00732544"/>
    <w:rsid w:val="007328B7"/>
    <w:rsid w:val="00732F60"/>
    <w:rsid w:val="00733526"/>
    <w:rsid w:val="0073377D"/>
    <w:rsid w:val="00733A00"/>
    <w:rsid w:val="00733E54"/>
    <w:rsid w:val="0073431B"/>
    <w:rsid w:val="00734ACA"/>
    <w:rsid w:val="00734BAC"/>
    <w:rsid w:val="00735402"/>
    <w:rsid w:val="0073589F"/>
    <w:rsid w:val="00735B93"/>
    <w:rsid w:val="00735FA8"/>
    <w:rsid w:val="00736052"/>
    <w:rsid w:val="0073607A"/>
    <w:rsid w:val="00736217"/>
    <w:rsid w:val="007368B2"/>
    <w:rsid w:val="00736905"/>
    <w:rsid w:val="00736DA0"/>
    <w:rsid w:val="007375D2"/>
    <w:rsid w:val="00737638"/>
    <w:rsid w:val="0074049B"/>
    <w:rsid w:val="00740ABB"/>
    <w:rsid w:val="00740B57"/>
    <w:rsid w:val="00740C7D"/>
    <w:rsid w:val="00740D19"/>
    <w:rsid w:val="00740EB7"/>
    <w:rsid w:val="00741274"/>
    <w:rsid w:val="00741658"/>
    <w:rsid w:val="00741F9E"/>
    <w:rsid w:val="00741FDC"/>
    <w:rsid w:val="00741FFA"/>
    <w:rsid w:val="0074205E"/>
    <w:rsid w:val="0074283F"/>
    <w:rsid w:val="00742A1F"/>
    <w:rsid w:val="00742B67"/>
    <w:rsid w:val="0074307D"/>
    <w:rsid w:val="00743681"/>
    <w:rsid w:val="00743C49"/>
    <w:rsid w:val="00744672"/>
    <w:rsid w:val="00744998"/>
    <w:rsid w:val="00744D7D"/>
    <w:rsid w:val="00744EBA"/>
    <w:rsid w:val="00745351"/>
    <w:rsid w:val="00745369"/>
    <w:rsid w:val="00745425"/>
    <w:rsid w:val="007456EC"/>
    <w:rsid w:val="007457E6"/>
    <w:rsid w:val="00745B5C"/>
    <w:rsid w:val="00745E3A"/>
    <w:rsid w:val="00746804"/>
    <w:rsid w:val="00746BC7"/>
    <w:rsid w:val="00746C6F"/>
    <w:rsid w:val="00746F11"/>
    <w:rsid w:val="00747405"/>
    <w:rsid w:val="00750079"/>
    <w:rsid w:val="00750451"/>
    <w:rsid w:val="00750C38"/>
    <w:rsid w:val="0075134D"/>
    <w:rsid w:val="00751750"/>
    <w:rsid w:val="00751817"/>
    <w:rsid w:val="00751B55"/>
    <w:rsid w:val="00751C7C"/>
    <w:rsid w:val="00752414"/>
    <w:rsid w:val="00752A76"/>
    <w:rsid w:val="00752F08"/>
    <w:rsid w:val="007538C9"/>
    <w:rsid w:val="00753908"/>
    <w:rsid w:val="007541A8"/>
    <w:rsid w:val="00754A3F"/>
    <w:rsid w:val="00754AEA"/>
    <w:rsid w:val="00754C60"/>
    <w:rsid w:val="007551CD"/>
    <w:rsid w:val="007556F2"/>
    <w:rsid w:val="00755CF9"/>
    <w:rsid w:val="00755DFB"/>
    <w:rsid w:val="00756167"/>
    <w:rsid w:val="007567CF"/>
    <w:rsid w:val="00756D66"/>
    <w:rsid w:val="007574C3"/>
    <w:rsid w:val="0075770D"/>
    <w:rsid w:val="00757B30"/>
    <w:rsid w:val="00757F86"/>
    <w:rsid w:val="00760272"/>
    <w:rsid w:val="0076053A"/>
    <w:rsid w:val="0076053C"/>
    <w:rsid w:val="007605E8"/>
    <w:rsid w:val="007607D4"/>
    <w:rsid w:val="007609FE"/>
    <w:rsid w:val="00760BB2"/>
    <w:rsid w:val="00761007"/>
    <w:rsid w:val="00761770"/>
    <w:rsid w:val="00761997"/>
    <w:rsid w:val="00761A13"/>
    <w:rsid w:val="00762249"/>
    <w:rsid w:val="0076239C"/>
    <w:rsid w:val="007629A3"/>
    <w:rsid w:val="00762C1C"/>
    <w:rsid w:val="00762C50"/>
    <w:rsid w:val="00762ED2"/>
    <w:rsid w:val="007641B3"/>
    <w:rsid w:val="00764E61"/>
    <w:rsid w:val="0076518F"/>
    <w:rsid w:val="00765480"/>
    <w:rsid w:val="0076591E"/>
    <w:rsid w:val="007660A7"/>
    <w:rsid w:val="007668ED"/>
    <w:rsid w:val="00766FE1"/>
    <w:rsid w:val="00767510"/>
    <w:rsid w:val="00767A64"/>
    <w:rsid w:val="00770014"/>
    <w:rsid w:val="007707BC"/>
    <w:rsid w:val="007713B6"/>
    <w:rsid w:val="007715D3"/>
    <w:rsid w:val="007715DB"/>
    <w:rsid w:val="00771CB9"/>
    <w:rsid w:val="007720C3"/>
    <w:rsid w:val="00772143"/>
    <w:rsid w:val="0077269E"/>
    <w:rsid w:val="00772C2D"/>
    <w:rsid w:val="00772D05"/>
    <w:rsid w:val="00773227"/>
    <w:rsid w:val="0077410C"/>
    <w:rsid w:val="007743B7"/>
    <w:rsid w:val="00774ACC"/>
    <w:rsid w:val="00774B7C"/>
    <w:rsid w:val="00774C7C"/>
    <w:rsid w:val="00775051"/>
    <w:rsid w:val="007753A0"/>
    <w:rsid w:val="007753AC"/>
    <w:rsid w:val="00775561"/>
    <w:rsid w:val="00775667"/>
    <w:rsid w:val="0077570E"/>
    <w:rsid w:val="00775AF8"/>
    <w:rsid w:val="00775E5C"/>
    <w:rsid w:val="00776012"/>
    <w:rsid w:val="007761EA"/>
    <w:rsid w:val="007768B8"/>
    <w:rsid w:val="00776BFD"/>
    <w:rsid w:val="00776DDE"/>
    <w:rsid w:val="00776F03"/>
    <w:rsid w:val="0077732B"/>
    <w:rsid w:val="0077770E"/>
    <w:rsid w:val="00777778"/>
    <w:rsid w:val="00777971"/>
    <w:rsid w:val="007779E2"/>
    <w:rsid w:val="00777FED"/>
    <w:rsid w:val="007803CA"/>
    <w:rsid w:val="007809FD"/>
    <w:rsid w:val="00780E92"/>
    <w:rsid w:val="00781525"/>
    <w:rsid w:val="0078154D"/>
    <w:rsid w:val="0078168D"/>
    <w:rsid w:val="00781B52"/>
    <w:rsid w:val="00782241"/>
    <w:rsid w:val="00782351"/>
    <w:rsid w:val="00782779"/>
    <w:rsid w:val="007827D0"/>
    <w:rsid w:val="00782B93"/>
    <w:rsid w:val="00782BEB"/>
    <w:rsid w:val="00782F71"/>
    <w:rsid w:val="0078303F"/>
    <w:rsid w:val="00783760"/>
    <w:rsid w:val="007839D6"/>
    <w:rsid w:val="00783C88"/>
    <w:rsid w:val="00783D3B"/>
    <w:rsid w:val="00784103"/>
    <w:rsid w:val="007844CE"/>
    <w:rsid w:val="007848A5"/>
    <w:rsid w:val="00784963"/>
    <w:rsid w:val="00784C0A"/>
    <w:rsid w:val="00785189"/>
    <w:rsid w:val="00785259"/>
    <w:rsid w:val="007854C8"/>
    <w:rsid w:val="00785A80"/>
    <w:rsid w:val="00785BA1"/>
    <w:rsid w:val="00785CA8"/>
    <w:rsid w:val="00785F0B"/>
    <w:rsid w:val="0078618A"/>
    <w:rsid w:val="00786299"/>
    <w:rsid w:val="00786412"/>
    <w:rsid w:val="00786555"/>
    <w:rsid w:val="0078671E"/>
    <w:rsid w:val="00786761"/>
    <w:rsid w:val="00786D8B"/>
    <w:rsid w:val="00786D8F"/>
    <w:rsid w:val="00786E0B"/>
    <w:rsid w:val="007870E7"/>
    <w:rsid w:val="007878A5"/>
    <w:rsid w:val="00787A80"/>
    <w:rsid w:val="00787DF3"/>
    <w:rsid w:val="00787E0B"/>
    <w:rsid w:val="007908A2"/>
    <w:rsid w:val="00790A13"/>
    <w:rsid w:val="00790BBB"/>
    <w:rsid w:val="00790DDF"/>
    <w:rsid w:val="00790EE0"/>
    <w:rsid w:val="00791066"/>
    <w:rsid w:val="007911F0"/>
    <w:rsid w:val="0079136E"/>
    <w:rsid w:val="00791B5F"/>
    <w:rsid w:val="00791C2A"/>
    <w:rsid w:val="0079286B"/>
    <w:rsid w:val="00792F94"/>
    <w:rsid w:val="00793256"/>
    <w:rsid w:val="007935D9"/>
    <w:rsid w:val="007937B4"/>
    <w:rsid w:val="0079384F"/>
    <w:rsid w:val="007938F9"/>
    <w:rsid w:val="00793D8E"/>
    <w:rsid w:val="007941F0"/>
    <w:rsid w:val="007943E4"/>
    <w:rsid w:val="00794CC5"/>
    <w:rsid w:val="00794F6F"/>
    <w:rsid w:val="00795092"/>
    <w:rsid w:val="00795464"/>
    <w:rsid w:val="00795D31"/>
    <w:rsid w:val="00796AC2"/>
    <w:rsid w:val="00796E39"/>
    <w:rsid w:val="007975B8"/>
    <w:rsid w:val="007A01DE"/>
    <w:rsid w:val="007A0335"/>
    <w:rsid w:val="007A0905"/>
    <w:rsid w:val="007A0C46"/>
    <w:rsid w:val="007A0E5D"/>
    <w:rsid w:val="007A0F31"/>
    <w:rsid w:val="007A110F"/>
    <w:rsid w:val="007A1E9E"/>
    <w:rsid w:val="007A2DD0"/>
    <w:rsid w:val="007A2FC6"/>
    <w:rsid w:val="007A3063"/>
    <w:rsid w:val="007A3233"/>
    <w:rsid w:val="007A3325"/>
    <w:rsid w:val="007A3949"/>
    <w:rsid w:val="007A48B2"/>
    <w:rsid w:val="007A55B5"/>
    <w:rsid w:val="007A56B0"/>
    <w:rsid w:val="007A57B0"/>
    <w:rsid w:val="007A615E"/>
    <w:rsid w:val="007A6175"/>
    <w:rsid w:val="007A641E"/>
    <w:rsid w:val="007A67AD"/>
    <w:rsid w:val="007A687E"/>
    <w:rsid w:val="007A6BEF"/>
    <w:rsid w:val="007A6D80"/>
    <w:rsid w:val="007A74B6"/>
    <w:rsid w:val="007A74E6"/>
    <w:rsid w:val="007A7651"/>
    <w:rsid w:val="007A7684"/>
    <w:rsid w:val="007A7730"/>
    <w:rsid w:val="007A78D4"/>
    <w:rsid w:val="007A7F24"/>
    <w:rsid w:val="007A7FDF"/>
    <w:rsid w:val="007B0387"/>
    <w:rsid w:val="007B03B4"/>
    <w:rsid w:val="007B096D"/>
    <w:rsid w:val="007B11F4"/>
    <w:rsid w:val="007B1DB8"/>
    <w:rsid w:val="007B207D"/>
    <w:rsid w:val="007B2169"/>
    <w:rsid w:val="007B2452"/>
    <w:rsid w:val="007B28EC"/>
    <w:rsid w:val="007B2C48"/>
    <w:rsid w:val="007B2C78"/>
    <w:rsid w:val="007B302C"/>
    <w:rsid w:val="007B3A14"/>
    <w:rsid w:val="007B3C52"/>
    <w:rsid w:val="007B414B"/>
    <w:rsid w:val="007B453C"/>
    <w:rsid w:val="007B49D5"/>
    <w:rsid w:val="007B4B5F"/>
    <w:rsid w:val="007B4FBE"/>
    <w:rsid w:val="007B53B0"/>
    <w:rsid w:val="007B5C6C"/>
    <w:rsid w:val="007B5FFF"/>
    <w:rsid w:val="007B6334"/>
    <w:rsid w:val="007B6387"/>
    <w:rsid w:val="007B644B"/>
    <w:rsid w:val="007B6C51"/>
    <w:rsid w:val="007B74F9"/>
    <w:rsid w:val="007B78F8"/>
    <w:rsid w:val="007B7C00"/>
    <w:rsid w:val="007B7DEA"/>
    <w:rsid w:val="007C09D2"/>
    <w:rsid w:val="007C0A64"/>
    <w:rsid w:val="007C0EBF"/>
    <w:rsid w:val="007C19E8"/>
    <w:rsid w:val="007C2889"/>
    <w:rsid w:val="007C2BF4"/>
    <w:rsid w:val="007C35A4"/>
    <w:rsid w:val="007C38F7"/>
    <w:rsid w:val="007C39CF"/>
    <w:rsid w:val="007C3C88"/>
    <w:rsid w:val="007C3DE2"/>
    <w:rsid w:val="007C456D"/>
    <w:rsid w:val="007C4787"/>
    <w:rsid w:val="007C491C"/>
    <w:rsid w:val="007C4D6F"/>
    <w:rsid w:val="007C5241"/>
    <w:rsid w:val="007C547E"/>
    <w:rsid w:val="007C5C1D"/>
    <w:rsid w:val="007C5D40"/>
    <w:rsid w:val="007C5F56"/>
    <w:rsid w:val="007C6121"/>
    <w:rsid w:val="007C661A"/>
    <w:rsid w:val="007C67CC"/>
    <w:rsid w:val="007C6CB7"/>
    <w:rsid w:val="007C7192"/>
    <w:rsid w:val="007C747B"/>
    <w:rsid w:val="007C759D"/>
    <w:rsid w:val="007C792A"/>
    <w:rsid w:val="007C796D"/>
    <w:rsid w:val="007C7B95"/>
    <w:rsid w:val="007D001E"/>
    <w:rsid w:val="007D0050"/>
    <w:rsid w:val="007D00E0"/>
    <w:rsid w:val="007D0285"/>
    <w:rsid w:val="007D05D2"/>
    <w:rsid w:val="007D0682"/>
    <w:rsid w:val="007D0897"/>
    <w:rsid w:val="007D0EA9"/>
    <w:rsid w:val="007D144E"/>
    <w:rsid w:val="007D1C2F"/>
    <w:rsid w:val="007D1F62"/>
    <w:rsid w:val="007D2187"/>
    <w:rsid w:val="007D2627"/>
    <w:rsid w:val="007D2DEC"/>
    <w:rsid w:val="007D34C6"/>
    <w:rsid w:val="007D43C2"/>
    <w:rsid w:val="007D4BA4"/>
    <w:rsid w:val="007D4F73"/>
    <w:rsid w:val="007D531C"/>
    <w:rsid w:val="007D54FD"/>
    <w:rsid w:val="007D5514"/>
    <w:rsid w:val="007D6657"/>
    <w:rsid w:val="007D66AA"/>
    <w:rsid w:val="007D7478"/>
    <w:rsid w:val="007D75AC"/>
    <w:rsid w:val="007E00E0"/>
    <w:rsid w:val="007E06DC"/>
    <w:rsid w:val="007E1166"/>
    <w:rsid w:val="007E14A5"/>
    <w:rsid w:val="007E14CE"/>
    <w:rsid w:val="007E1851"/>
    <w:rsid w:val="007E1B01"/>
    <w:rsid w:val="007E1E0E"/>
    <w:rsid w:val="007E1E88"/>
    <w:rsid w:val="007E2BB0"/>
    <w:rsid w:val="007E2D4B"/>
    <w:rsid w:val="007E2F3A"/>
    <w:rsid w:val="007E34A0"/>
    <w:rsid w:val="007E368E"/>
    <w:rsid w:val="007E37CE"/>
    <w:rsid w:val="007E3DF6"/>
    <w:rsid w:val="007E4556"/>
    <w:rsid w:val="007E45DC"/>
    <w:rsid w:val="007E468E"/>
    <w:rsid w:val="007E485A"/>
    <w:rsid w:val="007E4F00"/>
    <w:rsid w:val="007E5878"/>
    <w:rsid w:val="007E5CC0"/>
    <w:rsid w:val="007E6B46"/>
    <w:rsid w:val="007E6F53"/>
    <w:rsid w:val="007E7221"/>
    <w:rsid w:val="007E744C"/>
    <w:rsid w:val="007E752E"/>
    <w:rsid w:val="007E79C5"/>
    <w:rsid w:val="007E7A8D"/>
    <w:rsid w:val="007E7AEE"/>
    <w:rsid w:val="007E7B1F"/>
    <w:rsid w:val="007F0425"/>
    <w:rsid w:val="007F0613"/>
    <w:rsid w:val="007F0D95"/>
    <w:rsid w:val="007F1257"/>
    <w:rsid w:val="007F21A1"/>
    <w:rsid w:val="007F2232"/>
    <w:rsid w:val="007F2256"/>
    <w:rsid w:val="007F22EC"/>
    <w:rsid w:val="007F2890"/>
    <w:rsid w:val="007F2D09"/>
    <w:rsid w:val="007F368B"/>
    <w:rsid w:val="007F3B97"/>
    <w:rsid w:val="007F4E60"/>
    <w:rsid w:val="007F5AF6"/>
    <w:rsid w:val="007F6C0D"/>
    <w:rsid w:val="007F7256"/>
    <w:rsid w:val="007F75E0"/>
    <w:rsid w:val="007F7BED"/>
    <w:rsid w:val="007F7CD9"/>
    <w:rsid w:val="007F7EA0"/>
    <w:rsid w:val="007F7FF6"/>
    <w:rsid w:val="0080014D"/>
    <w:rsid w:val="0080055A"/>
    <w:rsid w:val="00800575"/>
    <w:rsid w:val="0080075C"/>
    <w:rsid w:val="00800D2C"/>
    <w:rsid w:val="008011D6"/>
    <w:rsid w:val="008014A3"/>
    <w:rsid w:val="00801969"/>
    <w:rsid w:val="00801B68"/>
    <w:rsid w:val="00801F95"/>
    <w:rsid w:val="00802259"/>
    <w:rsid w:val="0080228D"/>
    <w:rsid w:val="00802522"/>
    <w:rsid w:val="008026F3"/>
    <w:rsid w:val="00802CCB"/>
    <w:rsid w:val="008032F0"/>
    <w:rsid w:val="0080347B"/>
    <w:rsid w:val="00803574"/>
    <w:rsid w:val="00803BE9"/>
    <w:rsid w:val="00803DA9"/>
    <w:rsid w:val="00804056"/>
    <w:rsid w:val="00804345"/>
    <w:rsid w:val="008045FA"/>
    <w:rsid w:val="008046FD"/>
    <w:rsid w:val="0080478C"/>
    <w:rsid w:val="00804A14"/>
    <w:rsid w:val="00804A98"/>
    <w:rsid w:val="00804B8D"/>
    <w:rsid w:val="00804C1B"/>
    <w:rsid w:val="00805111"/>
    <w:rsid w:val="00805554"/>
    <w:rsid w:val="008056E2"/>
    <w:rsid w:val="00805868"/>
    <w:rsid w:val="00805D76"/>
    <w:rsid w:val="00806D28"/>
    <w:rsid w:val="008074BE"/>
    <w:rsid w:val="00807855"/>
    <w:rsid w:val="00807D18"/>
    <w:rsid w:val="00810422"/>
    <w:rsid w:val="008106E3"/>
    <w:rsid w:val="0081077A"/>
    <w:rsid w:val="008110A6"/>
    <w:rsid w:val="008110FF"/>
    <w:rsid w:val="0081125F"/>
    <w:rsid w:val="0081142B"/>
    <w:rsid w:val="008121BA"/>
    <w:rsid w:val="008124E6"/>
    <w:rsid w:val="008128CD"/>
    <w:rsid w:val="00812996"/>
    <w:rsid w:val="00812A54"/>
    <w:rsid w:val="00813138"/>
    <w:rsid w:val="0081421F"/>
    <w:rsid w:val="008142B0"/>
    <w:rsid w:val="008144AF"/>
    <w:rsid w:val="00814E9D"/>
    <w:rsid w:val="00814EF8"/>
    <w:rsid w:val="00814FF8"/>
    <w:rsid w:val="0081557B"/>
    <w:rsid w:val="008156A4"/>
    <w:rsid w:val="00815C1C"/>
    <w:rsid w:val="00815C4E"/>
    <w:rsid w:val="0081619A"/>
    <w:rsid w:val="0081697B"/>
    <w:rsid w:val="00816983"/>
    <w:rsid w:val="00816B7D"/>
    <w:rsid w:val="00816E39"/>
    <w:rsid w:val="00816FC4"/>
    <w:rsid w:val="008176BD"/>
    <w:rsid w:val="008176CA"/>
    <w:rsid w:val="00817ACF"/>
    <w:rsid w:val="00817B65"/>
    <w:rsid w:val="00817F3B"/>
    <w:rsid w:val="00820266"/>
    <w:rsid w:val="00820F35"/>
    <w:rsid w:val="00821326"/>
    <w:rsid w:val="00821516"/>
    <w:rsid w:val="008217C1"/>
    <w:rsid w:val="0082211D"/>
    <w:rsid w:val="00822812"/>
    <w:rsid w:val="00822956"/>
    <w:rsid w:val="00822E67"/>
    <w:rsid w:val="008230B0"/>
    <w:rsid w:val="00823155"/>
    <w:rsid w:val="00823B4F"/>
    <w:rsid w:val="0082442C"/>
    <w:rsid w:val="00824E49"/>
    <w:rsid w:val="008255FB"/>
    <w:rsid w:val="0082568A"/>
    <w:rsid w:val="00825AED"/>
    <w:rsid w:val="00825B1C"/>
    <w:rsid w:val="00825E9B"/>
    <w:rsid w:val="00825FDE"/>
    <w:rsid w:val="00826141"/>
    <w:rsid w:val="008261CB"/>
    <w:rsid w:val="00826477"/>
    <w:rsid w:val="0082648A"/>
    <w:rsid w:val="008268E4"/>
    <w:rsid w:val="00826A3D"/>
    <w:rsid w:val="00826CAF"/>
    <w:rsid w:val="00826CF3"/>
    <w:rsid w:val="0082740E"/>
    <w:rsid w:val="00827828"/>
    <w:rsid w:val="00827FDF"/>
    <w:rsid w:val="0082E140"/>
    <w:rsid w:val="00830910"/>
    <w:rsid w:val="00830A79"/>
    <w:rsid w:val="008311C2"/>
    <w:rsid w:val="0083134A"/>
    <w:rsid w:val="00831F0F"/>
    <w:rsid w:val="00832821"/>
    <w:rsid w:val="00832CF0"/>
    <w:rsid w:val="00832EFE"/>
    <w:rsid w:val="0083353D"/>
    <w:rsid w:val="00833B03"/>
    <w:rsid w:val="00833B8E"/>
    <w:rsid w:val="00833CD6"/>
    <w:rsid w:val="00833F40"/>
    <w:rsid w:val="00833FA0"/>
    <w:rsid w:val="00833FF2"/>
    <w:rsid w:val="00834536"/>
    <w:rsid w:val="0083463E"/>
    <w:rsid w:val="00834990"/>
    <w:rsid w:val="00834F7C"/>
    <w:rsid w:val="008354FC"/>
    <w:rsid w:val="0083587F"/>
    <w:rsid w:val="00835B35"/>
    <w:rsid w:val="00835BF4"/>
    <w:rsid w:val="00835C54"/>
    <w:rsid w:val="00835E4A"/>
    <w:rsid w:val="00835E66"/>
    <w:rsid w:val="00835ED6"/>
    <w:rsid w:val="00836055"/>
    <w:rsid w:val="00836103"/>
    <w:rsid w:val="008362C1"/>
    <w:rsid w:val="0083643E"/>
    <w:rsid w:val="008364A7"/>
    <w:rsid w:val="008368A9"/>
    <w:rsid w:val="008369A3"/>
    <w:rsid w:val="00836E8C"/>
    <w:rsid w:val="0083774D"/>
    <w:rsid w:val="008378E5"/>
    <w:rsid w:val="00840513"/>
    <w:rsid w:val="0084066D"/>
    <w:rsid w:val="008407A1"/>
    <w:rsid w:val="00841BA3"/>
    <w:rsid w:val="00841CA8"/>
    <w:rsid w:val="00841D7D"/>
    <w:rsid w:val="00842F85"/>
    <w:rsid w:val="0084376C"/>
    <w:rsid w:val="00843DA5"/>
    <w:rsid w:val="00843FEC"/>
    <w:rsid w:val="00844145"/>
    <w:rsid w:val="00844170"/>
    <w:rsid w:val="00844277"/>
    <w:rsid w:val="00844415"/>
    <w:rsid w:val="00844C1C"/>
    <w:rsid w:val="00844D14"/>
    <w:rsid w:val="00844FAA"/>
    <w:rsid w:val="00845735"/>
    <w:rsid w:val="008457D9"/>
    <w:rsid w:val="00845D8B"/>
    <w:rsid w:val="0084647E"/>
    <w:rsid w:val="0084650A"/>
    <w:rsid w:val="008469ED"/>
    <w:rsid w:val="00846F50"/>
    <w:rsid w:val="00846FA4"/>
    <w:rsid w:val="008475EE"/>
    <w:rsid w:val="008475F9"/>
    <w:rsid w:val="0084760D"/>
    <w:rsid w:val="0084793A"/>
    <w:rsid w:val="008503A0"/>
    <w:rsid w:val="008504DC"/>
    <w:rsid w:val="00850751"/>
    <w:rsid w:val="00850BEB"/>
    <w:rsid w:val="008511B0"/>
    <w:rsid w:val="00851357"/>
    <w:rsid w:val="00851386"/>
    <w:rsid w:val="00851478"/>
    <w:rsid w:val="0085170E"/>
    <w:rsid w:val="00852839"/>
    <w:rsid w:val="00852B22"/>
    <w:rsid w:val="00852B3F"/>
    <w:rsid w:val="00853095"/>
    <w:rsid w:val="00853145"/>
    <w:rsid w:val="00853864"/>
    <w:rsid w:val="008538A5"/>
    <w:rsid w:val="00853EE1"/>
    <w:rsid w:val="0085402B"/>
    <w:rsid w:val="008540C1"/>
    <w:rsid w:val="00854295"/>
    <w:rsid w:val="00854307"/>
    <w:rsid w:val="0085456E"/>
    <w:rsid w:val="00854B6A"/>
    <w:rsid w:val="00854C01"/>
    <w:rsid w:val="00854D11"/>
    <w:rsid w:val="00854DCD"/>
    <w:rsid w:val="00854E51"/>
    <w:rsid w:val="00854FCC"/>
    <w:rsid w:val="008552C9"/>
    <w:rsid w:val="00855B45"/>
    <w:rsid w:val="0085607A"/>
    <w:rsid w:val="008565C4"/>
    <w:rsid w:val="0085688E"/>
    <w:rsid w:val="00857042"/>
    <w:rsid w:val="0085762E"/>
    <w:rsid w:val="00857A2B"/>
    <w:rsid w:val="00860309"/>
    <w:rsid w:val="00860595"/>
    <w:rsid w:val="008608D8"/>
    <w:rsid w:val="00860912"/>
    <w:rsid w:val="00860AC6"/>
    <w:rsid w:val="00860FB0"/>
    <w:rsid w:val="008612CB"/>
    <w:rsid w:val="0086137E"/>
    <w:rsid w:val="0086171F"/>
    <w:rsid w:val="00862758"/>
    <w:rsid w:val="00862A62"/>
    <w:rsid w:val="00862A6E"/>
    <w:rsid w:val="00862CE3"/>
    <w:rsid w:val="00863744"/>
    <w:rsid w:val="00863AAB"/>
    <w:rsid w:val="00863D8E"/>
    <w:rsid w:val="0086425D"/>
    <w:rsid w:val="008642C6"/>
    <w:rsid w:val="0086436A"/>
    <w:rsid w:val="00864496"/>
    <w:rsid w:val="00864BA4"/>
    <w:rsid w:val="00864E45"/>
    <w:rsid w:val="00865BCC"/>
    <w:rsid w:val="008663A8"/>
    <w:rsid w:val="008668D9"/>
    <w:rsid w:val="008672C4"/>
    <w:rsid w:val="00867502"/>
    <w:rsid w:val="0086785F"/>
    <w:rsid w:val="00867A2F"/>
    <w:rsid w:val="00870365"/>
    <w:rsid w:val="008705CF"/>
    <w:rsid w:val="0087084D"/>
    <w:rsid w:val="00870CC9"/>
    <w:rsid w:val="00870F87"/>
    <w:rsid w:val="008710EF"/>
    <w:rsid w:val="0087129E"/>
    <w:rsid w:val="00871359"/>
    <w:rsid w:val="0087167B"/>
    <w:rsid w:val="008718DF"/>
    <w:rsid w:val="008718E7"/>
    <w:rsid w:val="008719F4"/>
    <w:rsid w:val="00871A7F"/>
    <w:rsid w:val="00871B8D"/>
    <w:rsid w:val="00871E12"/>
    <w:rsid w:val="008721A6"/>
    <w:rsid w:val="0087221B"/>
    <w:rsid w:val="00872434"/>
    <w:rsid w:val="00872543"/>
    <w:rsid w:val="00872D08"/>
    <w:rsid w:val="00872D85"/>
    <w:rsid w:val="00873B6F"/>
    <w:rsid w:val="0087415D"/>
    <w:rsid w:val="00874279"/>
    <w:rsid w:val="008748AE"/>
    <w:rsid w:val="00874A47"/>
    <w:rsid w:val="00874B78"/>
    <w:rsid w:val="00874BAD"/>
    <w:rsid w:val="00874C89"/>
    <w:rsid w:val="00874CD4"/>
    <w:rsid w:val="0087548E"/>
    <w:rsid w:val="0087583F"/>
    <w:rsid w:val="00875DD3"/>
    <w:rsid w:val="00875E0A"/>
    <w:rsid w:val="0087646A"/>
    <w:rsid w:val="00876641"/>
    <w:rsid w:val="00876ABF"/>
    <w:rsid w:val="00877009"/>
    <w:rsid w:val="008771BB"/>
    <w:rsid w:val="008771F2"/>
    <w:rsid w:val="008774E3"/>
    <w:rsid w:val="008776B4"/>
    <w:rsid w:val="00877710"/>
    <w:rsid w:val="0087783A"/>
    <w:rsid w:val="00877A1F"/>
    <w:rsid w:val="008801B5"/>
    <w:rsid w:val="008802F7"/>
    <w:rsid w:val="00880AB9"/>
    <w:rsid w:val="00880B97"/>
    <w:rsid w:val="00881451"/>
    <w:rsid w:val="008815C4"/>
    <w:rsid w:val="008816A6"/>
    <w:rsid w:val="008818ED"/>
    <w:rsid w:val="008819D2"/>
    <w:rsid w:val="00881B16"/>
    <w:rsid w:val="00881D3B"/>
    <w:rsid w:val="0088206F"/>
    <w:rsid w:val="00882236"/>
    <w:rsid w:val="00882767"/>
    <w:rsid w:val="0088278E"/>
    <w:rsid w:val="00883BB8"/>
    <w:rsid w:val="00884A62"/>
    <w:rsid w:val="00884BEE"/>
    <w:rsid w:val="00884DF9"/>
    <w:rsid w:val="00885414"/>
    <w:rsid w:val="00885910"/>
    <w:rsid w:val="00887126"/>
    <w:rsid w:val="00887403"/>
    <w:rsid w:val="0088751A"/>
    <w:rsid w:val="0088796B"/>
    <w:rsid w:val="00890046"/>
    <w:rsid w:val="00890300"/>
    <w:rsid w:val="00890884"/>
    <w:rsid w:val="00890A6C"/>
    <w:rsid w:val="00890D0D"/>
    <w:rsid w:val="00890E51"/>
    <w:rsid w:val="008923DE"/>
    <w:rsid w:val="0089244F"/>
    <w:rsid w:val="00892629"/>
    <w:rsid w:val="00892898"/>
    <w:rsid w:val="008928C9"/>
    <w:rsid w:val="00892D80"/>
    <w:rsid w:val="00892EC0"/>
    <w:rsid w:val="008933E4"/>
    <w:rsid w:val="008935A7"/>
    <w:rsid w:val="00893914"/>
    <w:rsid w:val="00893F81"/>
    <w:rsid w:val="00894345"/>
    <w:rsid w:val="008947F7"/>
    <w:rsid w:val="008948D6"/>
    <w:rsid w:val="00894CFB"/>
    <w:rsid w:val="00895204"/>
    <w:rsid w:val="0089677E"/>
    <w:rsid w:val="00896869"/>
    <w:rsid w:val="00896935"/>
    <w:rsid w:val="00897676"/>
    <w:rsid w:val="00897692"/>
    <w:rsid w:val="008979AF"/>
    <w:rsid w:val="00897A32"/>
    <w:rsid w:val="008A0C2C"/>
    <w:rsid w:val="008A0CE9"/>
    <w:rsid w:val="008A1624"/>
    <w:rsid w:val="008A180E"/>
    <w:rsid w:val="008A1A09"/>
    <w:rsid w:val="008A1D68"/>
    <w:rsid w:val="008A248A"/>
    <w:rsid w:val="008A299A"/>
    <w:rsid w:val="008A29B6"/>
    <w:rsid w:val="008A29E5"/>
    <w:rsid w:val="008A2BE1"/>
    <w:rsid w:val="008A2BFA"/>
    <w:rsid w:val="008A2EC9"/>
    <w:rsid w:val="008A2EE4"/>
    <w:rsid w:val="008A31BE"/>
    <w:rsid w:val="008A3287"/>
    <w:rsid w:val="008A37FE"/>
    <w:rsid w:val="008A3FCC"/>
    <w:rsid w:val="008A42D1"/>
    <w:rsid w:val="008A4349"/>
    <w:rsid w:val="008A4798"/>
    <w:rsid w:val="008A488E"/>
    <w:rsid w:val="008A4919"/>
    <w:rsid w:val="008A4A72"/>
    <w:rsid w:val="008A500E"/>
    <w:rsid w:val="008A5885"/>
    <w:rsid w:val="008A5F1B"/>
    <w:rsid w:val="008A644F"/>
    <w:rsid w:val="008A64E1"/>
    <w:rsid w:val="008A6BCB"/>
    <w:rsid w:val="008A6BFB"/>
    <w:rsid w:val="008A6D00"/>
    <w:rsid w:val="008A6D0D"/>
    <w:rsid w:val="008A7370"/>
    <w:rsid w:val="008A7834"/>
    <w:rsid w:val="008A7AED"/>
    <w:rsid w:val="008A7F10"/>
    <w:rsid w:val="008B0075"/>
    <w:rsid w:val="008B0370"/>
    <w:rsid w:val="008B0A10"/>
    <w:rsid w:val="008B0CC7"/>
    <w:rsid w:val="008B119A"/>
    <w:rsid w:val="008B1361"/>
    <w:rsid w:val="008B13E8"/>
    <w:rsid w:val="008B143C"/>
    <w:rsid w:val="008B18B4"/>
    <w:rsid w:val="008B1E4D"/>
    <w:rsid w:val="008B1EDA"/>
    <w:rsid w:val="008B2D4F"/>
    <w:rsid w:val="008B2EB9"/>
    <w:rsid w:val="008B2F2F"/>
    <w:rsid w:val="008B2FF5"/>
    <w:rsid w:val="008B373F"/>
    <w:rsid w:val="008B3A3D"/>
    <w:rsid w:val="008B3ADC"/>
    <w:rsid w:val="008B4401"/>
    <w:rsid w:val="008B44CC"/>
    <w:rsid w:val="008B480A"/>
    <w:rsid w:val="008B48F0"/>
    <w:rsid w:val="008B49EC"/>
    <w:rsid w:val="008B4AC7"/>
    <w:rsid w:val="008B4F2A"/>
    <w:rsid w:val="008B53EF"/>
    <w:rsid w:val="008B5476"/>
    <w:rsid w:val="008B59A6"/>
    <w:rsid w:val="008B5DA9"/>
    <w:rsid w:val="008B60FD"/>
    <w:rsid w:val="008B6917"/>
    <w:rsid w:val="008B6A7A"/>
    <w:rsid w:val="008B6C53"/>
    <w:rsid w:val="008B6FF5"/>
    <w:rsid w:val="008B7431"/>
    <w:rsid w:val="008B7FE3"/>
    <w:rsid w:val="008C03C1"/>
    <w:rsid w:val="008C065E"/>
    <w:rsid w:val="008C0FBC"/>
    <w:rsid w:val="008C1147"/>
    <w:rsid w:val="008C14D8"/>
    <w:rsid w:val="008C243A"/>
    <w:rsid w:val="008C2508"/>
    <w:rsid w:val="008C2686"/>
    <w:rsid w:val="008C290C"/>
    <w:rsid w:val="008C3270"/>
    <w:rsid w:val="008C3278"/>
    <w:rsid w:val="008C363F"/>
    <w:rsid w:val="008C369D"/>
    <w:rsid w:val="008C373F"/>
    <w:rsid w:val="008C37F2"/>
    <w:rsid w:val="008C3B62"/>
    <w:rsid w:val="008C3BF4"/>
    <w:rsid w:val="008C3DA3"/>
    <w:rsid w:val="008C3F18"/>
    <w:rsid w:val="008C4072"/>
    <w:rsid w:val="008C46E7"/>
    <w:rsid w:val="008C48C8"/>
    <w:rsid w:val="008C5B95"/>
    <w:rsid w:val="008C5C63"/>
    <w:rsid w:val="008C6112"/>
    <w:rsid w:val="008C694B"/>
    <w:rsid w:val="008C69ED"/>
    <w:rsid w:val="008C6ABF"/>
    <w:rsid w:val="008C6DB6"/>
    <w:rsid w:val="008C6E34"/>
    <w:rsid w:val="008C71AA"/>
    <w:rsid w:val="008C76B6"/>
    <w:rsid w:val="008C7718"/>
    <w:rsid w:val="008C7F63"/>
    <w:rsid w:val="008D01B5"/>
    <w:rsid w:val="008D0511"/>
    <w:rsid w:val="008D06C8"/>
    <w:rsid w:val="008D0F62"/>
    <w:rsid w:val="008D10C1"/>
    <w:rsid w:val="008D1562"/>
    <w:rsid w:val="008D1592"/>
    <w:rsid w:val="008D1E3E"/>
    <w:rsid w:val="008D2094"/>
    <w:rsid w:val="008D380C"/>
    <w:rsid w:val="008D3AE5"/>
    <w:rsid w:val="008D48E2"/>
    <w:rsid w:val="008D4933"/>
    <w:rsid w:val="008D4A0A"/>
    <w:rsid w:val="008D4AB1"/>
    <w:rsid w:val="008D5160"/>
    <w:rsid w:val="008D51EF"/>
    <w:rsid w:val="008D5758"/>
    <w:rsid w:val="008D5793"/>
    <w:rsid w:val="008D5F29"/>
    <w:rsid w:val="008D608C"/>
    <w:rsid w:val="008D61B2"/>
    <w:rsid w:val="008D62BD"/>
    <w:rsid w:val="008D68F5"/>
    <w:rsid w:val="008D6914"/>
    <w:rsid w:val="008D6C7B"/>
    <w:rsid w:val="008D729E"/>
    <w:rsid w:val="008D7348"/>
    <w:rsid w:val="008D7AEF"/>
    <w:rsid w:val="008D7E95"/>
    <w:rsid w:val="008D7EBD"/>
    <w:rsid w:val="008E042C"/>
    <w:rsid w:val="008E06B9"/>
    <w:rsid w:val="008E08EA"/>
    <w:rsid w:val="008E0AEA"/>
    <w:rsid w:val="008E0DCE"/>
    <w:rsid w:val="008E0F49"/>
    <w:rsid w:val="008E1064"/>
    <w:rsid w:val="008E10B4"/>
    <w:rsid w:val="008E17FD"/>
    <w:rsid w:val="008E1E3D"/>
    <w:rsid w:val="008E205A"/>
    <w:rsid w:val="008E21E2"/>
    <w:rsid w:val="008E220E"/>
    <w:rsid w:val="008E2325"/>
    <w:rsid w:val="008E26E1"/>
    <w:rsid w:val="008E2898"/>
    <w:rsid w:val="008E2A26"/>
    <w:rsid w:val="008E2AF4"/>
    <w:rsid w:val="008E2F78"/>
    <w:rsid w:val="008E350C"/>
    <w:rsid w:val="008E39ED"/>
    <w:rsid w:val="008E39FA"/>
    <w:rsid w:val="008E42F8"/>
    <w:rsid w:val="008E4303"/>
    <w:rsid w:val="008E4476"/>
    <w:rsid w:val="008E4679"/>
    <w:rsid w:val="008E4ABF"/>
    <w:rsid w:val="008E4F0D"/>
    <w:rsid w:val="008E547E"/>
    <w:rsid w:val="008E58A5"/>
    <w:rsid w:val="008E62D9"/>
    <w:rsid w:val="008E643C"/>
    <w:rsid w:val="008E665F"/>
    <w:rsid w:val="008E7371"/>
    <w:rsid w:val="008E7659"/>
    <w:rsid w:val="008E7A67"/>
    <w:rsid w:val="008E7B7B"/>
    <w:rsid w:val="008E7CC4"/>
    <w:rsid w:val="008F049C"/>
    <w:rsid w:val="008F0AD9"/>
    <w:rsid w:val="008F0E4A"/>
    <w:rsid w:val="008F0E5A"/>
    <w:rsid w:val="008F121C"/>
    <w:rsid w:val="008F14FE"/>
    <w:rsid w:val="008F15F6"/>
    <w:rsid w:val="008F1696"/>
    <w:rsid w:val="008F18A7"/>
    <w:rsid w:val="008F1920"/>
    <w:rsid w:val="008F19C7"/>
    <w:rsid w:val="008F1D30"/>
    <w:rsid w:val="008F2209"/>
    <w:rsid w:val="008F228D"/>
    <w:rsid w:val="008F2547"/>
    <w:rsid w:val="008F26A1"/>
    <w:rsid w:val="008F286E"/>
    <w:rsid w:val="008F2896"/>
    <w:rsid w:val="008F2EFD"/>
    <w:rsid w:val="008F323E"/>
    <w:rsid w:val="008F32D0"/>
    <w:rsid w:val="008F3AC3"/>
    <w:rsid w:val="008F4104"/>
    <w:rsid w:val="008F4369"/>
    <w:rsid w:val="008F4629"/>
    <w:rsid w:val="008F46EC"/>
    <w:rsid w:val="008F4890"/>
    <w:rsid w:val="008F48AC"/>
    <w:rsid w:val="008F4EB8"/>
    <w:rsid w:val="008F4F73"/>
    <w:rsid w:val="008F5162"/>
    <w:rsid w:val="008F5168"/>
    <w:rsid w:val="008F51EC"/>
    <w:rsid w:val="008F5648"/>
    <w:rsid w:val="008F5D14"/>
    <w:rsid w:val="008F5E51"/>
    <w:rsid w:val="008F5F81"/>
    <w:rsid w:val="008F60B5"/>
    <w:rsid w:val="008F70FD"/>
    <w:rsid w:val="008F7776"/>
    <w:rsid w:val="008F79E6"/>
    <w:rsid w:val="0090020D"/>
    <w:rsid w:val="00900234"/>
    <w:rsid w:val="009008CF"/>
    <w:rsid w:val="009008E4"/>
    <w:rsid w:val="00900A25"/>
    <w:rsid w:val="00900AD9"/>
    <w:rsid w:val="00901324"/>
    <w:rsid w:val="00901360"/>
    <w:rsid w:val="00901367"/>
    <w:rsid w:val="00901648"/>
    <w:rsid w:val="0090174C"/>
    <w:rsid w:val="00901779"/>
    <w:rsid w:val="00901E19"/>
    <w:rsid w:val="0090203B"/>
    <w:rsid w:val="0090238F"/>
    <w:rsid w:val="00902784"/>
    <w:rsid w:val="009027D2"/>
    <w:rsid w:val="00902B1D"/>
    <w:rsid w:val="00902B51"/>
    <w:rsid w:val="009036BD"/>
    <w:rsid w:val="00903DF4"/>
    <w:rsid w:val="00903F26"/>
    <w:rsid w:val="00904182"/>
    <w:rsid w:val="00904414"/>
    <w:rsid w:val="0090471E"/>
    <w:rsid w:val="00904736"/>
    <w:rsid w:val="00904EE2"/>
    <w:rsid w:val="0090539D"/>
    <w:rsid w:val="00905418"/>
    <w:rsid w:val="0090558D"/>
    <w:rsid w:val="00905677"/>
    <w:rsid w:val="00905B20"/>
    <w:rsid w:val="00905D21"/>
    <w:rsid w:val="00905DF8"/>
    <w:rsid w:val="0090610A"/>
    <w:rsid w:val="0090627B"/>
    <w:rsid w:val="009064A1"/>
    <w:rsid w:val="009064F8"/>
    <w:rsid w:val="0090763A"/>
    <w:rsid w:val="0090765D"/>
    <w:rsid w:val="00907742"/>
    <w:rsid w:val="00907806"/>
    <w:rsid w:val="00907E26"/>
    <w:rsid w:val="00907EB6"/>
    <w:rsid w:val="00910023"/>
    <w:rsid w:val="00910196"/>
    <w:rsid w:val="00910507"/>
    <w:rsid w:val="00910D15"/>
    <w:rsid w:val="00910E52"/>
    <w:rsid w:val="00911772"/>
    <w:rsid w:val="00911885"/>
    <w:rsid w:val="0091192D"/>
    <w:rsid w:val="00911978"/>
    <w:rsid w:val="00911FBD"/>
    <w:rsid w:val="009126E8"/>
    <w:rsid w:val="009127F4"/>
    <w:rsid w:val="00912B49"/>
    <w:rsid w:val="00913D8B"/>
    <w:rsid w:val="009140BF"/>
    <w:rsid w:val="0091417D"/>
    <w:rsid w:val="009142EE"/>
    <w:rsid w:val="0091487C"/>
    <w:rsid w:val="009148BB"/>
    <w:rsid w:val="00914C2D"/>
    <w:rsid w:val="0091524C"/>
    <w:rsid w:val="00915327"/>
    <w:rsid w:val="0091566B"/>
    <w:rsid w:val="009161F6"/>
    <w:rsid w:val="009161F7"/>
    <w:rsid w:val="009163AF"/>
    <w:rsid w:val="00916C4F"/>
    <w:rsid w:val="009172E4"/>
    <w:rsid w:val="00917805"/>
    <w:rsid w:val="0091787B"/>
    <w:rsid w:val="00917EF7"/>
    <w:rsid w:val="0092091F"/>
    <w:rsid w:val="00920976"/>
    <w:rsid w:val="00920D34"/>
    <w:rsid w:val="009210C0"/>
    <w:rsid w:val="009212FE"/>
    <w:rsid w:val="00921361"/>
    <w:rsid w:val="00921CB3"/>
    <w:rsid w:val="00921EC3"/>
    <w:rsid w:val="00921F04"/>
    <w:rsid w:val="00922224"/>
    <w:rsid w:val="009222F8"/>
    <w:rsid w:val="00922303"/>
    <w:rsid w:val="0092235F"/>
    <w:rsid w:val="00923818"/>
    <w:rsid w:val="0092383B"/>
    <w:rsid w:val="00923A50"/>
    <w:rsid w:val="009240A5"/>
    <w:rsid w:val="009247AB"/>
    <w:rsid w:val="009247CE"/>
    <w:rsid w:val="00924C23"/>
    <w:rsid w:val="00924F3C"/>
    <w:rsid w:val="00925267"/>
    <w:rsid w:val="00926338"/>
    <w:rsid w:val="009265DF"/>
    <w:rsid w:val="00926678"/>
    <w:rsid w:val="00926A35"/>
    <w:rsid w:val="00926AD0"/>
    <w:rsid w:val="009271AB"/>
    <w:rsid w:val="0092728C"/>
    <w:rsid w:val="00927339"/>
    <w:rsid w:val="009273E6"/>
    <w:rsid w:val="00927637"/>
    <w:rsid w:val="00927785"/>
    <w:rsid w:val="0092783F"/>
    <w:rsid w:val="00927DDB"/>
    <w:rsid w:val="00930109"/>
    <w:rsid w:val="0093062E"/>
    <w:rsid w:val="009306E1"/>
    <w:rsid w:val="00930E78"/>
    <w:rsid w:val="00931F5D"/>
    <w:rsid w:val="009320B8"/>
    <w:rsid w:val="0093246A"/>
    <w:rsid w:val="009324B4"/>
    <w:rsid w:val="00932A07"/>
    <w:rsid w:val="00932C51"/>
    <w:rsid w:val="009331D5"/>
    <w:rsid w:val="009331F2"/>
    <w:rsid w:val="009332D2"/>
    <w:rsid w:val="009335AC"/>
    <w:rsid w:val="0093387D"/>
    <w:rsid w:val="00933BB1"/>
    <w:rsid w:val="00933EAD"/>
    <w:rsid w:val="00934625"/>
    <w:rsid w:val="009346BF"/>
    <w:rsid w:val="00934735"/>
    <w:rsid w:val="00934BB5"/>
    <w:rsid w:val="00934C9B"/>
    <w:rsid w:val="0093594E"/>
    <w:rsid w:val="0093597D"/>
    <w:rsid w:val="0093643A"/>
    <w:rsid w:val="009365F0"/>
    <w:rsid w:val="00936727"/>
    <w:rsid w:val="00937102"/>
    <w:rsid w:val="009372F1"/>
    <w:rsid w:val="009373F8"/>
    <w:rsid w:val="00937572"/>
    <w:rsid w:val="009379BA"/>
    <w:rsid w:val="00937AF2"/>
    <w:rsid w:val="00940068"/>
    <w:rsid w:val="0094062D"/>
    <w:rsid w:val="00940B55"/>
    <w:rsid w:val="00940E7B"/>
    <w:rsid w:val="00941377"/>
    <w:rsid w:val="009413FA"/>
    <w:rsid w:val="00941B48"/>
    <w:rsid w:val="009426BE"/>
    <w:rsid w:val="009429F8"/>
    <w:rsid w:val="00942BD7"/>
    <w:rsid w:val="00942C43"/>
    <w:rsid w:val="00942CF5"/>
    <w:rsid w:val="00942DF5"/>
    <w:rsid w:val="00942E80"/>
    <w:rsid w:val="00942EBC"/>
    <w:rsid w:val="00942FBF"/>
    <w:rsid w:val="009435E3"/>
    <w:rsid w:val="0094384B"/>
    <w:rsid w:val="00943873"/>
    <w:rsid w:val="00943B03"/>
    <w:rsid w:val="009445A4"/>
    <w:rsid w:val="009447B6"/>
    <w:rsid w:val="00944891"/>
    <w:rsid w:val="00944A9A"/>
    <w:rsid w:val="00944FB7"/>
    <w:rsid w:val="009454EB"/>
    <w:rsid w:val="009457CB"/>
    <w:rsid w:val="009458A0"/>
    <w:rsid w:val="00945A6A"/>
    <w:rsid w:val="00945B86"/>
    <w:rsid w:val="009461E9"/>
    <w:rsid w:val="0094630D"/>
    <w:rsid w:val="00946437"/>
    <w:rsid w:val="00946C48"/>
    <w:rsid w:val="00946F5E"/>
    <w:rsid w:val="00947095"/>
    <w:rsid w:val="009474C8"/>
    <w:rsid w:val="00947F2C"/>
    <w:rsid w:val="00950716"/>
    <w:rsid w:val="00950AAB"/>
    <w:rsid w:val="00950BB2"/>
    <w:rsid w:val="00950F37"/>
    <w:rsid w:val="00950FED"/>
    <w:rsid w:val="00951732"/>
    <w:rsid w:val="0095177F"/>
    <w:rsid w:val="009518CA"/>
    <w:rsid w:val="00951AF6"/>
    <w:rsid w:val="00952BAC"/>
    <w:rsid w:val="00952CA6"/>
    <w:rsid w:val="00953876"/>
    <w:rsid w:val="0095421E"/>
    <w:rsid w:val="00954236"/>
    <w:rsid w:val="009543AF"/>
    <w:rsid w:val="009544D2"/>
    <w:rsid w:val="00954853"/>
    <w:rsid w:val="00954BDC"/>
    <w:rsid w:val="00954E4C"/>
    <w:rsid w:val="009559A3"/>
    <w:rsid w:val="00955FD7"/>
    <w:rsid w:val="00956126"/>
    <w:rsid w:val="0095653D"/>
    <w:rsid w:val="00956A1D"/>
    <w:rsid w:val="0095710B"/>
    <w:rsid w:val="0095724A"/>
    <w:rsid w:val="009602B3"/>
    <w:rsid w:val="0096041D"/>
    <w:rsid w:val="009604FB"/>
    <w:rsid w:val="009607D4"/>
    <w:rsid w:val="00960855"/>
    <w:rsid w:val="00960EE1"/>
    <w:rsid w:val="009616BC"/>
    <w:rsid w:val="009619FF"/>
    <w:rsid w:val="00961AD9"/>
    <w:rsid w:val="00961C62"/>
    <w:rsid w:val="00961CF6"/>
    <w:rsid w:val="00961EC0"/>
    <w:rsid w:val="009621D3"/>
    <w:rsid w:val="00962C9F"/>
    <w:rsid w:val="00962D9A"/>
    <w:rsid w:val="0096300D"/>
    <w:rsid w:val="00963118"/>
    <w:rsid w:val="009633C8"/>
    <w:rsid w:val="009636BA"/>
    <w:rsid w:val="0096397F"/>
    <w:rsid w:val="00963A09"/>
    <w:rsid w:val="00963AAE"/>
    <w:rsid w:val="00963C8F"/>
    <w:rsid w:val="00963DEB"/>
    <w:rsid w:val="00963FDC"/>
    <w:rsid w:val="00964071"/>
    <w:rsid w:val="009646DA"/>
    <w:rsid w:val="00964A50"/>
    <w:rsid w:val="00964BC2"/>
    <w:rsid w:val="00964C5A"/>
    <w:rsid w:val="00964DBC"/>
    <w:rsid w:val="00964DD2"/>
    <w:rsid w:val="0096511B"/>
    <w:rsid w:val="0096520B"/>
    <w:rsid w:val="0096530A"/>
    <w:rsid w:val="0096530F"/>
    <w:rsid w:val="0096592A"/>
    <w:rsid w:val="00966082"/>
    <w:rsid w:val="009664AE"/>
    <w:rsid w:val="00966783"/>
    <w:rsid w:val="009668D8"/>
    <w:rsid w:val="00967433"/>
    <w:rsid w:val="009676DC"/>
    <w:rsid w:val="00967F4D"/>
    <w:rsid w:val="00970041"/>
    <w:rsid w:val="00970430"/>
    <w:rsid w:val="009709C3"/>
    <w:rsid w:val="00970D5E"/>
    <w:rsid w:val="00971186"/>
    <w:rsid w:val="009711D5"/>
    <w:rsid w:val="00971532"/>
    <w:rsid w:val="00971B4E"/>
    <w:rsid w:val="00971D63"/>
    <w:rsid w:val="009727F7"/>
    <w:rsid w:val="00972E00"/>
    <w:rsid w:val="00973824"/>
    <w:rsid w:val="00973E15"/>
    <w:rsid w:val="00973EB6"/>
    <w:rsid w:val="009746E2"/>
    <w:rsid w:val="00974F66"/>
    <w:rsid w:val="009750F5"/>
    <w:rsid w:val="00975950"/>
    <w:rsid w:val="0097645B"/>
    <w:rsid w:val="00976D46"/>
    <w:rsid w:val="00977599"/>
    <w:rsid w:val="00977A4D"/>
    <w:rsid w:val="00977CC7"/>
    <w:rsid w:val="009818A2"/>
    <w:rsid w:val="00981EC6"/>
    <w:rsid w:val="009821D7"/>
    <w:rsid w:val="00982216"/>
    <w:rsid w:val="0098235F"/>
    <w:rsid w:val="00982926"/>
    <w:rsid w:val="009831BE"/>
    <w:rsid w:val="00983BEF"/>
    <w:rsid w:val="00983EA4"/>
    <w:rsid w:val="00983EE9"/>
    <w:rsid w:val="00983FB4"/>
    <w:rsid w:val="009843C2"/>
    <w:rsid w:val="0098476E"/>
    <w:rsid w:val="00984B1C"/>
    <w:rsid w:val="0098590F"/>
    <w:rsid w:val="009860D9"/>
    <w:rsid w:val="00986841"/>
    <w:rsid w:val="009868FF"/>
    <w:rsid w:val="00986E43"/>
    <w:rsid w:val="00986EA2"/>
    <w:rsid w:val="00987110"/>
    <w:rsid w:val="00987BC1"/>
    <w:rsid w:val="00987CBB"/>
    <w:rsid w:val="00987F17"/>
    <w:rsid w:val="009901C2"/>
    <w:rsid w:val="00990212"/>
    <w:rsid w:val="009903B1"/>
    <w:rsid w:val="009909F4"/>
    <w:rsid w:val="00990C0B"/>
    <w:rsid w:val="00990E9A"/>
    <w:rsid w:val="00990F8D"/>
    <w:rsid w:val="00990F90"/>
    <w:rsid w:val="009910A1"/>
    <w:rsid w:val="009914F5"/>
    <w:rsid w:val="0099151E"/>
    <w:rsid w:val="009917F9"/>
    <w:rsid w:val="00991AAD"/>
    <w:rsid w:val="009932E2"/>
    <w:rsid w:val="00993488"/>
    <w:rsid w:val="00993777"/>
    <w:rsid w:val="0099400F"/>
    <w:rsid w:val="0099467A"/>
    <w:rsid w:val="0099477F"/>
    <w:rsid w:val="00994789"/>
    <w:rsid w:val="0099499E"/>
    <w:rsid w:val="00994E6E"/>
    <w:rsid w:val="00995046"/>
    <w:rsid w:val="0099506D"/>
    <w:rsid w:val="00995AC9"/>
    <w:rsid w:val="00995B7D"/>
    <w:rsid w:val="00995EF9"/>
    <w:rsid w:val="0099601A"/>
    <w:rsid w:val="00996E97"/>
    <w:rsid w:val="009971E1"/>
    <w:rsid w:val="009977DC"/>
    <w:rsid w:val="0099794D"/>
    <w:rsid w:val="00997D05"/>
    <w:rsid w:val="00997E01"/>
    <w:rsid w:val="009A0078"/>
    <w:rsid w:val="009A042D"/>
    <w:rsid w:val="009A04D0"/>
    <w:rsid w:val="009A092B"/>
    <w:rsid w:val="009A0F37"/>
    <w:rsid w:val="009A0F9B"/>
    <w:rsid w:val="009A0FF3"/>
    <w:rsid w:val="009A1161"/>
    <w:rsid w:val="009A1E09"/>
    <w:rsid w:val="009A1FD6"/>
    <w:rsid w:val="009A21D9"/>
    <w:rsid w:val="009A23D2"/>
    <w:rsid w:val="009A243B"/>
    <w:rsid w:val="009A24E6"/>
    <w:rsid w:val="009A2AEE"/>
    <w:rsid w:val="009A3086"/>
    <w:rsid w:val="009A31B1"/>
    <w:rsid w:val="009A420D"/>
    <w:rsid w:val="009A46D5"/>
    <w:rsid w:val="009A49E5"/>
    <w:rsid w:val="009A4A45"/>
    <w:rsid w:val="009A4B5D"/>
    <w:rsid w:val="009A4CAC"/>
    <w:rsid w:val="009A57B5"/>
    <w:rsid w:val="009A5A13"/>
    <w:rsid w:val="009A5E1E"/>
    <w:rsid w:val="009A5E99"/>
    <w:rsid w:val="009A5FEF"/>
    <w:rsid w:val="009A60DE"/>
    <w:rsid w:val="009A660E"/>
    <w:rsid w:val="009A6FA7"/>
    <w:rsid w:val="009A7575"/>
    <w:rsid w:val="009A7AB6"/>
    <w:rsid w:val="009A7B0A"/>
    <w:rsid w:val="009A7BEF"/>
    <w:rsid w:val="009A7CEF"/>
    <w:rsid w:val="009B0054"/>
    <w:rsid w:val="009B08B8"/>
    <w:rsid w:val="009B0CEE"/>
    <w:rsid w:val="009B1582"/>
    <w:rsid w:val="009B1B30"/>
    <w:rsid w:val="009B1FAD"/>
    <w:rsid w:val="009B218C"/>
    <w:rsid w:val="009B2339"/>
    <w:rsid w:val="009B245E"/>
    <w:rsid w:val="009B24B5"/>
    <w:rsid w:val="009B279B"/>
    <w:rsid w:val="009B27B0"/>
    <w:rsid w:val="009B2ABB"/>
    <w:rsid w:val="009B2E71"/>
    <w:rsid w:val="009B3180"/>
    <w:rsid w:val="009B32E3"/>
    <w:rsid w:val="009B333D"/>
    <w:rsid w:val="009B354C"/>
    <w:rsid w:val="009B35AC"/>
    <w:rsid w:val="009B4011"/>
    <w:rsid w:val="009B416C"/>
    <w:rsid w:val="009B4228"/>
    <w:rsid w:val="009B4EF8"/>
    <w:rsid w:val="009B57DC"/>
    <w:rsid w:val="009B5B74"/>
    <w:rsid w:val="009B5C14"/>
    <w:rsid w:val="009B5F12"/>
    <w:rsid w:val="009B6373"/>
    <w:rsid w:val="009B6493"/>
    <w:rsid w:val="009B65DC"/>
    <w:rsid w:val="009B6A8B"/>
    <w:rsid w:val="009B6BE7"/>
    <w:rsid w:val="009B6FE0"/>
    <w:rsid w:val="009B7363"/>
    <w:rsid w:val="009B756F"/>
    <w:rsid w:val="009B77CE"/>
    <w:rsid w:val="009B78C5"/>
    <w:rsid w:val="009B7B3A"/>
    <w:rsid w:val="009B7EFD"/>
    <w:rsid w:val="009C0512"/>
    <w:rsid w:val="009C085F"/>
    <w:rsid w:val="009C0DE0"/>
    <w:rsid w:val="009C0ED1"/>
    <w:rsid w:val="009C0EDB"/>
    <w:rsid w:val="009C0FCB"/>
    <w:rsid w:val="009C17EE"/>
    <w:rsid w:val="009C1966"/>
    <w:rsid w:val="009C1BF0"/>
    <w:rsid w:val="009C1D95"/>
    <w:rsid w:val="009C1F32"/>
    <w:rsid w:val="009C2511"/>
    <w:rsid w:val="009C2C82"/>
    <w:rsid w:val="009C2FD1"/>
    <w:rsid w:val="009C33F7"/>
    <w:rsid w:val="009C35D6"/>
    <w:rsid w:val="009C3C69"/>
    <w:rsid w:val="009C4194"/>
    <w:rsid w:val="009C451C"/>
    <w:rsid w:val="009C4819"/>
    <w:rsid w:val="009C58F1"/>
    <w:rsid w:val="009C5D4C"/>
    <w:rsid w:val="009C5DBA"/>
    <w:rsid w:val="009C5F0F"/>
    <w:rsid w:val="009C63E9"/>
    <w:rsid w:val="009C65F2"/>
    <w:rsid w:val="009C6A8E"/>
    <w:rsid w:val="009C6FFB"/>
    <w:rsid w:val="009C7966"/>
    <w:rsid w:val="009C7CEE"/>
    <w:rsid w:val="009D017A"/>
    <w:rsid w:val="009D0196"/>
    <w:rsid w:val="009D02DF"/>
    <w:rsid w:val="009D0737"/>
    <w:rsid w:val="009D07E5"/>
    <w:rsid w:val="009D0AEC"/>
    <w:rsid w:val="009D0C1B"/>
    <w:rsid w:val="009D0D03"/>
    <w:rsid w:val="009D159A"/>
    <w:rsid w:val="009D1900"/>
    <w:rsid w:val="009D1BF4"/>
    <w:rsid w:val="009D1C76"/>
    <w:rsid w:val="009D1CF5"/>
    <w:rsid w:val="009D2AC5"/>
    <w:rsid w:val="009D3994"/>
    <w:rsid w:val="009D448E"/>
    <w:rsid w:val="009D4614"/>
    <w:rsid w:val="009D4748"/>
    <w:rsid w:val="009D4909"/>
    <w:rsid w:val="009D4A27"/>
    <w:rsid w:val="009D5756"/>
    <w:rsid w:val="009D58A1"/>
    <w:rsid w:val="009D6185"/>
    <w:rsid w:val="009D6E96"/>
    <w:rsid w:val="009D71B5"/>
    <w:rsid w:val="009D760D"/>
    <w:rsid w:val="009D7B7B"/>
    <w:rsid w:val="009E00DE"/>
    <w:rsid w:val="009E010F"/>
    <w:rsid w:val="009E031B"/>
    <w:rsid w:val="009E0950"/>
    <w:rsid w:val="009E0D19"/>
    <w:rsid w:val="009E0F46"/>
    <w:rsid w:val="009E1093"/>
    <w:rsid w:val="009E1992"/>
    <w:rsid w:val="009E1E13"/>
    <w:rsid w:val="009E2068"/>
    <w:rsid w:val="009E21D8"/>
    <w:rsid w:val="009E2605"/>
    <w:rsid w:val="009E2E15"/>
    <w:rsid w:val="009E32B7"/>
    <w:rsid w:val="009E34F7"/>
    <w:rsid w:val="009E3BBA"/>
    <w:rsid w:val="009E3CA8"/>
    <w:rsid w:val="009E41DE"/>
    <w:rsid w:val="009E4239"/>
    <w:rsid w:val="009E4347"/>
    <w:rsid w:val="009E48EE"/>
    <w:rsid w:val="009E4ACD"/>
    <w:rsid w:val="009E4BBF"/>
    <w:rsid w:val="009E55AD"/>
    <w:rsid w:val="009E56D9"/>
    <w:rsid w:val="009E583F"/>
    <w:rsid w:val="009E598A"/>
    <w:rsid w:val="009E5BEC"/>
    <w:rsid w:val="009E5CA6"/>
    <w:rsid w:val="009E619C"/>
    <w:rsid w:val="009E62EE"/>
    <w:rsid w:val="009E66C1"/>
    <w:rsid w:val="009E6835"/>
    <w:rsid w:val="009E6888"/>
    <w:rsid w:val="009E6AF9"/>
    <w:rsid w:val="009E737B"/>
    <w:rsid w:val="009E7851"/>
    <w:rsid w:val="009E78AF"/>
    <w:rsid w:val="009E7E6F"/>
    <w:rsid w:val="009E7EE6"/>
    <w:rsid w:val="009E7FE9"/>
    <w:rsid w:val="009F0B13"/>
    <w:rsid w:val="009F1310"/>
    <w:rsid w:val="009F1416"/>
    <w:rsid w:val="009F14C5"/>
    <w:rsid w:val="009F15F8"/>
    <w:rsid w:val="009F1940"/>
    <w:rsid w:val="009F1A5C"/>
    <w:rsid w:val="009F2182"/>
    <w:rsid w:val="009F25B6"/>
    <w:rsid w:val="009F2FBC"/>
    <w:rsid w:val="009F377B"/>
    <w:rsid w:val="009F387C"/>
    <w:rsid w:val="009F3BF0"/>
    <w:rsid w:val="009F4179"/>
    <w:rsid w:val="009F41FA"/>
    <w:rsid w:val="009F4CF9"/>
    <w:rsid w:val="009F5383"/>
    <w:rsid w:val="009F5476"/>
    <w:rsid w:val="009F570A"/>
    <w:rsid w:val="009F5ACA"/>
    <w:rsid w:val="009F5EF5"/>
    <w:rsid w:val="009F6626"/>
    <w:rsid w:val="009F69C1"/>
    <w:rsid w:val="009F6E5C"/>
    <w:rsid w:val="009F77B5"/>
    <w:rsid w:val="009F7B44"/>
    <w:rsid w:val="00A0020D"/>
    <w:rsid w:val="00A004EF"/>
    <w:rsid w:val="00A005BE"/>
    <w:rsid w:val="00A00749"/>
    <w:rsid w:val="00A007C5"/>
    <w:rsid w:val="00A00B26"/>
    <w:rsid w:val="00A00BC2"/>
    <w:rsid w:val="00A00F4F"/>
    <w:rsid w:val="00A017FB"/>
    <w:rsid w:val="00A01878"/>
    <w:rsid w:val="00A0208A"/>
    <w:rsid w:val="00A025F4"/>
    <w:rsid w:val="00A02B23"/>
    <w:rsid w:val="00A03495"/>
    <w:rsid w:val="00A0353E"/>
    <w:rsid w:val="00A0411C"/>
    <w:rsid w:val="00A041FB"/>
    <w:rsid w:val="00A04351"/>
    <w:rsid w:val="00A04DED"/>
    <w:rsid w:val="00A050D3"/>
    <w:rsid w:val="00A05861"/>
    <w:rsid w:val="00A05940"/>
    <w:rsid w:val="00A05B13"/>
    <w:rsid w:val="00A0630E"/>
    <w:rsid w:val="00A0651A"/>
    <w:rsid w:val="00A066BA"/>
    <w:rsid w:val="00A068F6"/>
    <w:rsid w:val="00A06F18"/>
    <w:rsid w:val="00A07131"/>
    <w:rsid w:val="00A0793B"/>
    <w:rsid w:val="00A079DF"/>
    <w:rsid w:val="00A07FCF"/>
    <w:rsid w:val="00A100B4"/>
    <w:rsid w:val="00A10A88"/>
    <w:rsid w:val="00A10F50"/>
    <w:rsid w:val="00A1111B"/>
    <w:rsid w:val="00A11323"/>
    <w:rsid w:val="00A11348"/>
    <w:rsid w:val="00A11714"/>
    <w:rsid w:val="00A11AAC"/>
    <w:rsid w:val="00A11E17"/>
    <w:rsid w:val="00A12C4B"/>
    <w:rsid w:val="00A1315A"/>
    <w:rsid w:val="00A131A0"/>
    <w:rsid w:val="00A1366D"/>
    <w:rsid w:val="00A141C7"/>
    <w:rsid w:val="00A14371"/>
    <w:rsid w:val="00A146FB"/>
    <w:rsid w:val="00A1470A"/>
    <w:rsid w:val="00A14972"/>
    <w:rsid w:val="00A14CA2"/>
    <w:rsid w:val="00A14DB5"/>
    <w:rsid w:val="00A15064"/>
    <w:rsid w:val="00A156AF"/>
    <w:rsid w:val="00A156C5"/>
    <w:rsid w:val="00A15A1D"/>
    <w:rsid w:val="00A15A23"/>
    <w:rsid w:val="00A15EAA"/>
    <w:rsid w:val="00A160A6"/>
    <w:rsid w:val="00A16B12"/>
    <w:rsid w:val="00A1710B"/>
    <w:rsid w:val="00A171E0"/>
    <w:rsid w:val="00A1764D"/>
    <w:rsid w:val="00A17ACF"/>
    <w:rsid w:val="00A17CB8"/>
    <w:rsid w:val="00A17CEC"/>
    <w:rsid w:val="00A20347"/>
    <w:rsid w:val="00A20498"/>
    <w:rsid w:val="00A2085E"/>
    <w:rsid w:val="00A20AAA"/>
    <w:rsid w:val="00A20AB8"/>
    <w:rsid w:val="00A20BEF"/>
    <w:rsid w:val="00A20C44"/>
    <w:rsid w:val="00A2108B"/>
    <w:rsid w:val="00A215F5"/>
    <w:rsid w:val="00A21934"/>
    <w:rsid w:val="00A21C0D"/>
    <w:rsid w:val="00A21C50"/>
    <w:rsid w:val="00A21F09"/>
    <w:rsid w:val="00A21F49"/>
    <w:rsid w:val="00A22077"/>
    <w:rsid w:val="00A22221"/>
    <w:rsid w:val="00A223CB"/>
    <w:rsid w:val="00A2327A"/>
    <w:rsid w:val="00A232AE"/>
    <w:rsid w:val="00A23397"/>
    <w:rsid w:val="00A234E1"/>
    <w:rsid w:val="00A23A4A"/>
    <w:rsid w:val="00A241B8"/>
    <w:rsid w:val="00A242BE"/>
    <w:rsid w:val="00A2439C"/>
    <w:rsid w:val="00A2477B"/>
    <w:rsid w:val="00A248D7"/>
    <w:rsid w:val="00A24C6B"/>
    <w:rsid w:val="00A25358"/>
    <w:rsid w:val="00A254CB"/>
    <w:rsid w:val="00A25BE3"/>
    <w:rsid w:val="00A25D44"/>
    <w:rsid w:val="00A25ECA"/>
    <w:rsid w:val="00A26135"/>
    <w:rsid w:val="00A26306"/>
    <w:rsid w:val="00A26752"/>
    <w:rsid w:val="00A278FF"/>
    <w:rsid w:val="00A27A4A"/>
    <w:rsid w:val="00A27A5A"/>
    <w:rsid w:val="00A27DE3"/>
    <w:rsid w:val="00A27FBD"/>
    <w:rsid w:val="00A301CA"/>
    <w:rsid w:val="00A302A9"/>
    <w:rsid w:val="00A3032B"/>
    <w:rsid w:val="00A30C07"/>
    <w:rsid w:val="00A30C7E"/>
    <w:rsid w:val="00A315BF"/>
    <w:rsid w:val="00A31AF6"/>
    <w:rsid w:val="00A31C85"/>
    <w:rsid w:val="00A31DBC"/>
    <w:rsid w:val="00A31E80"/>
    <w:rsid w:val="00A31EA8"/>
    <w:rsid w:val="00A321A7"/>
    <w:rsid w:val="00A32265"/>
    <w:rsid w:val="00A326FC"/>
    <w:rsid w:val="00A327FE"/>
    <w:rsid w:val="00A32B63"/>
    <w:rsid w:val="00A32CA7"/>
    <w:rsid w:val="00A33214"/>
    <w:rsid w:val="00A338D1"/>
    <w:rsid w:val="00A33A40"/>
    <w:rsid w:val="00A33FFF"/>
    <w:rsid w:val="00A3408A"/>
    <w:rsid w:val="00A34192"/>
    <w:rsid w:val="00A344CB"/>
    <w:rsid w:val="00A3462F"/>
    <w:rsid w:val="00A3468C"/>
    <w:rsid w:val="00A3510B"/>
    <w:rsid w:val="00A35629"/>
    <w:rsid w:val="00A356ED"/>
    <w:rsid w:val="00A357B2"/>
    <w:rsid w:val="00A3596C"/>
    <w:rsid w:val="00A35B31"/>
    <w:rsid w:val="00A35B94"/>
    <w:rsid w:val="00A35FE9"/>
    <w:rsid w:val="00A3603D"/>
    <w:rsid w:val="00A36160"/>
    <w:rsid w:val="00A36171"/>
    <w:rsid w:val="00A36590"/>
    <w:rsid w:val="00A36682"/>
    <w:rsid w:val="00A36854"/>
    <w:rsid w:val="00A36C6E"/>
    <w:rsid w:val="00A37072"/>
    <w:rsid w:val="00A37A6A"/>
    <w:rsid w:val="00A37BC4"/>
    <w:rsid w:val="00A40BC9"/>
    <w:rsid w:val="00A41727"/>
    <w:rsid w:val="00A4191C"/>
    <w:rsid w:val="00A429DA"/>
    <w:rsid w:val="00A42E5E"/>
    <w:rsid w:val="00A43080"/>
    <w:rsid w:val="00A447C5"/>
    <w:rsid w:val="00A44A20"/>
    <w:rsid w:val="00A45614"/>
    <w:rsid w:val="00A457F1"/>
    <w:rsid w:val="00A45ACD"/>
    <w:rsid w:val="00A466A0"/>
    <w:rsid w:val="00A468A7"/>
    <w:rsid w:val="00A468B8"/>
    <w:rsid w:val="00A46BE5"/>
    <w:rsid w:val="00A46D2A"/>
    <w:rsid w:val="00A46DB5"/>
    <w:rsid w:val="00A47023"/>
    <w:rsid w:val="00A473F2"/>
    <w:rsid w:val="00A474C9"/>
    <w:rsid w:val="00A476D5"/>
    <w:rsid w:val="00A47724"/>
    <w:rsid w:val="00A47754"/>
    <w:rsid w:val="00A47A0E"/>
    <w:rsid w:val="00A47B4A"/>
    <w:rsid w:val="00A5003C"/>
    <w:rsid w:val="00A50544"/>
    <w:rsid w:val="00A50BF5"/>
    <w:rsid w:val="00A50C1F"/>
    <w:rsid w:val="00A50C96"/>
    <w:rsid w:val="00A50F27"/>
    <w:rsid w:val="00A514F8"/>
    <w:rsid w:val="00A517CC"/>
    <w:rsid w:val="00A519E9"/>
    <w:rsid w:val="00A51A58"/>
    <w:rsid w:val="00A51C76"/>
    <w:rsid w:val="00A52461"/>
    <w:rsid w:val="00A52979"/>
    <w:rsid w:val="00A529D7"/>
    <w:rsid w:val="00A52BD1"/>
    <w:rsid w:val="00A531D6"/>
    <w:rsid w:val="00A53282"/>
    <w:rsid w:val="00A533F6"/>
    <w:rsid w:val="00A5392D"/>
    <w:rsid w:val="00A53ED3"/>
    <w:rsid w:val="00A54664"/>
    <w:rsid w:val="00A54790"/>
    <w:rsid w:val="00A54B7D"/>
    <w:rsid w:val="00A55287"/>
    <w:rsid w:val="00A55336"/>
    <w:rsid w:val="00A5549E"/>
    <w:rsid w:val="00A55736"/>
    <w:rsid w:val="00A557C1"/>
    <w:rsid w:val="00A5583C"/>
    <w:rsid w:val="00A55A4D"/>
    <w:rsid w:val="00A55A70"/>
    <w:rsid w:val="00A56632"/>
    <w:rsid w:val="00A5672E"/>
    <w:rsid w:val="00A56DAE"/>
    <w:rsid w:val="00A57136"/>
    <w:rsid w:val="00A57237"/>
    <w:rsid w:val="00A57667"/>
    <w:rsid w:val="00A60973"/>
    <w:rsid w:val="00A60A9F"/>
    <w:rsid w:val="00A6102A"/>
    <w:rsid w:val="00A61DA8"/>
    <w:rsid w:val="00A61F96"/>
    <w:rsid w:val="00A620C4"/>
    <w:rsid w:val="00A622D0"/>
    <w:rsid w:val="00A62382"/>
    <w:rsid w:val="00A62B76"/>
    <w:rsid w:val="00A63245"/>
    <w:rsid w:val="00A63632"/>
    <w:rsid w:val="00A6376E"/>
    <w:rsid w:val="00A637DC"/>
    <w:rsid w:val="00A6382A"/>
    <w:rsid w:val="00A63C31"/>
    <w:rsid w:val="00A640E7"/>
    <w:rsid w:val="00A65200"/>
    <w:rsid w:val="00A65249"/>
    <w:rsid w:val="00A65719"/>
    <w:rsid w:val="00A65910"/>
    <w:rsid w:val="00A65932"/>
    <w:rsid w:val="00A65A02"/>
    <w:rsid w:val="00A66109"/>
    <w:rsid w:val="00A66428"/>
    <w:rsid w:val="00A66448"/>
    <w:rsid w:val="00A66643"/>
    <w:rsid w:val="00A66CB0"/>
    <w:rsid w:val="00A66ECA"/>
    <w:rsid w:val="00A6720D"/>
    <w:rsid w:val="00A67A31"/>
    <w:rsid w:val="00A67FE8"/>
    <w:rsid w:val="00A709D6"/>
    <w:rsid w:val="00A709E2"/>
    <w:rsid w:val="00A711ED"/>
    <w:rsid w:val="00A71674"/>
    <w:rsid w:val="00A716E3"/>
    <w:rsid w:val="00A7192E"/>
    <w:rsid w:val="00A72004"/>
    <w:rsid w:val="00A72023"/>
    <w:rsid w:val="00A72331"/>
    <w:rsid w:val="00A72B29"/>
    <w:rsid w:val="00A72FF1"/>
    <w:rsid w:val="00A73327"/>
    <w:rsid w:val="00A73438"/>
    <w:rsid w:val="00A73A92"/>
    <w:rsid w:val="00A73F41"/>
    <w:rsid w:val="00A751A5"/>
    <w:rsid w:val="00A751FD"/>
    <w:rsid w:val="00A752BD"/>
    <w:rsid w:val="00A75519"/>
    <w:rsid w:val="00A7581D"/>
    <w:rsid w:val="00A75A09"/>
    <w:rsid w:val="00A75F2D"/>
    <w:rsid w:val="00A765D5"/>
    <w:rsid w:val="00A76E70"/>
    <w:rsid w:val="00A772F9"/>
    <w:rsid w:val="00A77B60"/>
    <w:rsid w:val="00A77E13"/>
    <w:rsid w:val="00A8033D"/>
    <w:rsid w:val="00A8069C"/>
    <w:rsid w:val="00A808F5"/>
    <w:rsid w:val="00A80A0C"/>
    <w:rsid w:val="00A80C88"/>
    <w:rsid w:val="00A810DC"/>
    <w:rsid w:val="00A81206"/>
    <w:rsid w:val="00A81224"/>
    <w:rsid w:val="00A8151F"/>
    <w:rsid w:val="00A81AF7"/>
    <w:rsid w:val="00A81BD1"/>
    <w:rsid w:val="00A81D20"/>
    <w:rsid w:val="00A81F29"/>
    <w:rsid w:val="00A82BDA"/>
    <w:rsid w:val="00A83046"/>
    <w:rsid w:val="00A83137"/>
    <w:rsid w:val="00A83395"/>
    <w:rsid w:val="00A83398"/>
    <w:rsid w:val="00A834C1"/>
    <w:rsid w:val="00A83664"/>
    <w:rsid w:val="00A8382D"/>
    <w:rsid w:val="00A83E41"/>
    <w:rsid w:val="00A8414B"/>
    <w:rsid w:val="00A84591"/>
    <w:rsid w:val="00A84953"/>
    <w:rsid w:val="00A84B0E"/>
    <w:rsid w:val="00A84BBE"/>
    <w:rsid w:val="00A85FE2"/>
    <w:rsid w:val="00A861B8"/>
    <w:rsid w:val="00A8633B"/>
    <w:rsid w:val="00A86399"/>
    <w:rsid w:val="00A86903"/>
    <w:rsid w:val="00A86BDA"/>
    <w:rsid w:val="00A87197"/>
    <w:rsid w:val="00A87386"/>
    <w:rsid w:val="00A875A2"/>
    <w:rsid w:val="00A87D1C"/>
    <w:rsid w:val="00A913C5"/>
    <w:rsid w:val="00A91629"/>
    <w:rsid w:val="00A916BF"/>
    <w:rsid w:val="00A91840"/>
    <w:rsid w:val="00A91AD5"/>
    <w:rsid w:val="00A91B99"/>
    <w:rsid w:val="00A92460"/>
    <w:rsid w:val="00A929B8"/>
    <w:rsid w:val="00A929B9"/>
    <w:rsid w:val="00A92BB1"/>
    <w:rsid w:val="00A933A4"/>
    <w:rsid w:val="00A94089"/>
    <w:rsid w:val="00A946A9"/>
    <w:rsid w:val="00A94DDA"/>
    <w:rsid w:val="00A94F33"/>
    <w:rsid w:val="00A95653"/>
    <w:rsid w:val="00A959AF"/>
    <w:rsid w:val="00A959F8"/>
    <w:rsid w:val="00A95D02"/>
    <w:rsid w:val="00A95F3F"/>
    <w:rsid w:val="00A95F65"/>
    <w:rsid w:val="00A95F6C"/>
    <w:rsid w:val="00A96DA6"/>
    <w:rsid w:val="00A96E13"/>
    <w:rsid w:val="00A96EC8"/>
    <w:rsid w:val="00A96F64"/>
    <w:rsid w:val="00AA0143"/>
    <w:rsid w:val="00AA03C8"/>
    <w:rsid w:val="00AA0B29"/>
    <w:rsid w:val="00AA0D2D"/>
    <w:rsid w:val="00AA0E80"/>
    <w:rsid w:val="00AA0FCB"/>
    <w:rsid w:val="00AA1061"/>
    <w:rsid w:val="00AA1AE6"/>
    <w:rsid w:val="00AA23FD"/>
    <w:rsid w:val="00AA27D5"/>
    <w:rsid w:val="00AA29EE"/>
    <w:rsid w:val="00AA2D39"/>
    <w:rsid w:val="00AA2D73"/>
    <w:rsid w:val="00AA2E1C"/>
    <w:rsid w:val="00AA2F12"/>
    <w:rsid w:val="00AA3BA9"/>
    <w:rsid w:val="00AA3CCF"/>
    <w:rsid w:val="00AA3FC3"/>
    <w:rsid w:val="00AA45EB"/>
    <w:rsid w:val="00AA4BA5"/>
    <w:rsid w:val="00AA4E43"/>
    <w:rsid w:val="00AA50A7"/>
    <w:rsid w:val="00AA52C6"/>
    <w:rsid w:val="00AA5768"/>
    <w:rsid w:val="00AA57D0"/>
    <w:rsid w:val="00AA58F0"/>
    <w:rsid w:val="00AA5C26"/>
    <w:rsid w:val="00AA6D74"/>
    <w:rsid w:val="00AA6E78"/>
    <w:rsid w:val="00AA70FD"/>
    <w:rsid w:val="00AA712A"/>
    <w:rsid w:val="00AA7A72"/>
    <w:rsid w:val="00AA7D48"/>
    <w:rsid w:val="00AB051C"/>
    <w:rsid w:val="00AB0C17"/>
    <w:rsid w:val="00AB0D2F"/>
    <w:rsid w:val="00AB0ED4"/>
    <w:rsid w:val="00AB10F4"/>
    <w:rsid w:val="00AB116E"/>
    <w:rsid w:val="00AB1390"/>
    <w:rsid w:val="00AB1E8A"/>
    <w:rsid w:val="00AB210E"/>
    <w:rsid w:val="00AB2263"/>
    <w:rsid w:val="00AB26E8"/>
    <w:rsid w:val="00AB2753"/>
    <w:rsid w:val="00AB27A8"/>
    <w:rsid w:val="00AB29CA"/>
    <w:rsid w:val="00AB29D3"/>
    <w:rsid w:val="00AB3000"/>
    <w:rsid w:val="00AB361A"/>
    <w:rsid w:val="00AB39CF"/>
    <w:rsid w:val="00AB3A6B"/>
    <w:rsid w:val="00AB3D8E"/>
    <w:rsid w:val="00AB432F"/>
    <w:rsid w:val="00AB4724"/>
    <w:rsid w:val="00AB4873"/>
    <w:rsid w:val="00AB4943"/>
    <w:rsid w:val="00AB4CC3"/>
    <w:rsid w:val="00AB521B"/>
    <w:rsid w:val="00AB5228"/>
    <w:rsid w:val="00AB533E"/>
    <w:rsid w:val="00AB545F"/>
    <w:rsid w:val="00AB5540"/>
    <w:rsid w:val="00AB555E"/>
    <w:rsid w:val="00AB56BD"/>
    <w:rsid w:val="00AB576F"/>
    <w:rsid w:val="00AB5841"/>
    <w:rsid w:val="00AB5B30"/>
    <w:rsid w:val="00AB5F0F"/>
    <w:rsid w:val="00AB5F4E"/>
    <w:rsid w:val="00AB6260"/>
    <w:rsid w:val="00AB6C5A"/>
    <w:rsid w:val="00AB6D8D"/>
    <w:rsid w:val="00AB7049"/>
    <w:rsid w:val="00AB713E"/>
    <w:rsid w:val="00AB765F"/>
    <w:rsid w:val="00AB7E82"/>
    <w:rsid w:val="00AC0A49"/>
    <w:rsid w:val="00AC0F71"/>
    <w:rsid w:val="00AC11F2"/>
    <w:rsid w:val="00AC1383"/>
    <w:rsid w:val="00AC14F4"/>
    <w:rsid w:val="00AC1677"/>
    <w:rsid w:val="00AC1697"/>
    <w:rsid w:val="00AC17FF"/>
    <w:rsid w:val="00AC231F"/>
    <w:rsid w:val="00AC2666"/>
    <w:rsid w:val="00AC2E66"/>
    <w:rsid w:val="00AC3529"/>
    <w:rsid w:val="00AC3E1E"/>
    <w:rsid w:val="00AC495A"/>
    <w:rsid w:val="00AC4A1C"/>
    <w:rsid w:val="00AC4FAC"/>
    <w:rsid w:val="00AC51A7"/>
    <w:rsid w:val="00AC5430"/>
    <w:rsid w:val="00AC598A"/>
    <w:rsid w:val="00AC6846"/>
    <w:rsid w:val="00AC6E9A"/>
    <w:rsid w:val="00AC6EE7"/>
    <w:rsid w:val="00AC71E7"/>
    <w:rsid w:val="00AC74D9"/>
    <w:rsid w:val="00AC7D6A"/>
    <w:rsid w:val="00AD01C5"/>
    <w:rsid w:val="00AD0301"/>
    <w:rsid w:val="00AD06B7"/>
    <w:rsid w:val="00AD06FE"/>
    <w:rsid w:val="00AD07B9"/>
    <w:rsid w:val="00AD0BA8"/>
    <w:rsid w:val="00AD0C93"/>
    <w:rsid w:val="00AD19D9"/>
    <w:rsid w:val="00AD1A31"/>
    <w:rsid w:val="00AD1B8E"/>
    <w:rsid w:val="00AD1E28"/>
    <w:rsid w:val="00AD22B8"/>
    <w:rsid w:val="00AD230F"/>
    <w:rsid w:val="00AD24D9"/>
    <w:rsid w:val="00AD2569"/>
    <w:rsid w:val="00AD277B"/>
    <w:rsid w:val="00AD2961"/>
    <w:rsid w:val="00AD29E4"/>
    <w:rsid w:val="00AD33FC"/>
    <w:rsid w:val="00AD434D"/>
    <w:rsid w:val="00AD45BE"/>
    <w:rsid w:val="00AD4618"/>
    <w:rsid w:val="00AD490E"/>
    <w:rsid w:val="00AD4B69"/>
    <w:rsid w:val="00AD535D"/>
    <w:rsid w:val="00AD58A4"/>
    <w:rsid w:val="00AD5B53"/>
    <w:rsid w:val="00AD5DE3"/>
    <w:rsid w:val="00AD6381"/>
    <w:rsid w:val="00AD6694"/>
    <w:rsid w:val="00AD6768"/>
    <w:rsid w:val="00AD6853"/>
    <w:rsid w:val="00AD6E9D"/>
    <w:rsid w:val="00AD712B"/>
    <w:rsid w:val="00AD71A6"/>
    <w:rsid w:val="00AD7220"/>
    <w:rsid w:val="00AD76F5"/>
    <w:rsid w:val="00AD7B1A"/>
    <w:rsid w:val="00AE0031"/>
    <w:rsid w:val="00AE09A6"/>
    <w:rsid w:val="00AE1513"/>
    <w:rsid w:val="00AE1546"/>
    <w:rsid w:val="00AE15C2"/>
    <w:rsid w:val="00AE22BD"/>
    <w:rsid w:val="00AE22DE"/>
    <w:rsid w:val="00AE2D8C"/>
    <w:rsid w:val="00AE2F94"/>
    <w:rsid w:val="00AE36CD"/>
    <w:rsid w:val="00AE39DC"/>
    <w:rsid w:val="00AE3C8F"/>
    <w:rsid w:val="00AE4071"/>
    <w:rsid w:val="00AE42CD"/>
    <w:rsid w:val="00AE42F6"/>
    <w:rsid w:val="00AE4A35"/>
    <w:rsid w:val="00AE5190"/>
    <w:rsid w:val="00AE5264"/>
    <w:rsid w:val="00AE5A1F"/>
    <w:rsid w:val="00AE5B1B"/>
    <w:rsid w:val="00AE60A4"/>
    <w:rsid w:val="00AE61F5"/>
    <w:rsid w:val="00AE6207"/>
    <w:rsid w:val="00AE6546"/>
    <w:rsid w:val="00AE66FF"/>
    <w:rsid w:val="00AE6BD7"/>
    <w:rsid w:val="00AE762B"/>
    <w:rsid w:val="00AE7918"/>
    <w:rsid w:val="00AE7EDB"/>
    <w:rsid w:val="00AE7F45"/>
    <w:rsid w:val="00AE7FC5"/>
    <w:rsid w:val="00AF01AA"/>
    <w:rsid w:val="00AF01D0"/>
    <w:rsid w:val="00AF0AEA"/>
    <w:rsid w:val="00AF1344"/>
    <w:rsid w:val="00AF1740"/>
    <w:rsid w:val="00AF1E5B"/>
    <w:rsid w:val="00AF1EEE"/>
    <w:rsid w:val="00AF22B6"/>
    <w:rsid w:val="00AF28BE"/>
    <w:rsid w:val="00AF2B55"/>
    <w:rsid w:val="00AF30CE"/>
    <w:rsid w:val="00AF3642"/>
    <w:rsid w:val="00AF3872"/>
    <w:rsid w:val="00AF3BFC"/>
    <w:rsid w:val="00AF3DA6"/>
    <w:rsid w:val="00AF3FD5"/>
    <w:rsid w:val="00AF41D2"/>
    <w:rsid w:val="00AF4396"/>
    <w:rsid w:val="00AF440A"/>
    <w:rsid w:val="00AF494D"/>
    <w:rsid w:val="00AF560F"/>
    <w:rsid w:val="00AF56DB"/>
    <w:rsid w:val="00AF5AA2"/>
    <w:rsid w:val="00AF5BCD"/>
    <w:rsid w:val="00AF6DC0"/>
    <w:rsid w:val="00AF78F6"/>
    <w:rsid w:val="00AF7935"/>
    <w:rsid w:val="00AF798E"/>
    <w:rsid w:val="00B00557"/>
    <w:rsid w:val="00B0055F"/>
    <w:rsid w:val="00B00670"/>
    <w:rsid w:val="00B00872"/>
    <w:rsid w:val="00B00FBB"/>
    <w:rsid w:val="00B00FF3"/>
    <w:rsid w:val="00B016F5"/>
    <w:rsid w:val="00B01730"/>
    <w:rsid w:val="00B023F9"/>
    <w:rsid w:val="00B02812"/>
    <w:rsid w:val="00B02843"/>
    <w:rsid w:val="00B02ACB"/>
    <w:rsid w:val="00B02AEB"/>
    <w:rsid w:val="00B02B12"/>
    <w:rsid w:val="00B02B63"/>
    <w:rsid w:val="00B02E44"/>
    <w:rsid w:val="00B03216"/>
    <w:rsid w:val="00B03889"/>
    <w:rsid w:val="00B0396C"/>
    <w:rsid w:val="00B039A6"/>
    <w:rsid w:val="00B03B2C"/>
    <w:rsid w:val="00B03F80"/>
    <w:rsid w:val="00B04291"/>
    <w:rsid w:val="00B04546"/>
    <w:rsid w:val="00B04700"/>
    <w:rsid w:val="00B0488B"/>
    <w:rsid w:val="00B04FFC"/>
    <w:rsid w:val="00B05609"/>
    <w:rsid w:val="00B05951"/>
    <w:rsid w:val="00B05976"/>
    <w:rsid w:val="00B05D7F"/>
    <w:rsid w:val="00B06178"/>
    <w:rsid w:val="00B0620C"/>
    <w:rsid w:val="00B06FC8"/>
    <w:rsid w:val="00B07247"/>
    <w:rsid w:val="00B0786C"/>
    <w:rsid w:val="00B0787E"/>
    <w:rsid w:val="00B10120"/>
    <w:rsid w:val="00B103D3"/>
    <w:rsid w:val="00B10737"/>
    <w:rsid w:val="00B10FD4"/>
    <w:rsid w:val="00B1183C"/>
    <w:rsid w:val="00B11963"/>
    <w:rsid w:val="00B120C8"/>
    <w:rsid w:val="00B121F2"/>
    <w:rsid w:val="00B125DE"/>
    <w:rsid w:val="00B1265C"/>
    <w:rsid w:val="00B12F82"/>
    <w:rsid w:val="00B13204"/>
    <w:rsid w:val="00B1353D"/>
    <w:rsid w:val="00B13AF0"/>
    <w:rsid w:val="00B13B55"/>
    <w:rsid w:val="00B14010"/>
    <w:rsid w:val="00B14426"/>
    <w:rsid w:val="00B146C7"/>
    <w:rsid w:val="00B14CC2"/>
    <w:rsid w:val="00B15A55"/>
    <w:rsid w:val="00B15BDF"/>
    <w:rsid w:val="00B15D17"/>
    <w:rsid w:val="00B16232"/>
    <w:rsid w:val="00B1643A"/>
    <w:rsid w:val="00B164DF"/>
    <w:rsid w:val="00B16FC8"/>
    <w:rsid w:val="00B16FF2"/>
    <w:rsid w:val="00B17198"/>
    <w:rsid w:val="00B177C6"/>
    <w:rsid w:val="00B178A5"/>
    <w:rsid w:val="00B1790F"/>
    <w:rsid w:val="00B20423"/>
    <w:rsid w:val="00B2164A"/>
    <w:rsid w:val="00B21899"/>
    <w:rsid w:val="00B21DCF"/>
    <w:rsid w:val="00B221B3"/>
    <w:rsid w:val="00B22F4F"/>
    <w:rsid w:val="00B23041"/>
    <w:rsid w:val="00B2315F"/>
    <w:rsid w:val="00B232F3"/>
    <w:rsid w:val="00B23539"/>
    <w:rsid w:val="00B2357A"/>
    <w:rsid w:val="00B235D7"/>
    <w:rsid w:val="00B2363C"/>
    <w:rsid w:val="00B23C08"/>
    <w:rsid w:val="00B244EB"/>
    <w:rsid w:val="00B244F0"/>
    <w:rsid w:val="00B2460B"/>
    <w:rsid w:val="00B249BD"/>
    <w:rsid w:val="00B24A13"/>
    <w:rsid w:val="00B24F29"/>
    <w:rsid w:val="00B25044"/>
    <w:rsid w:val="00B25529"/>
    <w:rsid w:val="00B25C27"/>
    <w:rsid w:val="00B25C9A"/>
    <w:rsid w:val="00B2601E"/>
    <w:rsid w:val="00B26ADD"/>
    <w:rsid w:val="00B26C4C"/>
    <w:rsid w:val="00B270B1"/>
    <w:rsid w:val="00B27545"/>
    <w:rsid w:val="00B27C06"/>
    <w:rsid w:val="00B27CDE"/>
    <w:rsid w:val="00B27FD2"/>
    <w:rsid w:val="00B3011D"/>
    <w:rsid w:val="00B30185"/>
    <w:rsid w:val="00B30275"/>
    <w:rsid w:val="00B30373"/>
    <w:rsid w:val="00B3049E"/>
    <w:rsid w:val="00B30A1E"/>
    <w:rsid w:val="00B30E17"/>
    <w:rsid w:val="00B31037"/>
    <w:rsid w:val="00B3168E"/>
    <w:rsid w:val="00B31996"/>
    <w:rsid w:val="00B31D7F"/>
    <w:rsid w:val="00B323F2"/>
    <w:rsid w:val="00B32677"/>
    <w:rsid w:val="00B3285C"/>
    <w:rsid w:val="00B32A70"/>
    <w:rsid w:val="00B33024"/>
    <w:rsid w:val="00B33275"/>
    <w:rsid w:val="00B340C9"/>
    <w:rsid w:val="00B3425D"/>
    <w:rsid w:val="00B34981"/>
    <w:rsid w:val="00B34B8F"/>
    <w:rsid w:val="00B354FE"/>
    <w:rsid w:val="00B355D6"/>
    <w:rsid w:val="00B358BA"/>
    <w:rsid w:val="00B35932"/>
    <w:rsid w:val="00B35C32"/>
    <w:rsid w:val="00B35F98"/>
    <w:rsid w:val="00B36C87"/>
    <w:rsid w:val="00B376AB"/>
    <w:rsid w:val="00B37E70"/>
    <w:rsid w:val="00B37F97"/>
    <w:rsid w:val="00B401B8"/>
    <w:rsid w:val="00B40220"/>
    <w:rsid w:val="00B40932"/>
    <w:rsid w:val="00B40BE1"/>
    <w:rsid w:val="00B40C95"/>
    <w:rsid w:val="00B40CC1"/>
    <w:rsid w:val="00B40D78"/>
    <w:rsid w:val="00B40DDB"/>
    <w:rsid w:val="00B414D6"/>
    <w:rsid w:val="00B41538"/>
    <w:rsid w:val="00B41989"/>
    <w:rsid w:val="00B41FD4"/>
    <w:rsid w:val="00B42258"/>
    <w:rsid w:val="00B42342"/>
    <w:rsid w:val="00B42417"/>
    <w:rsid w:val="00B42492"/>
    <w:rsid w:val="00B4257C"/>
    <w:rsid w:val="00B42822"/>
    <w:rsid w:val="00B4294E"/>
    <w:rsid w:val="00B42D81"/>
    <w:rsid w:val="00B42ECA"/>
    <w:rsid w:val="00B43227"/>
    <w:rsid w:val="00B43FD7"/>
    <w:rsid w:val="00B44510"/>
    <w:rsid w:val="00B44926"/>
    <w:rsid w:val="00B44E3C"/>
    <w:rsid w:val="00B45BA8"/>
    <w:rsid w:val="00B45FAA"/>
    <w:rsid w:val="00B47106"/>
    <w:rsid w:val="00B47D42"/>
    <w:rsid w:val="00B502C8"/>
    <w:rsid w:val="00B504B2"/>
    <w:rsid w:val="00B508A3"/>
    <w:rsid w:val="00B50AC8"/>
    <w:rsid w:val="00B50CF2"/>
    <w:rsid w:val="00B510B1"/>
    <w:rsid w:val="00B5118C"/>
    <w:rsid w:val="00B5173D"/>
    <w:rsid w:val="00B51B29"/>
    <w:rsid w:val="00B51EC0"/>
    <w:rsid w:val="00B5204E"/>
    <w:rsid w:val="00B520D7"/>
    <w:rsid w:val="00B5239B"/>
    <w:rsid w:val="00B528BF"/>
    <w:rsid w:val="00B529E2"/>
    <w:rsid w:val="00B52C63"/>
    <w:rsid w:val="00B5304C"/>
    <w:rsid w:val="00B5318B"/>
    <w:rsid w:val="00B54702"/>
    <w:rsid w:val="00B54850"/>
    <w:rsid w:val="00B5532D"/>
    <w:rsid w:val="00B55987"/>
    <w:rsid w:val="00B565E0"/>
    <w:rsid w:val="00B566EF"/>
    <w:rsid w:val="00B566FE"/>
    <w:rsid w:val="00B56985"/>
    <w:rsid w:val="00B56D9A"/>
    <w:rsid w:val="00B56E8C"/>
    <w:rsid w:val="00B5723A"/>
    <w:rsid w:val="00B572E1"/>
    <w:rsid w:val="00B57532"/>
    <w:rsid w:val="00B602DD"/>
    <w:rsid w:val="00B603C7"/>
    <w:rsid w:val="00B605E1"/>
    <w:rsid w:val="00B60888"/>
    <w:rsid w:val="00B60BE7"/>
    <w:rsid w:val="00B6143B"/>
    <w:rsid w:val="00B614CF"/>
    <w:rsid w:val="00B6165C"/>
    <w:rsid w:val="00B61C5B"/>
    <w:rsid w:val="00B6277A"/>
    <w:rsid w:val="00B62DB2"/>
    <w:rsid w:val="00B62DC0"/>
    <w:rsid w:val="00B62EF6"/>
    <w:rsid w:val="00B62F6E"/>
    <w:rsid w:val="00B63023"/>
    <w:rsid w:val="00B63687"/>
    <w:rsid w:val="00B63780"/>
    <w:rsid w:val="00B63B49"/>
    <w:rsid w:val="00B640F0"/>
    <w:rsid w:val="00B649E2"/>
    <w:rsid w:val="00B64EDF"/>
    <w:rsid w:val="00B66B39"/>
    <w:rsid w:val="00B6700B"/>
    <w:rsid w:val="00B6725D"/>
    <w:rsid w:val="00B6727F"/>
    <w:rsid w:val="00B674D2"/>
    <w:rsid w:val="00B6773E"/>
    <w:rsid w:val="00B67919"/>
    <w:rsid w:val="00B67CFF"/>
    <w:rsid w:val="00B67F40"/>
    <w:rsid w:val="00B7011F"/>
    <w:rsid w:val="00B70469"/>
    <w:rsid w:val="00B704F4"/>
    <w:rsid w:val="00B70869"/>
    <w:rsid w:val="00B708C1"/>
    <w:rsid w:val="00B71170"/>
    <w:rsid w:val="00B7135C"/>
    <w:rsid w:val="00B714FB"/>
    <w:rsid w:val="00B71B3B"/>
    <w:rsid w:val="00B71C5A"/>
    <w:rsid w:val="00B71C9E"/>
    <w:rsid w:val="00B71F0D"/>
    <w:rsid w:val="00B72137"/>
    <w:rsid w:val="00B7226A"/>
    <w:rsid w:val="00B726AD"/>
    <w:rsid w:val="00B7271E"/>
    <w:rsid w:val="00B72977"/>
    <w:rsid w:val="00B729F5"/>
    <w:rsid w:val="00B72CE2"/>
    <w:rsid w:val="00B72FC0"/>
    <w:rsid w:val="00B732D5"/>
    <w:rsid w:val="00B73C12"/>
    <w:rsid w:val="00B73D3D"/>
    <w:rsid w:val="00B74B74"/>
    <w:rsid w:val="00B750C5"/>
    <w:rsid w:val="00B75BEE"/>
    <w:rsid w:val="00B75FAF"/>
    <w:rsid w:val="00B76101"/>
    <w:rsid w:val="00B76435"/>
    <w:rsid w:val="00B7681C"/>
    <w:rsid w:val="00B76DFA"/>
    <w:rsid w:val="00B773A7"/>
    <w:rsid w:val="00B7743E"/>
    <w:rsid w:val="00B775FF"/>
    <w:rsid w:val="00B800A0"/>
    <w:rsid w:val="00B8077D"/>
    <w:rsid w:val="00B814C0"/>
    <w:rsid w:val="00B81C97"/>
    <w:rsid w:val="00B81FC5"/>
    <w:rsid w:val="00B822F4"/>
    <w:rsid w:val="00B826A8"/>
    <w:rsid w:val="00B827B4"/>
    <w:rsid w:val="00B82B18"/>
    <w:rsid w:val="00B82D1E"/>
    <w:rsid w:val="00B83191"/>
    <w:rsid w:val="00B83260"/>
    <w:rsid w:val="00B83396"/>
    <w:rsid w:val="00B8347C"/>
    <w:rsid w:val="00B83571"/>
    <w:rsid w:val="00B8402E"/>
    <w:rsid w:val="00B840ED"/>
    <w:rsid w:val="00B84C9C"/>
    <w:rsid w:val="00B8573E"/>
    <w:rsid w:val="00B85B5A"/>
    <w:rsid w:val="00B85C38"/>
    <w:rsid w:val="00B85F89"/>
    <w:rsid w:val="00B861E3"/>
    <w:rsid w:val="00B86677"/>
    <w:rsid w:val="00B86962"/>
    <w:rsid w:val="00B86DE8"/>
    <w:rsid w:val="00B86FF7"/>
    <w:rsid w:val="00B874A9"/>
    <w:rsid w:val="00B87DB0"/>
    <w:rsid w:val="00B87EE4"/>
    <w:rsid w:val="00B90669"/>
    <w:rsid w:val="00B90DDB"/>
    <w:rsid w:val="00B911FB"/>
    <w:rsid w:val="00B9146D"/>
    <w:rsid w:val="00B915B5"/>
    <w:rsid w:val="00B916E5"/>
    <w:rsid w:val="00B91764"/>
    <w:rsid w:val="00B917F8"/>
    <w:rsid w:val="00B9259C"/>
    <w:rsid w:val="00B92AA2"/>
    <w:rsid w:val="00B92C1F"/>
    <w:rsid w:val="00B930AE"/>
    <w:rsid w:val="00B9340B"/>
    <w:rsid w:val="00B9345C"/>
    <w:rsid w:val="00B93E43"/>
    <w:rsid w:val="00B9451C"/>
    <w:rsid w:val="00B94A20"/>
    <w:rsid w:val="00B94AB9"/>
    <w:rsid w:val="00B94AC7"/>
    <w:rsid w:val="00B94AF6"/>
    <w:rsid w:val="00B94AFC"/>
    <w:rsid w:val="00B94DFB"/>
    <w:rsid w:val="00B954F0"/>
    <w:rsid w:val="00B9573F"/>
    <w:rsid w:val="00B958D4"/>
    <w:rsid w:val="00B95A55"/>
    <w:rsid w:val="00B9684A"/>
    <w:rsid w:val="00B96A4C"/>
    <w:rsid w:val="00B96CFB"/>
    <w:rsid w:val="00B9700A"/>
    <w:rsid w:val="00B9715E"/>
    <w:rsid w:val="00B97515"/>
    <w:rsid w:val="00B978A4"/>
    <w:rsid w:val="00B97AD0"/>
    <w:rsid w:val="00B97B0B"/>
    <w:rsid w:val="00B97C8D"/>
    <w:rsid w:val="00BA0144"/>
    <w:rsid w:val="00BA0649"/>
    <w:rsid w:val="00BA06C2"/>
    <w:rsid w:val="00BA0727"/>
    <w:rsid w:val="00BA085D"/>
    <w:rsid w:val="00BA0C51"/>
    <w:rsid w:val="00BA0D32"/>
    <w:rsid w:val="00BA110C"/>
    <w:rsid w:val="00BA1349"/>
    <w:rsid w:val="00BA14E3"/>
    <w:rsid w:val="00BA1B90"/>
    <w:rsid w:val="00BA1CA6"/>
    <w:rsid w:val="00BA1D2C"/>
    <w:rsid w:val="00BA1E41"/>
    <w:rsid w:val="00BA2068"/>
    <w:rsid w:val="00BA226B"/>
    <w:rsid w:val="00BA2630"/>
    <w:rsid w:val="00BA27BA"/>
    <w:rsid w:val="00BA2AC7"/>
    <w:rsid w:val="00BA2AED"/>
    <w:rsid w:val="00BA33AB"/>
    <w:rsid w:val="00BA3761"/>
    <w:rsid w:val="00BA3A0A"/>
    <w:rsid w:val="00BA3FA7"/>
    <w:rsid w:val="00BA3FEB"/>
    <w:rsid w:val="00BA4154"/>
    <w:rsid w:val="00BA4631"/>
    <w:rsid w:val="00BA4B88"/>
    <w:rsid w:val="00BA5421"/>
    <w:rsid w:val="00BA582C"/>
    <w:rsid w:val="00BA59DD"/>
    <w:rsid w:val="00BA5BC0"/>
    <w:rsid w:val="00BA5BFC"/>
    <w:rsid w:val="00BA5F3F"/>
    <w:rsid w:val="00BA6476"/>
    <w:rsid w:val="00BA6638"/>
    <w:rsid w:val="00BA6DFF"/>
    <w:rsid w:val="00BA713A"/>
    <w:rsid w:val="00BA72FF"/>
    <w:rsid w:val="00BB009C"/>
    <w:rsid w:val="00BB02A6"/>
    <w:rsid w:val="00BB0670"/>
    <w:rsid w:val="00BB0995"/>
    <w:rsid w:val="00BB171F"/>
    <w:rsid w:val="00BB1A6B"/>
    <w:rsid w:val="00BB1B26"/>
    <w:rsid w:val="00BB1F1C"/>
    <w:rsid w:val="00BB1F79"/>
    <w:rsid w:val="00BB21F0"/>
    <w:rsid w:val="00BB2341"/>
    <w:rsid w:val="00BB2346"/>
    <w:rsid w:val="00BB28F9"/>
    <w:rsid w:val="00BB2CF4"/>
    <w:rsid w:val="00BB2E06"/>
    <w:rsid w:val="00BB3105"/>
    <w:rsid w:val="00BB33FD"/>
    <w:rsid w:val="00BB40F4"/>
    <w:rsid w:val="00BB4BEA"/>
    <w:rsid w:val="00BB4F8C"/>
    <w:rsid w:val="00BB54C0"/>
    <w:rsid w:val="00BB5850"/>
    <w:rsid w:val="00BB58AE"/>
    <w:rsid w:val="00BB59C6"/>
    <w:rsid w:val="00BB5C7A"/>
    <w:rsid w:val="00BB5FDF"/>
    <w:rsid w:val="00BB61A8"/>
    <w:rsid w:val="00BB6A8B"/>
    <w:rsid w:val="00BB6A96"/>
    <w:rsid w:val="00BB78E8"/>
    <w:rsid w:val="00BB79DC"/>
    <w:rsid w:val="00BB7CF6"/>
    <w:rsid w:val="00BB7E23"/>
    <w:rsid w:val="00BC03D2"/>
    <w:rsid w:val="00BC04B7"/>
    <w:rsid w:val="00BC04CD"/>
    <w:rsid w:val="00BC07F1"/>
    <w:rsid w:val="00BC084A"/>
    <w:rsid w:val="00BC0B1D"/>
    <w:rsid w:val="00BC0DDF"/>
    <w:rsid w:val="00BC11E0"/>
    <w:rsid w:val="00BC1C20"/>
    <w:rsid w:val="00BC1D2D"/>
    <w:rsid w:val="00BC1E3B"/>
    <w:rsid w:val="00BC1EFD"/>
    <w:rsid w:val="00BC2160"/>
    <w:rsid w:val="00BC261E"/>
    <w:rsid w:val="00BC287E"/>
    <w:rsid w:val="00BC2DB8"/>
    <w:rsid w:val="00BC3A50"/>
    <w:rsid w:val="00BC432B"/>
    <w:rsid w:val="00BC4564"/>
    <w:rsid w:val="00BC4A05"/>
    <w:rsid w:val="00BC4D50"/>
    <w:rsid w:val="00BC5BE9"/>
    <w:rsid w:val="00BC634D"/>
    <w:rsid w:val="00BC6625"/>
    <w:rsid w:val="00BC673E"/>
    <w:rsid w:val="00BC6C79"/>
    <w:rsid w:val="00BC6DA8"/>
    <w:rsid w:val="00BC7690"/>
    <w:rsid w:val="00BC7775"/>
    <w:rsid w:val="00BD0442"/>
    <w:rsid w:val="00BD045A"/>
    <w:rsid w:val="00BD0E47"/>
    <w:rsid w:val="00BD13F6"/>
    <w:rsid w:val="00BD15B5"/>
    <w:rsid w:val="00BD15DC"/>
    <w:rsid w:val="00BD167E"/>
    <w:rsid w:val="00BD170D"/>
    <w:rsid w:val="00BD1749"/>
    <w:rsid w:val="00BD1884"/>
    <w:rsid w:val="00BD18DE"/>
    <w:rsid w:val="00BD1C25"/>
    <w:rsid w:val="00BD1CE1"/>
    <w:rsid w:val="00BD22ED"/>
    <w:rsid w:val="00BD23C3"/>
    <w:rsid w:val="00BD25B7"/>
    <w:rsid w:val="00BD27F7"/>
    <w:rsid w:val="00BD2924"/>
    <w:rsid w:val="00BD2B4E"/>
    <w:rsid w:val="00BD3270"/>
    <w:rsid w:val="00BD3E69"/>
    <w:rsid w:val="00BD401B"/>
    <w:rsid w:val="00BD4249"/>
    <w:rsid w:val="00BD454F"/>
    <w:rsid w:val="00BD47C7"/>
    <w:rsid w:val="00BD4C4A"/>
    <w:rsid w:val="00BD4F26"/>
    <w:rsid w:val="00BD52C9"/>
    <w:rsid w:val="00BD559C"/>
    <w:rsid w:val="00BD5CAB"/>
    <w:rsid w:val="00BD5FF8"/>
    <w:rsid w:val="00BD62AF"/>
    <w:rsid w:val="00BD67EC"/>
    <w:rsid w:val="00BD6997"/>
    <w:rsid w:val="00BD6D30"/>
    <w:rsid w:val="00BD72AD"/>
    <w:rsid w:val="00BD73E9"/>
    <w:rsid w:val="00BD74B0"/>
    <w:rsid w:val="00BD74B8"/>
    <w:rsid w:val="00BD7EF0"/>
    <w:rsid w:val="00BD7F98"/>
    <w:rsid w:val="00BE0347"/>
    <w:rsid w:val="00BE091E"/>
    <w:rsid w:val="00BE0962"/>
    <w:rsid w:val="00BE0EAB"/>
    <w:rsid w:val="00BE1177"/>
    <w:rsid w:val="00BE12BA"/>
    <w:rsid w:val="00BE135B"/>
    <w:rsid w:val="00BE14B7"/>
    <w:rsid w:val="00BE14F8"/>
    <w:rsid w:val="00BE18A7"/>
    <w:rsid w:val="00BE18E9"/>
    <w:rsid w:val="00BE1905"/>
    <w:rsid w:val="00BE1A56"/>
    <w:rsid w:val="00BE1A9D"/>
    <w:rsid w:val="00BE1AF6"/>
    <w:rsid w:val="00BE274C"/>
    <w:rsid w:val="00BE27CD"/>
    <w:rsid w:val="00BE2984"/>
    <w:rsid w:val="00BE2EBC"/>
    <w:rsid w:val="00BE3157"/>
    <w:rsid w:val="00BE3457"/>
    <w:rsid w:val="00BE375C"/>
    <w:rsid w:val="00BE3CC6"/>
    <w:rsid w:val="00BE41F1"/>
    <w:rsid w:val="00BE4404"/>
    <w:rsid w:val="00BE4421"/>
    <w:rsid w:val="00BE45B8"/>
    <w:rsid w:val="00BE4782"/>
    <w:rsid w:val="00BE4791"/>
    <w:rsid w:val="00BE4E92"/>
    <w:rsid w:val="00BE5001"/>
    <w:rsid w:val="00BE53EA"/>
    <w:rsid w:val="00BE576B"/>
    <w:rsid w:val="00BE5EE9"/>
    <w:rsid w:val="00BE6888"/>
    <w:rsid w:val="00BE7023"/>
    <w:rsid w:val="00BE78D9"/>
    <w:rsid w:val="00BE7AA6"/>
    <w:rsid w:val="00BE7BE3"/>
    <w:rsid w:val="00BE7C83"/>
    <w:rsid w:val="00BE7FE6"/>
    <w:rsid w:val="00BF0397"/>
    <w:rsid w:val="00BF06C6"/>
    <w:rsid w:val="00BF070B"/>
    <w:rsid w:val="00BF088B"/>
    <w:rsid w:val="00BF103B"/>
    <w:rsid w:val="00BF111E"/>
    <w:rsid w:val="00BF1223"/>
    <w:rsid w:val="00BF16C0"/>
    <w:rsid w:val="00BF17B2"/>
    <w:rsid w:val="00BF1879"/>
    <w:rsid w:val="00BF19CA"/>
    <w:rsid w:val="00BF1C6F"/>
    <w:rsid w:val="00BF2253"/>
    <w:rsid w:val="00BF2254"/>
    <w:rsid w:val="00BF26A1"/>
    <w:rsid w:val="00BF290B"/>
    <w:rsid w:val="00BF2A04"/>
    <w:rsid w:val="00BF2D98"/>
    <w:rsid w:val="00BF2F0A"/>
    <w:rsid w:val="00BF343F"/>
    <w:rsid w:val="00BF35BC"/>
    <w:rsid w:val="00BF35E9"/>
    <w:rsid w:val="00BF3A84"/>
    <w:rsid w:val="00BF3BD0"/>
    <w:rsid w:val="00BF3D1A"/>
    <w:rsid w:val="00BF3F06"/>
    <w:rsid w:val="00BF46C1"/>
    <w:rsid w:val="00BF48F5"/>
    <w:rsid w:val="00BF494F"/>
    <w:rsid w:val="00BF4AB1"/>
    <w:rsid w:val="00BF4C98"/>
    <w:rsid w:val="00BF5565"/>
    <w:rsid w:val="00BF6211"/>
    <w:rsid w:val="00BF6C07"/>
    <w:rsid w:val="00BF6DD1"/>
    <w:rsid w:val="00BF6EA1"/>
    <w:rsid w:val="00BF7081"/>
    <w:rsid w:val="00BF7144"/>
    <w:rsid w:val="00BF740E"/>
    <w:rsid w:val="00BF766D"/>
    <w:rsid w:val="00BF7704"/>
    <w:rsid w:val="00BF7724"/>
    <w:rsid w:val="00BF7A7F"/>
    <w:rsid w:val="00C0067F"/>
    <w:rsid w:val="00C0069C"/>
    <w:rsid w:val="00C01B38"/>
    <w:rsid w:val="00C02071"/>
    <w:rsid w:val="00C02D61"/>
    <w:rsid w:val="00C02DA2"/>
    <w:rsid w:val="00C038AF"/>
    <w:rsid w:val="00C0399F"/>
    <w:rsid w:val="00C03B07"/>
    <w:rsid w:val="00C03C90"/>
    <w:rsid w:val="00C04079"/>
    <w:rsid w:val="00C04749"/>
    <w:rsid w:val="00C0496A"/>
    <w:rsid w:val="00C04DC8"/>
    <w:rsid w:val="00C04E51"/>
    <w:rsid w:val="00C04E60"/>
    <w:rsid w:val="00C0549F"/>
    <w:rsid w:val="00C05584"/>
    <w:rsid w:val="00C058D4"/>
    <w:rsid w:val="00C06061"/>
    <w:rsid w:val="00C06120"/>
    <w:rsid w:val="00C0687D"/>
    <w:rsid w:val="00C06BDF"/>
    <w:rsid w:val="00C07B5F"/>
    <w:rsid w:val="00C1010D"/>
    <w:rsid w:val="00C10B29"/>
    <w:rsid w:val="00C1112F"/>
    <w:rsid w:val="00C11137"/>
    <w:rsid w:val="00C11442"/>
    <w:rsid w:val="00C11C16"/>
    <w:rsid w:val="00C11DA1"/>
    <w:rsid w:val="00C1232C"/>
    <w:rsid w:val="00C127E5"/>
    <w:rsid w:val="00C128A7"/>
    <w:rsid w:val="00C12B40"/>
    <w:rsid w:val="00C13429"/>
    <w:rsid w:val="00C13442"/>
    <w:rsid w:val="00C1351F"/>
    <w:rsid w:val="00C135AA"/>
    <w:rsid w:val="00C13C2A"/>
    <w:rsid w:val="00C13C2C"/>
    <w:rsid w:val="00C13DD5"/>
    <w:rsid w:val="00C13DF8"/>
    <w:rsid w:val="00C13F3A"/>
    <w:rsid w:val="00C1465B"/>
    <w:rsid w:val="00C14A37"/>
    <w:rsid w:val="00C14AC3"/>
    <w:rsid w:val="00C14C9F"/>
    <w:rsid w:val="00C14FD6"/>
    <w:rsid w:val="00C151A0"/>
    <w:rsid w:val="00C153A1"/>
    <w:rsid w:val="00C1567C"/>
    <w:rsid w:val="00C157A7"/>
    <w:rsid w:val="00C16112"/>
    <w:rsid w:val="00C16D8E"/>
    <w:rsid w:val="00C16E12"/>
    <w:rsid w:val="00C17063"/>
    <w:rsid w:val="00C1739D"/>
    <w:rsid w:val="00C17554"/>
    <w:rsid w:val="00C1786B"/>
    <w:rsid w:val="00C21491"/>
    <w:rsid w:val="00C21BF0"/>
    <w:rsid w:val="00C21D1F"/>
    <w:rsid w:val="00C2230B"/>
    <w:rsid w:val="00C22342"/>
    <w:rsid w:val="00C22961"/>
    <w:rsid w:val="00C22B65"/>
    <w:rsid w:val="00C22DD5"/>
    <w:rsid w:val="00C22FD4"/>
    <w:rsid w:val="00C233BF"/>
    <w:rsid w:val="00C2352D"/>
    <w:rsid w:val="00C23AB2"/>
    <w:rsid w:val="00C23B7C"/>
    <w:rsid w:val="00C23D16"/>
    <w:rsid w:val="00C23FDF"/>
    <w:rsid w:val="00C240A7"/>
    <w:rsid w:val="00C24141"/>
    <w:rsid w:val="00C244BE"/>
    <w:rsid w:val="00C2462C"/>
    <w:rsid w:val="00C24860"/>
    <w:rsid w:val="00C2487C"/>
    <w:rsid w:val="00C24882"/>
    <w:rsid w:val="00C24F3A"/>
    <w:rsid w:val="00C24FE7"/>
    <w:rsid w:val="00C2529B"/>
    <w:rsid w:val="00C25371"/>
    <w:rsid w:val="00C25411"/>
    <w:rsid w:val="00C2569D"/>
    <w:rsid w:val="00C25F27"/>
    <w:rsid w:val="00C267C8"/>
    <w:rsid w:val="00C2681F"/>
    <w:rsid w:val="00C26844"/>
    <w:rsid w:val="00C26C19"/>
    <w:rsid w:val="00C26FA2"/>
    <w:rsid w:val="00C2756E"/>
    <w:rsid w:val="00C27ABA"/>
    <w:rsid w:val="00C27B9E"/>
    <w:rsid w:val="00C27D0B"/>
    <w:rsid w:val="00C27D24"/>
    <w:rsid w:val="00C27FB3"/>
    <w:rsid w:val="00C3003E"/>
    <w:rsid w:val="00C306F0"/>
    <w:rsid w:val="00C311D9"/>
    <w:rsid w:val="00C31285"/>
    <w:rsid w:val="00C314F5"/>
    <w:rsid w:val="00C31D02"/>
    <w:rsid w:val="00C3217D"/>
    <w:rsid w:val="00C323E6"/>
    <w:rsid w:val="00C3246B"/>
    <w:rsid w:val="00C32639"/>
    <w:rsid w:val="00C32B2B"/>
    <w:rsid w:val="00C32B3B"/>
    <w:rsid w:val="00C32E69"/>
    <w:rsid w:val="00C3334D"/>
    <w:rsid w:val="00C336C9"/>
    <w:rsid w:val="00C3402C"/>
    <w:rsid w:val="00C3484A"/>
    <w:rsid w:val="00C349B1"/>
    <w:rsid w:val="00C34B57"/>
    <w:rsid w:val="00C34D83"/>
    <w:rsid w:val="00C34E43"/>
    <w:rsid w:val="00C34EC9"/>
    <w:rsid w:val="00C35521"/>
    <w:rsid w:val="00C358B3"/>
    <w:rsid w:val="00C358D8"/>
    <w:rsid w:val="00C35AF5"/>
    <w:rsid w:val="00C35DFE"/>
    <w:rsid w:val="00C3652C"/>
    <w:rsid w:val="00C36909"/>
    <w:rsid w:val="00C3715E"/>
    <w:rsid w:val="00C37F56"/>
    <w:rsid w:val="00C37FC4"/>
    <w:rsid w:val="00C4020B"/>
    <w:rsid w:val="00C4035B"/>
    <w:rsid w:val="00C40440"/>
    <w:rsid w:val="00C4052D"/>
    <w:rsid w:val="00C40779"/>
    <w:rsid w:val="00C41190"/>
    <w:rsid w:val="00C41751"/>
    <w:rsid w:val="00C41940"/>
    <w:rsid w:val="00C41A8C"/>
    <w:rsid w:val="00C41DC2"/>
    <w:rsid w:val="00C42022"/>
    <w:rsid w:val="00C42725"/>
    <w:rsid w:val="00C42A5A"/>
    <w:rsid w:val="00C4344B"/>
    <w:rsid w:val="00C43A0E"/>
    <w:rsid w:val="00C43E49"/>
    <w:rsid w:val="00C43EE7"/>
    <w:rsid w:val="00C44197"/>
    <w:rsid w:val="00C44257"/>
    <w:rsid w:val="00C449FE"/>
    <w:rsid w:val="00C44ADC"/>
    <w:rsid w:val="00C44DB1"/>
    <w:rsid w:val="00C44F70"/>
    <w:rsid w:val="00C45121"/>
    <w:rsid w:val="00C4517A"/>
    <w:rsid w:val="00C45293"/>
    <w:rsid w:val="00C453AF"/>
    <w:rsid w:val="00C454D8"/>
    <w:rsid w:val="00C455AA"/>
    <w:rsid w:val="00C4568F"/>
    <w:rsid w:val="00C45810"/>
    <w:rsid w:val="00C4586F"/>
    <w:rsid w:val="00C45DFF"/>
    <w:rsid w:val="00C45E9D"/>
    <w:rsid w:val="00C46085"/>
    <w:rsid w:val="00C46243"/>
    <w:rsid w:val="00C46312"/>
    <w:rsid w:val="00C4681B"/>
    <w:rsid w:val="00C46821"/>
    <w:rsid w:val="00C469AC"/>
    <w:rsid w:val="00C46BA8"/>
    <w:rsid w:val="00C47123"/>
    <w:rsid w:val="00C47863"/>
    <w:rsid w:val="00C47A5B"/>
    <w:rsid w:val="00C47FF5"/>
    <w:rsid w:val="00C5035E"/>
    <w:rsid w:val="00C50924"/>
    <w:rsid w:val="00C50AF5"/>
    <w:rsid w:val="00C50BCA"/>
    <w:rsid w:val="00C50F0E"/>
    <w:rsid w:val="00C513D7"/>
    <w:rsid w:val="00C517EB"/>
    <w:rsid w:val="00C51BC7"/>
    <w:rsid w:val="00C520E4"/>
    <w:rsid w:val="00C5220C"/>
    <w:rsid w:val="00C5233E"/>
    <w:rsid w:val="00C52457"/>
    <w:rsid w:val="00C5260F"/>
    <w:rsid w:val="00C527AE"/>
    <w:rsid w:val="00C53617"/>
    <w:rsid w:val="00C53809"/>
    <w:rsid w:val="00C53928"/>
    <w:rsid w:val="00C53949"/>
    <w:rsid w:val="00C53AC6"/>
    <w:rsid w:val="00C53BF6"/>
    <w:rsid w:val="00C543B7"/>
    <w:rsid w:val="00C54D2E"/>
    <w:rsid w:val="00C55310"/>
    <w:rsid w:val="00C55562"/>
    <w:rsid w:val="00C556AE"/>
    <w:rsid w:val="00C55D2E"/>
    <w:rsid w:val="00C5634A"/>
    <w:rsid w:val="00C563EE"/>
    <w:rsid w:val="00C56706"/>
    <w:rsid w:val="00C5695F"/>
    <w:rsid w:val="00C56D0E"/>
    <w:rsid w:val="00C56E66"/>
    <w:rsid w:val="00C573E1"/>
    <w:rsid w:val="00C57AD5"/>
    <w:rsid w:val="00C6027A"/>
    <w:rsid w:val="00C607F0"/>
    <w:rsid w:val="00C610B8"/>
    <w:rsid w:val="00C61203"/>
    <w:rsid w:val="00C61510"/>
    <w:rsid w:val="00C616B7"/>
    <w:rsid w:val="00C619F9"/>
    <w:rsid w:val="00C61BFE"/>
    <w:rsid w:val="00C62445"/>
    <w:rsid w:val="00C627F8"/>
    <w:rsid w:val="00C62B92"/>
    <w:rsid w:val="00C63A0E"/>
    <w:rsid w:val="00C6401C"/>
    <w:rsid w:val="00C64035"/>
    <w:rsid w:val="00C645E0"/>
    <w:rsid w:val="00C64A2F"/>
    <w:rsid w:val="00C64FA5"/>
    <w:rsid w:val="00C6523E"/>
    <w:rsid w:val="00C653E7"/>
    <w:rsid w:val="00C65756"/>
    <w:rsid w:val="00C65852"/>
    <w:rsid w:val="00C65EA4"/>
    <w:rsid w:val="00C66C04"/>
    <w:rsid w:val="00C66ED1"/>
    <w:rsid w:val="00C67532"/>
    <w:rsid w:val="00C67834"/>
    <w:rsid w:val="00C67F4B"/>
    <w:rsid w:val="00C700EF"/>
    <w:rsid w:val="00C70339"/>
    <w:rsid w:val="00C70420"/>
    <w:rsid w:val="00C7045B"/>
    <w:rsid w:val="00C70912"/>
    <w:rsid w:val="00C70B96"/>
    <w:rsid w:val="00C70FD2"/>
    <w:rsid w:val="00C716F9"/>
    <w:rsid w:val="00C71CF1"/>
    <w:rsid w:val="00C71D00"/>
    <w:rsid w:val="00C71D6E"/>
    <w:rsid w:val="00C71DD9"/>
    <w:rsid w:val="00C71F5B"/>
    <w:rsid w:val="00C7231A"/>
    <w:rsid w:val="00C729D3"/>
    <w:rsid w:val="00C72D1C"/>
    <w:rsid w:val="00C74086"/>
    <w:rsid w:val="00C74592"/>
    <w:rsid w:val="00C746FF"/>
    <w:rsid w:val="00C7488D"/>
    <w:rsid w:val="00C74BA3"/>
    <w:rsid w:val="00C7517A"/>
    <w:rsid w:val="00C752C9"/>
    <w:rsid w:val="00C75FDF"/>
    <w:rsid w:val="00C762ED"/>
    <w:rsid w:val="00C76746"/>
    <w:rsid w:val="00C76E6B"/>
    <w:rsid w:val="00C76EB2"/>
    <w:rsid w:val="00C77971"/>
    <w:rsid w:val="00C77CB1"/>
    <w:rsid w:val="00C77FC0"/>
    <w:rsid w:val="00C80357"/>
    <w:rsid w:val="00C8081A"/>
    <w:rsid w:val="00C80F2C"/>
    <w:rsid w:val="00C81EA5"/>
    <w:rsid w:val="00C8288A"/>
    <w:rsid w:val="00C82A8F"/>
    <w:rsid w:val="00C82D6A"/>
    <w:rsid w:val="00C836EE"/>
    <w:rsid w:val="00C839F6"/>
    <w:rsid w:val="00C83FA2"/>
    <w:rsid w:val="00C84041"/>
    <w:rsid w:val="00C84196"/>
    <w:rsid w:val="00C841D0"/>
    <w:rsid w:val="00C8435A"/>
    <w:rsid w:val="00C84D8D"/>
    <w:rsid w:val="00C84FD7"/>
    <w:rsid w:val="00C85A48"/>
    <w:rsid w:val="00C85BA3"/>
    <w:rsid w:val="00C85FF4"/>
    <w:rsid w:val="00C861B4"/>
    <w:rsid w:val="00C873B6"/>
    <w:rsid w:val="00C8796C"/>
    <w:rsid w:val="00C90098"/>
    <w:rsid w:val="00C90F96"/>
    <w:rsid w:val="00C912F0"/>
    <w:rsid w:val="00C917C3"/>
    <w:rsid w:val="00C91C4C"/>
    <w:rsid w:val="00C920BF"/>
    <w:rsid w:val="00C92685"/>
    <w:rsid w:val="00C92B18"/>
    <w:rsid w:val="00C92BB2"/>
    <w:rsid w:val="00C9319F"/>
    <w:rsid w:val="00C931AB"/>
    <w:rsid w:val="00C931C4"/>
    <w:rsid w:val="00C93668"/>
    <w:rsid w:val="00C93750"/>
    <w:rsid w:val="00C93774"/>
    <w:rsid w:val="00C941A3"/>
    <w:rsid w:val="00C9428B"/>
    <w:rsid w:val="00C94407"/>
    <w:rsid w:val="00C94654"/>
    <w:rsid w:val="00C947F3"/>
    <w:rsid w:val="00C948AE"/>
    <w:rsid w:val="00C94A1A"/>
    <w:rsid w:val="00C94BB9"/>
    <w:rsid w:val="00C953E2"/>
    <w:rsid w:val="00C95502"/>
    <w:rsid w:val="00C967C7"/>
    <w:rsid w:val="00CA0364"/>
    <w:rsid w:val="00CA03AA"/>
    <w:rsid w:val="00CA03DD"/>
    <w:rsid w:val="00CA0657"/>
    <w:rsid w:val="00CA0AFA"/>
    <w:rsid w:val="00CA0B06"/>
    <w:rsid w:val="00CA1146"/>
    <w:rsid w:val="00CA1A3D"/>
    <w:rsid w:val="00CA1C33"/>
    <w:rsid w:val="00CA1DD8"/>
    <w:rsid w:val="00CA22F9"/>
    <w:rsid w:val="00CA2952"/>
    <w:rsid w:val="00CA2B6B"/>
    <w:rsid w:val="00CA3048"/>
    <w:rsid w:val="00CA3906"/>
    <w:rsid w:val="00CA39E8"/>
    <w:rsid w:val="00CA3BDF"/>
    <w:rsid w:val="00CA3CB1"/>
    <w:rsid w:val="00CA3FF0"/>
    <w:rsid w:val="00CA4BF1"/>
    <w:rsid w:val="00CA56AA"/>
    <w:rsid w:val="00CA5CA8"/>
    <w:rsid w:val="00CA5E48"/>
    <w:rsid w:val="00CA688D"/>
    <w:rsid w:val="00CA69FA"/>
    <w:rsid w:val="00CA6DA7"/>
    <w:rsid w:val="00CA6F0A"/>
    <w:rsid w:val="00CA720E"/>
    <w:rsid w:val="00CA7246"/>
    <w:rsid w:val="00CA7305"/>
    <w:rsid w:val="00CA743B"/>
    <w:rsid w:val="00CA7473"/>
    <w:rsid w:val="00CA779D"/>
    <w:rsid w:val="00CA7B73"/>
    <w:rsid w:val="00CA7BC5"/>
    <w:rsid w:val="00CB006B"/>
    <w:rsid w:val="00CB0191"/>
    <w:rsid w:val="00CB0572"/>
    <w:rsid w:val="00CB071E"/>
    <w:rsid w:val="00CB0795"/>
    <w:rsid w:val="00CB07F3"/>
    <w:rsid w:val="00CB0B80"/>
    <w:rsid w:val="00CB1336"/>
    <w:rsid w:val="00CB13C0"/>
    <w:rsid w:val="00CB15D4"/>
    <w:rsid w:val="00CB18D7"/>
    <w:rsid w:val="00CB1A66"/>
    <w:rsid w:val="00CB2146"/>
    <w:rsid w:val="00CB23EB"/>
    <w:rsid w:val="00CB25DC"/>
    <w:rsid w:val="00CB3460"/>
    <w:rsid w:val="00CB38C1"/>
    <w:rsid w:val="00CB401F"/>
    <w:rsid w:val="00CB419F"/>
    <w:rsid w:val="00CB4202"/>
    <w:rsid w:val="00CB4F92"/>
    <w:rsid w:val="00CB5265"/>
    <w:rsid w:val="00CB55BD"/>
    <w:rsid w:val="00CB57B9"/>
    <w:rsid w:val="00CB5B03"/>
    <w:rsid w:val="00CB5B38"/>
    <w:rsid w:val="00CB5D07"/>
    <w:rsid w:val="00CB5F81"/>
    <w:rsid w:val="00CB6563"/>
    <w:rsid w:val="00CB664A"/>
    <w:rsid w:val="00CB6B5E"/>
    <w:rsid w:val="00CB6E24"/>
    <w:rsid w:val="00CB6FB1"/>
    <w:rsid w:val="00CC0002"/>
    <w:rsid w:val="00CC0281"/>
    <w:rsid w:val="00CC0943"/>
    <w:rsid w:val="00CC0FE9"/>
    <w:rsid w:val="00CC1011"/>
    <w:rsid w:val="00CC1102"/>
    <w:rsid w:val="00CC171F"/>
    <w:rsid w:val="00CC189D"/>
    <w:rsid w:val="00CC1BB9"/>
    <w:rsid w:val="00CC1D73"/>
    <w:rsid w:val="00CC2391"/>
    <w:rsid w:val="00CC28AD"/>
    <w:rsid w:val="00CC31E8"/>
    <w:rsid w:val="00CC36AE"/>
    <w:rsid w:val="00CC3A41"/>
    <w:rsid w:val="00CC3BF3"/>
    <w:rsid w:val="00CC3CCC"/>
    <w:rsid w:val="00CC4118"/>
    <w:rsid w:val="00CC417F"/>
    <w:rsid w:val="00CC4494"/>
    <w:rsid w:val="00CC474C"/>
    <w:rsid w:val="00CC4EC4"/>
    <w:rsid w:val="00CC54E7"/>
    <w:rsid w:val="00CC5882"/>
    <w:rsid w:val="00CC592D"/>
    <w:rsid w:val="00CC5C6A"/>
    <w:rsid w:val="00CC621F"/>
    <w:rsid w:val="00CC624A"/>
    <w:rsid w:val="00CC6AEE"/>
    <w:rsid w:val="00CC6CB0"/>
    <w:rsid w:val="00CC6D35"/>
    <w:rsid w:val="00CC70AF"/>
    <w:rsid w:val="00CC7303"/>
    <w:rsid w:val="00CC7717"/>
    <w:rsid w:val="00CC7BD1"/>
    <w:rsid w:val="00CC7CEE"/>
    <w:rsid w:val="00CC7DC2"/>
    <w:rsid w:val="00CC7E18"/>
    <w:rsid w:val="00CC7EED"/>
    <w:rsid w:val="00CD00D0"/>
    <w:rsid w:val="00CD0163"/>
    <w:rsid w:val="00CD09E9"/>
    <w:rsid w:val="00CD0AF1"/>
    <w:rsid w:val="00CD0B27"/>
    <w:rsid w:val="00CD0B3D"/>
    <w:rsid w:val="00CD0BEF"/>
    <w:rsid w:val="00CD0ED6"/>
    <w:rsid w:val="00CD1C94"/>
    <w:rsid w:val="00CD1EF4"/>
    <w:rsid w:val="00CD1F0A"/>
    <w:rsid w:val="00CD2165"/>
    <w:rsid w:val="00CD256D"/>
    <w:rsid w:val="00CD25BD"/>
    <w:rsid w:val="00CD2906"/>
    <w:rsid w:val="00CD2ADD"/>
    <w:rsid w:val="00CD3177"/>
    <w:rsid w:val="00CD348A"/>
    <w:rsid w:val="00CD3AAD"/>
    <w:rsid w:val="00CD4846"/>
    <w:rsid w:val="00CD4D42"/>
    <w:rsid w:val="00CD4D62"/>
    <w:rsid w:val="00CD6B55"/>
    <w:rsid w:val="00CD6EE6"/>
    <w:rsid w:val="00CD748D"/>
    <w:rsid w:val="00CD7C8D"/>
    <w:rsid w:val="00CE0197"/>
    <w:rsid w:val="00CE02A8"/>
    <w:rsid w:val="00CE02FE"/>
    <w:rsid w:val="00CE05B9"/>
    <w:rsid w:val="00CE07A3"/>
    <w:rsid w:val="00CE0D57"/>
    <w:rsid w:val="00CE0EDB"/>
    <w:rsid w:val="00CE0EE7"/>
    <w:rsid w:val="00CE1223"/>
    <w:rsid w:val="00CE12FC"/>
    <w:rsid w:val="00CE134A"/>
    <w:rsid w:val="00CE16BD"/>
    <w:rsid w:val="00CE173F"/>
    <w:rsid w:val="00CE2063"/>
    <w:rsid w:val="00CE260B"/>
    <w:rsid w:val="00CE29E6"/>
    <w:rsid w:val="00CE2BD6"/>
    <w:rsid w:val="00CE2EFB"/>
    <w:rsid w:val="00CE3C44"/>
    <w:rsid w:val="00CE3EB1"/>
    <w:rsid w:val="00CE40EE"/>
    <w:rsid w:val="00CE42EB"/>
    <w:rsid w:val="00CE4445"/>
    <w:rsid w:val="00CE4933"/>
    <w:rsid w:val="00CE493E"/>
    <w:rsid w:val="00CE4E1A"/>
    <w:rsid w:val="00CE51EE"/>
    <w:rsid w:val="00CE555E"/>
    <w:rsid w:val="00CE560E"/>
    <w:rsid w:val="00CE565E"/>
    <w:rsid w:val="00CE66FB"/>
    <w:rsid w:val="00CE682E"/>
    <w:rsid w:val="00CE72FE"/>
    <w:rsid w:val="00CE75CB"/>
    <w:rsid w:val="00CE76D0"/>
    <w:rsid w:val="00CE77E0"/>
    <w:rsid w:val="00CE7A82"/>
    <w:rsid w:val="00CE7DB6"/>
    <w:rsid w:val="00CF15B7"/>
    <w:rsid w:val="00CF1A75"/>
    <w:rsid w:val="00CF1C1D"/>
    <w:rsid w:val="00CF1FDC"/>
    <w:rsid w:val="00CF2427"/>
    <w:rsid w:val="00CF250D"/>
    <w:rsid w:val="00CF2833"/>
    <w:rsid w:val="00CF2A90"/>
    <w:rsid w:val="00CF325D"/>
    <w:rsid w:val="00CF3376"/>
    <w:rsid w:val="00CF3386"/>
    <w:rsid w:val="00CF42B2"/>
    <w:rsid w:val="00CF4339"/>
    <w:rsid w:val="00CF446A"/>
    <w:rsid w:val="00CF498C"/>
    <w:rsid w:val="00CF4B83"/>
    <w:rsid w:val="00CF5004"/>
    <w:rsid w:val="00CF5071"/>
    <w:rsid w:val="00CF531F"/>
    <w:rsid w:val="00CF59C7"/>
    <w:rsid w:val="00CF5B80"/>
    <w:rsid w:val="00CF6323"/>
    <w:rsid w:val="00CF63B4"/>
    <w:rsid w:val="00CF6DF3"/>
    <w:rsid w:val="00CF745C"/>
    <w:rsid w:val="00CF7750"/>
    <w:rsid w:val="00CF7751"/>
    <w:rsid w:val="00CF7949"/>
    <w:rsid w:val="00CF7A4B"/>
    <w:rsid w:val="00CF7BFF"/>
    <w:rsid w:val="00CF7C5C"/>
    <w:rsid w:val="00D0002D"/>
    <w:rsid w:val="00D003FC"/>
    <w:rsid w:val="00D004BC"/>
    <w:rsid w:val="00D0098A"/>
    <w:rsid w:val="00D00D3B"/>
    <w:rsid w:val="00D011C8"/>
    <w:rsid w:val="00D0150E"/>
    <w:rsid w:val="00D01522"/>
    <w:rsid w:val="00D017CC"/>
    <w:rsid w:val="00D01FC6"/>
    <w:rsid w:val="00D0218B"/>
    <w:rsid w:val="00D021A6"/>
    <w:rsid w:val="00D021D7"/>
    <w:rsid w:val="00D0261F"/>
    <w:rsid w:val="00D02BEF"/>
    <w:rsid w:val="00D02CCE"/>
    <w:rsid w:val="00D02FDF"/>
    <w:rsid w:val="00D030DB"/>
    <w:rsid w:val="00D0363E"/>
    <w:rsid w:val="00D03713"/>
    <w:rsid w:val="00D03C61"/>
    <w:rsid w:val="00D03EA7"/>
    <w:rsid w:val="00D040F3"/>
    <w:rsid w:val="00D041BD"/>
    <w:rsid w:val="00D041D8"/>
    <w:rsid w:val="00D045A6"/>
    <w:rsid w:val="00D04919"/>
    <w:rsid w:val="00D05096"/>
    <w:rsid w:val="00D05307"/>
    <w:rsid w:val="00D05348"/>
    <w:rsid w:val="00D05BC9"/>
    <w:rsid w:val="00D05DDB"/>
    <w:rsid w:val="00D06143"/>
    <w:rsid w:val="00D06628"/>
    <w:rsid w:val="00D06CBC"/>
    <w:rsid w:val="00D07144"/>
    <w:rsid w:val="00D073B9"/>
    <w:rsid w:val="00D07406"/>
    <w:rsid w:val="00D07A10"/>
    <w:rsid w:val="00D07BCF"/>
    <w:rsid w:val="00D07D5D"/>
    <w:rsid w:val="00D07E8B"/>
    <w:rsid w:val="00D10622"/>
    <w:rsid w:val="00D107A0"/>
    <w:rsid w:val="00D10900"/>
    <w:rsid w:val="00D10D3F"/>
    <w:rsid w:val="00D114D4"/>
    <w:rsid w:val="00D11E72"/>
    <w:rsid w:val="00D11FD8"/>
    <w:rsid w:val="00D12244"/>
    <w:rsid w:val="00D12A5D"/>
    <w:rsid w:val="00D13585"/>
    <w:rsid w:val="00D1358F"/>
    <w:rsid w:val="00D13D92"/>
    <w:rsid w:val="00D13E2D"/>
    <w:rsid w:val="00D13F8F"/>
    <w:rsid w:val="00D161AC"/>
    <w:rsid w:val="00D1647A"/>
    <w:rsid w:val="00D16532"/>
    <w:rsid w:val="00D1680A"/>
    <w:rsid w:val="00D16894"/>
    <w:rsid w:val="00D16A15"/>
    <w:rsid w:val="00D16E4D"/>
    <w:rsid w:val="00D17239"/>
    <w:rsid w:val="00D174BA"/>
    <w:rsid w:val="00D17CB5"/>
    <w:rsid w:val="00D17DFF"/>
    <w:rsid w:val="00D17E2C"/>
    <w:rsid w:val="00D202D0"/>
    <w:rsid w:val="00D203D3"/>
    <w:rsid w:val="00D2051B"/>
    <w:rsid w:val="00D2086B"/>
    <w:rsid w:val="00D2091B"/>
    <w:rsid w:val="00D20B45"/>
    <w:rsid w:val="00D20CDC"/>
    <w:rsid w:val="00D20D23"/>
    <w:rsid w:val="00D20DAC"/>
    <w:rsid w:val="00D212AD"/>
    <w:rsid w:val="00D21ACA"/>
    <w:rsid w:val="00D21B50"/>
    <w:rsid w:val="00D22340"/>
    <w:rsid w:val="00D2298F"/>
    <w:rsid w:val="00D22A70"/>
    <w:rsid w:val="00D22E55"/>
    <w:rsid w:val="00D23380"/>
    <w:rsid w:val="00D2346B"/>
    <w:rsid w:val="00D239C9"/>
    <w:rsid w:val="00D23C27"/>
    <w:rsid w:val="00D23CE8"/>
    <w:rsid w:val="00D244B0"/>
    <w:rsid w:val="00D24584"/>
    <w:rsid w:val="00D2460F"/>
    <w:rsid w:val="00D2489A"/>
    <w:rsid w:val="00D24C07"/>
    <w:rsid w:val="00D254CA"/>
    <w:rsid w:val="00D25FC7"/>
    <w:rsid w:val="00D264FD"/>
    <w:rsid w:val="00D2673D"/>
    <w:rsid w:val="00D26C7F"/>
    <w:rsid w:val="00D26D45"/>
    <w:rsid w:val="00D26E93"/>
    <w:rsid w:val="00D273B7"/>
    <w:rsid w:val="00D275DB"/>
    <w:rsid w:val="00D27B15"/>
    <w:rsid w:val="00D27CAD"/>
    <w:rsid w:val="00D27FEE"/>
    <w:rsid w:val="00D30925"/>
    <w:rsid w:val="00D30CF1"/>
    <w:rsid w:val="00D30F05"/>
    <w:rsid w:val="00D316F5"/>
    <w:rsid w:val="00D31A58"/>
    <w:rsid w:val="00D31DD0"/>
    <w:rsid w:val="00D320A8"/>
    <w:rsid w:val="00D32153"/>
    <w:rsid w:val="00D323FF"/>
    <w:rsid w:val="00D3273A"/>
    <w:rsid w:val="00D32CFC"/>
    <w:rsid w:val="00D32DC3"/>
    <w:rsid w:val="00D33269"/>
    <w:rsid w:val="00D33381"/>
    <w:rsid w:val="00D33F2D"/>
    <w:rsid w:val="00D34124"/>
    <w:rsid w:val="00D34FB7"/>
    <w:rsid w:val="00D352FC"/>
    <w:rsid w:val="00D355A8"/>
    <w:rsid w:val="00D35726"/>
    <w:rsid w:val="00D3577C"/>
    <w:rsid w:val="00D36632"/>
    <w:rsid w:val="00D3672E"/>
    <w:rsid w:val="00D369B2"/>
    <w:rsid w:val="00D37150"/>
    <w:rsid w:val="00D373C8"/>
    <w:rsid w:val="00D376F1"/>
    <w:rsid w:val="00D377EE"/>
    <w:rsid w:val="00D40924"/>
    <w:rsid w:val="00D409EF"/>
    <w:rsid w:val="00D411AF"/>
    <w:rsid w:val="00D41723"/>
    <w:rsid w:val="00D4191A"/>
    <w:rsid w:val="00D41CAC"/>
    <w:rsid w:val="00D4234F"/>
    <w:rsid w:val="00D423D6"/>
    <w:rsid w:val="00D42535"/>
    <w:rsid w:val="00D426E3"/>
    <w:rsid w:val="00D430B3"/>
    <w:rsid w:val="00D43362"/>
    <w:rsid w:val="00D43BE2"/>
    <w:rsid w:val="00D440D5"/>
    <w:rsid w:val="00D44CD9"/>
    <w:rsid w:val="00D45425"/>
    <w:rsid w:val="00D45899"/>
    <w:rsid w:val="00D45BCB"/>
    <w:rsid w:val="00D45BF4"/>
    <w:rsid w:val="00D45F75"/>
    <w:rsid w:val="00D4603C"/>
    <w:rsid w:val="00D460F5"/>
    <w:rsid w:val="00D4610A"/>
    <w:rsid w:val="00D4617C"/>
    <w:rsid w:val="00D4646E"/>
    <w:rsid w:val="00D46907"/>
    <w:rsid w:val="00D469ED"/>
    <w:rsid w:val="00D473E1"/>
    <w:rsid w:val="00D47A39"/>
    <w:rsid w:val="00D47A5F"/>
    <w:rsid w:val="00D50002"/>
    <w:rsid w:val="00D502F3"/>
    <w:rsid w:val="00D50CCB"/>
    <w:rsid w:val="00D510A3"/>
    <w:rsid w:val="00D510FD"/>
    <w:rsid w:val="00D51410"/>
    <w:rsid w:val="00D51535"/>
    <w:rsid w:val="00D5155B"/>
    <w:rsid w:val="00D5178B"/>
    <w:rsid w:val="00D51A19"/>
    <w:rsid w:val="00D5258C"/>
    <w:rsid w:val="00D52D74"/>
    <w:rsid w:val="00D52F1F"/>
    <w:rsid w:val="00D53250"/>
    <w:rsid w:val="00D5370B"/>
    <w:rsid w:val="00D53CD5"/>
    <w:rsid w:val="00D53E8F"/>
    <w:rsid w:val="00D541E9"/>
    <w:rsid w:val="00D543C3"/>
    <w:rsid w:val="00D54D67"/>
    <w:rsid w:val="00D54E84"/>
    <w:rsid w:val="00D558BC"/>
    <w:rsid w:val="00D55B8E"/>
    <w:rsid w:val="00D55ECB"/>
    <w:rsid w:val="00D560C1"/>
    <w:rsid w:val="00D5661E"/>
    <w:rsid w:val="00D56770"/>
    <w:rsid w:val="00D56847"/>
    <w:rsid w:val="00D56912"/>
    <w:rsid w:val="00D56B1F"/>
    <w:rsid w:val="00D57BBC"/>
    <w:rsid w:val="00D60007"/>
    <w:rsid w:val="00D6024C"/>
    <w:rsid w:val="00D602A7"/>
    <w:rsid w:val="00D60761"/>
    <w:rsid w:val="00D607D4"/>
    <w:rsid w:val="00D60B8C"/>
    <w:rsid w:val="00D61122"/>
    <w:rsid w:val="00D61156"/>
    <w:rsid w:val="00D615D4"/>
    <w:rsid w:val="00D618F8"/>
    <w:rsid w:val="00D61B0D"/>
    <w:rsid w:val="00D61F18"/>
    <w:rsid w:val="00D62222"/>
    <w:rsid w:val="00D6293A"/>
    <w:rsid w:val="00D62B9F"/>
    <w:rsid w:val="00D62FA1"/>
    <w:rsid w:val="00D638C8"/>
    <w:rsid w:val="00D63F0E"/>
    <w:rsid w:val="00D6480C"/>
    <w:rsid w:val="00D64887"/>
    <w:rsid w:val="00D64AEB"/>
    <w:rsid w:val="00D64EBF"/>
    <w:rsid w:val="00D651F1"/>
    <w:rsid w:val="00D65543"/>
    <w:rsid w:val="00D6578F"/>
    <w:rsid w:val="00D65D2C"/>
    <w:rsid w:val="00D65EF2"/>
    <w:rsid w:val="00D65F91"/>
    <w:rsid w:val="00D660EC"/>
    <w:rsid w:val="00D66252"/>
    <w:rsid w:val="00D66523"/>
    <w:rsid w:val="00D66580"/>
    <w:rsid w:val="00D667D5"/>
    <w:rsid w:val="00D66906"/>
    <w:rsid w:val="00D66B0C"/>
    <w:rsid w:val="00D6747E"/>
    <w:rsid w:val="00D675AB"/>
    <w:rsid w:val="00D67E64"/>
    <w:rsid w:val="00D67E96"/>
    <w:rsid w:val="00D67F4C"/>
    <w:rsid w:val="00D70252"/>
    <w:rsid w:val="00D70950"/>
    <w:rsid w:val="00D70CAE"/>
    <w:rsid w:val="00D710C6"/>
    <w:rsid w:val="00D717A8"/>
    <w:rsid w:val="00D71F0C"/>
    <w:rsid w:val="00D72413"/>
    <w:rsid w:val="00D7371F"/>
    <w:rsid w:val="00D73A8D"/>
    <w:rsid w:val="00D73C2D"/>
    <w:rsid w:val="00D73CF2"/>
    <w:rsid w:val="00D74B28"/>
    <w:rsid w:val="00D75248"/>
    <w:rsid w:val="00D75250"/>
    <w:rsid w:val="00D756D1"/>
    <w:rsid w:val="00D75D01"/>
    <w:rsid w:val="00D75DA6"/>
    <w:rsid w:val="00D769E5"/>
    <w:rsid w:val="00D76BA1"/>
    <w:rsid w:val="00D77000"/>
    <w:rsid w:val="00D779C3"/>
    <w:rsid w:val="00D8008E"/>
    <w:rsid w:val="00D800A5"/>
    <w:rsid w:val="00D801D3"/>
    <w:rsid w:val="00D807BD"/>
    <w:rsid w:val="00D807F6"/>
    <w:rsid w:val="00D8087C"/>
    <w:rsid w:val="00D808B0"/>
    <w:rsid w:val="00D80920"/>
    <w:rsid w:val="00D80F09"/>
    <w:rsid w:val="00D82210"/>
    <w:rsid w:val="00D8239D"/>
    <w:rsid w:val="00D8297E"/>
    <w:rsid w:val="00D82D7C"/>
    <w:rsid w:val="00D82F13"/>
    <w:rsid w:val="00D82FEE"/>
    <w:rsid w:val="00D83026"/>
    <w:rsid w:val="00D83F6E"/>
    <w:rsid w:val="00D84952"/>
    <w:rsid w:val="00D850C1"/>
    <w:rsid w:val="00D85667"/>
    <w:rsid w:val="00D8569F"/>
    <w:rsid w:val="00D85B93"/>
    <w:rsid w:val="00D85CCD"/>
    <w:rsid w:val="00D85DB9"/>
    <w:rsid w:val="00D85F54"/>
    <w:rsid w:val="00D866C2"/>
    <w:rsid w:val="00D867B6"/>
    <w:rsid w:val="00D86C06"/>
    <w:rsid w:val="00D86E01"/>
    <w:rsid w:val="00D87375"/>
    <w:rsid w:val="00D87924"/>
    <w:rsid w:val="00D87C2F"/>
    <w:rsid w:val="00D87E4C"/>
    <w:rsid w:val="00D90790"/>
    <w:rsid w:val="00D91052"/>
    <w:rsid w:val="00D917A5"/>
    <w:rsid w:val="00D91C7C"/>
    <w:rsid w:val="00D91E6D"/>
    <w:rsid w:val="00D923D7"/>
    <w:rsid w:val="00D9262F"/>
    <w:rsid w:val="00D93492"/>
    <w:rsid w:val="00D93825"/>
    <w:rsid w:val="00D93BD1"/>
    <w:rsid w:val="00D957CB"/>
    <w:rsid w:val="00D95BBF"/>
    <w:rsid w:val="00D96DF1"/>
    <w:rsid w:val="00D96F15"/>
    <w:rsid w:val="00D97499"/>
    <w:rsid w:val="00D979A3"/>
    <w:rsid w:val="00D97BFA"/>
    <w:rsid w:val="00DA0073"/>
    <w:rsid w:val="00DA0F6E"/>
    <w:rsid w:val="00DA143D"/>
    <w:rsid w:val="00DA16EA"/>
    <w:rsid w:val="00DA17DF"/>
    <w:rsid w:val="00DA1881"/>
    <w:rsid w:val="00DA1B66"/>
    <w:rsid w:val="00DA1BAC"/>
    <w:rsid w:val="00DA1C7C"/>
    <w:rsid w:val="00DA21A5"/>
    <w:rsid w:val="00DA2722"/>
    <w:rsid w:val="00DA287C"/>
    <w:rsid w:val="00DA301B"/>
    <w:rsid w:val="00DA3250"/>
    <w:rsid w:val="00DA38FE"/>
    <w:rsid w:val="00DA3D1B"/>
    <w:rsid w:val="00DA3DF6"/>
    <w:rsid w:val="00DA41D1"/>
    <w:rsid w:val="00DA42C4"/>
    <w:rsid w:val="00DA477B"/>
    <w:rsid w:val="00DA5814"/>
    <w:rsid w:val="00DA5A92"/>
    <w:rsid w:val="00DA5B9C"/>
    <w:rsid w:val="00DA5C89"/>
    <w:rsid w:val="00DA5CA6"/>
    <w:rsid w:val="00DA5D61"/>
    <w:rsid w:val="00DA5DC4"/>
    <w:rsid w:val="00DA61EF"/>
    <w:rsid w:val="00DA7382"/>
    <w:rsid w:val="00DA7496"/>
    <w:rsid w:val="00DA7840"/>
    <w:rsid w:val="00DA7A77"/>
    <w:rsid w:val="00DB0320"/>
    <w:rsid w:val="00DB063B"/>
    <w:rsid w:val="00DB108D"/>
    <w:rsid w:val="00DB122A"/>
    <w:rsid w:val="00DB1B3D"/>
    <w:rsid w:val="00DB1C4E"/>
    <w:rsid w:val="00DB1CB3"/>
    <w:rsid w:val="00DB1E94"/>
    <w:rsid w:val="00DB1F8D"/>
    <w:rsid w:val="00DB23B0"/>
    <w:rsid w:val="00DB2A51"/>
    <w:rsid w:val="00DB2C5D"/>
    <w:rsid w:val="00DB3A24"/>
    <w:rsid w:val="00DB3BC8"/>
    <w:rsid w:val="00DB40D9"/>
    <w:rsid w:val="00DB487D"/>
    <w:rsid w:val="00DB4CE9"/>
    <w:rsid w:val="00DB533A"/>
    <w:rsid w:val="00DB57D1"/>
    <w:rsid w:val="00DB58C0"/>
    <w:rsid w:val="00DB615F"/>
    <w:rsid w:val="00DB6310"/>
    <w:rsid w:val="00DB6A42"/>
    <w:rsid w:val="00DB6D90"/>
    <w:rsid w:val="00DB7262"/>
    <w:rsid w:val="00DB7A05"/>
    <w:rsid w:val="00DB7AC6"/>
    <w:rsid w:val="00DB7E9F"/>
    <w:rsid w:val="00DC062D"/>
    <w:rsid w:val="00DC0F19"/>
    <w:rsid w:val="00DC1250"/>
    <w:rsid w:val="00DC12F4"/>
    <w:rsid w:val="00DC16FD"/>
    <w:rsid w:val="00DC1E11"/>
    <w:rsid w:val="00DC1E97"/>
    <w:rsid w:val="00DC1FAE"/>
    <w:rsid w:val="00DC214A"/>
    <w:rsid w:val="00DC23DB"/>
    <w:rsid w:val="00DC2661"/>
    <w:rsid w:val="00DC278E"/>
    <w:rsid w:val="00DC284D"/>
    <w:rsid w:val="00DC291E"/>
    <w:rsid w:val="00DC3849"/>
    <w:rsid w:val="00DC3BFD"/>
    <w:rsid w:val="00DC406A"/>
    <w:rsid w:val="00DC53B4"/>
    <w:rsid w:val="00DC5A0C"/>
    <w:rsid w:val="00DC5CAB"/>
    <w:rsid w:val="00DC5F68"/>
    <w:rsid w:val="00DC6036"/>
    <w:rsid w:val="00DC6169"/>
    <w:rsid w:val="00DC6402"/>
    <w:rsid w:val="00DC656B"/>
    <w:rsid w:val="00DC673F"/>
    <w:rsid w:val="00DC6AA3"/>
    <w:rsid w:val="00DC6FAB"/>
    <w:rsid w:val="00DC71A9"/>
    <w:rsid w:val="00DC7303"/>
    <w:rsid w:val="00DC76F1"/>
    <w:rsid w:val="00DC7F1C"/>
    <w:rsid w:val="00DD01ED"/>
    <w:rsid w:val="00DD0328"/>
    <w:rsid w:val="00DD055E"/>
    <w:rsid w:val="00DD0DB0"/>
    <w:rsid w:val="00DD13C6"/>
    <w:rsid w:val="00DD1D92"/>
    <w:rsid w:val="00DD1F93"/>
    <w:rsid w:val="00DD2118"/>
    <w:rsid w:val="00DD2653"/>
    <w:rsid w:val="00DD26FB"/>
    <w:rsid w:val="00DD278B"/>
    <w:rsid w:val="00DD2E45"/>
    <w:rsid w:val="00DD304C"/>
    <w:rsid w:val="00DD31ED"/>
    <w:rsid w:val="00DD3606"/>
    <w:rsid w:val="00DD39B2"/>
    <w:rsid w:val="00DD427E"/>
    <w:rsid w:val="00DD49E1"/>
    <w:rsid w:val="00DD4F15"/>
    <w:rsid w:val="00DD4F4E"/>
    <w:rsid w:val="00DD5396"/>
    <w:rsid w:val="00DD55C6"/>
    <w:rsid w:val="00DD5B87"/>
    <w:rsid w:val="00DD6702"/>
    <w:rsid w:val="00DD69D4"/>
    <w:rsid w:val="00DD6D56"/>
    <w:rsid w:val="00DD7089"/>
    <w:rsid w:val="00DD73CF"/>
    <w:rsid w:val="00DD7B5C"/>
    <w:rsid w:val="00DE012F"/>
    <w:rsid w:val="00DE03F2"/>
    <w:rsid w:val="00DE05CE"/>
    <w:rsid w:val="00DE05E6"/>
    <w:rsid w:val="00DE098B"/>
    <w:rsid w:val="00DE0B4F"/>
    <w:rsid w:val="00DE0B92"/>
    <w:rsid w:val="00DE0E60"/>
    <w:rsid w:val="00DE171D"/>
    <w:rsid w:val="00DE1A26"/>
    <w:rsid w:val="00DE1F02"/>
    <w:rsid w:val="00DE1F8E"/>
    <w:rsid w:val="00DE2131"/>
    <w:rsid w:val="00DE2269"/>
    <w:rsid w:val="00DE26C5"/>
    <w:rsid w:val="00DE32ED"/>
    <w:rsid w:val="00DE37E5"/>
    <w:rsid w:val="00DE4594"/>
    <w:rsid w:val="00DE4749"/>
    <w:rsid w:val="00DE4AEF"/>
    <w:rsid w:val="00DE4B4B"/>
    <w:rsid w:val="00DE4D76"/>
    <w:rsid w:val="00DE4E89"/>
    <w:rsid w:val="00DE5F4C"/>
    <w:rsid w:val="00DE61CB"/>
    <w:rsid w:val="00DE673C"/>
    <w:rsid w:val="00DE6976"/>
    <w:rsid w:val="00DE6EC4"/>
    <w:rsid w:val="00DF040A"/>
    <w:rsid w:val="00DF048E"/>
    <w:rsid w:val="00DF065C"/>
    <w:rsid w:val="00DF0B2C"/>
    <w:rsid w:val="00DF0E94"/>
    <w:rsid w:val="00DF117A"/>
    <w:rsid w:val="00DF14AB"/>
    <w:rsid w:val="00DF181A"/>
    <w:rsid w:val="00DF18D0"/>
    <w:rsid w:val="00DF1E20"/>
    <w:rsid w:val="00DF1EF0"/>
    <w:rsid w:val="00DF2112"/>
    <w:rsid w:val="00DF232C"/>
    <w:rsid w:val="00DF24B9"/>
    <w:rsid w:val="00DF289A"/>
    <w:rsid w:val="00DF2973"/>
    <w:rsid w:val="00DF29F3"/>
    <w:rsid w:val="00DF2AA9"/>
    <w:rsid w:val="00DF2CCA"/>
    <w:rsid w:val="00DF3D20"/>
    <w:rsid w:val="00DF3DDA"/>
    <w:rsid w:val="00DF40CE"/>
    <w:rsid w:val="00DF469D"/>
    <w:rsid w:val="00DF46A1"/>
    <w:rsid w:val="00DF4968"/>
    <w:rsid w:val="00DF4B4B"/>
    <w:rsid w:val="00DF4EB4"/>
    <w:rsid w:val="00DF52FF"/>
    <w:rsid w:val="00DF58BC"/>
    <w:rsid w:val="00DF5BEF"/>
    <w:rsid w:val="00DF5D49"/>
    <w:rsid w:val="00DF61A7"/>
    <w:rsid w:val="00DF6432"/>
    <w:rsid w:val="00DF66AF"/>
    <w:rsid w:val="00DF7926"/>
    <w:rsid w:val="00E006B3"/>
    <w:rsid w:val="00E00989"/>
    <w:rsid w:val="00E00CFE"/>
    <w:rsid w:val="00E01057"/>
    <w:rsid w:val="00E014E7"/>
    <w:rsid w:val="00E01DFE"/>
    <w:rsid w:val="00E01F6D"/>
    <w:rsid w:val="00E0255D"/>
    <w:rsid w:val="00E026F3"/>
    <w:rsid w:val="00E027E5"/>
    <w:rsid w:val="00E02F16"/>
    <w:rsid w:val="00E035BD"/>
    <w:rsid w:val="00E03724"/>
    <w:rsid w:val="00E0475E"/>
    <w:rsid w:val="00E04A1E"/>
    <w:rsid w:val="00E04D08"/>
    <w:rsid w:val="00E053BB"/>
    <w:rsid w:val="00E054FF"/>
    <w:rsid w:val="00E05C87"/>
    <w:rsid w:val="00E0688D"/>
    <w:rsid w:val="00E06ECB"/>
    <w:rsid w:val="00E06EFE"/>
    <w:rsid w:val="00E06FBE"/>
    <w:rsid w:val="00E072D7"/>
    <w:rsid w:val="00E07373"/>
    <w:rsid w:val="00E0739C"/>
    <w:rsid w:val="00E078F5"/>
    <w:rsid w:val="00E101C9"/>
    <w:rsid w:val="00E1099D"/>
    <w:rsid w:val="00E10FFC"/>
    <w:rsid w:val="00E11018"/>
    <w:rsid w:val="00E114EE"/>
    <w:rsid w:val="00E11AA4"/>
    <w:rsid w:val="00E11B41"/>
    <w:rsid w:val="00E120EA"/>
    <w:rsid w:val="00E122C1"/>
    <w:rsid w:val="00E125AD"/>
    <w:rsid w:val="00E126B0"/>
    <w:rsid w:val="00E12F47"/>
    <w:rsid w:val="00E13132"/>
    <w:rsid w:val="00E134C0"/>
    <w:rsid w:val="00E13DFF"/>
    <w:rsid w:val="00E14C1B"/>
    <w:rsid w:val="00E14E03"/>
    <w:rsid w:val="00E1577A"/>
    <w:rsid w:val="00E15C75"/>
    <w:rsid w:val="00E15EF4"/>
    <w:rsid w:val="00E16640"/>
    <w:rsid w:val="00E16DD2"/>
    <w:rsid w:val="00E174DC"/>
    <w:rsid w:val="00E178B4"/>
    <w:rsid w:val="00E17A5E"/>
    <w:rsid w:val="00E17D74"/>
    <w:rsid w:val="00E17E0F"/>
    <w:rsid w:val="00E17F9D"/>
    <w:rsid w:val="00E21344"/>
    <w:rsid w:val="00E2149D"/>
    <w:rsid w:val="00E21D4F"/>
    <w:rsid w:val="00E22118"/>
    <w:rsid w:val="00E22201"/>
    <w:rsid w:val="00E23014"/>
    <w:rsid w:val="00E23215"/>
    <w:rsid w:val="00E2336D"/>
    <w:rsid w:val="00E236ED"/>
    <w:rsid w:val="00E23852"/>
    <w:rsid w:val="00E23D27"/>
    <w:rsid w:val="00E242E3"/>
    <w:rsid w:val="00E243A0"/>
    <w:rsid w:val="00E244A9"/>
    <w:rsid w:val="00E247F8"/>
    <w:rsid w:val="00E249B3"/>
    <w:rsid w:val="00E249CA"/>
    <w:rsid w:val="00E259E8"/>
    <w:rsid w:val="00E26320"/>
    <w:rsid w:val="00E26470"/>
    <w:rsid w:val="00E268B0"/>
    <w:rsid w:val="00E270D2"/>
    <w:rsid w:val="00E2717E"/>
    <w:rsid w:val="00E27352"/>
    <w:rsid w:val="00E275A6"/>
    <w:rsid w:val="00E277A5"/>
    <w:rsid w:val="00E27834"/>
    <w:rsid w:val="00E27A36"/>
    <w:rsid w:val="00E27CE8"/>
    <w:rsid w:val="00E27E25"/>
    <w:rsid w:val="00E3007E"/>
    <w:rsid w:val="00E3027E"/>
    <w:rsid w:val="00E30524"/>
    <w:rsid w:val="00E30883"/>
    <w:rsid w:val="00E311E7"/>
    <w:rsid w:val="00E3148E"/>
    <w:rsid w:val="00E31905"/>
    <w:rsid w:val="00E31A64"/>
    <w:rsid w:val="00E31C27"/>
    <w:rsid w:val="00E323F2"/>
    <w:rsid w:val="00E3289F"/>
    <w:rsid w:val="00E32D99"/>
    <w:rsid w:val="00E33002"/>
    <w:rsid w:val="00E332F7"/>
    <w:rsid w:val="00E33B15"/>
    <w:rsid w:val="00E33B22"/>
    <w:rsid w:val="00E33D77"/>
    <w:rsid w:val="00E33D9C"/>
    <w:rsid w:val="00E33FA0"/>
    <w:rsid w:val="00E34110"/>
    <w:rsid w:val="00E341D6"/>
    <w:rsid w:val="00E3474B"/>
    <w:rsid w:val="00E347BD"/>
    <w:rsid w:val="00E3497A"/>
    <w:rsid w:val="00E34EF2"/>
    <w:rsid w:val="00E35564"/>
    <w:rsid w:val="00E355D6"/>
    <w:rsid w:val="00E35FE9"/>
    <w:rsid w:val="00E361F8"/>
    <w:rsid w:val="00E367D2"/>
    <w:rsid w:val="00E36CBD"/>
    <w:rsid w:val="00E36D59"/>
    <w:rsid w:val="00E36E69"/>
    <w:rsid w:val="00E376A3"/>
    <w:rsid w:val="00E401BF"/>
    <w:rsid w:val="00E40AFD"/>
    <w:rsid w:val="00E40EA2"/>
    <w:rsid w:val="00E40EF2"/>
    <w:rsid w:val="00E415C0"/>
    <w:rsid w:val="00E4175A"/>
    <w:rsid w:val="00E41EE2"/>
    <w:rsid w:val="00E425FA"/>
    <w:rsid w:val="00E42F6D"/>
    <w:rsid w:val="00E431C1"/>
    <w:rsid w:val="00E43695"/>
    <w:rsid w:val="00E44017"/>
    <w:rsid w:val="00E440B9"/>
    <w:rsid w:val="00E442B8"/>
    <w:rsid w:val="00E44317"/>
    <w:rsid w:val="00E44D4D"/>
    <w:rsid w:val="00E455BA"/>
    <w:rsid w:val="00E4580E"/>
    <w:rsid w:val="00E467F3"/>
    <w:rsid w:val="00E46B4B"/>
    <w:rsid w:val="00E46D99"/>
    <w:rsid w:val="00E46EA6"/>
    <w:rsid w:val="00E4785C"/>
    <w:rsid w:val="00E47C20"/>
    <w:rsid w:val="00E47D25"/>
    <w:rsid w:val="00E47F2D"/>
    <w:rsid w:val="00E5031C"/>
    <w:rsid w:val="00E50344"/>
    <w:rsid w:val="00E50777"/>
    <w:rsid w:val="00E51038"/>
    <w:rsid w:val="00E51A64"/>
    <w:rsid w:val="00E523B4"/>
    <w:rsid w:val="00E526FE"/>
    <w:rsid w:val="00E52744"/>
    <w:rsid w:val="00E53247"/>
    <w:rsid w:val="00E5398B"/>
    <w:rsid w:val="00E5418F"/>
    <w:rsid w:val="00E543C2"/>
    <w:rsid w:val="00E546A0"/>
    <w:rsid w:val="00E54C0F"/>
    <w:rsid w:val="00E54C37"/>
    <w:rsid w:val="00E55155"/>
    <w:rsid w:val="00E55578"/>
    <w:rsid w:val="00E555CF"/>
    <w:rsid w:val="00E55A9A"/>
    <w:rsid w:val="00E55B64"/>
    <w:rsid w:val="00E55DEA"/>
    <w:rsid w:val="00E55E6F"/>
    <w:rsid w:val="00E55FE1"/>
    <w:rsid w:val="00E5600B"/>
    <w:rsid w:val="00E56779"/>
    <w:rsid w:val="00E56F70"/>
    <w:rsid w:val="00E56FA5"/>
    <w:rsid w:val="00E57762"/>
    <w:rsid w:val="00E6004A"/>
    <w:rsid w:val="00E60095"/>
    <w:rsid w:val="00E609B7"/>
    <w:rsid w:val="00E60C36"/>
    <w:rsid w:val="00E610CB"/>
    <w:rsid w:val="00E6128D"/>
    <w:rsid w:val="00E615CA"/>
    <w:rsid w:val="00E6182F"/>
    <w:rsid w:val="00E61946"/>
    <w:rsid w:val="00E61F4A"/>
    <w:rsid w:val="00E6201E"/>
    <w:rsid w:val="00E624B9"/>
    <w:rsid w:val="00E62E72"/>
    <w:rsid w:val="00E630CA"/>
    <w:rsid w:val="00E63261"/>
    <w:rsid w:val="00E63275"/>
    <w:rsid w:val="00E63492"/>
    <w:rsid w:val="00E635E5"/>
    <w:rsid w:val="00E63A00"/>
    <w:rsid w:val="00E63BE3"/>
    <w:rsid w:val="00E63E1C"/>
    <w:rsid w:val="00E64538"/>
    <w:rsid w:val="00E64666"/>
    <w:rsid w:val="00E64684"/>
    <w:rsid w:val="00E64809"/>
    <w:rsid w:val="00E64C76"/>
    <w:rsid w:val="00E652A8"/>
    <w:rsid w:val="00E65365"/>
    <w:rsid w:val="00E6544F"/>
    <w:rsid w:val="00E656E5"/>
    <w:rsid w:val="00E65704"/>
    <w:rsid w:val="00E65A27"/>
    <w:rsid w:val="00E65AF6"/>
    <w:rsid w:val="00E65D88"/>
    <w:rsid w:val="00E660D6"/>
    <w:rsid w:val="00E66123"/>
    <w:rsid w:val="00E66360"/>
    <w:rsid w:val="00E665F7"/>
    <w:rsid w:val="00E66CFD"/>
    <w:rsid w:val="00E67017"/>
    <w:rsid w:val="00E679E8"/>
    <w:rsid w:val="00E67A40"/>
    <w:rsid w:val="00E67A41"/>
    <w:rsid w:val="00E67BFB"/>
    <w:rsid w:val="00E70382"/>
    <w:rsid w:val="00E70A7D"/>
    <w:rsid w:val="00E70AF7"/>
    <w:rsid w:val="00E70B90"/>
    <w:rsid w:val="00E70CEE"/>
    <w:rsid w:val="00E71059"/>
    <w:rsid w:val="00E715DB"/>
    <w:rsid w:val="00E722CB"/>
    <w:rsid w:val="00E72608"/>
    <w:rsid w:val="00E72D4A"/>
    <w:rsid w:val="00E73055"/>
    <w:rsid w:val="00E731DA"/>
    <w:rsid w:val="00E73379"/>
    <w:rsid w:val="00E733A5"/>
    <w:rsid w:val="00E73468"/>
    <w:rsid w:val="00E73E13"/>
    <w:rsid w:val="00E7407A"/>
    <w:rsid w:val="00E74613"/>
    <w:rsid w:val="00E74664"/>
    <w:rsid w:val="00E746CF"/>
    <w:rsid w:val="00E7480E"/>
    <w:rsid w:val="00E74C4D"/>
    <w:rsid w:val="00E74EDB"/>
    <w:rsid w:val="00E7508A"/>
    <w:rsid w:val="00E752F3"/>
    <w:rsid w:val="00E753C6"/>
    <w:rsid w:val="00E75937"/>
    <w:rsid w:val="00E75C3B"/>
    <w:rsid w:val="00E75EA7"/>
    <w:rsid w:val="00E763FF"/>
    <w:rsid w:val="00E769AB"/>
    <w:rsid w:val="00E76B84"/>
    <w:rsid w:val="00E76D9C"/>
    <w:rsid w:val="00E77131"/>
    <w:rsid w:val="00E7725E"/>
    <w:rsid w:val="00E772EE"/>
    <w:rsid w:val="00E7774C"/>
    <w:rsid w:val="00E77C17"/>
    <w:rsid w:val="00E77EA3"/>
    <w:rsid w:val="00E805CD"/>
    <w:rsid w:val="00E806F7"/>
    <w:rsid w:val="00E80997"/>
    <w:rsid w:val="00E80C39"/>
    <w:rsid w:val="00E811DA"/>
    <w:rsid w:val="00E81826"/>
    <w:rsid w:val="00E81F20"/>
    <w:rsid w:val="00E82C18"/>
    <w:rsid w:val="00E831E4"/>
    <w:rsid w:val="00E83707"/>
    <w:rsid w:val="00E83EDB"/>
    <w:rsid w:val="00E84525"/>
    <w:rsid w:val="00E84C4F"/>
    <w:rsid w:val="00E84D12"/>
    <w:rsid w:val="00E855D4"/>
    <w:rsid w:val="00E85C37"/>
    <w:rsid w:val="00E85D0E"/>
    <w:rsid w:val="00E85FCD"/>
    <w:rsid w:val="00E860E3"/>
    <w:rsid w:val="00E86DF0"/>
    <w:rsid w:val="00E87574"/>
    <w:rsid w:val="00E87F3E"/>
    <w:rsid w:val="00E90998"/>
    <w:rsid w:val="00E90A97"/>
    <w:rsid w:val="00E90C45"/>
    <w:rsid w:val="00E90F33"/>
    <w:rsid w:val="00E91319"/>
    <w:rsid w:val="00E91461"/>
    <w:rsid w:val="00E915D9"/>
    <w:rsid w:val="00E91700"/>
    <w:rsid w:val="00E9178E"/>
    <w:rsid w:val="00E91A2A"/>
    <w:rsid w:val="00E920E6"/>
    <w:rsid w:val="00E92313"/>
    <w:rsid w:val="00E92666"/>
    <w:rsid w:val="00E929DD"/>
    <w:rsid w:val="00E92C3E"/>
    <w:rsid w:val="00E930A3"/>
    <w:rsid w:val="00E93354"/>
    <w:rsid w:val="00E93470"/>
    <w:rsid w:val="00E9368F"/>
    <w:rsid w:val="00E939C0"/>
    <w:rsid w:val="00E94559"/>
    <w:rsid w:val="00E94827"/>
    <w:rsid w:val="00E94910"/>
    <w:rsid w:val="00E94A27"/>
    <w:rsid w:val="00E94B37"/>
    <w:rsid w:val="00E94C6A"/>
    <w:rsid w:val="00E9522A"/>
    <w:rsid w:val="00E95DD9"/>
    <w:rsid w:val="00E963F1"/>
    <w:rsid w:val="00E96448"/>
    <w:rsid w:val="00E96817"/>
    <w:rsid w:val="00E97079"/>
    <w:rsid w:val="00E97118"/>
    <w:rsid w:val="00E9751A"/>
    <w:rsid w:val="00E97754"/>
    <w:rsid w:val="00E977B2"/>
    <w:rsid w:val="00E979CE"/>
    <w:rsid w:val="00E97C4F"/>
    <w:rsid w:val="00EA0115"/>
    <w:rsid w:val="00EA074C"/>
    <w:rsid w:val="00EA0837"/>
    <w:rsid w:val="00EA1117"/>
    <w:rsid w:val="00EA1CC6"/>
    <w:rsid w:val="00EA1CF3"/>
    <w:rsid w:val="00EA1D06"/>
    <w:rsid w:val="00EA1DBC"/>
    <w:rsid w:val="00EA1E17"/>
    <w:rsid w:val="00EA1E3C"/>
    <w:rsid w:val="00EA1F56"/>
    <w:rsid w:val="00EA207E"/>
    <w:rsid w:val="00EA223D"/>
    <w:rsid w:val="00EA2804"/>
    <w:rsid w:val="00EA2BA3"/>
    <w:rsid w:val="00EA2BE6"/>
    <w:rsid w:val="00EA31F8"/>
    <w:rsid w:val="00EA32C6"/>
    <w:rsid w:val="00EA3756"/>
    <w:rsid w:val="00EA3A4F"/>
    <w:rsid w:val="00EA4009"/>
    <w:rsid w:val="00EA4314"/>
    <w:rsid w:val="00EA43F8"/>
    <w:rsid w:val="00EA4AAC"/>
    <w:rsid w:val="00EA5760"/>
    <w:rsid w:val="00EA6254"/>
    <w:rsid w:val="00EA62D8"/>
    <w:rsid w:val="00EA636B"/>
    <w:rsid w:val="00EA682F"/>
    <w:rsid w:val="00EA6C5E"/>
    <w:rsid w:val="00EA7265"/>
    <w:rsid w:val="00EB0139"/>
    <w:rsid w:val="00EB0D77"/>
    <w:rsid w:val="00EB0EDA"/>
    <w:rsid w:val="00EB1E37"/>
    <w:rsid w:val="00EB23D1"/>
    <w:rsid w:val="00EB2593"/>
    <w:rsid w:val="00EB2C16"/>
    <w:rsid w:val="00EB2F67"/>
    <w:rsid w:val="00EB3000"/>
    <w:rsid w:val="00EB3045"/>
    <w:rsid w:val="00EB383A"/>
    <w:rsid w:val="00EB4021"/>
    <w:rsid w:val="00EB41E2"/>
    <w:rsid w:val="00EB4213"/>
    <w:rsid w:val="00EB463B"/>
    <w:rsid w:val="00EB47BB"/>
    <w:rsid w:val="00EB5333"/>
    <w:rsid w:val="00EB5648"/>
    <w:rsid w:val="00EB57F8"/>
    <w:rsid w:val="00EB58C0"/>
    <w:rsid w:val="00EB58F3"/>
    <w:rsid w:val="00EB58FA"/>
    <w:rsid w:val="00EB5B6D"/>
    <w:rsid w:val="00EB5D59"/>
    <w:rsid w:val="00EB63DF"/>
    <w:rsid w:val="00EB6659"/>
    <w:rsid w:val="00EB6D3E"/>
    <w:rsid w:val="00EB7A92"/>
    <w:rsid w:val="00EC0680"/>
    <w:rsid w:val="00EC0947"/>
    <w:rsid w:val="00EC0AD6"/>
    <w:rsid w:val="00EC0D59"/>
    <w:rsid w:val="00EC0EE0"/>
    <w:rsid w:val="00EC134B"/>
    <w:rsid w:val="00EC1DCF"/>
    <w:rsid w:val="00EC25A5"/>
    <w:rsid w:val="00EC26E4"/>
    <w:rsid w:val="00EC2A36"/>
    <w:rsid w:val="00EC2CE4"/>
    <w:rsid w:val="00EC2EC6"/>
    <w:rsid w:val="00EC30EF"/>
    <w:rsid w:val="00EC34FE"/>
    <w:rsid w:val="00EC382A"/>
    <w:rsid w:val="00EC3C24"/>
    <w:rsid w:val="00EC3E71"/>
    <w:rsid w:val="00EC3E9D"/>
    <w:rsid w:val="00EC4395"/>
    <w:rsid w:val="00EC4853"/>
    <w:rsid w:val="00EC5524"/>
    <w:rsid w:val="00EC59D4"/>
    <w:rsid w:val="00EC5CD9"/>
    <w:rsid w:val="00EC5FC9"/>
    <w:rsid w:val="00EC5FF5"/>
    <w:rsid w:val="00EC6515"/>
    <w:rsid w:val="00EC65E3"/>
    <w:rsid w:val="00EC6894"/>
    <w:rsid w:val="00EC6C89"/>
    <w:rsid w:val="00EC7558"/>
    <w:rsid w:val="00EC75BB"/>
    <w:rsid w:val="00EC7A35"/>
    <w:rsid w:val="00EC7B99"/>
    <w:rsid w:val="00ED0A25"/>
    <w:rsid w:val="00ED1215"/>
    <w:rsid w:val="00ED193F"/>
    <w:rsid w:val="00ED195E"/>
    <w:rsid w:val="00ED1C4F"/>
    <w:rsid w:val="00ED1CF0"/>
    <w:rsid w:val="00ED1D1D"/>
    <w:rsid w:val="00ED239A"/>
    <w:rsid w:val="00ED27EA"/>
    <w:rsid w:val="00ED2EF8"/>
    <w:rsid w:val="00ED32DC"/>
    <w:rsid w:val="00ED3CCD"/>
    <w:rsid w:val="00ED42BC"/>
    <w:rsid w:val="00ED470A"/>
    <w:rsid w:val="00ED5190"/>
    <w:rsid w:val="00ED531A"/>
    <w:rsid w:val="00ED565A"/>
    <w:rsid w:val="00ED68AF"/>
    <w:rsid w:val="00ED6B6E"/>
    <w:rsid w:val="00ED6D40"/>
    <w:rsid w:val="00ED6DB2"/>
    <w:rsid w:val="00ED6E38"/>
    <w:rsid w:val="00ED6FCB"/>
    <w:rsid w:val="00ED70B5"/>
    <w:rsid w:val="00EE0056"/>
    <w:rsid w:val="00EE00FA"/>
    <w:rsid w:val="00EE04C7"/>
    <w:rsid w:val="00EE1085"/>
    <w:rsid w:val="00EE111E"/>
    <w:rsid w:val="00EE1785"/>
    <w:rsid w:val="00EE1C42"/>
    <w:rsid w:val="00EE22AA"/>
    <w:rsid w:val="00EE25C5"/>
    <w:rsid w:val="00EE2813"/>
    <w:rsid w:val="00EE2A18"/>
    <w:rsid w:val="00EE2A83"/>
    <w:rsid w:val="00EE2C10"/>
    <w:rsid w:val="00EE31AA"/>
    <w:rsid w:val="00EE366D"/>
    <w:rsid w:val="00EE39CB"/>
    <w:rsid w:val="00EE3AF7"/>
    <w:rsid w:val="00EE3BAE"/>
    <w:rsid w:val="00EE3E83"/>
    <w:rsid w:val="00EE3EBB"/>
    <w:rsid w:val="00EE3FBD"/>
    <w:rsid w:val="00EE41FC"/>
    <w:rsid w:val="00EE4264"/>
    <w:rsid w:val="00EE43FC"/>
    <w:rsid w:val="00EE51FE"/>
    <w:rsid w:val="00EE55E0"/>
    <w:rsid w:val="00EE5B0A"/>
    <w:rsid w:val="00EE5B48"/>
    <w:rsid w:val="00EE5D99"/>
    <w:rsid w:val="00EE6301"/>
    <w:rsid w:val="00EE6348"/>
    <w:rsid w:val="00EE6380"/>
    <w:rsid w:val="00EE6779"/>
    <w:rsid w:val="00EE6840"/>
    <w:rsid w:val="00EE6AD3"/>
    <w:rsid w:val="00EE6DC8"/>
    <w:rsid w:val="00EE6DDD"/>
    <w:rsid w:val="00EE75FD"/>
    <w:rsid w:val="00EE7619"/>
    <w:rsid w:val="00EE7726"/>
    <w:rsid w:val="00EE77D6"/>
    <w:rsid w:val="00EE781C"/>
    <w:rsid w:val="00EF0580"/>
    <w:rsid w:val="00EF0D29"/>
    <w:rsid w:val="00EF1364"/>
    <w:rsid w:val="00EF15FC"/>
    <w:rsid w:val="00EF1D66"/>
    <w:rsid w:val="00EF25A1"/>
    <w:rsid w:val="00EF268C"/>
    <w:rsid w:val="00EF2BDB"/>
    <w:rsid w:val="00EF2C64"/>
    <w:rsid w:val="00EF2FA5"/>
    <w:rsid w:val="00EF30B5"/>
    <w:rsid w:val="00EF329B"/>
    <w:rsid w:val="00EF33D3"/>
    <w:rsid w:val="00EF347F"/>
    <w:rsid w:val="00EF3E69"/>
    <w:rsid w:val="00EF43B0"/>
    <w:rsid w:val="00EF4BC9"/>
    <w:rsid w:val="00EF4DED"/>
    <w:rsid w:val="00EF5087"/>
    <w:rsid w:val="00EF54DE"/>
    <w:rsid w:val="00EF565A"/>
    <w:rsid w:val="00EF5D83"/>
    <w:rsid w:val="00EF5D87"/>
    <w:rsid w:val="00EF62AF"/>
    <w:rsid w:val="00EF6529"/>
    <w:rsid w:val="00EF66D3"/>
    <w:rsid w:val="00EF6A24"/>
    <w:rsid w:val="00EF6A95"/>
    <w:rsid w:val="00EF6CFC"/>
    <w:rsid w:val="00EF753C"/>
    <w:rsid w:val="00EF7960"/>
    <w:rsid w:val="00EF7B71"/>
    <w:rsid w:val="00EF7BC9"/>
    <w:rsid w:val="00EF7C96"/>
    <w:rsid w:val="00F007B1"/>
    <w:rsid w:val="00F007DE"/>
    <w:rsid w:val="00F0096E"/>
    <w:rsid w:val="00F00D90"/>
    <w:rsid w:val="00F0116D"/>
    <w:rsid w:val="00F01183"/>
    <w:rsid w:val="00F01199"/>
    <w:rsid w:val="00F01591"/>
    <w:rsid w:val="00F01B98"/>
    <w:rsid w:val="00F01C30"/>
    <w:rsid w:val="00F01F4F"/>
    <w:rsid w:val="00F02332"/>
    <w:rsid w:val="00F02488"/>
    <w:rsid w:val="00F0275D"/>
    <w:rsid w:val="00F02A00"/>
    <w:rsid w:val="00F02C34"/>
    <w:rsid w:val="00F035E9"/>
    <w:rsid w:val="00F03A68"/>
    <w:rsid w:val="00F0479E"/>
    <w:rsid w:val="00F04EC4"/>
    <w:rsid w:val="00F054D5"/>
    <w:rsid w:val="00F0564B"/>
    <w:rsid w:val="00F062CB"/>
    <w:rsid w:val="00F06479"/>
    <w:rsid w:val="00F06494"/>
    <w:rsid w:val="00F0656D"/>
    <w:rsid w:val="00F067BE"/>
    <w:rsid w:val="00F06926"/>
    <w:rsid w:val="00F069D8"/>
    <w:rsid w:val="00F06A18"/>
    <w:rsid w:val="00F06A20"/>
    <w:rsid w:val="00F0784A"/>
    <w:rsid w:val="00F07F46"/>
    <w:rsid w:val="00F10374"/>
    <w:rsid w:val="00F104CA"/>
    <w:rsid w:val="00F10B23"/>
    <w:rsid w:val="00F10BC1"/>
    <w:rsid w:val="00F11093"/>
    <w:rsid w:val="00F11210"/>
    <w:rsid w:val="00F11739"/>
    <w:rsid w:val="00F11A9C"/>
    <w:rsid w:val="00F11BBC"/>
    <w:rsid w:val="00F1227D"/>
    <w:rsid w:val="00F128C3"/>
    <w:rsid w:val="00F12E97"/>
    <w:rsid w:val="00F12F89"/>
    <w:rsid w:val="00F13770"/>
    <w:rsid w:val="00F13CD1"/>
    <w:rsid w:val="00F13F46"/>
    <w:rsid w:val="00F1402A"/>
    <w:rsid w:val="00F143A4"/>
    <w:rsid w:val="00F147B5"/>
    <w:rsid w:val="00F14886"/>
    <w:rsid w:val="00F14936"/>
    <w:rsid w:val="00F14BA6"/>
    <w:rsid w:val="00F14F60"/>
    <w:rsid w:val="00F153EE"/>
    <w:rsid w:val="00F1556C"/>
    <w:rsid w:val="00F15936"/>
    <w:rsid w:val="00F15F21"/>
    <w:rsid w:val="00F16056"/>
    <w:rsid w:val="00F16638"/>
    <w:rsid w:val="00F171E5"/>
    <w:rsid w:val="00F17BDA"/>
    <w:rsid w:val="00F20542"/>
    <w:rsid w:val="00F207B5"/>
    <w:rsid w:val="00F20943"/>
    <w:rsid w:val="00F20B26"/>
    <w:rsid w:val="00F216A4"/>
    <w:rsid w:val="00F21CD4"/>
    <w:rsid w:val="00F21DB7"/>
    <w:rsid w:val="00F2219F"/>
    <w:rsid w:val="00F22C31"/>
    <w:rsid w:val="00F230B3"/>
    <w:rsid w:val="00F230C9"/>
    <w:rsid w:val="00F233E3"/>
    <w:rsid w:val="00F23728"/>
    <w:rsid w:val="00F23927"/>
    <w:rsid w:val="00F23B70"/>
    <w:rsid w:val="00F23D2D"/>
    <w:rsid w:val="00F23E4B"/>
    <w:rsid w:val="00F240B9"/>
    <w:rsid w:val="00F24717"/>
    <w:rsid w:val="00F24A87"/>
    <w:rsid w:val="00F24B2F"/>
    <w:rsid w:val="00F24BCF"/>
    <w:rsid w:val="00F24C1C"/>
    <w:rsid w:val="00F24F5D"/>
    <w:rsid w:val="00F25104"/>
    <w:rsid w:val="00F252AE"/>
    <w:rsid w:val="00F25885"/>
    <w:rsid w:val="00F25DD9"/>
    <w:rsid w:val="00F25DF8"/>
    <w:rsid w:val="00F26304"/>
    <w:rsid w:val="00F26E7C"/>
    <w:rsid w:val="00F2753A"/>
    <w:rsid w:val="00F27715"/>
    <w:rsid w:val="00F302FA"/>
    <w:rsid w:val="00F30805"/>
    <w:rsid w:val="00F30948"/>
    <w:rsid w:val="00F30AA7"/>
    <w:rsid w:val="00F30FA8"/>
    <w:rsid w:val="00F3146B"/>
    <w:rsid w:val="00F31689"/>
    <w:rsid w:val="00F31ED2"/>
    <w:rsid w:val="00F320AF"/>
    <w:rsid w:val="00F32939"/>
    <w:rsid w:val="00F32A28"/>
    <w:rsid w:val="00F32EB6"/>
    <w:rsid w:val="00F3385E"/>
    <w:rsid w:val="00F33CFA"/>
    <w:rsid w:val="00F342F5"/>
    <w:rsid w:val="00F3433B"/>
    <w:rsid w:val="00F3438B"/>
    <w:rsid w:val="00F34538"/>
    <w:rsid w:val="00F346A9"/>
    <w:rsid w:val="00F34B56"/>
    <w:rsid w:val="00F34C4E"/>
    <w:rsid w:val="00F34D1A"/>
    <w:rsid w:val="00F35B4F"/>
    <w:rsid w:val="00F35F1F"/>
    <w:rsid w:val="00F3656D"/>
    <w:rsid w:val="00F3660B"/>
    <w:rsid w:val="00F3663E"/>
    <w:rsid w:val="00F36925"/>
    <w:rsid w:val="00F36BEC"/>
    <w:rsid w:val="00F36CDE"/>
    <w:rsid w:val="00F36EC4"/>
    <w:rsid w:val="00F3716F"/>
    <w:rsid w:val="00F372AF"/>
    <w:rsid w:val="00F37489"/>
    <w:rsid w:val="00F377E3"/>
    <w:rsid w:val="00F37DEC"/>
    <w:rsid w:val="00F4000E"/>
    <w:rsid w:val="00F40E1E"/>
    <w:rsid w:val="00F411F3"/>
    <w:rsid w:val="00F4122D"/>
    <w:rsid w:val="00F41539"/>
    <w:rsid w:val="00F419B8"/>
    <w:rsid w:val="00F41C4B"/>
    <w:rsid w:val="00F42020"/>
    <w:rsid w:val="00F422B9"/>
    <w:rsid w:val="00F423D2"/>
    <w:rsid w:val="00F430B7"/>
    <w:rsid w:val="00F43104"/>
    <w:rsid w:val="00F432B0"/>
    <w:rsid w:val="00F43914"/>
    <w:rsid w:val="00F43A4C"/>
    <w:rsid w:val="00F43DBA"/>
    <w:rsid w:val="00F444F6"/>
    <w:rsid w:val="00F4496B"/>
    <w:rsid w:val="00F44E31"/>
    <w:rsid w:val="00F44EAE"/>
    <w:rsid w:val="00F44EC5"/>
    <w:rsid w:val="00F45483"/>
    <w:rsid w:val="00F45DBC"/>
    <w:rsid w:val="00F45E13"/>
    <w:rsid w:val="00F46033"/>
    <w:rsid w:val="00F46277"/>
    <w:rsid w:val="00F46D74"/>
    <w:rsid w:val="00F47391"/>
    <w:rsid w:val="00F476CF"/>
    <w:rsid w:val="00F4784E"/>
    <w:rsid w:val="00F479A4"/>
    <w:rsid w:val="00F479ED"/>
    <w:rsid w:val="00F47AF8"/>
    <w:rsid w:val="00F47B34"/>
    <w:rsid w:val="00F47B42"/>
    <w:rsid w:val="00F47E2E"/>
    <w:rsid w:val="00F5037C"/>
    <w:rsid w:val="00F50722"/>
    <w:rsid w:val="00F51202"/>
    <w:rsid w:val="00F5127F"/>
    <w:rsid w:val="00F526F8"/>
    <w:rsid w:val="00F529D2"/>
    <w:rsid w:val="00F52A35"/>
    <w:rsid w:val="00F52AB1"/>
    <w:rsid w:val="00F537D7"/>
    <w:rsid w:val="00F53819"/>
    <w:rsid w:val="00F540C8"/>
    <w:rsid w:val="00F540E3"/>
    <w:rsid w:val="00F54B2A"/>
    <w:rsid w:val="00F54E5C"/>
    <w:rsid w:val="00F54EE4"/>
    <w:rsid w:val="00F55130"/>
    <w:rsid w:val="00F55187"/>
    <w:rsid w:val="00F5539C"/>
    <w:rsid w:val="00F55746"/>
    <w:rsid w:val="00F55A1D"/>
    <w:rsid w:val="00F563EF"/>
    <w:rsid w:val="00F567A4"/>
    <w:rsid w:val="00F567D4"/>
    <w:rsid w:val="00F56D5E"/>
    <w:rsid w:val="00F56F9A"/>
    <w:rsid w:val="00F5700B"/>
    <w:rsid w:val="00F57E40"/>
    <w:rsid w:val="00F60DF4"/>
    <w:rsid w:val="00F610BC"/>
    <w:rsid w:val="00F611F0"/>
    <w:rsid w:val="00F61546"/>
    <w:rsid w:val="00F61818"/>
    <w:rsid w:val="00F61B97"/>
    <w:rsid w:val="00F61BC8"/>
    <w:rsid w:val="00F61EED"/>
    <w:rsid w:val="00F61FBD"/>
    <w:rsid w:val="00F622C6"/>
    <w:rsid w:val="00F6231D"/>
    <w:rsid w:val="00F625EB"/>
    <w:rsid w:val="00F63815"/>
    <w:rsid w:val="00F638B9"/>
    <w:rsid w:val="00F63960"/>
    <w:rsid w:val="00F639AB"/>
    <w:rsid w:val="00F63B0E"/>
    <w:rsid w:val="00F63D1C"/>
    <w:rsid w:val="00F64091"/>
    <w:rsid w:val="00F640A8"/>
    <w:rsid w:val="00F645DA"/>
    <w:rsid w:val="00F646BE"/>
    <w:rsid w:val="00F64E3C"/>
    <w:rsid w:val="00F64EE2"/>
    <w:rsid w:val="00F64FA0"/>
    <w:rsid w:val="00F657E5"/>
    <w:rsid w:val="00F65890"/>
    <w:rsid w:val="00F65C51"/>
    <w:rsid w:val="00F65CE8"/>
    <w:rsid w:val="00F6615B"/>
    <w:rsid w:val="00F6618C"/>
    <w:rsid w:val="00F66287"/>
    <w:rsid w:val="00F66492"/>
    <w:rsid w:val="00F669FC"/>
    <w:rsid w:val="00F66F8E"/>
    <w:rsid w:val="00F66F9D"/>
    <w:rsid w:val="00F67046"/>
    <w:rsid w:val="00F67517"/>
    <w:rsid w:val="00F67628"/>
    <w:rsid w:val="00F67691"/>
    <w:rsid w:val="00F676A6"/>
    <w:rsid w:val="00F67744"/>
    <w:rsid w:val="00F67769"/>
    <w:rsid w:val="00F678DB"/>
    <w:rsid w:val="00F67A27"/>
    <w:rsid w:val="00F67AAD"/>
    <w:rsid w:val="00F67AF0"/>
    <w:rsid w:val="00F67C19"/>
    <w:rsid w:val="00F67CE7"/>
    <w:rsid w:val="00F70745"/>
    <w:rsid w:val="00F70B66"/>
    <w:rsid w:val="00F70DEA"/>
    <w:rsid w:val="00F71146"/>
    <w:rsid w:val="00F71348"/>
    <w:rsid w:val="00F71677"/>
    <w:rsid w:val="00F716BE"/>
    <w:rsid w:val="00F717AE"/>
    <w:rsid w:val="00F71CC8"/>
    <w:rsid w:val="00F72048"/>
    <w:rsid w:val="00F724C4"/>
    <w:rsid w:val="00F72712"/>
    <w:rsid w:val="00F72AFD"/>
    <w:rsid w:val="00F72B37"/>
    <w:rsid w:val="00F72C73"/>
    <w:rsid w:val="00F72F66"/>
    <w:rsid w:val="00F7304B"/>
    <w:rsid w:val="00F73776"/>
    <w:rsid w:val="00F73D7B"/>
    <w:rsid w:val="00F73F4F"/>
    <w:rsid w:val="00F73FEE"/>
    <w:rsid w:val="00F74114"/>
    <w:rsid w:val="00F74151"/>
    <w:rsid w:val="00F74190"/>
    <w:rsid w:val="00F742C1"/>
    <w:rsid w:val="00F745EF"/>
    <w:rsid w:val="00F75869"/>
    <w:rsid w:val="00F758EB"/>
    <w:rsid w:val="00F7675A"/>
    <w:rsid w:val="00F767AC"/>
    <w:rsid w:val="00F76927"/>
    <w:rsid w:val="00F76FE6"/>
    <w:rsid w:val="00F77695"/>
    <w:rsid w:val="00F77F6F"/>
    <w:rsid w:val="00F77FD0"/>
    <w:rsid w:val="00F80456"/>
    <w:rsid w:val="00F8046E"/>
    <w:rsid w:val="00F80EC5"/>
    <w:rsid w:val="00F80FB5"/>
    <w:rsid w:val="00F81092"/>
    <w:rsid w:val="00F810A5"/>
    <w:rsid w:val="00F812F5"/>
    <w:rsid w:val="00F81471"/>
    <w:rsid w:val="00F8174F"/>
    <w:rsid w:val="00F81815"/>
    <w:rsid w:val="00F8198A"/>
    <w:rsid w:val="00F8204F"/>
    <w:rsid w:val="00F825AC"/>
    <w:rsid w:val="00F82775"/>
    <w:rsid w:val="00F82915"/>
    <w:rsid w:val="00F82B61"/>
    <w:rsid w:val="00F82FBD"/>
    <w:rsid w:val="00F8332A"/>
    <w:rsid w:val="00F836EE"/>
    <w:rsid w:val="00F83DE2"/>
    <w:rsid w:val="00F84389"/>
    <w:rsid w:val="00F84CA2"/>
    <w:rsid w:val="00F84E33"/>
    <w:rsid w:val="00F85578"/>
    <w:rsid w:val="00F85AE0"/>
    <w:rsid w:val="00F860A8"/>
    <w:rsid w:val="00F860C2"/>
    <w:rsid w:val="00F865D8"/>
    <w:rsid w:val="00F86670"/>
    <w:rsid w:val="00F868B1"/>
    <w:rsid w:val="00F86B25"/>
    <w:rsid w:val="00F86BA2"/>
    <w:rsid w:val="00F86BAE"/>
    <w:rsid w:val="00F87CB4"/>
    <w:rsid w:val="00F87F6A"/>
    <w:rsid w:val="00F9015C"/>
    <w:rsid w:val="00F906E5"/>
    <w:rsid w:val="00F90711"/>
    <w:rsid w:val="00F909ED"/>
    <w:rsid w:val="00F90BDF"/>
    <w:rsid w:val="00F912C7"/>
    <w:rsid w:val="00F916AC"/>
    <w:rsid w:val="00F9173F"/>
    <w:rsid w:val="00F918A6"/>
    <w:rsid w:val="00F918AF"/>
    <w:rsid w:val="00F91CBF"/>
    <w:rsid w:val="00F92310"/>
    <w:rsid w:val="00F92705"/>
    <w:rsid w:val="00F929B3"/>
    <w:rsid w:val="00F92BBD"/>
    <w:rsid w:val="00F93BB8"/>
    <w:rsid w:val="00F93E0E"/>
    <w:rsid w:val="00F940A5"/>
    <w:rsid w:val="00F94A69"/>
    <w:rsid w:val="00F94B4E"/>
    <w:rsid w:val="00F94C83"/>
    <w:rsid w:val="00F94EE5"/>
    <w:rsid w:val="00F95187"/>
    <w:rsid w:val="00F95254"/>
    <w:rsid w:val="00F95B65"/>
    <w:rsid w:val="00F95BCC"/>
    <w:rsid w:val="00F95C5E"/>
    <w:rsid w:val="00F961B7"/>
    <w:rsid w:val="00F96789"/>
    <w:rsid w:val="00F96ABF"/>
    <w:rsid w:val="00F96F21"/>
    <w:rsid w:val="00F97067"/>
    <w:rsid w:val="00F9748E"/>
    <w:rsid w:val="00F975B8"/>
    <w:rsid w:val="00F975E6"/>
    <w:rsid w:val="00F978E6"/>
    <w:rsid w:val="00FA0351"/>
    <w:rsid w:val="00FA036E"/>
    <w:rsid w:val="00FA0531"/>
    <w:rsid w:val="00FA0E4A"/>
    <w:rsid w:val="00FA1B41"/>
    <w:rsid w:val="00FA20C1"/>
    <w:rsid w:val="00FA26CC"/>
    <w:rsid w:val="00FA2C81"/>
    <w:rsid w:val="00FA2CC7"/>
    <w:rsid w:val="00FA2D3F"/>
    <w:rsid w:val="00FA320B"/>
    <w:rsid w:val="00FA37B3"/>
    <w:rsid w:val="00FA3EAA"/>
    <w:rsid w:val="00FA40B9"/>
    <w:rsid w:val="00FA40BF"/>
    <w:rsid w:val="00FA4EFB"/>
    <w:rsid w:val="00FA5169"/>
    <w:rsid w:val="00FA529C"/>
    <w:rsid w:val="00FA5F66"/>
    <w:rsid w:val="00FA62F2"/>
    <w:rsid w:val="00FA6344"/>
    <w:rsid w:val="00FA6A2C"/>
    <w:rsid w:val="00FA6C00"/>
    <w:rsid w:val="00FA71F9"/>
    <w:rsid w:val="00FA78DF"/>
    <w:rsid w:val="00FA7A23"/>
    <w:rsid w:val="00FB00EF"/>
    <w:rsid w:val="00FB0402"/>
    <w:rsid w:val="00FB053D"/>
    <w:rsid w:val="00FB0C62"/>
    <w:rsid w:val="00FB0EF8"/>
    <w:rsid w:val="00FB10B1"/>
    <w:rsid w:val="00FB11A1"/>
    <w:rsid w:val="00FB1D3F"/>
    <w:rsid w:val="00FB2A10"/>
    <w:rsid w:val="00FB2AF6"/>
    <w:rsid w:val="00FB2B3E"/>
    <w:rsid w:val="00FB2D9E"/>
    <w:rsid w:val="00FB3016"/>
    <w:rsid w:val="00FB336D"/>
    <w:rsid w:val="00FB3B16"/>
    <w:rsid w:val="00FB4299"/>
    <w:rsid w:val="00FB4510"/>
    <w:rsid w:val="00FB4E5D"/>
    <w:rsid w:val="00FB5BD2"/>
    <w:rsid w:val="00FB5DDF"/>
    <w:rsid w:val="00FB5EF9"/>
    <w:rsid w:val="00FB5F67"/>
    <w:rsid w:val="00FB6352"/>
    <w:rsid w:val="00FB6539"/>
    <w:rsid w:val="00FB68C1"/>
    <w:rsid w:val="00FB6DE7"/>
    <w:rsid w:val="00FB773A"/>
    <w:rsid w:val="00FC12FE"/>
    <w:rsid w:val="00FC17F6"/>
    <w:rsid w:val="00FC188B"/>
    <w:rsid w:val="00FC1AC9"/>
    <w:rsid w:val="00FC1C97"/>
    <w:rsid w:val="00FC1FC5"/>
    <w:rsid w:val="00FC2079"/>
    <w:rsid w:val="00FC2798"/>
    <w:rsid w:val="00FC27BB"/>
    <w:rsid w:val="00FC2D6C"/>
    <w:rsid w:val="00FC303E"/>
    <w:rsid w:val="00FC3071"/>
    <w:rsid w:val="00FC3079"/>
    <w:rsid w:val="00FC3438"/>
    <w:rsid w:val="00FC34DA"/>
    <w:rsid w:val="00FC3816"/>
    <w:rsid w:val="00FC3971"/>
    <w:rsid w:val="00FC3D91"/>
    <w:rsid w:val="00FC3DF8"/>
    <w:rsid w:val="00FC43CE"/>
    <w:rsid w:val="00FC4677"/>
    <w:rsid w:val="00FC481E"/>
    <w:rsid w:val="00FC527B"/>
    <w:rsid w:val="00FC5282"/>
    <w:rsid w:val="00FC5298"/>
    <w:rsid w:val="00FC52F3"/>
    <w:rsid w:val="00FC5329"/>
    <w:rsid w:val="00FC566E"/>
    <w:rsid w:val="00FC5DF4"/>
    <w:rsid w:val="00FC5F7B"/>
    <w:rsid w:val="00FC60BD"/>
    <w:rsid w:val="00FC61B9"/>
    <w:rsid w:val="00FC6401"/>
    <w:rsid w:val="00FC67BF"/>
    <w:rsid w:val="00FC69C5"/>
    <w:rsid w:val="00FC6C65"/>
    <w:rsid w:val="00FC6D69"/>
    <w:rsid w:val="00FC76AC"/>
    <w:rsid w:val="00FC7C3B"/>
    <w:rsid w:val="00FC7E8C"/>
    <w:rsid w:val="00FD01BE"/>
    <w:rsid w:val="00FD05F0"/>
    <w:rsid w:val="00FD08B5"/>
    <w:rsid w:val="00FD0961"/>
    <w:rsid w:val="00FD0A34"/>
    <w:rsid w:val="00FD16B2"/>
    <w:rsid w:val="00FD1713"/>
    <w:rsid w:val="00FD1744"/>
    <w:rsid w:val="00FD1C1C"/>
    <w:rsid w:val="00FD2C33"/>
    <w:rsid w:val="00FD2CBB"/>
    <w:rsid w:val="00FD318F"/>
    <w:rsid w:val="00FD32BB"/>
    <w:rsid w:val="00FD337C"/>
    <w:rsid w:val="00FD364A"/>
    <w:rsid w:val="00FD366B"/>
    <w:rsid w:val="00FD3A22"/>
    <w:rsid w:val="00FD3DC6"/>
    <w:rsid w:val="00FD4155"/>
    <w:rsid w:val="00FD41FD"/>
    <w:rsid w:val="00FD422B"/>
    <w:rsid w:val="00FD4510"/>
    <w:rsid w:val="00FD4789"/>
    <w:rsid w:val="00FD4C36"/>
    <w:rsid w:val="00FD4EBE"/>
    <w:rsid w:val="00FD4F9A"/>
    <w:rsid w:val="00FD52DB"/>
    <w:rsid w:val="00FD58C0"/>
    <w:rsid w:val="00FD6968"/>
    <w:rsid w:val="00FD6C04"/>
    <w:rsid w:val="00FD7002"/>
    <w:rsid w:val="00FD73AB"/>
    <w:rsid w:val="00FD762F"/>
    <w:rsid w:val="00FD7EE5"/>
    <w:rsid w:val="00FE004C"/>
    <w:rsid w:val="00FE00D6"/>
    <w:rsid w:val="00FE07AB"/>
    <w:rsid w:val="00FE09B6"/>
    <w:rsid w:val="00FE0ADA"/>
    <w:rsid w:val="00FE0CE0"/>
    <w:rsid w:val="00FE0F52"/>
    <w:rsid w:val="00FE14D2"/>
    <w:rsid w:val="00FE181D"/>
    <w:rsid w:val="00FE182E"/>
    <w:rsid w:val="00FE1906"/>
    <w:rsid w:val="00FE1BA8"/>
    <w:rsid w:val="00FE1DD9"/>
    <w:rsid w:val="00FE1EF3"/>
    <w:rsid w:val="00FE1FF4"/>
    <w:rsid w:val="00FE2291"/>
    <w:rsid w:val="00FE27D8"/>
    <w:rsid w:val="00FE2A46"/>
    <w:rsid w:val="00FE3045"/>
    <w:rsid w:val="00FE34DC"/>
    <w:rsid w:val="00FE37E6"/>
    <w:rsid w:val="00FE3CF5"/>
    <w:rsid w:val="00FE3F34"/>
    <w:rsid w:val="00FE415A"/>
    <w:rsid w:val="00FE4170"/>
    <w:rsid w:val="00FE4E79"/>
    <w:rsid w:val="00FE5147"/>
    <w:rsid w:val="00FE5BF9"/>
    <w:rsid w:val="00FE5C36"/>
    <w:rsid w:val="00FE5D06"/>
    <w:rsid w:val="00FE6126"/>
    <w:rsid w:val="00FE62BF"/>
    <w:rsid w:val="00FE66D2"/>
    <w:rsid w:val="00FE69E3"/>
    <w:rsid w:val="00FE69FD"/>
    <w:rsid w:val="00FE6C58"/>
    <w:rsid w:val="00FE6E5E"/>
    <w:rsid w:val="00FE7120"/>
    <w:rsid w:val="00FE7633"/>
    <w:rsid w:val="00FE76A9"/>
    <w:rsid w:val="00FE7C0A"/>
    <w:rsid w:val="00FF04E2"/>
    <w:rsid w:val="00FF095E"/>
    <w:rsid w:val="00FF0A00"/>
    <w:rsid w:val="00FF0BB8"/>
    <w:rsid w:val="00FF13DF"/>
    <w:rsid w:val="00FF1CA7"/>
    <w:rsid w:val="00FF1FEF"/>
    <w:rsid w:val="00FF22AD"/>
    <w:rsid w:val="00FF2614"/>
    <w:rsid w:val="00FF275C"/>
    <w:rsid w:val="00FF2841"/>
    <w:rsid w:val="00FF28D4"/>
    <w:rsid w:val="00FF294D"/>
    <w:rsid w:val="00FF2B92"/>
    <w:rsid w:val="00FF2E7B"/>
    <w:rsid w:val="00FF348E"/>
    <w:rsid w:val="00FF3A02"/>
    <w:rsid w:val="00FF475B"/>
    <w:rsid w:val="00FF4BB3"/>
    <w:rsid w:val="00FF524E"/>
    <w:rsid w:val="00FF5408"/>
    <w:rsid w:val="00FF5806"/>
    <w:rsid w:val="00FF5BBF"/>
    <w:rsid w:val="00FF6192"/>
    <w:rsid w:val="00FF64CD"/>
    <w:rsid w:val="00FF66F2"/>
    <w:rsid w:val="00FF67E8"/>
    <w:rsid w:val="00FF7143"/>
    <w:rsid w:val="00FF77C9"/>
    <w:rsid w:val="00FF79B0"/>
    <w:rsid w:val="00FF7F95"/>
    <w:rsid w:val="013D8C8E"/>
    <w:rsid w:val="01E4D27A"/>
    <w:rsid w:val="02AC1D66"/>
    <w:rsid w:val="04050127"/>
    <w:rsid w:val="045BDE86"/>
    <w:rsid w:val="048EC5D0"/>
    <w:rsid w:val="058A1345"/>
    <w:rsid w:val="06282E33"/>
    <w:rsid w:val="0665FD8C"/>
    <w:rsid w:val="06CA5446"/>
    <w:rsid w:val="07363DD9"/>
    <w:rsid w:val="09281857"/>
    <w:rsid w:val="0A3010E0"/>
    <w:rsid w:val="0AD62CF9"/>
    <w:rsid w:val="0BA682F6"/>
    <w:rsid w:val="0D1F44C1"/>
    <w:rsid w:val="0F7F876E"/>
    <w:rsid w:val="0F8A0B36"/>
    <w:rsid w:val="0FFEA32E"/>
    <w:rsid w:val="10439C9C"/>
    <w:rsid w:val="107BB101"/>
    <w:rsid w:val="108CB01D"/>
    <w:rsid w:val="10DB3BC9"/>
    <w:rsid w:val="1166596B"/>
    <w:rsid w:val="117E3541"/>
    <w:rsid w:val="11AB1D7D"/>
    <w:rsid w:val="12D26986"/>
    <w:rsid w:val="132E6556"/>
    <w:rsid w:val="13A5CFB2"/>
    <w:rsid w:val="13CA019F"/>
    <w:rsid w:val="13E55F51"/>
    <w:rsid w:val="13F2912A"/>
    <w:rsid w:val="13FA84EE"/>
    <w:rsid w:val="14789591"/>
    <w:rsid w:val="14AF22A7"/>
    <w:rsid w:val="15167A72"/>
    <w:rsid w:val="1600E785"/>
    <w:rsid w:val="16256F07"/>
    <w:rsid w:val="1627E25C"/>
    <w:rsid w:val="163E5468"/>
    <w:rsid w:val="165A1E21"/>
    <w:rsid w:val="166F61EE"/>
    <w:rsid w:val="1718C9BD"/>
    <w:rsid w:val="172C8FE0"/>
    <w:rsid w:val="18522FDA"/>
    <w:rsid w:val="1900878E"/>
    <w:rsid w:val="19A61556"/>
    <w:rsid w:val="1A2AE3C1"/>
    <w:rsid w:val="1B1F2E47"/>
    <w:rsid w:val="1D401447"/>
    <w:rsid w:val="1D6E2D53"/>
    <w:rsid w:val="1D713338"/>
    <w:rsid w:val="1E1B2160"/>
    <w:rsid w:val="1FCEC898"/>
    <w:rsid w:val="2005BFB2"/>
    <w:rsid w:val="200E3E88"/>
    <w:rsid w:val="20D156E0"/>
    <w:rsid w:val="21044F9A"/>
    <w:rsid w:val="2197D31A"/>
    <w:rsid w:val="21FF294E"/>
    <w:rsid w:val="23018548"/>
    <w:rsid w:val="2385F871"/>
    <w:rsid w:val="23E13112"/>
    <w:rsid w:val="24317AB2"/>
    <w:rsid w:val="243C7C95"/>
    <w:rsid w:val="2452B2F7"/>
    <w:rsid w:val="245F749A"/>
    <w:rsid w:val="253C2E45"/>
    <w:rsid w:val="260A0B56"/>
    <w:rsid w:val="2826E04B"/>
    <w:rsid w:val="28F2F118"/>
    <w:rsid w:val="2A46D84B"/>
    <w:rsid w:val="2A7D8E7F"/>
    <w:rsid w:val="2AD2FF9D"/>
    <w:rsid w:val="2BB2212E"/>
    <w:rsid w:val="2BCF5A56"/>
    <w:rsid w:val="2BDC4E6E"/>
    <w:rsid w:val="2BDF0200"/>
    <w:rsid w:val="2C2EE3AB"/>
    <w:rsid w:val="2CD067D9"/>
    <w:rsid w:val="2DB2BECA"/>
    <w:rsid w:val="2E04F994"/>
    <w:rsid w:val="2E4E9626"/>
    <w:rsid w:val="2F1DB7AF"/>
    <w:rsid w:val="2F3B8C8B"/>
    <w:rsid w:val="2FAB5FAD"/>
    <w:rsid w:val="30526C7E"/>
    <w:rsid w:val="316B0E4C"/>
    <w:rsid w:val="31CF6EA4"/>
    <w:rsid w:val="32329D0D"/>
    <w:rsid w:val="3259F102"/>
    <w:rsid w:val="3279B1C3"/>
    <w:rsid w:val="3286C853"/>
    <w:rsid w:val="32BF09BC"/>
    <w:rsid w:val="32C0ADA1"/>
    <w:rsid w:val="32CD0A89"/>
    <w:rsid w:val="32CF58E5"/>
    <w:rsid w:val="32F49A77"/>
    <w:rsid w:val="33401DB4"/>
    <w:rsid w:val="337A0D9F"/>
    <w:rsid w:val="34455D96"/>
    <w:rsid w:val="34669EA9"/>
    <w:rsid w:val="34DBFA22"/>
    <w:rsid w:val="354E76B8"/>
    <w:rsid w:val="35DFBE7D"/>
    <w:rsid w:val="366891AA"/>
    <w:rsid w:val="36DC4637"/>
    <w:rsid w:val="370B2797"/>
    <w:rsid w:val="37CD2F1F"/>
    <w:rsid w:val="37EF4F16"/>
    <w:rsid w:val="3843DD80"/>
    <w:rsid w:val="3874570C"/>
    <w:rsid w:val="3891EEBF"/>
    <w:rsid w:val="38D4FBEC"/>
    <w:rsid w:val="38DC58C9"/>
    <w:rsid w:val="392F0135"/>
    <w:rsid w:val="393B65E6"/>
    <w:rsid w:val="399DA2F7"/>
    <w:rsid w:val="3B743472"/>
    <w:rsid w:val="3BCD5E71"/>
    <w:rsid w:val="3BEE52D8"/>
    <w:rsid w:val="3C057F58"/>
    <w:rsid w:val="3C3883A4"/>
    <w:rsid w:val="3CD484F4"/>
    <w:rsid w:val="3D01F57F"/>
    <w:rsid w:val="3D08A775"/>
    <w:rsid w:val="3D69C4F5"/>
    <w:rsid w:val="3DE90D39"/>
    <w:rsid w:val="3EF20CC2"/>
    <w:rsid w:val="3F97B01A"/>
    <w:rsid w:val="3FA117D6"/>
    <w:rsid w:val="3FBFAEA5"/>
    <w:rsid w:val="40FB50D3"/>
    <w:rsid w:val="411D7839"/>
    <w:rsid w:val="41DC4DE9"/>
    <w:rsid w:val="426AFDF4"/>
    <w:rsid w:val="4300B198"/>
    <w:rsid w:val="432F1925"/>
    <w:rsid w:val="4372FA2F"/>
    <w:rsid w:val="43C70281"/>
    <w:rsid w:val="44013A36"/>
    <w:rsid w:val="445DEBCA"/>
    <w:rsid w:val="454B3A87"/>
    <w:rsid w:val="475A9555"/>
    <w:rsid w:val="47B40B02"/>
    <w:rsid w:val="47E8E60B"/>
    <w:rsid w:val="49118FD1"/>
    <w:rsid w:val="493DD3D0"/>
    <w:rsid w:val="4A5A541C"/>
    <w:rsid w:val="4A638E70"/>
    <w:rsid w:val="4AC550DA"/>
    <w:rsid w:val="4AD3D600"/>
    <w:rsid w:val="4BAA7714"/>
    <w:rsid w:val="4BBD446C"/>
    <w:rsid w:val="4C21AC23"/>
    <w:rsid w:val="4C404C85"/>
    <w:rsid w:val="4E91F7EB"/>
    <w:rsid w:val="4EC04CB2"/>
    <w:rsid w:val="4ECCFEB2"/>
    <w:rsid w:val="50B914C7"/>
    <w:rsid w:val="51705991"/>
    <w:rsid w:val="51B20D2D"/>
    <w:rsid w:val="51E996D6"/>
    <w:rsid w:val="5279A6D6"/>
    <w:rsid w:val="527B877B"/>
    <w:rsid w:val="52BBD92F"/>
    <w:rsid w:val="5301F8C5"/>
    <w:rsid w:val="53437F93"/>
    <w:rsid w:val="55C310D4"/>
    <w:rsid w:val="55CEB1AF"/>
    <w:rsid w:val="562AC92C"/>
    <w:rsid w:val="574A156B"/>
    <w:rsid w:val="58836CFD"/>
    <w:rsid w:val="594941D2"/>
    <w:rsid w:val="5A1FBC31"/>
    <w:rsid w:val="5A77F7CB"/>
    <w:rsid w:val="5B9DF266"/>
    <w:rsid w:val="5BD6706F"/>
    <w:rsid w:val="5BFA744A"/>
    <w:rsid w:val="5C4359B0"/>
    <w:rsid w:val="5C48A318"/>
    <w:rsid w:val="5D025756"/>
    <w:rsid w:val="5DEDFAE2"/>
    <w:rsid w:val="5E276BD6"/>
    <w:rsid w:val="5E6B15FC"/>
    <w:rsid w:val="5F3A2D22"/>
    <w:rsid w:val="6083C337"/>
    <w:rsid w:val="60CC6F5B"/>
    <w:rsid w:val="625FDDE5"/>
    <w:rsid w:val="63715868"/>
    <w:rsid w:val="638D91F8"/>
    <w:rsid w:val="63B906DB"/>
    <w:rsid w:val="63FC3B26"/>
    <w:rsid w:val="64264D4E"/>
    <w:rsid w:val="64A22DDF"/>
    <w:rsid w:val="653F22D4"/>
    <w:rsid w:val="65A81B97"/>
    <w:rsid w:val="65C108BB"/>
    <w:rsid w:val="6613150F"/>
    <w:rsid w:val="66515167"/>
    <w:rsid w:val="66737CF7"/>
    <w:rsid w:val="66DB254A"/>
    <w:rsid w:val="6724B1D3"/>
    <w:rsid w:val="6732044E"/>
    <w:rsid w:val="67755FF1"/>
    <w:rsid w:val="67846E7F"/>
    <w:rsid w:val="686A1E22"/>
    <w:rsid w:val="68CB8A9A"/>
    <w:rsid w:val="68F22C36"/>
    <w:rsid w:val="6907D3F4"/>
    <w:rsid w:val="694BD978"/>
    <w:rsid w:val="6A01DD78"/>
    <w:rsid w:val="6A6B11F2"/>
    <w:rsid w:val="6AFF2A79"/>
    <w:rsid w:val="6BA91010"/>
    <w:rsid w:val="6BB50210"/>
    <w:rsid w:val="6BF44D39"/>
    <w:rsid w:val="6CA6E476"/>
    <w:rsid w:val="6CE1636D"/>
    <w:rsid w:val="6F3398FB"/>
    <w:rsid w:val="6FCD6408"/>
    <w:rsid w:val="6FE31D40"/>
    <w:rsid w:val="70B98371"/>
    <w:rsid w:val="70CE93C9"/>
    <w:rsid w:val="70D5BE77"/>
    <w:rsid w:val="71455831"/>
    <w:rsid w:val="7147F9A8"/>
    <w:rsid w:val="7212289F"/>
    <w:rsid w:val="73423CC6"/>
    <w:rsid w:val="7362E400"/>
    <w:rsid w:val="753E2140"/>
    <w:rsid w:val="758DF620"/>
    <w:rsid w:val="7605D0D2"/>
    <w:rsid w:val="76440C38"/>
    <w:rsid w:val="7652AE0D"/>
    <w:rsid w:val="77970038"/>
    <w:rsid w:val="78ECFA7D"/>
    <w:rsid w:val="7994E2A5"/>
    <w:rsid w:val="79A4D610"/>
    <w:rsid w:val="7B70136F"/>
    <w:rsid w:val="7B94E285"/>
    <w:rsid w:val="7C1C94B8"/>
    <w:rsid w:val="7C86DB3E"/>
    <w:rsid w:val="7CC0AA24"/>
    <w:rsid w:val="7CD46D49"/>
    <w:rsid w:val="7F127A42"/>
    <w:rsid w:val="7F4C77DE"/>
    <w:rsid w:val="7FA0AC77"/>
    <w:rsid w:val="7FF8226D"/>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2"/>
    </o:shapelayout>
  </w:shapeDefaults>
  <w:decimalSymbol w:val=","/>
  <w:listSeparator w:val=";"/>
  <w14:docId w14:val="03B6AF69"/>
  <w15:chartTrackingRefBased/>
  <w15:docId w15:val="{34304017-B456-49FC-A1F7-7112CADEC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heme="minorHAnsi" w:hAnsi="Calibri" w:cs="Arial"/>
        <w:sz w:val="22"/>
        <w:szCs w:val="22"/>
        <w:lang w:val="it-IT" w:eastAsia="it-IT"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footer" w:uiPriority="99"/>
    <w:lsdException w:name="caption" w:semiHidden="1" w:unhideWhenUsed="1" w:qFormat="1"/>
    <w:lsdException w:name="table of figures" w:uiPriority="99"/>
    <w:lsdException w:name="annotation reference" w:uiPriority="99"/>
    <w:lsdException w:name="endnote reference" w:uiPriority="99"/>
    <w:lsdException w:name="endnote text" w:uiPriority="99"/>
    <w:lsdException w:name="Title" w:uiPriority="10" w:qFormat="1"/>
    <w:lsdException w:name="Body Text" w:uiPriority="99"/>
    <w:lsdException w:name="Subtitle" w:uiPriority="11" w:qFormat="1"/>
    <w:lsdException w:name="Hyperlink" w:uiPriority="99"/>
    <w:lsdException w:name="FollowedHyperlink" w:uiPriority="99"/>
    <w:lsdException w:name="Strong" w:uiPriority="22" w:qFormat="1"/>
    <w:lsdException w:name="Emphasis" w:uiPriority="20" w:qFormat="1"/>
    <w:lsdException w:name="Normal (Web)" w:uiPriority="99"/>
    <w:lsdException w:name="HTML Preformatted"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904EE2"/>
    <w:pPr>
      <w:jc w:val="both"/>
    </w:pPr>
  </w:style>
  <w:style w:type="paragraph" w:styleId="Titolo1">
    <w:name w:val="heading 1"/>
    <w:basedOn w:val="Normale"/>
    <w:next w:val="Normale"/>
    <w:link w:val="Titolo1Carattere"/>
    <w:qFormat/>
    <w:rsid w:val="003A54A8"/>
    <w:pPr>
      <w:keepNext/>
      <w:pageBreakBefore/>
      <w:numPr>
        <w:numId w:val="15"/>
      </w:numPr>
      <w:spacing w:before="480" w:after="120" w:line="240" w:lineRule="auto"/>
      <w:outlineLvl w:val="0"/>
    </w:pPr>
    <w:rPr>
      <w:rFonts w:eastAsia="Times New Roman"/>
      <w:b/>
      <w:bCs/>
      <w:i/>
      <w:kern w:val="32"/>
      <w:sz w:val="28"/>
      <w:szCs w:val="32"/>
    </w:rPr>
  </w:style>
  <w:style w:type="paragraph" w:styleId="Titolo2">
    <w:name w:val="heading 2"/>
    <w:basedOn w:val="Normale"/>
    <w:next w:val="Normale"/>
    <w:link w:val="Titolo2Carattere"/>
    <w:qFormat/>
    <w:rsid w:val="00C77CB1"/>
    <w:pPr>
      <w:keepNext/>
      <w:numPr>
        <w:ilvl w:val="1"/>
        <w:numId w:val="15"/>
      </w:numPr>
      <w:tabs>
        <w:tab w:val="left" w:pos="1276"/>
      </w:tabs>
      <w:spacing w:before="360" w:after="180" w:line="240" w:lineRule="auto"/>
      <w:outlineLvl w:val="1"/>
    </w:pPr>
    <w:rPr>
      <w:rFonts w:eastAsia="Times New Roman"/>
      <w:b/>
      <w:bCs/>
      <w:iCs/>
      <w:sz w:val="26"/>
      <w:szCs w:val="28"/>
    </w:rPr>
  </w:style>
  <w:style w:type="paragraph" w:styleId="Titolo3">
    <w:name w:val="heading 3"/>
    <w:basedOn w:val="Normale"/>
    <w:next w:val="Normale"/>
    <w:link w:val="Titolo3Carattere"/>
    <w:uiPriority w:val="9"/>
    <w:qFormat/>
    <w:rsid w:val="00C77CB1"/>
    <w:pPr>
      <w:keepNext/>
      <w:numPr>
        <w:ilvl w:val="2"/>
        <w:numId w:val="15"/>
      </w:numPr>
      <w:tabs>
        <w:tab w:val="left" w:pos="1814"/>
      </w:tabs>
      <w:spacing w:before="240" w:after="120" w:line="360" w:lineRule="auto"/>
      <w:outlineLvl w:val="2"/>
    </w:pPr>
    <w:rPr>
      <w:rFonts w:eastAsia="Times New Roman"/>
      <w:b/>
      <w:bCs/>
      <w:i/>
      <w:sz w:val="24"/>
      <w:szCs w:val="26"/>
    </w:rPr>
  </w:style>
  <w:style w:type="paragraph" w:styleId="Titolo4">
    <w:name w:val="heading 4"/>
    <w:basedOn w:val="Normale"/>
    <w:next w:val="Normale"/>
    <w:link w:val="Titolo4Carattere"/>
    <w:uiPriority w:val="9"/>
    <w:qFormat/>
    <w:rsid w:val="00C77CB1"/>
    <w:pPr>
      <w:keepNext/>
      <w:numPr>
        <w:ilvl w:val="3"/>
        <w:numId w:val="15"/>
      </w:numPr>
      <w:tabs>
        <w:tab w:val="left" w:pos="2155"/>
        <w:tab w:val="left" w:pos="2500"/>
      </w:tabs>
      <w:spacing w:before="160" w:after="80" w:line="240" w:lineRule="auto"/>
      <w:outlineLvl w:val="3"/>
    </w:pPr>
    <w:rPr>
      <w:rFonts w:eastAsia="Times New Roman" w:cs="Times New Roman"/>
      <w:bCs/>
      <w:sz w:val="24"/>
      <w:szCs w:val="28"/>
    </w:rPr>
  </w:style>
  <w:style w:type="paragraph" w:styleId="Titolo5">
    <w:name w:val="heading 5"/>
    <w:basedOn w:val="Normale"/>
    <w:next w:val="Normale"/>
    <w:link w:val="Titolo5Carattere"/>
    <w:uiPriority w:val="9"/>
    <w:qFormat/>
    <w:rsid w:val="003A54A8"/>
    <w:pPr>
      <w:numPr>
        <w:ilvl w:val="4"/>
        <w:numId w:val="15"/>
      </w:numPr>
      <w:pBdr>
        <w:bottom w:val="single" w:sz="4" w:space="1" w:color="auto"/>
      </w:pBdr>
      <w:spacing w:before="480" w:after="60" w:line="240" w:lineRule="auto"/>
      <w:outlineLvl w:val="4"/>
    </w:pPr>
    <w:rPr>
      <w:rFonts w:eastAsia="Times New Roman" w:cs="Times New Roman"/>
      <w:b/>
      <w:bCs/>
      <w:i/>
      <w:iCs/>
      <w:sz w:val="24"/>
      <w:szCs w:val="26"/>
    </w:rPr>
  </w:style>
  <w:style w:type="paragraph" w:styleId="Titolo6">
    <w:name w:val="heading 6"/>
    <w:basedOn w:val="Normale"/>
    <w:next w:val="Normale"/>
    <w:link w:val="Titolo6Carattere"/>
    <w:uiPriority w:val="9"/>
    <w:unhideWhenUsed/>
    <w:qFormat/>
    <w:rsid w:val="00794F6F"/>
    <w:pPr>
      <w:keepNext/>
      <w:keepLines/>
      <w:numPr>
        <w:ilvl w:val="5"/>
        <w:numId w:val="15"/>
      </w:numPr>
      <w:spacing w:before="40" w:after="0"/>
      <w:outlineLvl w:val="5"/>
    </w:pPr>
    <w:rPr>
      <w:rFonts w:asciiTheme="majorHAnsi" w:eastAsiaTheme="majorEastAsia" w:hAnsiTheme="majorHAnsi" w:cstheme="majorBidi"/>
      <w:color w:val="073662" w:themeColor="accent1" w:themeShade="7F"/>
    </w:rPr>
  </w:style>
  <w:style w:type="paragraph" w:styleId="Titolo7">
    <w:name w:val="heading 7"/>
    <w:basedOn w:val="Normale"/>
    <w:next w:val="Normale"/>
    <w:link w:val="Titolo7Carattere"/>
    <w:uiPriority w:val="9"/>
    <w:unhideWhenUsed/>
    <w:qFormat/>
    <w:rsid w:val="00794F6F"/>
    <w:pPr>
      <w:keepNext/>
      <w:keepLines/>
      <w:numPr>
        <w:ilvl w:val="6"/>
        <w:numId w:val="15"/>
      </w:numPr>
      <w:spacing w:before="40" w:after="0"/>
      <w:outlineLvl w:val="6"/>
    </w:pPr>
    <w:rPr>
      <w:rFonts w:asciiTheme="majorHAnsi" w:eastAsiaTheme="majorEastAsia" w:hAnsiTheme="majorHAnsi" w:cstheme="majorBidi"/>
      <w:i/>
      <w:iCs/>
      <w:color w:val="073662" w:themeColor="accent1" w:themeShade="7F"/>
    </w:rPr>
  </w:style>
  <w:style w:type="paragraph" w:styleId="Titolo8">
    <w:name w:val="heading 8"/>
    <w:basedOn w:val="Normale"/>
    <w:next w:val="Normale"/>
    <w:link w:val="Titolo8Carattere"/>
    <w:uiPriority w:val="9"/>
    <w:unhideWhenUsed/>
    <w:qFormat/>
    <w:rsid w:val="00794F6F"/>
    <w:pPr>
      <w:keepNext/>
      <w:keepLines/>
      <w:numPr>
        <w:ilvl w:val="7"/>
        <w:numId w:val="15"/>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unhideWhenUsed/>
    <w:qFormat/>
    <w:rsid w:val="00794F6F"/>
    <w:pPr>
      <w:keepNext/>
      <w:keepLines/>
      <w:numPr>
        <w:ilvl w:val="8"/>
        <w:numId w:val="1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3A54A8"/>
    <w:rPr>
      <w:rFonts w:eastAsia="Times New Roman"/>
      <w:b/>
      <w:bCs/>
      <w:i/>
      <w:kern w:val="32"/>
      <w:sz w:val="28"/>
      <w:szCs w:val="32"/>
    </w:rPr>
  </w:style>
  <w:style w:type="character" w:customStyle="1" w:styleId="Titolo2Carattere">
    <w:name w:val="Titolo 2 Carattere"/>
    <w:basedOn w:val="Carpredefinitoparagrafo"/>
    <w:link w:val="Titolo2"/>
    <w:rsid w:val="00C77CB1"/>
    <w:rPr>
      <w:rFonts w:eastAsia="Times New Roman"/>
      <w:b/>
      <w:bCs/>
      <w:iCs/>
      <w:sz w:val="26"/>
      <w:szCs w:val="28"/>
    </w:rPr>
  </w:style>
  <w:style w:type="character" w:customStyle="1" w:styleId="Titolo4Carattere">
    <w:name w:val="Titolo 4 Carattere"/>
    <w:basedOn w:val="Carpredefinitoparagrafo"/>
    <w:link w:val="Titolo4"/>
    <w:uiPriority w:val="9"/>
    <w:rsid w:val="00C77CB1"/>
    <w:rPr>
      <w:rFonts w:eastAsia="Times New Roman" w:cs="Times New Roman"/>
      <w:bCs/>
      <w:sz w:val="24"/>
      <w:szCs w:val="28"/>
    </w:rPr>
  </w:style>
  <w:style w:type="table" w:styleId="Grigliatabella">
    <w:name w:val="Table Grid"/>
    <w:basedOn w:val="Tabellanormale"/>
    <w:uiPriority w:val="39"/>
    <w:rsid w:val="000A30FB"/>
    <w:tblPr>
      <w:tblInd w:w="0" w:type="nil"/>
      <w:tblCellMar>
        <w:left w:w="0" w:type="dxa"/>
        <w:right w:w="0" w:type="dxa"/>
      </w:tblCellMar>
    </w:tblPr>
  </w:style>
  <w:style w:type="paragraph" w:styleId="Testonotadichiusura">
    <w:name w:val="endnote text"/>
    <w:basedOn w:val="Normale"/>
    <w:link w:val="TestonotadichiusuraCarattere"/>
    <w:uiPriority w:val="99"/>
    <w:rsid w:val="000A30FB"/>
  </w:style>
  <w:style w:type="character" w:customStyle="1" w:styleId="TestonotadichiusuraCarattere">
    <w:name w:val="Testo nota di chiusura Carattere"/>
    <w:link w:val="Testonotadichiusura"/>
    <w:uiPriority w:val="99"/>
    <w:locked/>
    <w:rsid w:val="000A30FB"/>
    <w:rPr>
      <w:rFonts w:ascii="Calibri" w:hAnsi="Calibri"/>
      <w:sz w:val="22"/>
      <w:lang w:val="it-IT" w:eastAsia="it-IT" w:bidi="ar-SA"/>
    </w:rPr>
  </w:style>
  <w:style w:type="paragraph" w:styleId="Testonotaapidipagina">
    <w:name w:val="footnote text"/>
    <w:basedOn w:val="Normale"/>
    <w:link w:val="TestonotaapidipaginaCarattere"/>
    <w:rsid w:val="000A30FB"/>
    <w:rPr>
      <w:sz w:val="20"/>
    </w:rPr>
  </w:style>
  <w:style w:type="character" w:customStyle="1" w:styleId="TestonotaapidipaginaCarattere">
    <w:name w:val="Testo nota a piè di pagina Carattere"/>
    <w:link w:val="Testonotaapidipagina"/>
    <w:locked/>
    <w:rsid w:val="000A30FB"/>
    <w:rPr>
      <w:rFonts w:ascii="Calibri" w:hAnsi="Calibri"/>
      <w:lang w:val="it-IT" w:eastAsia="it-IT" w:bidi="ar-SA"/>
    </w:rPr>
  </w:style>
  <w:style w:type="character" w:styleId="Rimandonotaapidipagina">
    <w:name w:val="footnote reference"/>
    <w:rsid w:val="000A30FB"/>
    <w:rPr>
      <w:vertAlign w:val="superscript"/>
    </w:rPr>
  </w:style>
  <w:style w:type="paragraph" w:customStyle="1" w:styleId="02testo">
    <w:name w:val="02_testo"/>
    <w:basedOn w:val="Normale"/>
    <w:link w:val="02testoCarattere"/>
    <w:rsid w:val="000A30FB"/>
    <w:pPr>
      <w:ind w:right="45"/>
    </w:pPr>
    <w:rPr>
      <w:szCs w:val="26"/>
    </w:rPr>
  </w:style>
  <w:style w:type="character" w:customStyle="1" w:styleId="02testoCarattere">
    <w:name w:val="02_testo Carattere"/>
    <w:link w:val="02testo"/>
    <w:rsid w:val="000A30FB"/>
    <w:rPr>
      <w:rFonts w:ascii="Calibri" w:hAnsi="Calibri"/>
      <w:sz w:val="22"/>
      <w:szCs w:val="26"/>
      <w:lang w:val="it-IT" w:eastAsia="it-IT" w:bidi="ar-SA"/>
    </w:rPr>
  </w:style>
  <w:style w:type="character" w:styleId="Collegamentoipertestuale">
    <w:name w:val="Hyperlink"/>
    <w:uiPriority w:val="99"/>
    <w:rsid w:val="000A30FB"/>
    <w:rPr>
      <w:color w:val="0000FF"/>
      <w:u w:val="single"/>
    </w:rPr>
  </w:style>
  <w:style w:type="paragraph" w:styleId="Didascalia">
    <w:name w:val="caption"/>
    <w:basedOn w:val="Normale"/>
    <w:next w:val="Normale"/>
    <w:unhideWhenUsed/>
    <w:qFormat/>
    <w:rsid w:val="00794F6F"/>
    <w:pPr>
      <w:spacing w:after="200" w:line="240" w:lineRule="auto"/>
    </w:pPr>
    <w:rPr>
      <w:i/>
      <w:iCs/>
      <w:color w:val="17406D" w:themeColor="text2"/>
      <w:sz w:val="18"/>
      <w:szCs w:val="18"/>
    </w:rPr>
  </w:style>
  <w:style w:type="paragraph" w:styleId="Corpotesto">
    <w:name w:val="Body Text"/>
    <w:basedOn w:val="Normale"/>
    <w:link w:val="CorpotestoCarattere"/>
    <w:uiPriority w:val="99"/>
    <w:rsid w:val="00E63BE3"/>
    <w:pPr>
      <w:spacing w:after="120"/>
    </w:pPr>
  </w:style>
  <w:style w:type="paragraph" w:styleId="Intestazione">
    <w:name w:val="header"/>
    <w:basedOn w:val="Normale"/>
    <w:link w:val="IntestazioneCarattere"/>
    <w:rsid w:val="001D01D3"/>
    <w:pPr>
      <w:tabs>
        <w:tab w:val="center" w:pos="4819"/>
        <w:tab w:val="right" w:pos="9638"/>
      </w:tabs>
    </w:pPr>
  </w:style>
  <w:style w:type="paragraph" w:styleId="Pidipagina">
    <w:name w:val="footer"/>
    <w:basedOn w:val="Normale"/>
    <w:link w:val="PidipaginaCarattere"/>
    <w:uiPriority w:val="99"/>
    <w:rsid w:val="001D01D3"/>
    <w:pPr>
      <w:tabs>
        <w:tab w:val="center" w:pos="4819"/>
        <w:tab w:val="right" w:pos="9638"/>
      </w:tabs>
    </w:pPr>
  </w:style>
  <w:style w:type="paragraph" w:customStyle="1" w:styleId="Intestazioneriga">
    <w:name w:val="Intestazione_riga"/>
    <w:basedOn w:val="Intestazione"/>
    <w:rsid w:val="001D01D3"/>
    <w:pPr>
      <w:pBdr>
        <w:top w:val="single" w:sz="4" w:space="1" w:color="auto"/>
      </w:pBdr>
    </w:pPr>
  </w:style>
  <w:style w:type="character" w:styleId="Numeropagina">
    <w:name w:val="page number"/>
    <w:basedOn w:val="Carpredefinitoparagrafo"/>
    <w:rsid w:val="001D01D3"/>
  </w:style>
  <w:style w:type="paragraph" w:customStyle="1" w:styleId="0titolo">
    <w:name w:val="0_titolo"/>
    <w:basedOn w:val="Titolo4"/>
    <w:next w:val="Normale"/>
    <w:rsid w:val="002F6812"/>
    <w:pPr>
      <w:numPr>
        <w:ilvl w:val="0"/>
        <w:numId w:val="2"/>
      </w:numPr>
      <w:tabs>
        <w:tab w:val="left" w:pos="1440"/>
      </w:tabs>
    </w:pPr>
    <w:rPr>
      <w:rFonts w:ascii="Times New (W1)" w:hAnsi="Times New (W1)"/>
      <w:caps/>
    </w:rPr>
  </w:style>
  <w:style w:type="paragraph" w:customStyle="1" w:styleId="TITOLOPARTE">
    <w:name w:val="TITOLO_PARTE"/>
    <w:basedOn w:val="Corpodeltesto3"/>
    <w:rsid w:val="00D13E2D"/>
    <w:pPr>
      <w:spacing w:after="0" w:line="360" w:lineRule="auto"/>
      <w:jc w:val="left"/>
    </w:pPr>
    <w:rPr>
      <w:b/>
      <w:bCs/>
      <w:caps/>
      <w:sz w:val="32"/>
      <w:szCs w:val="32"/>
    </w:rPr>
  </w:style>
  <w:style w:type="paragraph" w:styleId="Corpodeltesto3">
    <w:name w:val="Body Text 3"/>
    <w:basedOn w:val="Normale"/>
    <w:link w:val="Corpodeltesto3Carattere"/>
    <w:rsid w:val="00D13E2D"/>
    <w:pPr>
      <w:spacing w:after="120"/>
    </w:pPr>
    <w:rPr>
      <w:sz w:val="16"/>
      <w:szCs w:val="16"/>
    </w:rPr>
  </w:style>
  <w:style w:type="paragraph" w:customStyle="1" w:styleId="StileTITOLOPARTE">
    <w:name w:val="Stile TITOLO_PARTE"/>
    <w:basedOn w:val="TITOLOPARTE"/>
    <w:rsid w:val="00D13E2D"/>
    <w:pPr>
      <w:spacing w:after="120" w:line="240" w:lineRule="auto"/>
    </w:pPr>
    <w:rPr>
      <w:sz w:val="28"/>
      <w:szCs w:val="20"/>
    </w:rPr>
  </w:style>
  <w:style w:type="paragraph" w:customStyle="1" w:styleId="TITOLODOC">
    <w:name w:val="TITOLO_DOC"/>
    <w:basedOn w:val="TITOLOPARTE"/>
    <w:rsid w:val="00D13E2D"/>
    <w:pPr>
      <w:pBdr>
        <w:top w:val="single" w:sz="6" w:space="1" w:color="3366FF" w:shadow="1"/>
        <w:left w:val="single" w:sz="6" w:space="4" w:color="3366FF" w:shadow="1"/>
        <w:bottom w:val="single" w:sz="6" w:space="1" w:color="3366FF" w:shadow="1"/>
        <w:right w:val="single" w:sz="6" w:space="4" w:color="3366FF" w:shadow="1"/>
      </w:pBdr>
      <w:spacing w:after="120" w:line="240" w:lineRule="auto"/>
      <w:jc w:val="center"/>
    </w:pPr>
    <w:rPr>
      <w:color w:val="3366FF"/>
      <w:sz w:val="36"/>
      <w:szCs w:val="20"/>
    </w:rPr>
  </w:style>
  <w:style w:type="paragraph" w:styleId="Sommario1">
    <w:name w:val="toc 1"/>
    <w:basedOn w:val="Normale"/>
    <w:next w:val="Normale"/>
    <w:autoRedefine/>
    <w:uiPriority w:val="39"/>
    <w:rsid w:val="00574A79"/>
    <w:pPr>
      <w:tabs>
        <w:tab w:val="left" w:pos="440"/>
        <w:tab w:val="right" w:leader="dot" w:pos="9060"/>
      </w:tabs>
      <w:spacing w:before="240" w:after="120" w:line="240" w:lineRule="auto"/>
    </w:pPr>
  </w:style>
  <w:style w:type="paragraph" w:styleId="Sommario2">
    <w:name w:val="toc 2"/>
    <w:basedOn w:val="Normale"/>
    <w:next w:val="Normale"/>
    <w:autoRedefine/>
    <w:uiPriority w:val="39"/>
    <w:rsid w:val="00574A79"/>
    <w:pPr>
      <w:tabs>
        <w:tab w:val="left" w:pos="880"/>
        <w:tab w:val="right" w:leader="dot" w:pos="9072"/>
      </w:tabs>
      <w:spacing w:before="120" w:after="0" w:line="240" w:lineRule="auto"/>
      <w:ind w:left="221"/>
    </w:pPr>
  </w:style>
  <w:style w:type="paragraph" w:styleId="Sommario3">
    <w:name w:val="toc 3"/>
    <w:basedOn w:val="Normale"/>
    <w:next w:val="Normale"/>
    <w:autoRedefine/>
    <w:uiPriority w:val="39"/>
    <w:rsid w:val="00B94A20"/>
    <w:pPr>
      <w:tabs>
        <w:tab w:val="left" w:pos="1320"/>
        <w:tab w:val="right" w:leader="dot" w:pos="9060"/>
      </w:tabs>
      <w:spacing w:before="20" w:after="20" w:line="240" w:lineRule="auto"/>
      <w:ind w:left="442"/>
    </w:pPr>
    <w:rPr>
      <w:rFonts w:eastAsia="Times New Roman" w:cstheme="minorHAnsi"/>
      <w:noProof/>
    </w:rPr>
  </w:style>
  <w:style w:type="paragraph" w:customStyle="1" w:styleId="NormaleGrassetto">
    <w:name w:val="Normale + Grassetto"/>
    <w:basedOn w:val="NormaleWeb"/>
    <w:rsid w:val="00544510"/>
    <w:rPr>
      <w:rFonts w:ascii="Calibri" w:hAnsi="Calibri"/>
      <w:b/>
      <w:bCs/>
      <w:sz w:val="22"/>
      <w:szCs w:val="22"/>
    </w:rPr>
  </w:style>
  <w:style w:type="paragraph" w:styleId="NormaleWeb">
    <w:name w:val="Normal (Web)"/>
    <w:basedOn w:val="Normale"/>
    <w:uiPriority w:val="99"/>
    <w:rsid w:val="00544510"/>
    <w:rPr>
      <w:rFonts w:ascii="Times New Roman" w:hAnsi="Times New Roman"/>
      <w:sz w:val="24"/>
      <w:szCs w:val="24"/>
    </w:rPr>
  </w:style>
  <w:style w:type="paragraph" w:customStyle="1" w:styleId="Didascalia2">
    <w:name w:val="Didascalia2"/>
    <w:basedOn w:val="Normale"/>
    <w:next w:val="Normale"/>
    <w:rsid w:val="00544510"/>
    <w:pPr>
      <w:suppressAutoHyphens/>
      <w:spacing w:before="60" w:after="240"/>
      <w:ind w:firstLine="709"/>
      <w:jc w:val="center"/>
    </w:pPr>
    <w:rPr>
      <w:b/>
      <w:bCs/>
      <w:sz w:val="20"/>
      <w:lang w:eastAsia="ar-SA"/>
    </w:rPr>
  </w:style>
  <w:style w:type="paragraph" w:customStyle="1" w:styleId="western">
    <w:name w:val="western"/>
    <w:basedOn w:val="Normale"/>
    <w:rsid w:val="00C306F0"/>
    <w:pPr>
      <w:spacing w:before="100" w:beforeAutospacing="1" w:after="142" w:line="288" w:lineRule="auto"/>
    </w:pPr>
    <w:rPr>
      <w:rFonts w:ascii="Liberation Sans" w:hAnsi="Liberation Sans" w:cs="Liberation Sans"/>
      <w:color w:val="333333"/>
    </w:rPr>
  </w:style>
  <w:style w:type="paragraph" w:customStyle="1" w:styleId="Corpodeltesto21">
    <w:name w:val="Corpo del testo 21"/>
    <w:basedOn w:val="Normale"/>
    <w:rsid w:val="00E174DC"/>
    <w:pPr>
      <w:suppressAutoHyphens/>
      <w:autoSpaceDE w:val="0"/>
      <w:spacing w:after="120"/>
      <w:jc w:val="left"/>
    </w:pPr>
    <w:rPr>
      <w:rFonts w:ascii="Times New Roman" w:eastAsia="Lohit Hindi" w:hAnsi="Times New Roman"/>
      <w:kern w:val="1"/>
      <w:sz w:val="24"/>
      <w:szCs w:val="24"/>
      <w:lang w:eastAsia="zh-CN"/>
    </w:rPr>
  </w:style>
  <w:style w:type="paragraph" w:customStyle="1" w:styleId="western1">
    <w:name w:val="western1"/>
    <w:basedOn w:val="Normale"/>
    <w:rsid w:val="006D38F4"/>
    <w:pPr>
      <w:spacing w:before="227" w:line="360" w:lineRule="auto"/>
    </w:pPr>
    <w:rPr>
      <w:rFonts w:ascii="Liberation Sans" w:hAnsi="Liberation Sans" w:cs="Liberation Sans"/>
      <w:color w:val="333333"/>
    </w:rPr>
  </w:style>
  <w:style w:type="paragraph" w:styleId="Numeroelenco3">
    <w:name w:val="List Number 3"/>
    <w:basedOn w:val="Normale"/>
    <w:rsid w:val="0028064D"/>
    <w:pPr>
      <w:numPr>
        <w:numId w:val="3"/>
      </w:numPr>
    </w:pPr>
    <w:rPr>
      <w:rFonts w:ascii="Arial" w:hAnsi="Arial"/>
    </w:rPr>
  </w:style>
  <w:style w:type="paragraph" w:customStyle="1" w:styleId="Default">
    <w:name w:val="Default"/>
    <w:rsid w:val="00252A40"/>
    <w:pPr>
      <w:autoSpaceDE w:val="0"/>
      <w:autoSpaceDN w:val="0"/>
      <w:adjustRightInd w:val="0"/>
    </w:pPr>
    <w:rPr>
      <w:rFonts w:cs="Calibri"/>
      <w:color w:val="000000"/>
      <w:sz w:val="24"/>
      <w:szCs w:val="24"/>
      <w:lang w:eastAsia="en-US"/>
    </w:rPr>
  </w:style>
  <w:style w:type="paragraph" w:customStyle="1" w:styleId="StileNeroprima6ptDopo6pt">
    <w:name w:val="Stile Nero prima 6 pt Dopo:  6 pt"/>
    <w:basedOn w:val="Normale"/>
    <w:rsid w:val="009C1F32"/>
    <w:pPr>
      <w:spacing w:after="120" w:line="360" w:lineRule="auto"/>
    </w:pPr>
    <w:rPr>
      <w:color w:val="000000"/>
    </w:rPr>
  </w:style>
  <w:style w:type="paragraph" w:customStyle="1" w:styleId="Stileprima6ptDopo6pt">
    <w:name w:val="Stile prima 6 pt Dopo:  6 pt"/>
    <w:basedOn w:val="Normale"/>
    <w:rsid w:val="009C1F32"/>
    <w:pPr>
      <w:spacing w:after="120" w:line="360" w:lineRule="auto"/>
    </w:pPr>
  </w:style>
  <w:style w:type="paragraph" w:customStyle="1" w:styleId="03ELENCO">
    <w:name w:val="03_ELENCO"/>
    <w:basedOn w:val="Testonormale"/>
    <w:rsid w:val="009C1F32"/>
    <w:pPr>
      <w:numPr>
        <w:numId w:val="4"/>
      </w:numPr>
      <w:spacing w:after="120"/>
      <w:ind w:right="45"/>
    </w:pPr>
    <w:rPr>
      <w:rFonts w:ascii="Times New Roman" w:eastAsia="MS Mincho" w:hAnsi="Times New Roman" w:cs="Times New Roman"/>
      <w:sz w:val="26"/>
      <w:szCs w:val="24"/>
    </w:rPr>
  </w:style>
  <w:style w:type="paragraph" w:styleId="Testonormale">
    <w:name w:val="Plain Text"/>
    <w:basedOn w:val="Normale"/>
    <w:link w:val="TestonormaleCarattere"/>
    <w:rsid w:val="009C1F32"/>
    <w:rPr>
      <w:rFonts w:ascii="Courier New" w:hAnsi="Courier New" w:cs="Courier New"/>
    </w:rPr>
  </w:style>
  <w:style w:type="paragraph" w:customStyle="1" w:styleId="01TitoloCapitolo">
    <w:name w:val="01_Titolo_Capitolo"/>
    <w:basedOn w:val="Normale"/>
    <w:rsid w:val="009C1F32"/>
    <w:pPr>
      <w:numPr>
        <w:numId w:val="5"/>
      </w:numPr>
      <w:tabs>
        <w:tab w:val="clear" w:pos="0"/>
      </w:tabs>
    </w:pPr>
    <w:rPr>
      <w:b/>
      <w:bCs/>
      <w:caps/>
      <w:sz w:val="26"/>
      <w:szCs w:val="26"/>
    </w:rPr>
  </w:style>
  <w:style w:type="paragraph" w:customStyle="1" w:styleId="01titoloparagrafo">
    <w:name w:val="01_titolo_paragrafo"/>
    <w:basedOn w:val="01TitoloCapitolo"/>
    <w:rsid w:val="009C1F32"/>
    <w:pPr>
      <w:numPr>
        <w:ilvl w:val="1"/>
      </w:numPr>
    </w:pPr>
    <w:rPr>
      <w:caps w:val="0"/>
    </w:rPr>
  </w:style>
  <w:style w:type="paragraph" w:customStyle="1" w:styleId="Testo1">
    <w:name w:val="Testo1"/>
    <w:basedOn w:val="Normale"/>
    <w:rsid w:val="009C1F32"/>
    <w:pPr>
      <w:tabs>
        <w:tab w:val="left" w:pos="8505"/>
      </w:tabs>
      <w:ind w:right="1275"/>
    </w:pPr>
    <w:rPr>
      <w:sz w:val="24"/>
      <w:szCs w:val="24"/>
    </w:rPr>
  </w:style>
  <w:style w:type="paragraph" w:customStyle="1" w:styleId="Arial">
    <w:name w:val="Arial"/>
    <w:basedOn w:val="Corpotesto"/>
    <w:uiPriority w:val="99"/>
    <w:rsid w:val="009C1F32"/>
    <w:pPr>
      <w:spacing w:after="100" w:afterAutospacing="1"/>
    </w:pPr>
    <w:rPr>
      <w:rFonts w:ascii="Arial" w:hAnsi="Arial"/>
      <w:sz w:val="24"/>
      <w:szCs w:val="24"/>
    </w:rPr>
  </w:style>
  <w:style w:type="paragraph" w:styleId="Titolo">
    <w:name w:val="Title"/>
    <w:basedOn w:val="Normale"/>
    <w:next w:val="Normale"/>
    <w:link w:val="TitoloCarattere"/>
    <w:uiPriority w:val="10"/>
    <w:qFormat/>
    <w:rsid w:val="00794F6F"/>
    <w:pPr>
      <w:spacing w:after="0" w:line="240" w:lineRule="auto"/>
      <w:contextualSpacing/>
    </w:pPr>
    <w:rPr>
      <w:rFonts w:asciiTheme="majorHAnsi" w:eastAsiaTheme="majorEastAsia" w:hAnsiTheme="majorHAnsi" w:cstheme="majorBidi"/>
      <w:spacing w:val="-10"/>
      <w:kern w:val="28"/>
      <w:sz w:val="56"/>
      <w:szCs w:val="56"/>
    </w:rPr>
  </w:style>
  <w:style w:type="paragraph" w:customStyle="1" w:styleId="BaseTitolo">
    <w:name w:val="Base Titolo"/>
    <w:basedOn w:val="Default"/>
    <w:next w:val="Default"/>
    <w:rsid w:val="009C1F32"/>
    <w:rPr>
      <w:rFonts w:ascii="Baskerville Old Face" w:hAnsi="Baskerville Old Face" w:cs="Times New Roman"/>
      <w:color w:val="auto"/>
      <w:lang w:eastAsia="it-IT"/>
    </w:rPr>
  </w:style>
  <w:style w:type="paragraph" w:styleId="Testocommento">
    <w:name w:val="annotation text"/>
    <w:basedOn w:val="Normale"/>
    <w:link w:val="TestocommentoCarattere"/>
    <w:uiPriority w:val="99"/>
    <w:rsid w:val="009C1F32"/>
  </w:style>
  <w:style w:type="table" w:styleId="TabellaWeb2">
    <w:name w:val="Table Web 2"/>
    <w:basedOn w:val="TabellaWeb1"/>
    <w:rsid w:val="009C1F32"/>
    <w:tblPr/>
    <w:tblStylePr w:type="firstRow">
      <w:rPr>
        <w:rFonts w:cs="Times New Roman"/>
        <w:color w:val="auto"/>
      </w:rPr>
    </w:tblStylePr>
  </w:style>
  <w:style w:type="table" w:styleId="TabellaWeb1">
    <w:name w:val="Table Web 1"/>
    <w:basedOn w:val="Tabellanormale"/>
    <w:rsid w:val="009C1F32"/>
    <w:tblPr>
      <w:tblInd w:w="0" w:type="nil"/>
      <w:tblCellMar>
        <w:left w:w="0" w:type="dxa"/>
        <w:right w:w="0" w:type="dxa"/>
      </w:tblCellMar>
    </w:tblPr>
    <w:tblStylePr w:type="firstRow">
      <w:rPr>
        <w:rFonts w:cs="Times New Roman"/>
        <w:color w:val="auto"/>
      </w:rPr>
    </w:tblStylePr>
  </w:style>
  <w:style w:type="paragraph" w:styleId="Corpodeltesto2">
    <w:name w:val="Body Text 2"/>
    <w:basedOn w:val="Normale"/>
    <w:link w:val="Corpodeltesto2Carattere"/>
    <w:rsid w:val="009C1F32"/>
    <w:pPr>
      <w:spacing w:after="120" w:line="480" w:lineRule="auto"/>
    </w:pPr>
  </w:style>
  <w:style w:type="paragraph" w:customStyle="1" w:styleId="StileTitolo1TimesNewRoman13ptGiustificatoprima0pt">
    <w:name w:val="Stile Titolo 1 + Times New Roman 13 pt Giustificato prima 0 pt ..."/>
    <w:basedOn w:val="Titolo1"/>
    <w:rsid w:val="009C1F32"/>
    <w:pPr>
      <w:numPr>
        <w:numId w:val="1"/>
      </w:numPr>
      <w:spacing w:before="0"/>
    </w:pPr>
    <w:rPr>
      <w:rFonts w:ascii="Times New Roman" w:hAnsi="Times New Roman" w:cs="Times New Roman"/>
      <w:sz w:val="26"/>
      <w:szCs w:val="20"/>
    </w:rPr>
  </w:style>
  <w:style w:type="paragraph" w:customStyle="1" w:styleId="TitoloParte0">
    <w:name w:val="Titolo Parte"/>
    <w:basedOn w:val="Titolo1"/>
    <w:rsid w:val="009C1F32"/>
    <w:pPr>
      <w:numPr>
        <w:numId w:val="0"/>
      </w:numPr>
      <w:tabs>
        <w:tab w:val="num" w:pos="720"/>
      </w:tabs>
      <w:ind w:left="720" w:hanging="360"/>
    </w:pPr>
  </w:style>
  <w:style w:type="paragraph" w:customStyle="1" w:styleId="StileTitolo113ptTuttomaiuscole">
    <w:name w:val="Stile Titolo 1 + 13 pt Tutto maiuscole"/>
    <w:basedOn w:val="Titolo1"/>
    <w:link w:val="StileTitolo113ptTuttomaiuscoleCarattere"/>
    <w:rsid w:val="009C1F32"/>
    <w:pPr>
      <w:numPr>
        <w:numId w:val="0"/>
      </w:numPr>
      <w:tabs>
        <w:tab w:val="num" w:pos="720"/>
      </w:tabs>
      <w:ind w:left="351" w:hanging="357"/>
    </w:pPr>
    <w:rPr>
      <w:iCs/>
      <w:caps/>
      <w:sz w:val="26"/>
    </w:rPr>
  </w:style>
  <w:style w:type="character" w:customStyle="1" w:styleId="StileTitolo113ptTuttomaiuscoleCarattere">
    <w:name w:val="Stile Titolo 1 + 13 pt Tutto maiuscole Carattere"/>
    <w:link w:val="StileTitolo113ptTuttomaiuscole"/>
    <w:rsid w:val="009C1F32"/>
    <w:rPr>
      <w:rFonts w:ascii="Calibri" w:hAnsi="Calibri" w:cs="Arial"/>
      <w:b/>
      <w:bCs/>
      <w:i/>
      <w:iCs/>
      <w:caps/>
      <w:kern w:val="32"/>
      <w:sz w:val="26"/>
      <w:szCs w:val="32"/>
    </w:rPr>
  </w:style>
  <w:style w:type="paragraph" w:customStyle="1" w:styleId="StileCompetenza">
    <w:name w:val="StileCompetenza"/>
    <w:basedOn w:val="Normale"/>
    <w:link w:val="StileCompetenzaCarattere"/>
    <w:rsid w:val="009C1F32"/>
    <w:pPr>
      <w:spacing w:after="120"/>
    </w:pPr>
    <w:rPr>
      <w:i/>
      <w:szCs w:val="24"/>
    </w:rPr>
  </w:style>
  <w:style w:type="character" w:customStyle="1" w:styleId="StileCompetenzaCarattere">
    <w:name w:val="StileCompetenza Carattere"/>
    <w:link w:val="StileCompetenza"/>
    <w:rsid w:val="009C1F32"/>
    <w:rPr>
      <w:rFonts w:ascii="Calibri" w:hAnsi="Calibri"/>
      <w:i/>
      <w:sz w:val="22"/>
      <w:szCs w:val="24"/>
      <w:lang w:val="it-IT" w:eastAsia="it-IT" w:bidi="ar-SA"/>
    </w:rPr>
  </w:style>
  <w:style w:type="paragraph" w:styleId="Indice1">
    <w:name w:val="index 1"/>
    <w:basedOn w:val="Normale"/>
    <w:next w:val="Normale"/>
    <w:autoRedefine/>
    <w:rsid w:val="009C1F32"/>
    <w:pPr>
      <w:ind w:left="240" w:hanging="240"/>
    </w:pPr>
  </w:style>
  <w:style w:type="paragraph" w:customStyle="1" w:styleId="StileGiustificato">
    <w:name w:val="Stile Giustificato"/>
    <w:basedOn w:val="Normale"/>
    <w:rsid w:val="009C1F32"/>
    <w:rPr>
      <w:rFonts w:ascii="Times New Roman" w:hAnsi="Times New Roman"/>
      <w:sz w:val="26"/>
    </w:rPr>
  </w:style>
  <w:style w:type="paragraph" w:customStyle="1" w:styleId="01titoloetto">
    <w:name w:val="01_titoloetto"/>
    <w:basedOn w:val="01titoloparagrafo"/>
    <w:rsid w:val="009C1F32"/>
    <w:pPr>
      <w:numPr>
        <w:ilvl w:val="0"/>
        <w:numId w:val="0"/>
      </w:numPr>
      <w:ind w:left="907" w:hanging="680"/>
    </w:pPr>
    <w:rPr>
      <w:rFonts w:ascii="Times New Roman" w:hAnsi="Times New Roman"/>
      <w:b w:val="0"/>
      <w:i/>
    </w:rPr>
  </w:style>
  <w:style w:type="paragraph" w:customStyle="1" w:styleId="04Didascalie">
    <w:name w:val="04_Didascalie"/>
    <w:basedOn w:val="Normale"/>
    <w:link w:val="04DidascalieCarattere"/>
    <w:rsid w:val="009C1F32"/>
    <w:pPr>
      <w:jc w:val="center"/>
    </w:pPr>
    <w:rPr>
      <w:rFonts w:ascii="Times New Roman" w:hAnsi="Times New Roman"/>
      <w:b/>
      <w:bCs/>
      <w:i/>
      <w:sz w:val="24"/>
      <w:szCs w:val="24"/>
    </w:rPr>
  </w:style>
  <w:style w:type="character" w:customStyle="1" w:styleId="04DidascalieCarattere">
    <w:name w:val="04_Didascalie Carattere"/>
    <w:link w:val="04Didascalie"/>
    <w:rsid w:val="009C1F32"/>
    <w:rPr>
      <w:b/>
      <w:bCs/>
      <w:i/>
      <w:sz w:val="24"/>
      <w:szCs w:val="24"/>
      <w:lang w:val="it-IT" w:eastAsia="it-IT" w:bidi="ar-SA"/>
    </w:rPr>
  </w:style>
  <w:style w:type="paragraph" w:customStyle="1" w:styleId="04notatabella">
    <w:name w:val="04_nota_tabella"/>
    <w:basedOn w:val="02testo"/>
    <w:rsid w:val="009C1F32"/>
    <w:pPr>
      <w:jc w:val="right"/>
    </w:pPr>
    <w:rPr>
      <w:rFonts w:ascii="Times New Roman" w:hAnsi="Times New Roman"/>
      <w:noProof/>
      <w:sz w:val="20"/>
      <w:szCs w:val="20"/>
    </w:rPr>
  </w:style>
  <w:style w:type="paragraph" w:customStyle="1" w:styleId="02TESTOPRE-ELENCO">
    <w:name w:val="02_TESTO_PRE-ELENCO"/>
    <w:basedOn w:val="02testo"/>
    <w:link w:val="02TESTOPRE-ELENCOCarattere"/>
    <w:rsid w:val="009C1F32"/>
    <w:pPr>
      <w:spacing w:after="120"/>
    </w:pPr>
    <w:rPr>
      <w:rFonts w:ascii="Times New Roman" w:hAnsi="Times New Roman"/>
    </w:rPr>
  </w:style>
  <w:style w:type="character" w:customStyle="1" w:styleId="02TESTOPRE-ELENCOCarattere">
    <w:name w:val="02_TESTO_PRE-ELENCO Carattere"/>
    <w:basedOn w:val="02testoCarattere"/>
    <w:link w:val="02TESTOPRE-ELENCO"/>
    <w:rsid w:val="009C1F32"/>
    <w:rPr>
      <w:rFonts w:ascii="Calibri" w:hAnsi="Calibri"/>
      <w:sz w:val="22"/>
      <w:szCs w:val="26"/>
      <w:lang w:val="it-IT" w:eastAsia="it-IT" w:bidi="ar-SA"/>
    </w:rPr>
  </w:style>
  <w:style w:type="paragraph" w:styleId="Testofumetto">
    <w:name w:val="Balloon Text"/>
    <w:basedOn w:val="Normale"/>
    <w:link w:val="TestofumettoCarattere"/>
    <w:uiPriority w:val="99"/>
    <w:semiHidden/>
    <w:rsid w:val="009C1F32"/>
    <w:rPr>
      <w:rFonts w:ascii="Tahoma" w:hAnsi="Tahoma" w:cs="Tahoma"/>
      <w:sz w:val="16"/>
      <w:szCs w:val="16"/>
    </w:rPr>
  </w:style>
  <w:style w:type="table" w:customStyle="1" w:styleId="Tabella">
    <w:name w:val="Tabella"/>
    <w:basedOn w:val="Grigliatabella"/>
    <w:rsid w:val="009C1F32"/>
    <w:pPr>
      <w:spacing w:before="120"/>
      <w:ind w:firstLine="567"/>
      <w:jc w:val="both"/>
    </w:pPr>
    <w:rPr>
      <w:rFonts w:ascii="Tahoma" w:hAnsi="Tahoma"/>
    </w:rPr>
    <w:tblPr/>
  </w:style>
  <w:style w:type="paragraph" w:styleId="Soggettocommento">
    <w:name w:val="annotation subject"/>
    <w:basedOn w:val="Testocommento"/>
    <w:next w:val="Testocommento"/>
    <w:link w:val="SoggettocommentoCarattere"/>
    <w:rsid w:val="009C1F32"/>
    <w:rPr>
      <w:b/>
      <w:bCs/>
      <w:sz w:val="20"/>
    </w:rPr>
  </w:style>
  <w:style w:type="paragraph" w:customStyle="1" w:styleId="Didascalia1">
    <w:name w:val="Didascalia1"/>
    <w:basedOn w:val="Normale"/>
    <w:next w:val="Normale"/>
    <w:rsid w:val="009C1F32"/>
    <w:pPr>
      <w:suppressAutoHyphens/>
      <w:spacing w:before="60" w:after="240"/>
      <w:jc w:val="center"/>
    </w:pPr>
    <w:rPr>
      <w:b/>
      <w:bCs/>
      <w:sz w:val="20"/>
      <w:lang w:eastAsia="ar-SA"/>
    </w:rPr>
  </w:style>
  <w:style w:type="paragraph" w:styleId="PreformattatoHTML">
    <w:name w:val="HTML Preformatted"/>
    <w:basedOn w:val="Normale"/>
    <w:link w:val="PreformattatoHTMLCarattere"/>
    <w:uiPriority w:val="99"/>
    <w:rsid w:val="009C1F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rPr>
  </w:style>
  <w:style w:type="paragraph" w:customStyle="1" w:styleId="TableContents">
    <w:name w:val="Table Contents"/>
    <w:basedOn w:val="Normale"/>
    <w:rsid w:val="009C1F32"/>
    <w:pPr>
      <w:widowControl w:val="0"/>
      <w:suppressLineNumbers/>
      <w:suppressAutoHyphens/>
      <w:jc w:val="left"/>
    </w:pPr>
    <w:rPr>
      <w:rFonts w:ascii="Times New Roman" w:eastAsia="Droid Sans Fallback" w:hAnsi="Times New Roman" w:cs="Lohit Hindi"/>
      <w:kern w:val="1"/>
      <w:sz w:val="24"/>
      <w:szCs w:val="24"/>
      <w:lang w:val="en-US" w:eastAsia="zh-CN" w:bidi="hi-IN"/>
    </w:rPr>
  </w:style>
  <w:style w:type="paragraph" w:customStyle="1" w:styleId="Titolo1Fin">
    <w:name w:val="Titolo 1 Fin"/>
    <w:basedOn w:val="Titolo1"/>
    <w:rsid w:val="009C1F32"/>
    <w:pPr>
      <w:numPr>
        <w:numId w:val="0"/>
      </w:numPr>
      <w:tabs>
        <w:tab w:val="num" w:pos="360"/>
      </w:tabs>
      <w:spacing w:after="480"/>
      <w:ind w:left="360" w:hanging="360"/>
    </w:pPr>
    <w:rPr>
      <w:rFonts w:ascii="Arial" w:hAnsi="Arial"/>
    </w:rPr>
  </w:style>
  <w:style w:type="paragraph" w:customStyle="1" w:styleId="Stile">
    <w:name w:val="Stile"/>
    <w:rsid w:val="009C1F32"/>
    <w:pPr>
      <w:widowControl w:val="0"/>
      <w:autoSpaceDE w:val="0"/>
      <w:autoSpaceDN w:val="0"/>
      <w:adjustRightInd w:val="0"/>
    </w:pPr>
    <w:rPr>
      <w:sz w:val="24"/>
      <w:szCs w:val="24"/>
    </w:rPr>
  </w:style>
  <w:style w:type="paragraph" w:customStyle="1" w:styleId="grassetto">
    <w:name w:val="grassetto"/>
    <w:basedOn w:val="Normale"/>
    <w:rsid w:val="009C1F32"/>
    <w:pPr>
      <w:spacing w:before="100" w:beforeAutospacing="1" w:after="100" w:afterAutospacing="1"/>
      <w:jc w:val="left"/>
    </w:pPr>
    <w:rPr>
      <w:rFonts w:ascii="Times New Roman" w:hAnsi="Times New Roman"/>
      <w:sz w:val="24"/>
      <w:szCs w:val="24"/>
    </w:rPr>
  </w:style>
  <w:style w:type="paragraph" w:styleId="Data">
    <w:name w:val="Date"/>
    <w:basedOn w:val="Normale"/>
    <w:next w:val="Normale"/>
    <w:link w:val="DataCarattere"/>
    <w:rsid w:val="009C1F32"/>
    <w:rPr>
      <w:rFonts w:ascii="Arial" w:hAnsi="Arial"/>
    </w:rPr>
  </w:style>
  <w:style w:type="paragraph" w:styleId="Elenco">
    <w:name w:val="List"/>
    <w:basedOn w:val="Normale"/>
    <w:rsid w:val="009C1F32"/>
    <w:pPr>
      <w:ind w:left="283" w:hanging="283"/>
    </w:pPr>
    <w:rPr>
      <w:rFonts w:ascii="Arial" w:hAnsi="Arial"/>
    </w:rPr>
  </w:style>
  <w:style w:type="paragraph" w:styleId="Elenco2">
    <w:name w:val="List 2"/>
    <w:basedOn w:val="Normale"/>
    <w:rsid w:val="009C1F32"/>
    <w:pPr>
      <w:ind w:left="566" w:hanging="283"/>
    </w:pPr>
    <w:rPr>
      <w:rFonts w:ascii="Arial" w:hAnsi="Arial"/>
    </w:rPr>
  </w:style>
  <w:style w:type="paragraph" w:styleId="Elenco3">
    <w:name w:val="List 3"/>
    <w:basedOn w:val="Normale"/>
    <w:rsid w:val="009C1F32"/>
    <w:pPr>
      <w:ind w:left="849" w:hanging="283"/>
    </w:pPr>
    <w:rPr>
      <w:rFonts w:ascii="Arial" w:hAnsi="Arial"/>
    </w:rPr>
  </w:style>
  <w:style w:type="paragraph" w:styleId="Elenco4">
    <w:name w:val="List 4"/>
    <w:basedOn w:val="Normale"/>
    <w:rsid w:val="009C1F32"/>
    <w:pPr>
      <w:ind w:left="1132" w:hanging="283"/>
    </w:pPr>
    <w:rPr>
      <w:rFonts w:ascii="Arial" w:hAnsi="Arial"/>
    </w:rPr>
  </w:style>
  <w:style w:type="paragraph" w:styleId="Elenco5">
    <w:name w:val="List 5"/>
    <w:basedOn w:val="Normale"/>
    <w:rsid w:val="009C1F32"/>
    <w:pPr>
      <w:ind w:left="1415" w:hanging="283"/>
    </w:pPr>
    <w:rPr>
      <w:rFonts w:ascii="Arial" w:hAnsi="Arial"/>
    </w:rPr>
  </w:style>
  <w:style w:type="paragraph" w:styleId="Elencocontinua">
    <w:name w:val="List Continue"/>
    <w:basedOn w:val="Normale"/>
    <w:rsid w:val="009C1F32"/>
    <w:pPr>
      <w:spacing w:after="120"/>
      <w:ind w:left="283"/>
    </w:pPr>
    <w:rPr>
      <w:rFonts w:ascii="Arial" w:hAnsi="Arial"/>
    </w:rPr>
  </w:style>
  <w:style w:type="paragraph" w:styleId="Elencocontinua2">
    <w:name w:val="List Continue 2"/>
    <w:basedOn w:val="Normale"/>
    <w:rsid w:val="009C1F32"/>
    <w:pPr>
      <w:spacing w:after="120"/>
      <w:ind w:left="566"/>
    </w:pPr>
    <w:rPr>
      <w:rFonts w:ascii="Arial" w:hAnsi="Arial"/>
    </w:rPr>
  </w:style>
  <w:style w:type="paragraph" w:styleId="Elencocontinua3">
    <w:name w:val="List Continue 3"/>
    <w:basedOn w:val="Normale"/>
    <w:rsid w:val="009C1F32"/>
    <w:pPr>
      <w:spacing w:after="120"/>
      <w:ind w:left="849"/>
    </w:pPr>
    <w:rPr>
      <w:rFonts w:ascii="Arial" w:hAnsi="Arial"/>
    </w:rPr>
  </w:style>
  <w:style w:type="paragraph" w:styleId="Elencocontinua4">
    <w:name w:val="List Continue 4"/>
    <w:basedOn w:val="Normale"/>
    <w:rsid w:val="009C1F32"/>
    <w:pPr>
      <w:spacing w:after="120"/>
      <w:ind w:left="1132"/>
    </w:pPr>
    <w:rPr>
      <w:rFonts w:ascii="Arial" w:hAnsi="Arial"/>
    </w:rPr>
  </w:style>
  <w:style w:type="paragraph" w:styleId="Elencocontinua5">
    <w:name w:val="List Continue 5"/>
    <w:basedOn w:val="Normale"/>
    <w:rsid w:val="009C1F32"/>
    <w:pPr>
      <w:spacing w:after="120"/>
      <w:ind w:left="1415"/>
    </w:pPr>
    <w:rPr>
      <w:rFonts w:ascii="Arial" w:hAnsi="Arial"/>
    </w:rPr>
  </w:style>
  <w:style w:type="paragraph" w:styleId="Firma">
    <w:name w:val="Signature"/>
    <w:basedOn w:val="Normale"/>
    <w:link w:val="FirmaCarattere"/>
    <w:rsid w:val="009C1F32"/>
    <w:pPr>
      <w:ind w:left="4252"/>
    </w:pPr>
    <w:rPr>
      <w:rFonts w:ascii="Arial" w:hAnsi="Arial"/>
    </w:rPr>
  </w:style>
  <w:style w:type="paragraph" w:styleId="Firmadipostaelettronica">
    <w:name w:val="E-mail Signature"/>
    <w:basedOn w:val="Normale"/>
    <w:link w:val="FirmadipostaelettronicaCarattere"/>
    <w:rsid w:val="009C1F32"/>
    <w:rPr>
      <w:rFonts w:ascii="Arial" w:hAnsi="Arial"/>
    </w:rPr>
  </w:style>
  <w:style w:type="paragraph" w:styleId="Formuladiapertura">
    <w:name w:val="Salutation"/>
    <w:basedOn w:val="Normale"/>
    <w:next w:val="Normale"/>
    <w:link w:val="FormuladiaperturaCarattere"/>
    <w:rsid w:val="009C1F32"/>
    <w:rPr>
      <w:rFonts w:ascii="Arial" w:hAnsi="Arial"/>
    </w:rPr>
  </w:style>
  <w:style w:type="paragraph" w:styleId="Formuladichiusura">
    <w:name w:val="Closing"/>
    <w:basedOn w:val="Normale"/>
    <w:link w:val="FormuladichiusuraCarattere"/>
    <w:rsid w:val="009C1F32"/>
    <w:pPr>
      <w:ind w:left="4252"/>
    </w:pPr>
    <w:rPr>
      <w:rFonts w:ascii="Arial" w:hAnsi="Arial"/>
    </w:rPr>
  </w:style>
  <w:style w:type="paragraph" w:styleId="Indice2">
    <w:name w:val="index 2"/>
    <w:basedOn w:val="Normale"/>
    <w:next w:val="Normale"/>
    <w:autoRedefine/>
    <w:rsid w:val="009C1F32"/>
    <w:pPr>
      <w:ind w:left="440" w:hanging="220"/>
    </w:pPr>
    <w:rPr>
      <w:rFonts w:ascii="Arial" w:hAnsi="Arial"/>
    </w:rPr>
  </w:style>
  <w:style w:type="paragraph" w:styleId="Indice3">
    <w:name w:val="index 3"/>
    <w:basedOn w:val="Normale"/>
    <w:next w:val="Normale"/>
    <w:autoRedefine/>
    <w:rsid w:val="009C1F32"/>
    <w:pPr>
      <w:ind w:left="660" w:hanging="220"/>
    </w:pPr>
    <w:rPr>
      <w:rFonts w:ascii="Arial" w:hAnsi="Arial"/>
    </w:rPr>
  </w:style>
  <w:style w:type="paragraph" w:styleId="Indice4">
    <w:name w:val="index 4"/>
    <w:basedOn w:val="Normale"/>
    <w:next w:val="Normale"/>
    <w:autoRedefine/>
    <w:rsid w:val="009C1F32"/>
    <w:pPr>
      <w:ind w:left="880" w:hanging="220"/>
    </w:pPr>
    <w:rPr>
      <w:rFonts w:ascii="Arial" w:hAnsi="Arial"/>
    </w:rPr>
  </w:style>
  <w:style w:type="paragraph" w:styleId="Indice5">
    <w:name w:val="index 5"/>
    <w:basedOn w:val="Normale"/>
    <w:next w:val="Normale"/>
    <w:autoRedefine/>
    <w:rsid w:val="009C1F32"/>
    <w:pPr>
      <w:ind w:left="1100" w:hanging="220"/>
    </w:pPr>
    <w:rPr>
      <w:rFonts w:ascii="Arial" w:hAnsi="Arial"/>
    </w:rPr>
  </w:style>
  <w:style w:type="paragraph" w:styleId="Indice6">
    <w:name w:val="index 6"/>
    <w:basedOn w:val="Normale"/>
    <w:next w:val="Normale"/>
    <w:autoRedefine/>
    <w:rsid w:val="009C1F32"/>
    <w:pPr>
      <w:ind w:left="1320" w:hanging="220"/>
    </w:pPr>
    <w:rPr>
      <w:rFonts w:ascii="Arial" w:hAnsi="Arial"/>
    </w:rPr>
  </w:style>
  <w:style w:type="paragraph" w:styleId="Indice7">
    <w:name w:val="index 7"/>
    <w:basedOn w:val="Normale"/>
    <w:next w:val="Normale"/>
    <w:autoRedefine/>
    <w:rsid w:val="009C1F32"/>
    <w:pPr>
      <w:ind w:left="1540" w:hanging="220"/>
    </w:pPr>
    <w:rPr>
      <w:rFonts w:ascii="Arial" w:hAnsi="Arial"/>
    </w:rPr>
  </w:style>
  <w:style w:type="paragraph" w:styleId="Indice8">
    <w:name w:val="index 8"/>
    <w:basedOn w:val="Normale"/>
    <w:next w:val="Normale"/>
    <w:autoRedefine/>
    <w:rsid w:val="009C1F32"/>
    <w:pPr>
      <w:ind w:left="1760" w:hanging="220"/>
    </w:pPr>
    <w:rPr>
      <w:rFonts w:ascii="Arial" w:hAnsi="Arial"/>
    </w:rPr>
  </w:style>
  <w:style w:type="paragraph" w:styleId="Indice9">
    <w:name w:val="index 9"/>
    <w:basedOn w:val="Normale"/>
    <w:next w:val="Normale"/>
    <w:autoRedefine/>
    <w:rsid w:val="009C1F32"/>
    <w:pPr>
      <w:ind w:left="1980" w:hanging="220"/>
    </w:pPr>
    <w:rPr>
      <w:rFonts w:ascii="Arial" w:hAnsi="Arial"/>
    </w:rPr>
  </w:style>
  <w:style w:type="paragraph" w:styleId="Indicedellefigure">
    <w:name w:val="table of figures"/>
    <w:basedOn w:val="Normale"/>
    <w:next w:val="Normale"/>
    <w:uiPriority w:val="99"/>
    <w:rsid w:val="009C1F32"/>
    <w:rPr>
      <w:rFonts w:ascii="Arial" w:hAnsi="Arial"/>
    </w:rPr>
  </w:style>
  <w:style w:type="paragraph" w:styleId="Indicefonti">
    <w:name w:val="table of authorities"/>
    <w:basedOn w:val="Normale"/>
    <w:next w:val="Normale"/>
    <w:rsid w:val="009C1F32"/>
    <w:pPr>
      <w:ind w:left="220" w:hanging="220"/>
    </w:pPr>
    <w:rPr>
      <w:rFonts w:ascii="Arial" w:hAnsi="Arial"/>
    </w:rPr>
  </w:style>
  <w:style w:type="paragraph" w:styleId="Indirizzodestinatario">
    <w:name w:val="envelope address"/>
    <w:basedOn w:val="Normale"/>
    <w:rsid w:val="009C1F32"/>
    <w:pPr>
      <w:framePr w:w="7920" w:h="1980" w:hRule="exact" w:hSpace="141" w:wrap="auto" w:hAnchor="page" w:xAlign="center" w:yAlign="bottom"/>
      <w:ind w:left="2880"/>
    </w:pPr>
    <w:rPr>
      <w:rFonts w:ascii="Arial" w:hAnsi="Arial"/>
      <w:sz w:val="24"/>
      <w:szCs w:val="24"/>
    </w:rPr>
  </w:style>
  <w:style w:type="paragraph" w:styleId="IndirizzoHTML">
    <w:name w:val="HTML Address"/>
    <w:basedOn w:val="Normale"/>
    <w:link w:val="IndirizzoHTMLCarattere"/>
    <w:rsid w:val="009C1F32"/>
    <w:rPr>
      <w:rFonts w:ascii="Arial" w:hAnsi="Arial"/>
      <w:i/>
      <w:iCs/>
    </w:rPr>
  </w:style>
  <w:style w:type="paragraph" w:styleId="Indirizzomittente">
    <w:name w:val="envelope return"/>
    <w:basedOn w:val="Normale"/>
    <w:rsid w:val="009C1F32"/>
    <w:rPr>
      <w:rFonts w:ascii="Arial" w:hAnsi="Arial"/>
      <w:sz w:val="20"/>
    </w:rPr>
  </w:style>
  <w:style w:type="paragraph" w:styleId="Intestazionemessaggio">
    <w:name w:val="Message Header"/>
    <w:basedOn w:val="Normale"/>
    <w:link w:val="IntestazionemessaggioCarattere"/>
    <w:rsid w:val="009C1F32"/>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4"/>
      <w:szCs w:val="24"/>
    </w:rPr>
  </w:style>
  <w:style w:type="paragraph" w:styleId="Intestazionenota">
    <w:name w:val="Note Heading"/>
    <w:basedOn w:val="Normale"/>
    <w:next w:val="Normale"/>
    <w:link w:val="IntestazionenotaCarattere"/>
    <w:rsid w:val="009C1F32"/>
    <w:rPr>
      <w:rFonts w:ascii="Arial" w:hAnsi="Arial"/>
    </w:rPr>
  </w:style>
  <w:style w:type="paragraph" w:styleId="Mappadocumento">
    <w:name w:val="Document Map"/>
    <w:basedOn w:val="Normale"/>
    <w:link w:val="MappadocumentoCarattere"/>
    <w:rsid w:val="009C1F32"/>
    <w:pPr>
      <w:shd w:val="clear" w:color="auto" w:fill="000080"/>
    </w:pPr>
    <w:rPr>
      <w:rFonts w:ascii="Tahoma" w:hAnsi="Tahoma" w:cs="Tahoma"/>
      <w:sz w:val="20"/>
    </w:rPr>
  </w:style>
  <w:style w:type="paragraph" w:styleId="Numeroelenco">
    <w:name w:val="List Number"/>
    <w:basedOn w:val="Normale"/>
    <w:rsid w:val="009C1F32"/>
    <w:pPr>
      <w:numPr>
        <w:numId w:val="6"/>
      </w:numPr>
    </w:pPr>
    <w:rPr>
      <w:rFonts w:ascii="Arial" w:hAnsi="Arial"/>
    </w:rPr>
  </w:style>
  <w:style w:type="paragraph" w:styleId="Numeroelenco2">
    <w:name w:val="List Number 2"/>
    <w:basedOn w:val="Normale"/>
    <w:rsid w:val="009C1F32"/>
    <w:pPr>
      <w:numPr>
        <w:numId w:val="7"/>
      </w:numPr>
    </w:pPr>
    <w:rPr>
      <w:rFonts w:ascii="Arial" w:hAnsi="Arial"/>
    </w:rPr>
  </w:style>
  <w:style w:type="paragraph" w:styleId="Numeroelenco4">
    <w:name w:val="List Number 4"/>
    <w:basedOn w:val="Normale"/>
    <w:rsid w:val="009C1F32"/>
    <w:pPr>
      <w:numPr>
        <w:numId w:val="8"/>
      </w:numPr>
    </w:pPr>
    <w:rPr>
      <w:rFonts w:ascii="Arial" w:hAnsi="Arial"/>
    </w:rPr>
  </w:style>
  <w:style w:type="paragraph" w:styleId="Numeroelenco5">
    <w:name w:val="List Number 5"/>
    <w:basedOn w:val="Normale"/>
    <w:rsid w:val="009C1F32"/>
    <w:pPr>
      <w:numPr>
        <w:numId w:val="9"/>
      </w:numPr>
    </w:pPr>
    <w:rPr>
      <w:rFonts w:ascii="Arial" w:hAnsi="Arial"/>
    </w:rPr>
  </w:style>
  <w:style w:type="paragraph" w:styleId="Primorientrocorpodeltesto">
    <w:name w:val="Body Text First Indent"/>
    <w:basedOn w:val="Corpotesto"/>
    <w:link w:val="PrimorientrocorpodeltestoCarattere"/>
    <w:rsid w:val="009C1F32"/>
    <w:pPr>
      <w:ind w:firstLine="210"/>
    </w:pPr>
    <w:rPr>
      <w:rFonts w:ascii="Arial" w:hAnsi="Arial"/>
    </w:rPr>
  </w:style>
  <w:style w:type="paragraph" w:styleId="Rientrocorpodeltesto">
    <w:name w:val="Body Text Indent"/>
    <w:basedOn w:val="Normale"/>
    <w:link w:val="RientrocorpodeltestoCarattere"/>
    <w:rsid w:val="009C1F32"/>
    <w:pPr>
      <w:spacing w:after="120"/>
      <w:ind w:left="283"/>
    </w:pPr>
    <w:rPr>
      <w:rFonts w:ascii="Arial" w:hAnsi="Arial"/>
    </w:rPr>
  </w:style>
  <w:style w:type="paragraph" w:styleId="Primorientrocorpodeltesto2">
    <w:name w:val="Body Text First Indent 2"/>
    <w:basedOn w:val="Rientrocorpodeltesto"/>
    <w:link w:val="Primorientrocorpodeltesto2Carattere"/>
    <w:rsid w:val="009C1F32"/>
    <w:pPr>
      <w:ind w:firstLine="210"/>
    </w:pPr>
  </w:style>
  <w:style w:type="paragraph" w:styleId="Puntoelenco">
    <w:name w:val="List Bullet"/>
    <w:basedOn w:val="Normale"/>
    <w:rsid w:val="009C1F32"/>
    <w:pPr>
      <w:numPr>
        <w:numId w:val="10"/>
      </w:numPr>
    </w:pPr>
    <w:rPr>
      <w:rFonts w:ascii="Arial" w:hAnsi="Arial"/>
    </w:rPr>
  </w:style>
  <w:style w:type="paragraph" w:styleId="Puntoelenco2">
    <w:name w:val="List Bullet 2"/>
    <w:basedOn w:val="Normale"/>
    <w:rsid w:val="009C1F32"/>
    <w:pPr>
      <w:numPr>
        <w:numId w:val="11"/>
      </w:numPr>
    </w:pPr>
    <w:rPr>
      <w:rFonts w:ascii="Arial" w:hAnsi="Arial"/>
    </w:rPr>
  </w:style>
  <w:style w:type="paragraph" w:styleId="Puntoelenco3">
    <w:name w:val="List Bullet 3"/>
    <w:basedOn w:val="Normale"/>
    <w:rsid w:val="009C1F32"/>
    <w:pPr>
      <w:numPr>
        <w:numId w:val="12"/>
      </w:numPr>
    </w:pPr>
    <w:rPr>
      <w:rFonts w:ascii="Arial" w:hAnsi="Arial"/>
    </w:rPr>
  </w:style>
  <w:style w:type="paragraph" w:styleId="Puntoelenco4">
    <w:name w:val="List Bullet 4"/>
    <w:basedOn w:val="Normale"/>
    <w:rsid w:val="009C1F32"/>
    <w:pPr>
      <w:numPr>
        <w:numId w:val="13"/>
      </w:numPr>
    </w:pPr>
    <w:rPr>
      <w:rFonts w:ascii="Arial" w:hAnsi="Arial"/>
    </w:rPr>
  </w:style>
  <w:style w:type="paragraph" w:styleId="Puntoelenco5">
    <w:name w:val="List Bullet 5"/>
    <w:basedOn w:val="Normale"/>
    <w:rsid w:val="009C1F32"/>
    <w:pPr>
      <w:numPr>
        <w:numId w:val="14"/>
      </w:numPr>
    </w:pPr>
    <w:rPr>
      <w:rFonts w:ascii="Arial" w:hAnsi="Arial"/>
    </w:rPr>
  </w:style>
  <w:style w:type="paragraph" w:styleId="Rientrocorpodeltesto2">
    <w:name w:val="Body Text Indent 2"/>
    <w:basedOn w:val="Normale"/>
    <w:link w:val="Rientrocorpodeltesto2Carattere"/>
    <w:rsid w:val="009C1F32"/>
    <w:pPr>
      <w:spacing w:after="120" w:line="480" w:lineRule="auto"/>
      <w:ind w:left="283"/>
    </w:pPr>
    <w:rPr>
      <w:rFonts w:ascii="Arial" w:hAnsi="Arial"/>
    </w:rPr>
  </w:style>
  <w:style w:type="paragraph" w:styleId="Rientrocorpodeltesto3">
    <w:name w:val="Body Text Indent 3"/>
    <w:basedOn w:val="Normale"/>
    <w:link w:val="Rientrocorpodeltesto3Carattere"/>
    <w:rsid w:val="009C1F32"/>
    <w:pPr>
      <w:spacing w:after="120"/>
      <w:ind w:left="283"/>
    </w:pPr>
    <w:rPr>
      <w:rFonts w:ascii="Arial" w:hAnsi="Arial"/>
      <w:sz w:val="16"/>
      <w:szCs w:val="16"/>
    </w:rPr>
  </w:style>
  <w:style w:type="paragraph" w:styleId="Rientronormale">
    <w:name w:val="Normal Indent"/>
    <w:basedOn w:val="Normale"/>
    <w:rsid w:val="009C1F32"/>
    <w:pPr>
      <w:ind w:left="708"/>
    </w:pPr>
    <w:rPr>
      <w:rFonts w:ascii="Arial" w:hAnsi="Arial"/>
    </w:rPr>
  </w:style>
  <w:style w:type="paragraph" w:styleId="Sommario4">
    <w:name w:val="toc 4"/>
    <w:basedOn w:val="Normale"/>
    <w:next w:val="Normale"/>
    <w:autoRedefine/>
    <w:uiPriority w:val="39"/>
    <w:rsid w:val="009C1F32"/>
    <w:pPr>
      <w:ind w:left="660"/>
    </w:pPr>
    <w:rPr>
      <w:rFonts w:ascii="Arial" w:hAnsi="Arial"/>
    </w:rPr>
  </w:style>
  <w:style w:type="paragraph" w:styleId="Sommario5">
    <w:name w:val="toc 5"/>
    <w:basedOn w:val="Normale"/>
    <w:next w:val="Normale"/>
    <w:autoRedefine/>
    <w:uiPriority w:val="39"/>
    <w:rsid w:val="009C1F32"/>
    <w:pPr>
      <w:ind w:left="880"/>
    </w:pPr>
    <w:rPr>
      <w:rFonts w:ascii="Arial" w:hAnsi="Arial"/>
    </w:rPr>
  </w:style>
  <w:style w:type="paragraph" w:styleId="Sommario6">
    <w:name w:val="toc 6"/>
    <w:basedOn w:val="Normale"/>
    <w:next w:val="Normale"/>
    <w:autoRedefine/>
    <w:uiPriority w:val="39"/>
    <w:rsid w:val="009C1F32"/>
    <w:pPr>
      <w:ind w:left="1100"/>
    </w:pPr>
    <w:rPr>
      <w:rFonts w:ascii="Arial" w:hAnsi="Arial"/>
    </w:rPr>
  </w:style>
  <w:style w:type="paragraph" w:styleId="Sommario7">
    <w:name w:val="toc 7"/>
    <w:basedOn w:val="Normale"/>
    <w:next w:val="Normale"/>
    <w:autoRedefine/>
    <w:uiPriority w:val="39"/>
    <w:rsid w:val="009C1F32"/>
    <w:pPr>
      <w:ind w:left="1320"/>
    </w:pPr>
    <w:rPr>
      <w:rFonts w:ascii="Arial" w:hAnsi="Arial"/>
    </w:rPr>
  </w:style>
  <w:style w:type="paragraph" w:styleId="Sommario8">
    <w:name w:val="toc 8"/>
    <w:basedOn w:val="Normale"/>
    <w:next w:val="Normale"/>
    <w:autoRedefine/>
    <w:uiPriority w:val="39"/>
    <w:rsid w:val="009C1F32"/>
    <w:pPr>
      <w:ind w:left="1540"/>
    </w:pPr>
    <w:rPr>
      <w:rFonts w:ascii="Arial" w:hAnsi="Arial"/>
    </w:rPr>
  </w:style>
  <w:style w:type="paragraph" w:styleId="Sommario9">
    <w:name w:val="toc 9"/>
    <w:basedOn w:val="Normale"/>
    <w:next w:val="Normale"/>
    <w:autoRedefine/>
    <w:uiPriority w:val="39"/>
    <w:rsid w:val="009C1F32"/>
    <w:pPr>
      <w:ind w:left="1760"/>
    </w:pPr>
    <w:rPr>
      <w:rFonts w:ascii="Arial" w:hAnsi="Arial"/>
    </w:rPr>
  </w:style>
  <w:style w:type="paragraph" w:styleId="Sottotitolo">
    <w:name w:val="Subtitle"/>
    <w:basedOn w:val="Normale"/>
    <w:next w:val="Normale"/>
    <w:link w:val="SottotitoloCarattere"/>
    <w:uiPriority w:val="11"/>
    <w:qFormat/>
    <w:rsid w:val="00794F6F"/>
    <w:pPr>
      <w:numPr>
        <w:ilvl w:val="1"/>
      </w:numPr>
    </w:pPr>
    <w:rPr>
      <w:rFonts w:eastAsiaTheme="minorEastAsia"/>
      <w:color w:val="5A5A5A" w:themeColor="text1" w:themeTint="A5"/>
      <w:spacing w:val="15"/>
    </w:rPr>
  </w:style>
  <w:style w:type="paragraph" w:styleId="Testodelblocco">
    <w:name w:val="Block Text"/>
    <w:basedOn w:val="Normale"/>
    <w:rsid w:val="009C1F32"/>
    <w:pPr>
      <w:spacing w:after="120"/>
      <w:ind w:left="1440" w:right="1440"/>
    </w:pPr>
    <w:rPr>
      <w:rFonts w:ascii="Arial" w:hAnsi="Arial"/>
    </w:rPr>
  </w:style>
  <w:style w:type="paragraph" w:styleId="Testomacro">
    <w:name w:val="macro"/>
    <w:link w:val="TestomacroCarattere"/>
    <w:rsid w:val="009C1F32"/>
    <w:pPr>
      <w:tabs>
        <w:tab w:val="left" w:pos="480"/>
        <w:tab w:val="left" w:pos="960"/>
        <w:tab w:val="left" w:pos="1440"/>
        <w:tab w:val="left" w:pos="1920"/>
        <w:tab w:val="left" w:pos="2400"/>
        <w:tab w:val="left" w:pos="2880"/>
        <w:tab w:val="left" w:pos="3360"/>
        <w:tab w:val="left" w:pos="3840"/>
        <w:tab w:val="left" w:pos="4320"/>
      </w:tabs>
      <w:spacing w:before="120"/>
      <w:jc w:val="both"/>
    </w:pPr>
    <w:rPr>
      <w:rFonts w:ascii="Courier New" w:hAnsi="Courier New" w:cs="Courier New"/>
    </w:rPr>
  </w:style>
  <w:style w:type="paragraph" w:styleId="Titoloindice">
    <w:name w:val="index heading"/>
    <w:basedOn w:val="Normale"/>
    <w:next w:val="Indice1"/>
    <w:rsid w:val="009C1F32"/>
    <w:rPr>
      <w:rFonts w:ascii="Arial" w:hAnsi="Arial"/>
      <w:b/>
      <w:bCs/>
    </w:rPr>
  </w:style>
  <w:style w:type="paragraph" w:styleId="Titoloindicefonti">
    <w:name w:val="toa heading"/>
    <w:basedOn w:val="Normale"/>
    <w:next w:val="Normale"/>
    <w:rsid w:val="009C1F32"/>
    <w:rPr>
      <w:rFonts w:ascii="Arial" w:hAnsi="Arial"/>
      <w:b/>
      <w:bCs/>
      <w:sz w:val="24"/>
      <w:szCs w:val="24"/>
    </w:rPr>
  </w:style>
  <w:style w:type="paragraph" w:customStyle="1" w:styleId="Didascaliaimmagine">
    <w:name w:val="Didascalia immagine"/>
    <w:basedOn w:val="Corpotesto"/>
    <w:link w:val="DidascaliaimmagineCarattere"/>
    <w:rsid w:val="009C1F32"/>
    <w:pPr>
      <w:widowControl w:val="0"/>
      <w:suppressAutoHyphens/>
      <w:jc w:val="center"/>
    </w:pPr>
    <w:rPr>
      <w:rFonts w:eastAsia="Droid Sans Fallback" w:cs="Lohit Hindi"/>
      <w:i/>
      <w:kern w:val="1"/>
      <w:lang w:eastAsia="zh-CN" w:bidi="hi-IN"/>
    </w:rPr>
  </w:style>
  <w:style w:type="paragraph" w:customStyle="1" w:styleId="TestodiLegge">
    <w:name w:val="Testo di Legge"/>
    <w:basedOn w:val="Normale"/>
    <w:rsid w:val="009C1F32"/>
    <w:pPr>
      <w:pBdr>
        <w:top w:val="single" w:sz="4" w:space="1" w:color="auto"/>
        <w:left w:val="single" w:sz="4" w:space="4" w:color="auto"/>
        <w:bottom w:val="single" w:sz="4" w:space="1" w:color="auto"/>
        <w:right w:val="single" w:sz="4" w:space="4" w:color="auto"/>
      </w:pBdr>
      <w:shd w:val="clear" w:color="auto" w:fill="F3F3F3"/>
      <w:suppressAutoHyphens/>
      <w:ind w:firstLine="709"/>
    </w:pPr>
    <w:rPr>
      <w:sz w:val="18"/>
      <w:lang w:eastAsia="ar-SA"/>
    </w:rPr>
  </w:style>
  <w:style w:type="paragraph" w:styleId="Paragrafoelenco">
    <w:name w:val="List Paragraph"/>
    <w:basedOn w:val="Normale"/>
    <w:uiPriority w:val="34"/>
    <w:qFormat/>
    <w:rsid w:val="00794F6F"/>
    <w:pPr>
      <w:ind w:left="720"/>
      <w:contextualSpacing/>
    </w:pPr>
  </w:style>
  <w:style w:type="character" w:styleId="Rimandocommento">
    <w:name w:val="annotation reference"/>
    <w:uiPriority w:val="99"/>
    <w:rsid w:val="00C50F0E"/>
    <w:rPr>
      <w:sz w:val="16"/>
      <w:szCs w:val="16"/>
    </w:rPr>
  </w:style>
  <w:style w:type="paragraph" w:customStyle="1" w:styleId="Anumerositdelcampione">
    <w:name w:val="A numerosità del campione"/>
    <w:basedOn w:val="Normale"/>
    <w:rsid w:val="003B7A6D"/>
  </w:style>
  <w:style w:type="character" w:styleId="Enfasigrassetto">
    <w:name w:val="Strong"/>
    <w:basedOn w:val="Carpredefinitoparagrafo"/>
    <w:uiPriority w:val="22"/>
    <w:qFormat/>
    <w:rsid w:val="00794F6F"/>
    <w:rPr>
      <w:b/>
      <w:bCs/>
    </w:rPr>
  </w:style>
  <w:style w:type="paragraph" w:styleId="Revisione">
    <w:name w:val="Revision"/>
    <w:hidden/>
    <w:uiPriority w:val="99"/>
    <w:semiHidden/>
    <w:rsid w:val="00183251"/>
  </w:style>
  <w:style w:type="paragraph" w:customStyle="1" w:styleId="P2">
    <w:name w:val="P2"/>
    <w:basedOn w:val="Default"/>
    <w:hidden/>
    <w:rsid w:val="008C5C63"/>
    <w:pPr>
      <w:autoSpaceDE/>
      <w:autoSpaceDN/>
    </w:pPr>
    <w:rPr>
      <w:rFonts w:eastAsia="Lucida Sans Unicode" w:cs="Calibri1"/>
      <w:b/>
      <w:color w:val="auto"/>
      <w:sz w:val="26"/>
      <w:szCs w:val="20"/>
      <w:lang w:eastAsia="it-IT"/>
    </w:rPr>
  </w:style>
  <w:style w:type="paragraph" w:customStyle="1" w:styleId="P4">
    <w:name w:val="P4"/>
    <w:basedOn w:val="Default"/>
    <w:hidden/>
    <w:rsid w:val="008C5C63"/>
    <w:pPr>
      <w:widowControl w:val="0"/>
      <w:autoSpaceDE/>
      <w:autoSpaceDN/>
      <w:spacing w:before="120"/>
      <w:jc w:val="distribute"/>
    </w:pPr>
    <w:rPr>
      <w:rFonts w:eastAsia="Lucida Sans Unicode" w:cs="Calibri1"/>
      <w:color w:val="auto"/>
      <w:sz w:val="22"/>
      <w:szCs w:val="20"/>
      <w:lang w:eastAsia="it-IT"/>
    </w:rPr>
  </w:style>
  <w:style w:type="character" w:customStyle="1" w:styleId="T1">
    <w:name w:val="T1"/>
    <w:hidden/>
    <w:rsid w:val="008C5C63"/>
    <w:rPr>
      <w:b/>
      <w:i/>
      <w:sz w:val="23"/>
    </w:rPr>
  </w:style>
  <w:style w:type="character" w:customStyle="1" w:styleId="T2">
    <w:name w:val="T2"/>
    <w:hidden/>
    <w:rsid w:val="008C5C63"/>
    <w:rPr>
      <w:sz w:val="22"/>
    </w:rPr>
  </w:style>
  <w:style w:type="table" w:styleId="Tabellasemplice-1">
    <w:name w:val="Plain Table 1"/>
    <w:basedOn w:val="Tabellanormale"/>
    <w:uiPriority w:val="41"/>
    <w:rsid w:val="0052443F"/>
    <w:rPr>
      <w:lang w:eastAsia="en-US"/>
    </w:rPr>
    <w:tblPr>
      <w:tblInd w:w="0" w:type="nil"/>
      <w:tblCellMar>
        <w:left w:w="0" w:type="dxa"/>
        <w:right w:w="0" w:type="dxa"/>
      </w:tblCellMar>
    </w:tblPr>
    <w:tblStylePr w:type="firstRow">
      <w:rPr>
        <w:b/>
        <w:bCs/>
      </w:rPr>
    </w:tblStylePr>
    <w:tblStylePr w:type="lastRow">
      <w:rPr>
        <w:b/>
        <w:bCs/>
      </w:rPr>
    </w:tblStylePr>
    <w:tblStylePr w:type="firstCol">
      <w:rPr>
        <w:b/>
        <w:bCs/>
      </w:rPr>
    </w:tblStylePr>
    <w:tblStylePr w:type="lastCol">
      <w:rPr>
        <w:b/>
        <w:bCs/>
      </w:rPr>
    </w:tblStylePr>
  </w:style>
  <w:style w:type="character" w:customStyle="1" w:styleId="TestocommentoCarattere">
    <w:name w:val="Testo commento Carattere"/>
    <w:basedOn w:val="Carpredefinitoparagrafo"/>
    <w:link w:val="Testocommento"/>
    <w:uiPriority w:val="99"/>
    <w:rsid w:val="008A4A72"/>
    <w:rPr>
      <w:rFonts w:ascii="Calibri" w:hAnsi="Calibri"/>
      <w:sz w:val="22"/>
    </w:rPr>
  </w:style>
  <w:style w:type="table" w:styleId="Tabellagriglia2-colore3">
    <w:name w:val="Grid Table 2 Accent 3"/>
    <w:basedOn w:val="Tabellanormale"/>
    <w:uiPriority w:val="47"/>
    <w:rsid w:val="00C83FA2"/>
    <w:tblPr>
      <w:tblInd w:w="0" w:type="nil"/>
      <w:tblCellMar>
        <w:left w:w="0" w:type="dxa"/>
        <w:right w:w="0" w:type="dxa"/>
      </w:tblCellMar>
    </w:tblPr>
    <w:tblStylePr w:type="firstRow">
      <w:rPr>
        <w:b/>
        <w:bCs/>
      </w:rPr>
    </w:tblStylePr>
    <w:tblStylePr w:type="lastRow">
      <w:rPr>
        <w:b/>
        <w:bCs/>
      </w:rPr>
    </w:tblStylePr>
    <w:tblStylePr w:type="firstCol">
      <w:rPr>
        <w:b/>
        <w:bCs/>
      </w:rPr>
    </w:tblStylePr>
    <w:tblStylePr w:type="lastCol">
      <w:rPr>
        <w:b/>
        <w:bCs/>
      </w:rPr>
    </w:tblStylePr>
  </w:style>
  <w:style w:type="paragraph" w:customStyle="1" w:styleId="Immagine">
    <w:name w:val="Immagine"/>
    <w:basedOn w:val="Corpotesto"/>
    <w:rsid w:val="008E4ABF"/>
    <w:pPr>
      <w:keepNext/>
      <w:spacing w:before="240"/>
      <w:jc w:val="center"/>
    </w:pPr>
    <w:rPr>
      <w:rFonts w:cs="Calibri"/>
      <w:sz w:val="24"/>
      <w:szCs w:val="24"/>
    </w:rPr>
  </w:style>
  <w:style w:type="character" w:customStyle="1" w:styleId="IntestazioneCarattere">
    <w:name w:val="Intestazione Carattere"/>
    <w:basedOn w:val="Carpredefinitoparagrafo"/>
    <w:link w:val="Intestazione"/>
    <w:uiPriority w:val="99"/>
    <w:rsid w:val="008A1D68"/>
    <w:rPr>
      <w:rFonts w:ascii="Calibri" w:hAnsi="Calibri"/>
      <w:sz w:val="22"/>
    </w:rPr>
  </w:style>
  <w:style w:type="character" w:customStyle="1" w:styleId="PidipaginaCarattere">
    <w:name w:val="Piè di pagina Carattere"/>
    <w:basedOn w:val="Carpredefinitoparagrafo"/>
    <w:link w:val="Pidipagina"/>
    <w:uiPriority w:val="99"/>
    <w:rsid w:val="008A1D68"/>
    <w:rPr>
      <w:rFonts w:ascii="Calibri" w:hAnsi="Calibri"/>
      <w:sz w:val="22"/>
    </w:rPr>
  </w:style>
  <w:style w:type="character" w:customStyle="1" w:styleId="TestofumettoCarattere">
    <w:name w:val="Testo fumetto Carattere"/>
    <w:basedOn w:val="Carpredefinitoparagrafo"/>
    <w:link w:val="Testofumetto"/>
    <w:uiPriority w:val="99"/>
    <w:semiHidden/>
    <w:rsid w:val="008A1D68"/>
    <w:rPr>
      <w:rFonts w:ascii="Tahoma" w:hAnsi="Tahoma" w:cs="Tahoma"/>
      <w:sz w:val="16"/>
      <w:szCs w:val="16"/>
    </w:rPr>
  </w:style>
  <w:style w:type="character" w:customStyle="1" w:styleId="CorpotestoCarattere">
    <w:name w:val="Corpo testo Carattere"/>
    <w:basedOn w:val="Carpredefinitoparagrafo"/>
    <w:link w:val="Corpotesto"/>
    <w:uiPriority w:val="99"/>
    <w:rsid w:val="008A1D68"/>
    <w:rPr>
      <w:rFonts w:ascii="Calibri" w:hAnsi="Calibri"/>
      <w:sz w:val="22"/>
    </w:rPr>
  </w:style>
  <w:style w:type="character" w:customStyle="1" w:styleId="Titolo3Carattere">
    <w:name w:val="Titolo 3 Carattere"/>
    <w:basedOn w:val="Carpredefinitoparagrafo"/>
    <w:link w:val="Titolo3"/>
    <w:uiPriority w:val="9"/>
    <w:rsid w:val="00C77CB1"/>
    <w:rPr>
      <w:rFonts w:eastAsia="Times New Roman"/>
      <w:b/>
      <w:bCs/>
      <w:i/>
      <w:sz w:val="24"/>
      <w:szCs w:val="26"/>
    </w:rPr>
  </w:style>
  <w:style w:type="character" w:customStyle="1" w:styleId="Titolo5Carattere">
    <w:name w:val="Titolo 5 Carattere"/>
    <w:basedOn w:val="Carpredefinitoparagrafo"/>
    <w:link w:val="Titolo5"/>
    <w:uiPriority w:val="9"/>
    <w:rsid w:val="003A54A8"/>
    <w:rPr>
      <w:rFonts w:eastAsia="Times New Roman" w:cs="Times New Roman"/>
      <w:b/>
      <w:bCs/>
      <w:i/>
      <w:iCs/>
      <w:sz w:val="24"/>
      <w:szCs w:val="26"/>
    </w:rPr>
  </w:style>
  <w:style w:type="character" w:customStyle="1" w:styleId="Titolo6Carattere">
    <w:name w:val="Titolo 6 Carattere"/>
    <w:basedOn w:val="Carpredefinitoparagrafo"/>
    <w:link w:val="Titolo6"/>
    <w:uiPriority w:val="9"/>
    <w:rsid w:val="00794F6F"/>
    <w:rPr>
      <w:rFonts w:asciiTheme="majorHAnsi" w:eastAsiaTheme="majorEastAsia" w:hAnsiTheme="majorHAnsi" w:cstheme="majorBidi"/>
      <w:color w:val="073662" w:themeColor="accent1" w:themeShade="7F"/>
    </w:rPr>
  </w:style>
  <w:style w:type="character" w:customStyle="1" w:styleId="Titolo7Carattere">
    <w:name w:val="Titolo 7 Carattere"/>
    <w:basedOn w:val="Carpredefinitoparagrafo"/>
    <w:link w:val="Titolo7"/>
    <w:uiPriority w:val="9"/>
    <w:rsid w:val="00794F6F"/>
    <w:rPr>
      <w:rFonts w:asciiTheme="majorHAnsi" w:eastAsiaTheme="majorEastAsia" w:hAnsiTheme="majorHAnsi" w:cstheme="majorBidi"/>
      <w:i/>
      <w:iCs/>
      <w:color w:val="073662" w:themeColor="accent1" w:themeShade="7F"/>
    </w:rPr>
  </w:style>
  <w:style w:type="character" w:customStyle="1" w:styleId="Titolo8Carattere">
    <w:name w:val="Titolo 8 Carattere"/>
    <w:basedOn w:val="Carpredefinitoparagrafo"/>
    <w:link w:val="Titolo8"/>
    <w:uiPriority w:val="9"/>
    <w:rsid w:val="00794F6F"/>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rsid w:val="00794F6F"/>
    <w:rPr>
      <w:rFonts w:asciiTheme="majorHAnsi" w:eastAsiaTheme="majorEastAsia" w:hAnsiTheme="majorHAnsi" w:cstheme="majorBidi"/>
      <w:i/>
      <w:iCs/>
      <w:color w:val="272727" w:themeColor="text1" w:themeTint="D8"/>
      <w:sz w:val="21"/>
      <w:szCs w:val="21"/>
    </w:rPr>
  </w:style>
  <w:style w:type="character" w:customStyle="1" w:styleId="pellegrino">
    <w:name w:val="pellegrino"/>
    <w:basedOn w:val="Carpredefinitoparagrafo"/>
    <w:semiHidden/>
    <w:rsid w:val="004E626F"/>
    <w:rPr>
      <w:rFonts w:ascii="Arial" w:hAnsi="Arial" w:cs="Arial"/>
      <w:color w:val="auto"/>
      <w:sz w:val="20"/>
      <w:szCs w:val="20"/>
    </w:rPr>
  </w:style>
  <w:style w:type="paragraph" w:customStyle="1" w:styleId="FIRMAtitolo">
    <w:name w:val="FIRMA (titolo)"/>
    <w:basedOn w:val="Normale"/>
    <w:rsid w:val="004E626F"/>
    <w:pPr>
      <w:ind w:left="5041" w:right="96"/>
      <w:jc w:val="center"/>
    </w:pPr>
    <w:rPr>
      <w:i/>
      <w:iCs/>
      <w:szCs w:val="24"/>
      <w:lang w:eastAsia="en-US"/>
    </w:rPr>
  </w:style>
  <w:style w:type="table" w:styleId="Tabellaelenco1chiara-colore2">
    <w:name w:val="List Table 1 Light Accent 2"/>
    <w:basedOn w:val="Tabellanormale"/>
    <w:uiPriority w:val="46"/>
    <w:rsid w:val="004E626F"/>
    <w:tblPr>
      <w:tblInd w:w="0" w:type="nil"/>
      <w:tblCellMar>
        <w:left w:w="0" w:type="dxa"/>
        <w:right w:w="0" w:type="dxa"/>
      </w:tblCellMar>
    </w:tblPr>
    <w:tblStylePr w:type="firstRow">
      <w:rPr>
        <w:b/>
        <w:bCs/>
      </w:rPr>
    </w:tblStylePr>
    <w:tblStylePr w:type="lastRow">
      <w:rPr>
        <w:b/>
        <w:bCs/>
      </w:rPr>
    </w:tblStylePr>
    <w:tblStylePr w:type="firstCol">
      <w:rPr>
        <w:b/>
        <w:bCs/>
      </w:rPr>
    </w:tblStylePr>
    <w:tblStylePr w:type="lastCol">
      <w:rPr>
        <w:b/>
        <w:bCs/>
      </w:rPr>
    </w:tblStylePr>
  </w:style>
  <w:style w:type="table" w:styleId="Tabellaelenco1chiara-colore1">
    <w:name w:val="List Table 1 Light Accent 1"/>
    <w:basedOn w:val="Tabellanormale"/>
    <w:uiPriority w:val="46"/>
    <w:rsid w:val="004E626F"/>
    <w:tblPr>
      <w:tblInd w:w="0" w:type="nil"/>
      <w:tblCellMar>
        <w:left w:w="0" w:type="dxa"/>
        <w:right w:w="0" w:type="dxa"/>
      </w:tblCellMar>
    </w:tblPr>
    <w:tblStylePr w:type="firstRow">
      <w:rPr>
        <w:b/>
        <w:bCs/>
      </w:rPr>
    </w:tblStylePr>
    <w:tblStylePr w:type="lastRow">
      <w:rPr>
        <w:b/>
        <w:bCs/>
      </w:rPr>
    </w:tblStylePr>
    <w:tblStylePr w:type="firstCol">
      <w:rPr>
        <w:b/>
        <w:bCs/>
      </w:rPr>
    </w:tblStylePr>
    <w:tblStylePr w:type="lastCol">
      <w:rPr>
        <w:b/>
        <w:bCs/>
      </w:rPr>
    </w:tblStylePr>
  </w:style>
  <w:style w:type="table" w:styleId="Tabellaelenco1chiara-colore6">
    <w:name w:val="List Table 1 Light Accent 6"/>
    <w:basedOn w:val="Tabellanormale"/>
    <w:uiPriority w:val="46"/>
    <w:rsid w:val="004E626F"/>
    <w:tblPr>
      <w:tblInd w:w="0" w:type="nil"/>
      <w:tblCellMar>
        <w:left w:w="0" w:type="dxa"/>
        <w:right w:w="0" w:type="dxa"/>
      </w:tblCellMar>
    </w:tblPr>
    <w:tblStylePr w:type="firstRow">
      <w:rPr>
        <w:b/>
        <w:bCs/>
      </w:rPr>
    </w:tblStylePr>
    <w:tblStylePr w:type="lastRow">
      <w:rPr>
        <w:b/>
        <w:bCs/>
      </w:rPr>
    </w:tblStylePr>
    <w:tblStylePr w:type="firstCol">
      <w:rPr>
        <w:b/>
        <w:bCs/>
      </w:rPr>
    </w:tblStylePr>
    <w:tblStylePr w:type="lastCol">
      <w:rPr>
        <w:b/>
        <w:bCs/>
      </w:rPr>
    </w:tblStylePr>
  </w:style>
  <w:style w:type="table" w:styleId="Tabellaelenco2-colore2">
    <w:name w:val="List Table 2 Accent 2"/>
    <w:basedOn w:val="Tabellanormale"/>
    <w:uiPriority w:val="47"/>
    <w:rsid w:val="004E626F"/>
    <w:tblPr>
      <w:tblInd w:w="0" w:type="nil"/>
      <w:tblCellMar>
        <w:left w:w="0" w:type="dxa"/>
        <w:right w:w="0" w:type="dxa"/>
      </w:tblCellMar>
    </w:tblPr>
    <w:tblStylePr w:type="firstRow">
      <w:rPr>
        <w:b/>
        <w:bCs/>
      </w:rPr>
    </w:tblStylePr>
    <w:tblStylePr w:type="lastRow">
      <w:rPr>
        <w:b/>
        <w:bCs/>
      </w:rPr>
    </w:tblStylePr>
    <w:tblStylePr w:type="firstCol">
      <w:rPr>
        <w:b/>
        <w:bCs/>
      </w:rPr>
    </w:tblStylePr>
    <w:tblStylePr w:type="lastCol">
      <w:rPr>
        <w:b/>
        <w:bCs/>
      </w:rPr>
    </w:tblStylePr>
  </w:style>
  <w:style w:type="table" w:styleId="Tabellaelenco1chiara-colore4">
    <w:name w:val="List Table 1 Light Accent 4"/>
    <w:basedOn w:val="Tabellanormale"/>
    <w:uiPriority w:val="46"/>
    <w:rsid w:val="004E626F"/>
    <w:tblPr>
      <w:tblInd w:w="0" w:type="nil"/>
      <w:tblCellMar>
        <w:left w:w="0" w:type="dxa"/>
        <w:right w:w="0" w:type="dxa"/>
      </w:tblCellMar>
    </w:tblPr>
    <w:tblStylePr w:type="firstRow">
      <w:rPr>
        <w:b/>
        <w:bCs/>
      </w:rPr>
    </w:tblStylePr>
    <w:tblStylePr w:type="lastRow">
      <w:rPr>
        <w:b/>
        <w:bCs/>
      </w:rPr>
    </w:tblStylePr>
    <w:tblStylePr w:type="firstCol">
      <w:rPr>
        <w:b/>
        <w:bCs/>
      </w:rPr>
    </w:tblStylePr>
    <w:tblStylePr w:type="lastCol">
      <w:rPr>
        <w:b/>
        <w:bCs/>
      </w:rPr>
    </w:tblStylePr>
  </w:style>
  <w:style w:type="table" w:styleId="Tabellaelenco2-colore3">
    <w:name w:val="List Table 2 Accent 3"/>
    <w:basedOn w:val="Tabellanormale"/>
    <w:uiPriority w:val="47"/>
    <w:rsid w:val="004E626F"/>
    <w:tblPr>
      <w:tblInd w:w="0" w:type="nil"/>
      <w:tblCellMar>
        <w:left w:w="0" w:type="dxa"/>
        <w:right w:w="0" w:type="dxa"/>
      </w:tblCellMar>
    </w:tblPr>
    <w:tblStylePr w:type="firstRow">
      <w:rPr>
        <w:b/>
        <w:bCs/>
      </w:rPr>
    </w:tblStylePr>
    <w:tblStylePr w:type="lastRow">
      <w:rPr>
        <w:b/>
        <w:bCs/>
      </w:rPr>
    </w:tblStylePr>
    <w:tblStylePr w:type="firstCol">
      <w:rPr>
        <w:b/>
        <w:bCs/>
      </w:rPr>
    </w:tblStylePr>
    <w:tblStylePr w:type="lastCol">
      <w:rPr>
        <w:b/>
        <w:bCs/>
      </w:rPr>
    </w:tblStylePr>
  </w:style>
  <w:style w:type="character" w:styleId="Collegamentovisitato">
    <w:name w:val="FollowedHyperlink"/>
    <w:basedOn w:val="Carpredefinitoparagrafo"/>
    <w:uiPriority w:val="99"/>
    <w:rsid w:val="00C55310"/>
    <w:rPr>
      <w:color w:val="85DFD0" w:themeColor="followedHyperlink"/>
      <w:u w:val="single"/>
    </w:rPr>
  </w:style>
  <w:style w:type="paragraph" w:styleId="Citazioneintensa">
    <w:name w:val="Intense Quote"/>
    <w:basedOn w:val="Normale"/>
    <w:next w:val="Normale"/>
    <w:link w:val="CitazioneintensaCarattere"/>
    <w:uiPriority w:val="30"/>
    <w:qFormat/>
    <w:rsid w:val="00794F6F"/>
    <w:pPr>
      <w:pBdr>
        <w:top w:val="single" w:sz="4" w:space="10" w:color="0F6FC6" w:themeColor="accent1"/>
        <w:bottom w:val="single" w:sz="4" w:space="10" w:color="0F6FC6" w:themeColor="accent1"/>
      </w:pBdr>
      <w:spacing w:before="360" w:after="360"/>
      <w:ind w:left="864" w:right="864"/>
      <w:jc w:val="center"/>
    </w:pPr>
    <w:rPr>
      <w:i/>
      <w:iCs/>
      <w:color w:val="0F6FC6" w:themeColor="accent1"/>
    </w:rPr>
  </w:style>
  <w:style w:type="character" w:customStyle="1" w:styleId="CitazioneintensaCarattere">
    <w:name w:val="Citazione intensa Carattere"/>
    <w:basedOn w:val="Carpredefinitoparagrafo"/>
    <w:link w:val="Citazioneintensa"/>
    <w:uiPriority w:val="30"/>
    <w:rsid w:val="00794F6F"/>
    <w:rPr>
      <w:i/>
      <w:iCs/>
      <w:color w:val="0F6FC6" w:themeColor="accent1"/>
    </w:rPr>
  </w:style>
  <w:style w:type="paragraph" w:customStyle="1" w:styleId="tx">
    <w:name w:val="tx"/>
    <w:basedOn w:val="Normale"/>
    <w:rsid w:val="00821326"/>
    <w:pPr>
      <w:spacing w:before="20" w:after="20"/>
      <w:jc w:val="left"/>
    </w:pPr>
    <w:rPr>
      <w:rFonts w:ascii="Times New Roman" w:hAnsi="Times New Roman"/>
      <w:sz w:val="24"/>
      <w:szCs w:val="24"/>
    </w:rPr>
  </w:style>
  <w:style w:type="character" w:styleId="Rimandonotadichiusura">
    <w:name w:val="endnote reference"/>
    <w:uiPriority w:val="99"/>
    <w:rsid w:val="00821326"/>
    <w:rPr>
      <w:vertAlign w:val="superscript"/>
    </w:rPr>
  </w:style>
  <w:style w:type="character" w:customStyle="1" w:styleId="CarattereCarattere">
    <w:name w:val="Carattere Carattere"/>
    <w:semiHidden/>
    <w:locked/>
    <w:rsid w:val="00820F35"/>
    <w:rPr>
      <w:rFonts w:ascii="Calibri" w:hAnsi="Calibri"/>
      <w:lang w:val="it-IT" w:eastAsia="it-IT" w:bidi="ar-SA"/>
    </w:rPr>
  </w:style>
  <w:style w:type="table" w:customStyle="1" w:styleId="Grigliatabella1">
    <w:name w:val="Griglia tabella1"/>
    <w:basedOn w:val="Tabellanormale"/>
    <w:next w:val="Grigliatabella"/>
    <w:rsid w:val="00820F35"/>
    <w:tblPr>
      <w:tblInd w:w="0" w:type="nil"/>
      <w:tblCellMar>
        <w:left w:w="0" w:type="dxa"/>
        <w:right w:w="0" w:type="dxa"/>
      </w:tblCellMar>
    </w:tblPr>
  </w:style>
  <w:style w:type="table" w:styleId="Tabellasemplice-3">
    <w:name w:val="Plain Table 3"/>
    <w:basedOn w:val="Tabellanormale"/>
    <w:uiPriority w:val="43"/>
    <w:rsid w:val="00820F35"/>
    <w:rPr>
      <w:lang w:eastAsia="en-US"/>
    </w:rPr>
    <w:tblPr>
      <w:tblInd w:w="0" w:type="nil"/>
      <w:tblCellMar>
        <w:left w:w="0" w:type="dxa"/>
        <w:right w:w="0" w:type="dxa"/>
      </w:tblCellMar>
    </w:tblPr>
    <w:tblStylePr w:type="firstRow">
      <w:rPr>
        <w:b/>
        <w:bCs/>
        <w:caps/>
      </w:rPr>
    </w:tblStylePr>
    <w:tblStylePr w:type="lastRow">
      <w:rPr>
        <w:b/>
        <w:bCs/>
        <w:caps/>
      </w:rPr>
    </w:tblStylePr>
    <w:tblStylePr w:type="firstCol">
      <w:rPr>
        <w:b/>
        <w:bCs/>
        <w:caps/>
      </w:rPr>
    </w:tblStylePr>
    <w:tblStylePr w:type="lastCol">
      <w:rPr>
        <w:b/>
        <w:bCs/>
        <w:caps/>
      </w:rPr>
    </w:tblStylePr>
  </w:style>
  <w:style w:type="table" w:styleId="Tabellagriglia2-colore2">
    <w:name w:val="Grid Table 2 Accent 2"/>
    <w:basedOn w:val="Tabellanormale"/>
    <w:uiPriority w:val="47"/>
    <w:rsid w:val="00820F35"/>
    <w:tblPr>
      <w:tblInd w:w="0" w:type="nil"/>
      <w:tblCellMar>
        <w:left w:w="0" w:type="dxa"/>
        <w:right w:w="0" w:type="dxa"/>
      </w:tblCellMar>
    </w:tblPr>
    <w:tblStylePr w:type="firstRow">
      <w:rPr>
        <w:b/>
        <w:bCs/>
      </w:rPr>
    </w:tblStylePr>
    <w:tblStylePr w:type="lastRow">
      <w:rPr>
        <w:b/>
        <w:bCs/>
      </w:rPr>
    </w:tblStylePr>
    <w:tblStylePr w:type="firstCol">
      <w:rPr>
        <w:b/>
        <w:bCs/>
      </w:rPr>
    </w:tblStylePr>
    <w:tblStylePr w:type="lastCol">
      <w:rPr>
        <w:b/>
        <w:bCs/>
      </w:rPr>
    </w:tblStylePr>
  </w:style>
  <w:style w:type="table" w:styleId="Tabellagriglia2-colore6">
    <w:name w:val="Grid Table 2 Accent 6"/>
    <w:basedOn w:val="Tabellanormale"/>
    <w:uiPriority w:val="47"/>
    <w:rsid w:val="00820F35"/>
    <w:tblPr>
      <w:tblInd w:w="0" w:type="nil"/>
      <w:tblCellMar>
        <w:left w:w="0" w:type="dxa"/>
        <w:right w:w="0" w:type="dxa"/>
      </w:tblCellMar>
    </w:tblPr>
    <w:tblStylePr w:type="firstRow">
      <w:rPr>
        <w:b/>
        <w:bCs/>
      </w:rPr>
    </w:tblStylePr>
    <w:tblStylePr w:type="lastRow">
      <w:rPr>
        <w:b/>
        <w:bCs/>
      </w:rPr>
    </w:tblStylePr>
    <w:tblStylePr w:type="firstCol">
      <w:rPr>
        <w:b/>
        <w:bCs/>
      </w:rPr>
    </w:tblStylePr>
    <w:tblStylePr w:type="lastCol">
      <w:rPr>
        <w:b/>
        <w:bCs/>
      </w:rPr>
    </w:tblStylePr>
  </w:style>
  <w:style w:type="character" w:customStyle="1" w:styleId="TestonormaleCarattere">
    <w:name w:val="Testo normale Carattere"/>
    <w:basedOn w:val="Carpredefinitoparagrafo"/>
    <w:link w:val="Testonormale"/>
    <w:rsid w:val="00820F35"/>
    <w:rPr>
      <w:rFonts w:ascii="Courier New" w:hAnsi="Courier New" w:cs="Courier New"/>
      <w:sz w:val="22"/>
    </w:rPr>
  </w:style>
  <w:style w:type="character" w:customStyle="1" w:styleId="DidascaliaimmagineCarattere">
    <w:name w:val="Didascalia immagine Carattere"/>
    <w:link w:val="Didascaliaimmagine"/>
    <w:rsid w:val="00820F35"/>
    <w:rPr>
      <w:rFonts w:ascii="Calibri" w:eastAsia="Droid Sans Fallback" w:hAnsi="Calibri" w:cs="Lohit Hindi"/>
      <w:i/>
      <w:kern w:val="1"/>
      <w:sz w:val="22"/>
      <w:szCs w:val="22"/>
      <w:lang w:eastAsia="zh-CN" w:bidi="hi-IN"/>
    </w:rPr>
  </w:style>
  <w:style w:type="character" w:customStyle="1" w:styleId="TitoloCarattere">
    <w:name w:val="Titolo Carattere"/>
    <w:basedOn w:val="Carpredefinitoparagrafo"/>
    <w:link w:val="Titolo"/>
    <w:uiPriority w:val="10"/>
    <w:rsid w:val="00794F6F"/>
    <w:rPr>
      <w:rFonts w:asciiTheme="majorHAnsi" w:eastAsiaTheme="majorEastAsia" w:hAnsiTheme="majorHAnsi" w:cstheme="majorBidi"/>
      <w:spacing w:val="-10"/>
      <w:kern w:val="28"/>
      <w:sz w:val="56"/>
      <w:szCs w:val="56"/>
    </w:rPr>
  </w:style>
  <w:style w:type="character" w:customStyle="1" w:styleId="Corpodeltesto2Carattere">
    <w:name w:val="Corpo del testo 2 Carattere"/>
    <w:basedOn w:val="Carpredefinitoparagrafo"/>
    <w:link w:val="Corpodeltesto2"/>
    <w:rsid w:val="00820F35"/>
    <w:rPr>
      <w:rFonts w:ascii="Calibri" w:hAnsi="Calibri"/>
      <w:sz w:val="22"/>
    </w:rPr>
  </w:style>
  <w:style w:type="character" w:customStyle="1" w:styleId="SoggettocommentoCarattere">
    <w:name w:val="Soggetto commento Carattere"/>
    <w:basedOn w:val="TestocommentoCarattere"/>
    <w:link w:val="Soggettocommento"/>
    <w:rsid w:val="00820F35"/>
    <w:rPr>
      <w:rFonts w:ascii="Calibri" w:hAnsi="Calibri"/>
      <w:b/>
      <w:bCs/>
      <w:sz w:val="22"/>
    </w:rPr>
  </w:style>
  <w:style w:type="character" w:customStyle="1" w:styleId="PreformattatoHTMLCarattere">
    <w:name w:val="Preformattato HTML Carattere"/>
    <w:basedOn w:val="Carpredefinitoparagrafo"/>
    <w:link w:val="PreformattatoHTML"/>
    <w:uiPriority w:val="99"/>
    <w:rsid w:val="00820F35"/>
    <w:rPr>
      <w:rFonts w:ascii="Courier New" w:hAnsi="Courier New" w:cs="Courier New"/>
    </w:rPr>
  </w:style>
  <w:style w:type="character" w:customStyle="1" w:styleId="DataCarattere">
    <w:name w:val="Data Carattere"/>
    <w:basedOn w:val="Carpredefinitoparagrafo"/>
    <w:link w:val="Data"/>
    <w:rsid w:val="00820F35"/>
    <w:rPr>
      <w:rFonts w:ascii="Arial" w:hAnsi="Arial"/>
      <w:sz w:val="22"/>
    </w:rPr>
  </w:style>
  <w:style w:type="character" w:customStyle="1" w:styleId="FirmaCarattere">
    <w:name w:val="Firma Carattere"/>
    <w:basedOn w:val="Carpredefinitoparagrafo"/>
    <w:link w:val="Firma"/>
    <w:rsid w:val="00820F35"/>
    <w:rPr>
      <w:rFonts w:ascii="Arial" w:hAnsi="Arial"/>
      <w:sz w:val="22"/>
    </w:rPr>
  </w:style>
  <w:style w:type="character" w:customStyle="1" w:styleId="FirmadipostaelettronicaCarattere">
    <w:name w:val="Firma di posta elettronica Carattere"/>
    <w:basedOn w:val="Carpredefinitoparagrafo"/>
    <w:link w:val="Firmadipostaelettronica"/>
    <w:rsid w:val="00820F35"/>
    <w:rPr>
      <w:rFonts w:ascii="Arial" w:hAnsi="Arial"/>
      <w:sz w:val="22"/>
    </w:rPr>
  </w:style>
  <w:style w:type="character" w:customStyle="1" w:styleId="FormuladiaperturaCarattere">
    <w:name w:val="Formula di apertura Carattere"/>
    <w:basedOn w:val="Carpredefinitoparagrafo"/>
    <w:link w:val="Formuladiapertura"/>
    <w:rsid w:val="00820F35"/>
    <w:rPr>
      <w:rFonts w:ascii="Arial" w:hAnsi="Arial"/>
      <w:sz w:val="22"/>
    </w:rPr>
  </w:style>
  <w:style w:type="character" w:customStyle="1" w:styleId="FormuladichiusuraCarattere">
    <w:name w:val="Formula di chiusura Carattere"/>
    <w:basedOn w:val="Carpredefinitoparagrafo"/>
    <w:link w:val="Formuladichiusura"/>
    <w:rsid w:val="00820F35"/>
    <w:rPr>
      <w:rFonts w:ascii="Arial" w:hAnsi="Arial"/>
      <w:sz w:val="22"/>
    </w:rPr>
  </w:style>
  <w:style w:type="character" w:customStyle="1" w:styleId="IndirizzoHTMLCarattere">
    <w:name w:val="Indirizzo HTML Carattere"/>
    <w:basedOn w:val="Carpredefinitoparagrafo"/>
    <w:link w:val="IndirizzoHTML"/>
    <w:rsid w:val="00820F35"/>
    <w:rPr>
      <w:rFonts w:ascii="Arial" w:hAnsi="Arial"/>
      <w:i/>
      <w:iCs/>
      <w:sz w:val="22"/>
    </w:rPr>
  </w:style>
  <w:style w:type="character" w:customStyle="1" w:styleId="IntestazionemessaggioCarattere">
    <w:name w:val="Intestazione messaggio Carattere"/>
    <w:basedOn w:val="Carpredefinitoparagrafo"/>
    <w:link w:val="Intestazionemessaggio"/>
    <w:rsid w:val="00820F35"/>
    <w:rPr>
      <w:rFonts w:ascii="Arial" w:hAnsi="Arial" w:cs="Arial"/>
      <w:sz w:val="24"/>
      <w:szCs w:val="24"/>
      <w:shd w:val="pct20" w:color="auto" w:fill="auto"/>
    </w:rPr>
  </w:style>
  <w:style w:type="character" w:customStyle="1" w:styleId="IntestazionenotaCarattere">
    <w:name w:val="Intestazione nota Carattere"/>
    <w:basedOn w:val="Carpredefinitoparagrafo"/>
    <w:link w:val="Intestazionenota"/>
    <w:rsid w:val="00820F35"/>
    <w:rPr>
      <w:rFonts w:ascii="Arial" w:hAnsi="Arial"/>
      <w:sz w:val="22"/>
    </w:rPr>
  </w:style>
  <w:style w:type="character" w:customStyle="1" w:styleId="MappadocumentoCarattere">
    <w:name w:val="Mappa documento Carattere"/>
    <w:basedOn w:val="Carpredefinitoparagrafo"/>
    <w:link w:val="Mappadocumento"/>
    <w:rsid w:val="00820F35"/>
    <w:rPr>
      <w:rFonts w:ascii="Tahoma" w:hAnsi="Tahoma" w:cs="Tahoma"/>
      <w:shd w:val="clear" w:color="auto" w:fill="000080"/>
    </w:rPr>
  </w:style>
  <w:style w:type="character" w:customStyle="1" w:styleId="PrimorientrocorpodeltestoCarattere">
    <w:name w:val="Primo rientro corpo del testo Carattere"/>
    <w:basedOn w:val="CorpotestoCarattere"/>
    <w:link w:val="Primorientrocorpodeltesto"/>
    <w:rsid w:val="00820F35"/>
    <w:rPr>
      <w:rFonts w:ascii="Arial" w:hAnsi="Arial"/>
      <w:sz w:val="22"/>
    </w:rPr>
  </w:style>
  <w:style w:type="character" w:customStyle="1" w:styleId="RientrocorpodeltestoCarattere">
    <w:name w:val="Rientro corpo del testo Carattere"/>
    <w:basedOn w:val="Carpredefinitoparagrafo"/>
    <w:link w:val="Rientrocorpodeltesto"/>
    <w:rsid w:val="00820F35"/>
    <w:rPr>
      <w:rFonts w:ascii="Arial" w:hAnsi="Arial"/>
      <w:sz w:val="22"/>
    </w:rPr>
  </w:style>
  <w:style w:type="character" w:customStyle="1" w:styleId="Primorientrocorpodeltesto2Carattere">
    <w:name w:val="Primo rientro corpo del testo 2 Carattere"/>
    <w:basedOn w:val="RientrocorpodeltestoCarattere"/>
    <w:link w:val="Primorientrocorpodeltesto2"/>
    <w:rsid w:val="00820F35"/>
    <w:rPr>
      <w:rFonts w:ascii="Arial" w:hAnsi="Arial"/>
      <w:sz w:val="22"/>
    </w:rPr>
  </w:style>
  <w:style w:type="character" w:customStyle="1" w:styleId="Rientrocorpodeltesto2Carattere">
    <w:name w:val="Rientro corpo del testo 2 Carattere"/>
    <w:basedOn w:val="Carpredefinitoparagrafo"/>
    <w:link w:val="Rientrocorpodeltesto2"/>
    <w:rsid w:val="00820F35"/>
    <w:rPr>
      <w:rFonts w:ascii="Arial" w:hAnsi="Arial"/>
      <w:sz w:val="22"/>
    </w:rPr>
  </w:style>
  <w:style w:type="character" w:customStyle="1" w:styleId="Rientrocorpodeltesto3Carattere">
    <w:name w:val="Rientro corpo del testo 3 Carattere"/>
    <w:basedOn w:val="Carpredefinitoparagrafo"/>
    <w:link w:val="Rientrocorpodeltesto3"/>
    <w:rsid w:val="00820F35"/>
    <w:rPr>
      <w:rFonts w:ascii="Arial" w:hAnsi="Arial"/>
      <w:sz w:val="16"/>
      <w:szCs w:val="16"/>
    </w:rPr>
  </w:style>
  <w:style w:type="character" w:customStyle="1" w:styleId="SottotitoloCarattere">
    <w:name w:val="Sottotitolo Carattere"/>
    <w:basedOn w:val="Carpredefinitoparagrafo"/>
    <w:link w:val="Sottotitolo"/>
    <w:uiPriority w:val="11"/>
    <w:rsid w:val="00794F6F"/>
    <w:rPr>
      <w:rFonts w:eastAsiaTheme="minorEastAsia"/>
      <w:color w:val="5A5A5A" w:themeColor="text1" w:themeTint="A5"/>
      <w:spacing w:val="15"/>
    </w:rPr>
  </w:style>
  <w:style w:type="character" w:customStyle="1" w:styleId="TestomacroCarattere">
    <w:name w:val="Testo macro Carattere"/>
    <w:basedOn w:val="Carpredefinitoparagrafo"/>
    <w:link w:val="Testomacro"/>
    <w:rsid w:val="00820F35"/>
    <w:rPr>
      <w:rFonts w:ascii="Courier New" w:hAnsi="Courier New" w:cs="Courier New"/>
    </w:rPr>
  </w:style>
  <w:style w:type="paragraph" w:styleId="Nessunaspaziatura">
    <w:name w:val="No Spacing"/>
    <w:basedOn w:val="Normale"/>
    <w:link w:val="NessunaspaziaturaCarattere"/>
    <w:uiPriority w:val="1"/>
    <w:qFormat/>
    <w:rsid w:val="00794F6F"/>
    <w:pPr>
      <w:spacing w:after="0" w:line="240" w:lineRule="auto"/>
    </w:pPr>
  </w:style>
  <w:style w:type="character" w:customStyle="1" w:styleId="NessunaspaziaturaCarattere">
    <w:name w:val="Nessuna spaziatura Carattere"/>
    <w:basedOn w:val="Carpredefinitoparagrafo"/>
    <w:link w:val="Nessunaspaziatura"/>
    <w:uiPriority w:val="1"/>
    <w:rsid w:val="00820F35"/>
  </w:style>
  <w:style w:type="paragraph" w:customStyle="1" w:styleId="TitoloS">
    <w:name w:val="Titolo S"/>
    <w:basedOn w:val="Normale"/>
    <w:uiPriority w:val="99"/>
    <w:qFormat/>
    <w:rsid w:val="00820F35"/>
    <w:pPr>
      <w:jc w:val="left"/>
    </w:pPr>
    <w:rPr>
      <w:b/>
      <w:color w:val="002060"/>
      <w:sz w:val="32"/>
      <w:lang w:eastAsia="en-US"/>
    </w:rPr>
  </w:style>
  <w:style w:type="paragraph" w:customStyle="1" w:styleId="SottotitoloS">
    <w:name w:val="Sottotitolo S"/>
    <w:basedOn w:val="Normale"/>
    <w:uiPriority w:val="99"/>
    <w:qFormat/>
    <w:rsid w:val="00820F35"/>
    <w:pPr>
      <w:jc w:val="left"/>
    </w:pPr>
    <w:rPr>
      <w:b/>
      <w:color w:val="00194C"/>
      <w:sz w:val="28"/>
      <w:lang w:eastAsia="en-US"/>
    </w:rPr>
  </w:style>
  <w:style w:type="character" w:styleId="Enfasidelicata">
    <w:name w:val="Subtle Emphasis"/>
    <w:uiPriority w:val="19"/>
    <w:qFormat/>
    <w:rsid w:val="00794F6F"/>
    <w:rPr>
      <w:i/>
      <w:iCs/>
      <w:color w:val="404040" w:themeColor="text1" w:themeTint="BF"/>
    </w:rPr>
  </w:style>
  <w:style w:type="paragraph" w:customStyle="1" w:styleId="OGGETTO">
    <w:name w:val="OGGETTO"/>
    <w:basedOn w:val="Normale"/>
    <w:link w:val="OGGETTOCarattere"/>
    <w:rsid w:val="00820F35"/>
    <w:pPr>
      <w:ind w:left="1440" w:hanging="1440"/>
    </w:pPr>
    <w:rPr>
      <w:rFonts w:ascii="Times New Roman" w:hAnsi="Times New Roman"/>
      <w:b/>
      <w:sz w:val="24"/>
      <w:szCs w:val="24"/>
    </w:rPr>
  </w:style>
  <w:style w:type="character" w:customStyle="1" w:styleId="OGGETTOCarattere">
    <w:name w:val="OGGETTO Carattere"/>
    <w:link w:val="OGGETTO"/>
    <w:locked/>
    <w:rsid w:val="00820F35"/>
    <w:rPr>
      <w:b/>
      <w:sz w:val="24"/>
      <w:szCs w:val="24"/>
    </w:rPr>
  </w:style>
  <w:style w:type="character" w:customStyle="1" w:styleId="jtukpc">
    <w:name w:val="jtukpc"/>
    <w:basedOn w:val="Carpredefinitoparagrafo"/>
    <w:rsid w:val="00820F35"/>
  </w:style>
  <w:style w:type="character" w:customStyle="1" w:styleId="Corpodeltesto3Carattere">
    <w:name w:val="Corpo del testo 3 Carattere"/>
    <w:basedOn w:val="Carpredefinitoparagrafo"/>
    <w:link w:val="Corpodeltesto3"/>
    <w:rsid w:val="00820F35"/>
    <w:rPr>
      <w:rFonts w:ascii="Calibri" w:hAnsi="Calibri"/>
      <w:sz w:val="16"/>
      <w:szCs w:val="16"/>
    </w:rPr>
  </w:style>
  <w:style w:type="paragraph" w:customStyle="1" w:styleId="StileStileTitolo2MotivoTrasparenteBlughiaccioMotivo">
    <w:name w:val="Stile Stile Titolo 2 + Motivo: Trasparente (Blu ghiaccio) + Motivo:..."/>
    <w:basedOn w:val="Normale"/>
    <w:rsid w:val="00820F35"/>
    <w:pPr>
      <w:keepNext/>
      <w:pBdr>
        <w:top w:val="single" w:sz="4" w:space="1" w:color="000000"/>
        <w:bottom w:val="single" w:sz="4" w:space="1" w:color="000000"/>
      </w:pBdr>
      <w:shd w:val="clear" w:color="auto" w:fill="F3F7E8" w:themeFill="accent6" w:themeFillTint="33"/>
      <w:suppressAutoHyphens/>
      <w:spacing w:after="240" w:line="480" w:lineRule="auto"/>
      <w:outlineLvl w:val="1"/>
    </w:pPr>
    <w:rPr>
      <w:rFonts w:ascii="Arial" w:hAnsi="Arial"/>
      <w:sz w:val="28"/>
      <w:lang w:eastAsia="zh-CN"/>
    </w:rPr>
  </w:style>
  <w:style w:type="paragraph" w:customStyle="1" w:styleId="Normaleprima0pt">
    <w:name w:val="Normale + prima 0 pt"/>
    <w:basedOn w:val="Normale"/>
    <w:rsid w:val="00820F35"/>
  </w:style>
  <w:style w:type="paragraph" w:customStyle="1" w:styleId="TitoloPEG2">
    <w:name w:val="Titolo PEG 2"/>
    <w:basedOn w:val="Titolo2"/>
    <w:rsid w:val="00820F35"/>
    <w:pPr>
      <w:numPr>
        <w:ilvl w:val="0"/>
        <w:numId w:val="0"/>
      </w:numPr>
      <w:pBdr>
        <w:top w:val="single" w:sz="4" w:space="1" w:color="auto"/>
        <w:bottom w:val="single" w:sz="4" w:space="1" w:color="auto"/>
      </w:pBdr>
      <w:shd w:val="clear" w:color="auto" w:fill="99CCFF"/>
      <w:tabs>
        <w:tab w:val="clear" w:pos="1276"/>
        <w:tab w:val="left" w:pos="851"/>
      </w:tabs>
      <w:spacing w:before="120" w:line="480" w:lineRule="auto"/>
      <w:outlineLvl w:val="9"/>
    </w:pPr>
    <w:rPr>
      <w:rFonts w:ascii="Arial" w:hAnsi="Arial" w:cs="Times New Roman"/>
      <w:bCs w:val="0"/>
      <w:iCs w:val="0"/>
      <w:sz w:val="28"/>
      <w:szCs w:val="20"/>
    </w:rPr>
  </w:style>
  <w:style w:type="table" w:customStyle="1" w:styleId="TabellaDatiAMP">
    <w:name w:val="Tabella Dati AMP"/>
    <w:basedOn w:val="Tabellanormale"/>
    <w:uiPriority w:val="99"/>
    <w:rsid w:val="00820F35"/>
    <w:tblPr>
      <w:tblInd w:w="0" w:type="nil"/>
      <w:tblCellMar>
        <w:left w:w="0" w:type="dxa"/>
        <w:right w:w="0" w:type="dxa"/>
      </w:tblCellMar>
    </w:tblPr>
  </w:style>
  <w:style w:type="table" w:styleId="Tabellagriglia2">
    <w:name w:val="Grid Table 2"/>
    <w:basedOn w:val="Tabellanormale"/>
    <w:uiPriority w:val="47"/>
    <w:rsid w:val="00820F35"/>
    <w:tblPr>
      <w:tblStyleRowBandSize w:val="1"/>
      <w:tblStyleColBandSize w:val="1"/>
      <w:tblInd w:w="0" w:type="nil"/>
      <w:tblCellMar>
        <w:left w:w="0" w:type="dxa"/>
        <w:right w:w="0" w:type="dxa"/>
      </w:tblCellMar>
    </w:tblPr>
    <w:tcPr>
      <w:shd w:val="clear" w:color="auto" w:fill="CCCCCC" w:themeFill="text1" w:themeFillTint="33"/>
    </w:tc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style>
  <w:style w:type="paragraph" w:customStyle="1" w:styleId="NormaleIntestazione">
    <w:name w:val="NormaleIntestazione"/>
    <w:uiPriority w:val="99"/>
    <w:rsid w:val="00820F35"/>
    <w:pPr>
      <w:autoSpaceDE w:val="0"/>
      <w:autoSpaceDN w:val="0"/>
    </w:pPr>
    <w:rPr>
      <w:rFonts w:ascii="Arial" w:hAnsi="Arial"/>
      <w:noProof/>
      <w:lang w:val="en-US"/>
    </w:rPr>
  </w:style>
  <w:style w:type="table" w:styleId="Tabellagriglia4-colore6">
    <w:name w:val="Grid Table 4 Accent 6"/>
    <w:basedOn w:val="Tabellanormale"/>
    <w:uiPriority w:val="49"/>
    <w:rsid w:val="00820F35"/>
    <w:tblPr>
      <w:tblStyleRowBandSize w:val="1"/>
      <w:tblStyleColBandSize w:val="1"/>
      <w:tblInd w:w="0" w:type="nil"/>
      <w:tblCellMar>
        <w:left w:w="0" w:type="dxa"/>
        <w:right w:w="0" w:type="dxa"/>
      </w:tblCellMar>
    </w:tblPr>
    <w:tcPr>
      <w:shd w:val="clear" w:color="auto" w:fill="F3F7E8" w:themeFill="accent6" w:themeFillTint="33"/>
    </w:tcPr>
    <w:tblStylePr w:type="firstRow">
      <w:rPr>
        <w:b/>
        <w:bCs/>
        <w:color w:val="FFFFFF" w:themeColor="background1"/>
      </w:rPr>
      <w:tblPr/>
      <w:tcPr>
        <w:tcBorders>
          <w:top w:val="single" w:sz="4" w:space="0" w:color="C8DA91" w:themeColor="accent6"/>
          <w:left w:val="single" w:sz="4" w:space="0" w:color="C8DA91" w:themeColor="accent6"/>
          <w:bottom w:val="single" w:sz="4" w:space="0" w:color="C8DA91" w:themeColor="accent6"/>
          <w:right w:val="single" w:sz="4" w:space="0" w:color="C8DA91" w:themeColor="accent6"/>
          <w:insideH w:val="nil"/>
          <w:insideV w:val="nil"/>
        </w:tcBorders>
        <w:shd w:val="clear" w:color="auto" w:fill="C8DA91" w:themeFill="accent6"/>
      </w:tcPr>
    </w:tblStylePr>
    <w:tblStylePr w:type="lastRow">
      <w:rPr>
        <w:b/>
        <w:bCs/>
      </w:rPr>
      <w:tblPr/>
      <w:tcPr>
        <w:tcBorders>
          <w:top w:val="double" w:sz="4" w:space="0" w:color="C8DA91" w:themeColor="accent6"/>
        </w:tcBorders>
      </w:tcPr>
    </w:tblStylePr>
    <w:tblStylePr w:type="firstCol">
      <w:rPr>
        <w:b/>
        <w:bCs/>
      </w:rPr>
    </w:tblStylePr>
    <w:tblStylePr w:type="lastCol">
      <w:rPr>
        <w:b/>
        <w:bCs/>
      </w:rPr>
    </w:tblStylePr>
    <w:tblStylePr w:type="band1Vert">
      <w:tblPr/>
      <w:tcPr>
        <w:shd w:val="clear" w:color="auto" w:fill="F3F7E8" w:themeFill="accent6" w:themeFillTint="33"/>
      </w:tcPr>
    </w:tblStylePr>
  </w:style>
  <w:style w:type="table" w:styleId="Tabellagriglia4-colore1">
    <w:name w:val="Grid Table 4 Accent 1"/>
    <w:basedOn w:val="Tabellanormale"/>
    <w:uiPriority w:val="49"/>
    <w:rsid w:val="00820F35"/>
    <w:tblPr>
      <w:tblStyleRowBandSize w:val="1"/>
      <w:tblStyleColBandSize w:val="1"/>
      <w:tblInd w:w="0" w:type="nil"/>
      <w:tblCellMar>
        <w:left w:w="0" w:type="dxa"/>
        <w:right w:w="0" w:type="dxa"/>
      </w:tblCellMar>
    </w:tblPr>
    <w:tcPr>
      <w:shd w:val="clear" w:color="auto" w:fill="C7E2FA" w:themeFill="accent1" w:themeFillTint="33"/>
    </w:tcPr>
    <w:tblStylePr w:type="firstRow">
      <w:rPr>
        <w:b/>
        <w:bCs/>
        <w:color w:val="FFFFFF" w:themeColor="background1"/>
      </w:rPr>
      <w:tblPr/>
      <w:tcPr>
        <w:tcBorders>
          <w:top w:val="single" w:sz="4" w:space="0" w:color="0F6FC6" w:themeColor="accent1"/>
          <w:left w:val="single" w:sz="4" w:space="0" w:color="0F6FC6" w:themeColor="accent1"/>
          <w:bottom w:val="single" w:sz="4" w:space="0" w:color="0F6FC6" w:themeColor="accent1"/>
          <w:right w:val="single" w:sz="4" w:space="0" w:color="0F6FC6" w:themeColor="accent1"/>
          <w:insideH w:val="nil"/>
          <w:insideV w:val="nil"/>
        </w:tcBorders>
        <w:shd w:val="clear" w:color="auto" w:fill="0F6FC6" w:themeFill="accent1"/>
      </w:tcPr>
    </w:tblStylePr>
    <w:tblStylePr w:type="lastRow">
      <w:rPr>
        <w:b/>
        <w:bCs/>
      </w:rPr>
      <w:tblPr/>
      <w:tcPr>
        <w:tcBorders>
          <w:top w:val="double" w:sz="4" w:space="0" w:color="0F6FC6" w:themeColor="accent1"/>
        </w:tcBorders>
      </w:tcPr>
    </w:tblStylePr>
    <w:tblStylePr w:type="firstCol">
      <w:rPr>
        <w:b/>
        <w:bCs/>
      </w:rPr>
    </w:tblStylePr>
    <w:tblStylePr w:type="lastCol">
      <w:rPr>
        <w:b/>
        <w:bCs/>
      </w:rPr>
    </w:tblStylePr>
    <w:tblStylePr w:type="band1Vert">
      <w:tblPr/>
      <w:tcPr>
        <w:shd w:val="clear" w:color="auto" w:fill="C7E2FA" w:themeFill="accent1" w:themeFillTint="33"/>
      </w:tcPr>
    </w:tblStylePr>
  </w:style>
  <w:style w:type="table" w:styleId="Tabellaelenco4-colore3">
    <w:name w:val="List Table 4 Accent 3"/>
    <w:basedOn w:val="Tabellanormale"/>
    <w:uiPriority w:val="49"/>
    <w:rsid w:val="00820F35"/>
    <w:tblPr>
      <w:tblStyleRowBandSize w:val="1"/>
      <w:tblStyleColBandSize w:val="1"/>
      <w:tblInd w:w="0" w:type="nil"/>
      <w:tblCellMar>
        <w:left w:w="0" w:type="dxa"/>
        <w:right w:w="0" w:type="dxa"/>
      </w:tblCellMar>
    </w:tblPr>
    <w:tblStylePr w:type="firstRow">
      <w:rPr>
        <w:b/>
        <w:bCs/>
        <w:color w:val="FFFFFF" w:themeColor="background1"/>
      </w:rPr>
      <w:tblPr/>
      <w:tcPr>
        <w:tcBorders>
          <w:top w:val="single" w:sz="4" w:space="0" w:color="0BD0D9" w:themeColor="accent3"/>
          <w:left w:val="single" w:sz="4" w:space="0" w:color="0BD0D9" w:themeColor="accent3"/>
          <w:bottom w:val="single" w:sz="4" w:space="0" w:color="0BD0D9" w:themeColor="accent3"/>
          <w:right w:val="single" w:sz="4" w:space="0" w:color="0BD0D9" w:themeColor="accent3"/>
          <w:insideH w:val="nil"/>
        </w:tcBorders>
        <w:shd w:val="clear" w:color="auto" w:fill="0BD0D9" w:themeFill="accent3"/>
      </w:tcPr>
    </w:tblStylePr>
    <w:tblStylePr w:type="lastRow">
      <w:rPr>
        <w:b/>
        <w:bCs/>
      </w:rPr>
      <w:tblPr/>
      <w:tcPr>
        <w:tcBorders>
          <w:top w:val="double" w:sz="4" w:space="0" w:color="5DEFF6" w:themeColor="accent3" w:themeTint="99"/>
        </w:tcBorders>
      </w:tcPr>
    </w:tblStylePr>
    <w:tblStylePr w:type="firstCol">
      <w:rPr>
        <w:b/>
        <w:bCs/>
      </w:rPr>
    </w:tblStylePr>
    <w:tblStylePr w:type="lastCol">
      <w:rPr>
        <w:b/>
        <w:bCs/>
      </w:rPr>
    </w:tblStylePr>
    <w:tblStylePr w:type="band1Vert">
      <w:tblPr/>
      <w:tcPr>
        <w:shd w:val="clear" w:color="auto" w:fill="C9F9FC" w:themeFill="accent3" w:themeFillTint="33"/>
      </w:tcPr>
    </w:tblStylePr>
    <w:tblStylePr w:type="band1Horz">
      <w:tblPr/>
      <w:tcPr>
        <w:shd w:val="clear" w:color="auto" w:fill="C9F9FC" w:themeFill="accent3" w:themeFillTint="33"/>
      </w:tcPr>
    </w:tblStylePr>
  </w:style>
  <w:style w:type="table" w:styleId="Tabellagriglia4-colore2">
    <w:name w:val="Grid Table 4 Accent 2"/>
    <w:basedOn w:val="Tabellanormale"/>
    <w:uiPriority w:val="49"/>
    <w:rsid w:val="00820F35"/>
    <w:tblPr>
      <w:tblStyleRowBandSize w:val="1"/>
      <w:tblStyleColBandSize w:val="1"/>
      <w:tblInd w:w="0" w:type="nil"/>
      <w:tblCellMar>
        <w:left w:w="0" w:type="dxa"/>
        <w:right w:w="0" w:type="dxa"/>
      </w:tblCellMar>
    </w:tblPr>
    <w:tcPr>
      <w:shd w:val="clear" w:color="auto" w:fill="C4EEFF" w:themeFill="accent2" w:themeFillTint="33"/>
    </w:tcPr>
    <w:tblStylePr w:type="firstRow">
      <w:rPr>
        <w:b/>
        <w:bCs/>
        <w:color w:val="FFFFFF" w:themeColor="background1"/>
      </w:rPr>
      <w:tblPr/>
      <w:tcPr>
        <w:tcBorders>
          <w:top w:val="single" w:sz="4" w:space="0" w:color="009DD9" w:themeColor="accent2"/>
          <w:left w:val="single" w:sz="4" w:space="0" w:color="009DD9" w:themeColor="accent2"/>
          <w:bottom w:val="single" w:sz="4" w:space="0" w:color="009DD9" w:themeColor="accent2"/>
          <w:right w:val="single" w:sz="4" w:space="0" w:color="009DD9" w:themeColor="accent2"/>
          <w:insideH w:val="nil"/>
          <w:insideV w:val="nil"/>
        </w:tcBorders>
        <w:shd w:val="clear" w:color="auto" w:fill="009DD9" w:themeFill="accent2"/>
      </w:tcPr>
    </w:tblStylePr>
    <w:tblStylePr w:type="lastRow">
      <w:rPr>
        <w:b/>
        <w:bCs/>
      </w:rPr>
      <w:tblPr/>
      <w:tcPr>
        <w:tcBorders>
          <w:top w:val="double" w:sz="4" w:space="0" w:color="009DD9" w:themeColor="accent2"/>
        </w:tcBorders>
      </w:tcPr>
    </w:tblStylePr>
    <w:tblStylePr w:type="firstCol">
      <w:rPr>
        <w:b/>
        <w:bCs/>
      </w:rPr>
    </w:tblStylePr>
    <w:tblStylePr w:type="lastCol">
      <w:rPr>
        <w:b/>
        <w:bCs/>
      </w:rPr>
    </w:tblStylePr>
    <w:tblStylePr w:type="band1Vert">
      <w:tblPr/>
      <w:tcPr>
        <w:shd w:val="clear" w:color="auto" w:fill="C4EEFF" w:themeFill="accent2" w:themeFillTint="33"/>
      </w:tcPr>
    </w:tblStylePr>
  </w:style>
  <w:style w:type="table" w:styleId="Tabellagriglia6acolori-colore2">
    <w:name w:val="Grid Table 6 Colorful Accent 2"/>
    <w:basedOn w:val="Tabellanormale"/>
    <w:uiPriority w:val="51"/>
    <w:rsid w:val="00820F35"/>
    <w:rPr>
      <w:color w:val="0075A2" w:themeColor="accent2" w:themeShade="BF"/>
    </w:rPr>
    <w:tblPr>
      <w:tblStyleRowBandSize w:val="1"/>
      <w:tblStyleColBandSize w:val="1"/>
      <w:tblInd w:w="0" w:type="nil"/>
      <w:tblCellMar>
        <w:left w:w="0" w:type="dxa"/>
        <w:right w:w="0" w:type="dxa"/>
      </w:tblCellMar>
    </w:tblPr>
    <w:tblStylePr w:type="firstRow">
      <w:rPr>
        <w:b/>
        <w:bCs/>
      </w:rPr>
      <w:tblPr/>
      <w:tcPr>
        <w:tcBorders>
          <w:bottom w:val="single" w:sz="12" w:space="0" w:color="4FCDFF" w:themeColor="accent2" w:themeTint="99"/>
        </w:tcBorders>
      </w:tcPr>
    </w:tblStylePr>
    <w:tblStylePr w:type="lastRow">
      <w:rPr>
        <w:b/>
        <w:bCs/>
      </w:rPr>
      <w:tblPr/>
      <w:tcPr>
        <w:tcBorders>
          <w:top w:val="double" w:sz="4" w:space="0" w:color="4FCDFF" w:themeColor="accent2" w:themeTint="99"/>
        </w:tcBorders>
      </w:tcPr>
    </w:tblStylePr>
    <w:tblStylePr w:type="firstCol">
      <w:rPr>
        <w:b/>
        <w:bCs/>
      </w:rPr>
    </w:tblStylePr>
    <w:tblStylePr w:type="lastCol">
      <w:rPr>
        <w:b/>
        <w:bCs/>
      </w:rPr>
    </w:tblStylePr>
    <w:tblStylePr w:type="band1Vert">
      <w:tblPr/>
      <w:tcPr>
        <w:shd w:val="clear" w:color="auto" w:fill="C4EEFF" w:themeFill="accent2" w:themeFillTint="33"/>
      </w:tcPr>
    </w:tblStylePr>
    <w:tblStylePr w:type="band1Horz">
      <w:tblPr/>
      <w:tcPr>
        <w:shd w:val="clear" w:color="auto" w:fill="C4EEFF" w:themeFill="accent2" w:themeFillTint="33"/>
      </w:tcPr>
    </w:tblStylePr>
  </w:style>
  <w:style w:type="table" w:styleId="Tabellagriglia4-colore3">
    <w:name w:val="Grid Table 4 Accent 3"/>
    <w:basedOn w:val="Tabellanormale"/>
    <w:uiPriority w:val="49"/>
    <w:rsid w:val="00820F35"/>
    <w:tblPr>
      <w:tblStyleRowBandSize w:val="1"/>
      <w:tblStyleColBandSize w:val="1"/>
      <w:tblInd w:w="0" w:type="nil"/>
      <w:tblCellMar>
        <w:left w:w="0" w:type="dxa"/>
        <w:right w:w="0" w:type="dxa"/>
      </w:tblCellMar>
    </w:tblPr>
    <w:tcPr>
      <w:shd w:val="clear" w:color="auto" w:fill="C9F9FC" w:themeFill="accent3" w:themeFillTint="33"/>
    </w:tcPr>
    <w:tblStylePr w:type="firstRow">
      <w:rPr>
        <w:b/>
        <w:bCs/>
        <w:color w:val="FFFFFF" w:themeColor="background1"/>
      </w:rPr>
      <w:tblPr/>
      <w:tcPr>
        <w:tcBorders>
          <w:top w:val="single" w:sz="4" w:space="0" w:color="0BD0D9" w:themeColor="accent3"/>
          <w:left w:val="single" w:sz="4" w:space="0" w:color="0BD0D9" w:themeColor="accent3"/>
          <w:bottom w:val="single" w:sz="4" w:space="0" w:color="0BD0D9" w:themeColor="accent3"/>
          <w:right w:val="single" w:sz="4" w:space="0" w:color="0BD0D9" w:themeColor="accent3"/>
          <w:insideH w:val="nil"/>
          <w:insideV w:val="nil"/>
        </w:tcBorders>
        <w:shd w:val="clear" w:color="auto" w:fill="0BD0D9" w:themeFill="accent3"/>
      </w:tcPr>
    </w:tblStylePr>
    <w:tblStylePr w:type="lastRow">
      <w:rPr>
        <w:b/>
        <w:bCs/>
      </w:rPr>
      <w:tblPr/>
      <w:tcPr>
        <w:tcBorders>
          <w:top w:val="double" w:sz="4" w:space="0" w:color="0BD0D9" w:themeColor="accent3"/>
        </w:tcBorders>
      </w:tcPr>
    </w:tblStylePr>
    <w:tblStylePr w:type="firstCol">
      <w:rPr>
        <w:b/>
        <w:bCs/>
      </w:rPr>
    </w:tblStylePr>
    <w:tblStylePr w:type="lastCol">
      <w:rPr>
        <w:b/>
        <w:bCs/>
      </w:rPr>
    </w:tblStylePr>
    <w:tblStylePr w:type="band1Vert">
      <w:tblPr/>
      <w:tcPr>
        <w:shd w:val="clear" w:color="auto" w:fill="C9F9FC" w:themeFill="accent3" w:themeFillTint="33"/>
      </w:tcPr>
    </w:tblStylePr>
  </w:style>
  <w:style w:type="table" w:customStyle="1" w:styleId="Stile1">
    <w:name w:val="Stile1"/>
    <w:basedOn w:val="Grigliachiara-Colore2"/>
    <w:uiPriority w:val="99"/>
    <w:rsid w:val="00820F35"/>
    <w:tblPr/>
    <w:tblStylePr w:type="firstRow">
      <w:pPr>
        <w:spacing w:before="0" w:after="0" w:line="240" w:lineRule="auto"/>
      </w:pPr>
      <w:rPr>
        <w:rFonts w:asciiTheme="majorHAnsi" w:eastAsiaTheme="majorEastAsia" w:hAnsiTheme="majorHAnsi" w:cstheme="majorBidi"/>
        <w:b/>
        <w:bCs/>
      </w:rPr>
      <w:tblPr/>
      <w:tcPr>
        <w:tcBorders>
          <w:top w:val="single" w:sz="8" w:space="0" w:color="009DD9" w:themeColor="accent2"/>
          <w:left w:val="single" w:sz="8" w:space="0" w:color="009DD9" w:themeColor="accent2"/>
          <w:bottom w:val="single" w:sz="18" w:space="0" w:color="009DD9" w:themeColor="accent2"/>
          <w:right w:val="single" w:sz="8" w:space="0" w:color="009DD9" w:themeColor="accent2"/>
          <w:insideH w:val="nil"/>
          <w:insideV w:val="single" w:sz="8" w:space="0" w:color="009DD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DD9" w:themeColor="accent2"/>
          <w:left w:val="single" w:sz="8" w:space="0" w:color="009DD9" w:themeColor="accent2"/>
          <w:bottom w:val="single" w:sz="8" w:space="0" w:color="009DD9" w:themeColor="accent2"/>
          <w:right w:val="single" w:sz="8" w:space="0" w:color="009DD9" w:themeColor="accent2"/>
          <w:insideH w:val="nil"/>
          <w:insideV w:val="single" w:sz="8" w:space="0" w:color="009DD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DD9" w:themeColor="accent2"/>
          <w:left w:val="single" w:sz="8" w:space="0" w:color="009DD9" w:themeColor="accent2"/>
          <w:bottom w:val="single" w:sz="8" w:space="0" w:color="009DD9" w:themeColor="accent2"/>
          <w:right w:val="single" w:sz="8" w:space="0" w:color="009DD9" w:themeColor="accent2"/>
        </w:tcBorders>
      </w:tcPr>
    </w:tblStylePr>
    <w:tblStylePr w:type="band1Vert">
      <w:tblPr/>
      <w:tcPr>
        <w:tcBorders>
          <w:top w:val="single" w:sz="8" w:space="0" w:color="009DD9" w:themeColor="accent2"/>
          <w:left w:val="single" w:sz="8" w:space="0" w:color="009DD9" w:themeColor="accent2"/>
          <w:bottom w:val="single" w:sz="8" w:space="0" w:color="009DD9" w:themeColor="accent2"/>
          <w:right w:val="single" w:sz="8" w:space="0" w:color="009DD9" w:themeColor="accent2"/>
        </w:tcBorders>
        <w:shd w:val="clear" w:color="auto" w:fill="B6EAFF" w:themeFill="accent2" w:themeFillTint="3F"/>
      </w:tcPr>
    </w:tblStylePr>
    <w:tblStylePr w:type="band1Horz">
      <w:tblPr/>
      <w:tcPr>
        <w:tcBorders>
          <w:top w:val="single" w:sz="8" w:space="0" w:color="009DD9" w:themeColor="accent2"/>
          <w:left w:val="single" w:sz="8" w:space="0" w:color="009DD9" w:themeColor="accent2"/>
          <w:bottom w:val="single" w:sz="8" w:space="0" w:color="009DD9" w:themeColor="accent2"/>
          <w:right w:val="single" w:sz="8" w:space="0" w:color="009DD9" w:themeColor="accent2"/>
          <w:insideV w:val="single" w:sz="8" w:space="0" w:color="009DD9" w:themeColor="accent2"/>
        </w:tcBorders>
        <w:shd w:val="clear" w:color="auto" w:fill="B6EAFF" w:themeFill="accent2" w:themeFillTint="3F"/>
      </w:tcPr>
    </w:tblStylePr>
    <w:tblStylePr w:type="band2Horz">
      <w:tblPr/>
      <w:tcPr>
        <w:tcBorders>
          <w:top w:val="single" w:sz="8" w:space="0" w:color="009DD9" w:themeColor="accent2"/>
          <w:left w:val="single" w:sz="8" w:space="0" w:color="009DD9" w:themeColor="accent2"/>
          <w:bottom w:val="single" w:sz="8" w:space="0" w:color="009DD9" w:themeColor="accent2"/>
          <w:right w:val="single" w:sz="8" w:space="0" w:color="009DD9" w:themeColor="accent2"/>
          <w:insideV w:val="single" w:sz="8" w:space="0" w:color="009DD9" w:themeColor="accent2"/>
        </w:tcBorders>
      </w:tcPr>
    </w:tblStylePr>
  </w:style>
  <w:style w:type="table" w:styleId="Tabellagriglia6acolori-colore4">
    <w:name w:val="Grid Table 6 Colorful Accent 4"/>
    <w:basedOn w:val="Tabellanormale"/>
    <w:uiPriority w:val="51"/>
    <w:rsid w:val="00820F35"/>
    <w:rPr>
      <w:color w:val="0C9A73" w:themeColor="accent4" w:themeShade="BF"/>
    </w:rPr>
    <w:tblPr>
      <w:tblStyleRowBandSize w:val="1"/>
      <w:tblStyleColBandSize w:val="1"/>
      <w:tblInd w:w="0" w:type="nil"/>
      <w:tblCellMar>
        <w:left w:w="0" w:type="dxa"/>
        <w:right w:w="0" w:type="dxa"/>
      </w:tblCellMar>
    </w:tblPr>
    <w:tblStylePr w:type="firstRow">
      <w:rPr>
        <w:b/>
        <w:bCs/>
      </w:rPr>
      <w:tblPr/>
      <w:tcPr>
        <w:tcBorders>
          <w:bottom w:val="single" w:sz="12" w:space="0" w:color="5FF2CA" w:themeColor="accent4" w:themeTint="99"/>
        </w:tcBorders>
      </w:tcPr>
    </w:tblStylePr>
    <w:tblStylePr w:type="lastRow">
      <w:rPr>
        <w:b/>
        <w:bCs/>
      </w:rPr>
      <w:tblPr/>
      <w:tcPr>
        <w:tcBorders>
          <w:top w:val="double" w:sz="4" w:space="0" w:color="5FF2CA" w:themeColor="accent4" w:themeTint="99"/>
        </w:tcBorders>
      </w:tcPr>
    </w:tblStylePr>
    <w:tblStylePr w:type="firstCol">
      <w:rPr>
        <w:b/>
        <w:bCs/>
      </w:rPr>
    </w:tblStylePr>
    <w:tblStylePr w:type="lastCol">
      <w:rPr>
        <w:b/>
        <w:bCs/>
      </w:rPr>
    </w:tblStylePr>
    <w:tblStylePr w:type="band1Vert">
      <w:tblPr/>
      <w:tcPr>
        <w:shd w:val="clear" w:color="auto" w:fill="C9FBED" w:themeFill="accent4" w:themeFillTint="33"/>
      </w:tcPr>
    </w:tblStylePr>
    <w:tblStylePr w:type="band1Horz">
      <w:tblPr/>
      <w:tcPr>
        <w:shd w:val="clear" w:color="auto" w:fill="C9FBED" w:themeFill="accent4" w:themeFillTint="33"/>
      </w:tcPr>
    </w:tblStylePr>
  </w:style>
  <w:style w:type="table" w:styleId="Tabellaelenco3-colore5">
    <w:name w:val="List Table 3 Accent 5"/>
    <w:basedOn w:val="Tabellanormale"/>
    <w:uiPriority w:val="48"/>
    <w:rsid w:val="00820F35"/>
    <w:tblPr>
      <w:tblStyleRowBandSize w:val="1"/>
      <w:tblStyleColBandSize w:val="1"/>
      <w:tblInd w:w="0" w:type="nil"/>
      <w:tblCellMar>
        <w:left w:w="0" w:type="dxa"/>
        <w:right w:w="0" w:type="dxa"/>
      </w:tblCellMar>
    </w:tblPr>
    <w:tblStylePr w:type="firstRow">
      <w:rPr>
        <w:b/>
        <w:bCs/>
        <w:color w:val="FFFFFF" w:themeColor="background1"/>
      </w:rPr>
      <w:tblPr/>
      <w:tcPr>
        <w:shd w:val="clear" w:color="auto" w:fill="7CCA62" w:themeFill="accent5"/>
      </w:tcPr>
    </w:tblStylePr>
    <w:tblStylePr w:type="lastRow">
      <w:rPr>
        <w:b/>
        <w:bCs/>
      </w:rPr>
      <w:tblPr/>
      <w:tcPr>
        <w:tcBorders>
          <w:top w:val="double" w:sz="4" w:space="0" w:color="7CCA62"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CCA62" w:themeColor="accent5"/>
          <w:right w:val="single" w:sz="4" w:space="0" w:color="7CCA62" w:themeColor="accent5"/>
        </w:tcBorders>
      </w:tcPr>
    </w:tblStylePr>
    <w:tblStylePr w:type="band1Horz">
      <w:tblPr/>
      <w:tcPr>
        <w:tcBorders>
          <w:top w:val="single" w:sz="4" w:space="0" w:color="7CCA62" w:themeColor="accent5"/>
          <w:bottom w:val="single" w:sz="4" w:space="0" w:color="7CCA62"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CCA62" w:themeColor="accent5"/>
          <w:left w:val="nil"/>
        </w:tcBorders>
      </w:tcPr>
    </w:tblStylePr>
    <w:tblStylePr w:type="swCell">
      <w:tblPr/>
      <w:tcPr>
        <w:tcBorders>
          <w:top w:val="double" w:sz="4" w:space="0" w:color="7CCA62" w:themeColor="accent5"/>
          <w:right w:val="nil"/>
        </w:tcBorders>
      </w:tcPr>
    </w:tblStylePr>
  </w:style>
  <w:style w:type="table" w:styleId="Grigliachiara-Colore2">
    <w:name w:val="Light Grid Accent 2"/>
    <w:basedOn w:val="Tabellanormale"/>
    <w:uiPriority w:val="62"/>
    <w:semiHidden/>
    <w:unhideWhenUsed/>
    <w:rsid w:val="00820F35"/>
    <w:tblPr>
      <w:tblStyleRowBandSize w:val="1"/>
      <w:tblStyleColBandSize w:val="1"/>
      <w:tblInd w:w="0" w:type="nil"/>
      <w:tblCellMar>
        <w:left w:w="0" w:type="dxa"/>
        <w:right w:w="0"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9DD9" w:themeColor="accent2"/>
          <w:left w:val="single" w:sz="8" w:space="0" w:color="009DD9" w:themeColor="accent2"/>
          <w:bottom w:val="single" w:sz="18" w:space="0" w:color="009DD9" w:themeColor="accent2"/>
          <w:right w:val="single" w:sz="8" w:space="0" w:color="009DD9" w:themeColor="accent2"/>
          <w:insideH w:val="nil"/>
          <w:insideV w:val="single" w:sz="8" w:space="0" w:color="009DD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DD9" w:themeColor="accent2"/>
          <w:left w:val="single" w:sz="8" w:space="0" w:color="009DD9" w:themeColor="accent2"/>
          <w:bottom w:val="single" w:sz="8" w:space="0" w:color="009DD9" w:themeColor="accent2"/>
          <w:right w:val="single" w:sz="8" w:space="0" w:color="009DD9" w:themeColor="accent2"/>
          <w:insideH w:val="nil"/>
          <w:insideV w:val="single" w:sz="8" w:space="0" w:color="009DD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DD9" w:themeColor="accent2"/>
          <w:left w:val="single" w:sz="8" w:space="0" w:color="009DD9" w:themeColor="accent2"/>
          <w:bottom w:val="single" w:sz="8" w:space="0" w:color="009DD9" w:themeColor="accent2"/>
          <w:right w:val="single" w:sz="8" w:space="0" w:color="009DD9" w:themeColor="accent2"/>
        </w:tcBorders>
      </w:tcPr>
    </w:tblStylePr>
    <w:tblStylePr w:type="band1Vert">
      <w:tblPr/>
      <w:tcPr>
        <w:tcBorders>
          <w:top w:val="single" w:sz="8" w:space="0" w:color="009DD9" w:themeColor="accent2"/>
          <w:left w:val="single" w:sz="8" w:space="0" w:color="009DD9" w:themeColor="accent2"/>
          <w:bottom w:val="single" w:sz="8" w:space="0" w:color="009DD9" w:themeColor="accent2"/>
          <w:right w:val="single" w:sz="8" w:space="0" w:color="009DD9" w:themeColor="accent2"/>
        </w:tcBorders>
        <w:shd w:val="clear" w:color="auto" w:fill="B6EAFF" w:themeFill="accent2" w:themeFillTint="3F"/>
      </w:tcPr>
    </w:tblStylePr>
    <w:tblStylePr w:type="band1Horz">
      <w:tblPr/>
      <w:tcPr>
        <w:tcBorders>
          <w:top w:val="single" w:sz="8" w:space="0" w:color="009DD9" w:themeColor="accent2"/>
          <w:left w:val="single" w:sz="8" w:space="0" w:color="009DD9" w:themeColor="accent2"/>
          <w:bottom w:val="single" w:sz="8" w:space="0" w:color="009DD9" w:themeColor="accent2"/>
          <w:right w:val="single" w:sz="8" w:space="0" w:color="009DD9" w:themeColor="accent2"/>
          <w:insideV w:val="single" w:sz="8" w:space="0" w:color="009DD9" w:themeColor="accent2"/>
        </w:tcBorders>
        <w:shd w:val="clear" w:color="auto" w:fill="B6EAFF" w:themeFill="accent2" w:themeFillTint="3F"/>
      </w:tcPr>
    </w:tblStylePr>
    <w:tblStylePr w:type="band2Horz">
      <w:tblPr/>
      <w:tcPr>
        <w:tcBorders>
          <w:top w:val="single" w:sz="8" w:space="0" w:color="009DD9" w:themeColor="accent2"/>
          <w:left w:val="single" w:sz="8" w:space="0" w:color="009DD9" w:themeColor="accent2"/>
          <w:bottom w:val="single" w:sz="8" w:space="0" w:color="009DD9" w:themeColor="accent2"/>
          <w:right w:val="single" w:sz="8" w:space="0" w:color="009DD9" w:themeColor="accent2"/>
          <w:insideV w:val="single" w:sz="8" w:space="0" w:color="009DD9" w:themeColor="accent2"/>
        </w:tcBorders>
      </w:tcPr>
    </w:tblStylePr>
  </w:style>
  <w:style w:type="table" w:styleId="Tabellaelenco4-colore5">
    <w:name w:val="List Table 4 Accent 5"/>
    <w:basedOn w:val="Tabellanormale"/>
    <w:uiPriority w:val="49"/>
    <w:rsid w:val="00820F35"/>
    <w:tblPr>
      <w:tblStyleRowBandSize w:val="1"/>
      <w:tblStyleColBandSize w:val="1"/>
      <w:tblInd w:w="0" w:type="nil"/>
      <w:tblCellMar>
        <w:left w:w="0" w:type="dxa"/>
        <w:right w:w="0" w:type="dxa"/>
      </w:tblCellMar>
    </w:tblPr>
    <w:tblStylePr w:type="firstRow">
      <w:rPr>
        <w:b/>
        <w:bCs/>
        <w:color w:val="FFFFFF" w:themeColor="background1"/>
      </w:rPr>
      <w:tblPr/>
      <w:tcPr>
        <w:tcBorders>
          <w:top w:val="single" w:sz="4" w:space="0" w:color="7CCA62" w:themeColor="accent5"/>
          <w:left w:val="single" w:sz="4" w:space="0" w:color="7CCA62" w:themeColor="accent5"/>
          <w:bottom w:val="single" w:sz="4" w:space="0" w:color="7CCA62" w:themeColor="accent5"/>
          <w:right w:val="single" w:sz="4" w:space="0" w:color="7CCA62" w:themeColor="accent5"/>
          <w:insideH w:val="nil"/>
        </w:tcBorders>
        <w:shd w:val="clear" w:color="auto" w:fill="7CCA62" w:themeFill="accent5"/>
      </w:tcPr>
    </w:tblStylePr>
    <w:tblStylePr w:type="lastRow">
      <w:rPr>
        <w:b/>
        <w:bCs/>
      </w:rPr>
      <w:tblPr/>
      <w:tcPr>
        <w:tcBorders>
          <w:top w:val="double" w:sz="4" w:space="0" w:color="B0DFA0" w:themeColor="accent5" w:themeTint="99"/>
        </w:tcBorders>
      </w:tcPr>
    </w:tblStylePr>
    <w:tblStylePr w:type="firstCol">
      <w:rPr>
        <w:b/>
        <w:bCs/>
      </w:rPr>
    </w:tblStylePr>
    <w:tblStylePr w:type="lastCol">
      <w:rPr>
        <w:b/>
        <w:bCs/>
      </w:rPr>
    </w:tblStylePr>
    <w:tblStylePr w:type="band1Vert">
      <w:tblPr/>
      <w:tcPr>
        <w:shd w:val="clear" w:color="auto" w:fill="E4F4DF" w:themeFill="accent5" w:themeFillTint="33"/>
      </w:tcPr>
    </w:tblStylePr>
    <w:tblStylePr w:type="band1Horz">
      <w:tblPr/>
      <w:tcPr>
        <w:shd w:val="clear" w:color="auto" w:fill="E4F4DF" w:themeFill="accent5" w:themeFillTint="33"/>
      </w:tcPr>
    </w:tblStylePr>
  </w:style>
  <w:style w:type="table" w:customStyle="1" w:styleId="TabellabacinoSudEst">
    <w:name w:val="Tabella bacino SudEst"/>
    <w:basedOn w:val="Tabellaelenco4-colore5"/>
    <w:uiPriority w:val="99"/>
    <w:rsid w:val="00820F35"/>
    <w:tblPr>
      <w:tblBorders>
        <w:top w:val="single" w:sz="4" w:space="0" w:color="BEFEC1"/>
        <w:left w:val="single" w:sz="4" w:space="0" w:color="BEFEC1"/>
        <w:bottom w:val="single" w:sz="4" w:space="0" w:color="BEFEC1"/>
        <w:right w:val="single" w:sz="4" w:space="0" w:color="BEFEC1"/>
        <w:insideH w:val="single" w:sz="4" w:space="0" w:color="BEFEC1"/>
      </w:tblBorders>
    </w:tblPr>
    <w:tblStylePr w:type="firstRow">
      <w:rPr>
        <w:b/>
        <w:bCs/>
        <w:color w:val="FFFFFF" w:themeColor="background1"/>
      </w:rPr>
      <w:tblPr/>
      <w:tcPr>
        <w:tcBorders>
          <w:top w:val="single" w:sz="4" w:space="0" w:color="7CCA62" w:themeColor="accent5"/>
          <w:left w:val="single" w:sz="4" w:space="0" w:color="7CCA62" w:themeColor="accent5"/>
          <w:bottom w:val="single" w:sz="4" w:space="0" w:color="7CCA62" w:themeColor="accent5"/>
          <w:right w:val="single" w:sz="4" w:space="0" w:color="7CCA62" w:themeColor="accent5"/>
          <w:insideH w:val="nil"/>
        </w:tcBorders>
        <w:shd w:val="clear" w:color="auto" w:fill="7CCA62" w:themeFill="accent5"/>
      </w:tcPr>
    </w:tblStylePr>
    <w:tblStylePr w:type="lastRow">
      <w:rPr>
        <w:b/>
        <w:bCs/>
      </w:rPr>
      <w:tblPr/>
      <w:tcPr>
        <w:tcBorders>
          <w:top w:val="double" w:sz="4" w:space="0" w:color="B0DFA0" w:themeColor="accent5" w:themeTint="99"/>
        </w:tcBorders>
      </w:tcPr>
    </w:tblStylePr>
    <w:tblStylePr w:type="firstCol">
      <w:rPr>
        <w:b/>
        <w:bCs/>
      </w:rPr>
    </w:tblStylePr>
    <w:tblStylePr w:type="lastCol">
      <w:rPr>
        <w:b/>
        <w:bCs/>
      </w:rPr>
    </w:tblStylePr>
    <w:tblStylePr w:type="band1Vert">
      <w:tblPr/>
      <w:tcPr>
        <w:shd w:val="clear" w:color="auto" w:fill="E4F4DF" w:themeFill="accent5" w:themeFillTint="33"/>
      </w:tcPr>
    </w:tblStylePr>
    <w:tblStylePr w:type="band1Horz">
      <w:tblPr/>
      <w:tcPr>
        <w:shd w:val="clear" w:color="auto" w:fill="E4F4DF" w:themeFill="accent5" w:themeFillTint="33"/>
      </w:tcPr>
    </w:tblStylePr>
  </w:style>
  <w:style w:type="table" w:styleId="Tabellaelenco1chiara">
    <w:name w:val="List Table 1 Light"/>
    <w:basedOn w:val="Tabellanormale"/>
    <w:uiPriority w:val="46"/>
    <w:rsid w:val="00820F35"/>
    <w:tblPr>
      <w:tblStyleRowBandSize w:val="1"/>
      <w:tblStyleColBandSize w:val="1"/>
      <w:tblInd w:w="0" w:type="nil"/>
      <w:tblCellMar>
        <w:left w:w="0" w:type="dxa"/>
        <w:right w:w="0"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ellaelenco6acolori-colore2">
    <w:name w:val="List Table 6 Colorful Accent 2"/>
    <w:basedOn w:val="Tabellanormale"/>
    <w:uiPriority w:val="51"/>
    <w:rsid w:val="00820F35"/>
    <w:rPr>
      <w:color w:val="0075A2" w:themeColor="accent2" w:themeShade="BF"/>
    </w:rPr>
    <w:tblPr>
      <w:tblStyleRowBandSize w:val="1"/>
      <w:tblStyleColBandSize w:val="1"/>
      <w:tblInd w:w="0" w:type="nil"/>
      <w:tblCellMar>
        <w:left w:w="0" w:type="dxa"/>
        <w:right w:w="0" w:type="dxa"/>
      </w:tblCellMar>
    </w:tblPr>
    <w:tblStylePr w:type="firstRow">
      <w:rPr>
        <w:b/>
        <w:bCs/>
      </w:rPr>
      <w:tblPr/>
      <w:tcPr>
        <w:tcBorders>
          <w:bottom w:val="single" w:sz="4" w:space="0" w:color="009DD9" w:themeColor="accent2"/>
        </w:tcBorders>
      </w:tcPr>
    </w:tblStylePr>
    <w:tblStylePr w:type="lastRow">
      <w:rPr>
        <w:b/>
        <w:bCs/>
      </w:rPr>
      <w:tblPr/>
      <w:tcPr>
        <w:tcBorders>
          <w:top w:val="double" w:sz="4" w:space="0" w:color="009DD9" w:themeColor="accent2"/>
        </w:tcBorders>
      </w:tcPr>
    </w:tblStylePr>
    <w:tblStylePr w:type="firstCol">
      <w:rPr>
        <w:b/>
        <w:bCs/>
      </w:rPr>
    </w:tblStylePr>
    <w:tblStylePr w:type="lastCol">
      <w:rPr>
        <w:b/>
        <w:bCs/>
      </w:rPr>
    </w:tblStylePr>
    <w:tblStylePr w:type="band1Vert">
      <w:tblPr/>
      <w:tcPr>
        <w:shd w:val="clear" w:color="auto" w:fill="C4EEFF" w:themeFill="accent2" w:themeFillTint="33"/>
      </w:tcPr>
    </w:tblStylePr>
    <w:tblStylePr w:type="band1Horz">
      <w:tblPr/>
      <w:tcPr>
        <w:shd w:val="clear" w:color="auto" w:fill="C4EEFF" w:themeFill="accent2" w:themeFillTint="33"/>
      </w:tcPr>
    </w:tblStylePr>
  </w:style>
  <w:style w:type="table" w:styleId="Tabellaelenco3-colore4">
    <w:name w:val="List Table 3 Accent 4"/>
    <w:basedOn w:val="Tabellanormale"/>
    <w:uiPriority w:val="48"/>
    <w:rsid w:val="00820F35"/>
    <w:tblPr>
      <w:tblStyleRowBandSize w:val="1"/>
      <w:tblStyleColBandSize w:val="1"/>
      <w:tblInd w:w="0" w:type="nil"/>
      <w:tblCellMar>
        <w:left w:w="0" w:type="dxa"/>
        <w:right w:w="0" w:type="dxa"/>
      </w:tblCellMar>
    </w:tblPr>
    <w:tblStylePr w:type="firstRow">
      <w:rPr>
        <w:b/>
        <w:bCs/>
        <w:color w:val="FFFFFF" w:themeColor="background1"/>
      </w:rPr>
      <w:tblPr/>
      <w:tcPr>
        <w:shd w:val="clear" w:color="auto" w:fill="10CF9B" w:themeFill="accent4"/>
      </w:tcPr>
    </w:tblStylePr>
    <w:tblStylePr w:type="lastRow">
      <w:rPr>
        <w:b/>
        <w:bCs/>
      </w:rPr>
      <w:tblPr/>
      <w:tcPr>
        <w:tcBorders>
          <w:top w:val="double" w:sz="4" w:space="0" w:color="10CF9B"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0CF9B" w:themeColor="accent4"/>
          <w:right w:val="single" w:sz="4" w:space="0" w:color="10CF9B" w:themeColor="accent4"/>
        </w:tcBorders>
      </w:tcPr>
    </w:tblStylePr>
    <w:tblStylePr w:type="band1Horz">
      <w:tblPr/>
      <w:tcPr>
        <w:tcBorders>
          <w:top w:val="single" w:sz="4" w:space="0" w:color="10CF9B" w:themeColor="accent4"/>
          <w:bottom w:val="single" w:sz="4" w:space="0" w:color="10CF9B"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0CF9B" w:themeColor="accent4"/>
          <w:left w:val="nil"/>
        </w:tcBorders>
      </w:tcPr>
    </w:tblStylePr>
    <w:tblStylePr w:type="swCell">
      <w:tblPr/>
      <w:tcPr>
        <w:tcBorders>
          <w:top w:val="double" w:sz="4" w:space="0" w:color="10CF9B" w:themeColor="accent4"/>
          <w:right w:val="nil"/>
        </w:tcBorders>
      </w:tcPr>
    </w:tblStylePr>
  </w:style>
  <w:style w:type="table" w:styleId="Tabellaelenco6acolori-colore4">
    <w:name w:val="List Table 6 Colorful Accent 4"/>
    <w:basedOn w:val="Tabellanormale"/>
    <w:uiPriority w:val="51"/>
    <w:rsid w:val="00820F35"/>
    <w:rPr>
      <w:color w:val="0C9A73" w:themeColor="accent4" w:themeShade="BF"/>
    </w:rPr>
    <w:tblPr>
      <w:tblStyleRowBandSize w:val="1"/>
      <w:tblStyleColBandSize w:val="1"/>
      <w:tblInd w:w="0" w:type="nil"/>
      <w:tblCellMar>
        <w:left w:w="0" w:type="dxa"/>
        <w:right w:w="0" w:type="dxa"/>
      </w:tblCellMar>
    </w:tblPr>
    <w:tblStylePr w:type="firstRow">
      <w:rPr>
        <w:b/>
        <w:bCs/>
      </w:rPr>
      <w:tblPr/>
      <w:tcPr>
        <w:tcBorders>
          <w:bottom w:val="single" w:sz="4" w:space="0" w:color="10CF9B" w:themeColor="accent4"/>
        </w:tcBorders>
      </w:tcPr>
    </w:tblStylePr>
    <w:tblStylePr w:type="lastRow">
      <w:rPr>
        <w:b/>
        <w:bCs/>
      </w:rPr>
      <w:tblPr/>
      <w:tcPr>
        <w:tcBorders>
          <w:top w:val="double" w:sz="4" w:space="0" w:color="10CF9B" w:themeColor="accent4"/>
        </w:tcBorders>
      </w:tcPr>
    </w:tblStylePr>
    <w:tblStylePr w:type="firstCol">
      <w:rPr>
        <w:b/>
        <w:bCs/>
      </w:rPr>
    </w:tblStylePr>
    <w:tblStylePr w:type="lastCol">
      <w:rPr>
        <w:b/>
        <w:bCs/>
      </w:rPr>
    </w:tblStylePr>
    <w:tblStylePr w:type="band1Vert">
      <w:tblPr/>
      <w:tcPr>
        <w:shd w:val="clear" w:color="auto" w:fill="C9FBED" w:themeFill="accent4" w:themeFillTint="33"/>
      </w:tcPr>
    </w:tblStylePr>
    <w:tblStylePr w:type="band1Horz">
      <w:tblPr/>
      <w:tcPr>
        <w:shd w:val="clear" w:color="auto" w:fill="C9FBED" w:themeFill="accent4" w:themeFillTint="33"/>
      </w:tcPr>
    </w:tblStylePr>
  </w:style>
  <w:style w:type="paragraph" w:customStyle="1" w:styleId="Sunto">
    <w:name w:val="Sunto"/>
    <w:basedOn w:val="Normale"/>
    <w:uiPriority w:val="19"/>
    <w:qFormat/>
    <w:rsid w:val="00AA2D39"/>
    <w:pPr>
      <w:spacing w:before="360" w:after="600" w:line="288" w:lineRule="auto"/>
      <w:ind w:left="144" w:right="144"/>
      <w:jc w:val="left"/>
    </w:pPr>
    <w:rPr>
      <w:i/>
      <w:iCs/>
      <w:color w:val="7F7F7F" w:themeColor="text1" w:themeTint="80"/>
      <w:kern w:val="20"/>
      <w:sz w:val="28"/>
    </w:rPr>
  </w:style>
  <w:style w:type="paragraph" w:customStyle="1" w:styleId="msonormal0">
    <w:name w:val="msonormal"/>
    <w:basedOn w:val="Normale"/>
    <w:rsid w:val="004D6AD3"/>
    <w:rPr>
      <w:rFonts w:ascii="Times New Roman" w:hAnsi="Times New Roman"/>
      <w:sz w:val="24"/>
      <w:szCs w:val="24"/>
    </w:rPr>
  </w:style>
  <w:style w:type="character" w:styleId="Enfasicorsivo">
    <w:name w:val="Emphasis"/>
    <w:basedOn w:val="Carpredefinitoparagrafo"/>
    <w:uiPriority w:val="20"/>
    <w:qFormat/>
    <w:rsid w:val="00794F6F"/>
    <w:rPr>
      <w:i/>
      <w:iCs/>
    </w:rPr>
  </w:style>
  <w:style w:type="paragraph" w:styleId="Citazione">
    <w:name w:val="Quote"/>
    <w:basedOn w:val="Normale"/>
    <w:next w:val="Normale"/>
    <w:link w:val="CitazioneCarattere"/>
    <w:uiPriority w:val="29"/>
    <w:qFormat/>
    <w:rsid w:val="00794F6F"/>
    <w:pPr>
      <w:spacing w:before="200"/>
      <w:ind w:left="864" w:right="864"/>
      <w:jc w:val="center"/>
    </w:pPr>
    <w:rPr>
      <w:i/>
      <w:iCs/>
      <w:color w:val="404040" w:themeColor="text1" w:themeTint="BF"/>
    </w:rPr>
  </w:style>
  <w:style w:type="character" w:customStyle="1" w:styleId="CitazioneCarattere">
    <w:name w:val="Citazione Carattere"/>
    <w:basedOn w:val="Carpredefinitoparagrafo"/>
    <w:link w:val="Citazione"/>
    <w:uiPriority w:val="29"/>
    <w:rsid w:val="00794F6F"/>
    <w:rPr>
      <w:i/>
      <w:iCs/>
      <w:color w:val="404040" w:themeColor="text1" w:themeTint="BF"/>
    </w:rPr>
  </w:style>
  <w:style w:type="character" w:styleId="Enfasiintensa">
    <w:name w:val="Intense Emphasis"/>
    <w:basedOn w:val="Carpredefinitoparagrafo"/>
    <w:uiPriority w:val="21"/>
    <w:qFormat/>
    <w:rsid w:val="00794F6F"/>
    <w:rPr>
      <w:i/>
      <w:iCs/>
      <w:color w:val="0F6FC6" w:themeColor="accent1"/>
    </w:rPr>
  </w:style>
  <w:style w:type="character" w:styleId="Riferimentodelicato">
    <w:name w:val="Subtle Reference"/>
    <w:basedOn w:val="Carpredefinitoparagrafo"/>
    <w:uiPriority w:val="31"/>
    <w:qFormat/>
    <w:rsid w:val="00794F6F"/>
    <w:rPr>
      <w:smallCaps/>
      <w:color w:val="5A5A5A" w:themeColor="text1" w:themeTint="A5"/>
    </w:rPr>
  </w:style>
  <w:style w:type="character" w:styleId="Riferimentointenso">
    <w:name w:val="Intense Reference"/>
    <w:basedOn w:val="Carpredefinitoparagrafo"/>
    <w:uiPriority w:val="32"/>
    <w:qFormat/>
    <w:rsid w:val="00794F6F"/>
    <w:rPr>
      <w:b/>
      <w:bCs/>
      <w:smallCaps/>
      <w:color w:val="0F6FC6" w:themeColor="accent1"/>
      <w:spacing w:val="5"/>
    </w:rPr>
  </w:style>
  <w:style w:type="character" w:styleId="Titolodellibro">
    <w:name w:val="Book Title"/>
    <w:basedOn w:val="Carpredefinitoparagrafo"/>
    <w:uiPriority w:val="33"/>
    <w:qFormat/>
    <w:rsid w:val="00794F6F"/>
    <w:rPr>
      <w:b/>
      <w:bCs/>
      <w:i/>
      <w:iCs/>
      <w:spacing w:val="5"/>
    </w:rPr>
  </w:style>
  <w:style w:type="paragraph" w:styleId="Titolosommario">
    <w:name w:val="TOC Heading"/>
    <w:basedOn w:val="Titolo1"/>
    <w:next w:val="Normale"/>
    <w:uiPriority w:val="39"/>
    <w:unhideWhenUsed/>
    <w:qFormat/>
    <w:rsid w:val="00794F6F"/>
    <w:pPr>
      <w:outlineLvl w:val="9"/>
    </w:pPr>
  </w:style>
  <w:style w:type="character" w:customStyle="1" w:styleId="hgkelc">
    <w:name w:val="hgkelc"/>
    <w:basedOn w:val="Carpredefinitoparagrafo"/>
    <w:rsid w:val="00292B31"/>
  </w:style>
  <w:style w:type="table" w:styleId="Tabellasemplice5">
    <w:name w:val="Plain Table 5"/>
    <w:basedOn w:val="Tabellanormale"/>
    <w:uiPriority w:val="45"/>
    <w:rsid w:val="00292B31"/>
    <w:pPr>
      <w:spacing w:after="0" w:line="240" w:lineRule="auto"/>
    </w:pPr>
    <w:rPr>
      <w:rFonts w:ascii="Times New Roman" w:eastAsia="Times New Roman" w:hAnsi="Times New Roman" w:cs="Times New Roman"/>
      <w:sz w:val="20"/>
      <w:szCs w:val="20"/>
    </w:rPr>
    <w:tblPr>
      <w:tblStyleRowBandSize w:val="1"/>
      <w:tblStyleColBandSize w:val="1"/>
      <w:tblInd w:w="0" w:type="nil"/>
      <w:tblCellMar>
        <w:left w:w="0" w:type="dxa"/>
        <w:right w:w="0" w:type="dxa"/>
      </w:tblCellMar>
    </w:tblPr>
    <w:tcPr>
      <w:shd w:val="clear" w:color="auto" w:fill="FFFFFF" w:themeFill="background1"/>
    </w:tc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lasemplice4">
    <w:name w:val="Plain Table 4"/>
    <w:basedOn w:val="Tabellanormale"/>
    <w:uiPriority w:val="44"/>
    <w:rsid w:val="00292B31"/>
    <w:pPr>
      <w:spacing w:after="0" w:line="240" w:lineRule="auto"/>
    </w:pPr>
    <w:rPr>
      <w:rFonts w:ascii="Times New Roman" w:eastAsia="Times New Roman" w:hAnsi="Times New Roman" w:cs="Times New Roman"/>
      <w:sz w:val="20"/>
      <w:szCs w:val="20"/>
    </w:rPr>
    <w:tblPr>
      <w:tblInd w:w="0" w:type="nil"/>
      <w:tblCellMar>
        <w:left w:w="0" w:type="dxa"/>
        <w:right w:w="0" w:type="dxa"/>
      </w:tblCellMar>
    </w:tblPr>
    <w:tblStylePr w:type="firstRow">
      <w:rPr>
        <w:b/>
        <w:bCs/>
      </w:rPr>
    </w:tblStylePr>
    <w:tblStylePr w:type="lastRow">
      <w:rPr>
        <w:b/>
        <w:bCs/>
      </w:rPr>
    </w:tblStylePr>
    <w:tblStylePr w:type="firstCol">
      <w:rPr>
        <w:b/>
        <w:bCs/>
      </w:rPr>
    </w:tblStylePr>
    <w:tblStylePr w:type="lastCol">
      <w:rPr>
        <w:b/>
        <w:bCs/>
      </w:rPr>
    </w:tblStylePr>
  </w:style>
  <w:style w:type="table" w:styleId="Tabellaelenco2-colore5">
    <w:name w:val="List Table 2 Accent 5"/>
    <w:basedOn w:val="Tabellanormale"/>
    <w:uiPriority w:val="47"/>
    <w:rsid w:val="005E3A63"/>
    <w:pPr>
      <w:spacing w:after="0" w:line="240" w:lineRule="auto"/>
    </w:pPr>
    <w:rPr>
      <w:rFonts w:ascii="Times New Roman" w:eastAsia="Times New Roman" w:hAnsi="Times New Roman" w:cs="Times New Roman"/>
      <w:sz w:val="20"/>
      <w:szCs w:val="20"/>
    </w:rPr>
    <w:tblPr>
      <w:tblInd w:w="0" w:type="nil"/>
      <w:tblCellMar>
        <w:left w:w="0" w:type="dxa"/>
        <w:right w:w="0" w:type="dxa"/>
      </w:tblCellMar>
    </w:tblPr>
    <w:tblStylePr w:type="firstRow">
      <w:rPr>
        <w:b/>
        <w:bCs/>
      </w:rPr>
    </w:tblStylePr>
    <w:tblStylePr w:type="lastRow">
      <w:rPr>
        <w:b/>
        <w:bCs/>
      </w:rPr>
    </w:tblStylePr>
    <w:tblStylePr w:type="firstCol">
      <w:rPr>
        <w:b/>
        <w:bCs/>
      </w:rPr>
    </w:tblStylePr>
    <w:tblStylePr w:type="lastCol">
      <w:rPr>
        <w:b/>
        <w:bCs/>
      </w:rPr>
    </w:tblStylePr>
  </w:style>
  <w:style w:type="table" w:styleId="Tabellaelenco6acolori-colore6">
    <w:name w:val="List Table 6 Colorful Accent 6"/>
    <w:basedOn w:val="Tabellanormale"/>
    <w:uiPriority w:val="51"/>
    <w:rsid w:val="005E3A63"/>
    <w:pPr>
      <w:spacing w:after="0" w:line="240" w:lineRule="auto"/>
    </w:pPr>
    <w:rPr>
      <w:rFonts w:ascii="Times New Roman" w:eastAsia="Times New Roman" w:hAnsi="Times New Roman" w:cs="Times New Roman"/>
      <w:color w:val="A5C34C" w:themeColor="accent6" w:themeShade="BF"/>
      <w:sz w:val="20"/>
      <w:szCs w:val="20"/>
    </w:rPr>
    <w:tblPr>
      <w:tblStyleRowBandSize w:val="1"/>
      <w:tblStyleColBandSize w:val="1"/>
      <w:tblInd w:w="0" w:type="nil"/>
      <w:tblCellMar>
        <w:left w:w="0" w:type="dxa"/>
        <w:right w:w="0" w:type="dxa"/>
      </w:tblCellMar>
    </w:tblPr>
    <w:tblStylePr w:type="firstRow">
      <w:rPr>
        <w:b/>
        <w:bCs/>
      </w:rPr>
      <w:tblPr/>
      <w:tcPr>
        <w:tcBorders>
          <w:bottom w:val="single" w:sz="4" w:space="0" w:color="C8DA91" w:themeColor="accent6"/>
        </w:tcBorders>
      </w:tcPr>
    </w:tblStylePr>
    <w:tblStylePr w:type="lastRow">
      <w:rPr>
        <w:b/>
        <w:bCs/>
      </w:rPr>
      <w:tblPr/>
      <w:tcPr>
        <w:tcBorders>
          <w:top w:val="double" w:sz="4" w:space="0" w:color="C8DA91" w:themeColor="accent6"/>
        </w:tcBorders>
      </w:tcPr>
    </w:tblStylePr>
    <w:tblStylePr w:type="firstCol">
      <w:rPr>
        <w:b/>
        <w:bCs/>
      </w:rPr>
    </w:tblStylePr>
    <w:tblStylePr w:type="lastCol">
      <w:rPr>
        <w:b/>
        <w:bCs/>
      </w:rPr>
    </w:tblStylePr>
    <w:tblStylePr w:type="band1Vert">
      <w:tblPr/>
      <w:tcPr>
        <w:shd w:val="clear" w:color="auto" w:fill="F3F7E8" w:themeFill="accent6" w:themeFillTint="33"/>
      </w:tcPr>
    </w:tblStylePr>
    <w:tblStylePr w:type="band1Horz">
      <w:tblPr/>
      <w:tcPr>
        <w:shd w:val="clear" w:color="auto" w:fill="F3F7E8" w:themeFill="accent6" w:themeFillTint="33"/>
      </w:tcPr>
    </w:tblStylePr>
  </w:style>
  <w:style w:type="table" w:styleId="Tabellaelenco6acolori-colore5">
    <w:name w:val="List Table 6 Colorful Accent 5"/>
    <w:basedOn w:val="Tabellanormale"/>
    <w:uiPriority w:val="51"/>
    <w:rsid w:val="005E3A63"/>
    <w:pPr>
      <w:spacing w:after="0" w:line="240" w:lineRule="auto"/>
    </w:pPr>
    <w:rPr>
      <w:rFonts w:ascii="Times New Roman" w:eastAsia="Times New Roman" w:hAnsi="Times New Roman" w:cs="Times New Roman"/>
      <w:color w:val="54A738" w:themeColor="accent5" w:themeShade="BF"/>
      <w:sz w:val="20"/>
      <w:szCs w:val="20"/>
    </w:rPr>
    <w:tblPr>
      <w:tblStyleRowBandSize w:val="1"/>
      <w:tblStyleColBandSize w:val="1"/>
      <w:tblInd w:w="0" w:type="nil"/>
      <w:tblCellMar>
        <w:left w:w="0" w:type="dxa"/>
        <w:right w:w="0" w:type="dxa"/>
      </w:tblCellMar>
    </w:tblPr>
    <w:tblStylePr w:type="firstRow">
      <w:rPr>
        <w:b/>
        <w:bCs/>
      </w:rPr>
      <w:tblPr/>
      <w:tcPr>
        <w:tcBorders>
          <w:bottom w:val="single" w:sz="4" w:space="0" w:color="7CCA62" w:themeColor="accent5"/>
        </w:tcBorders>
      </w:tcPr>
    </w:tblStylePr>
    <w:tblStylePr w:type="lastRow">
      <w:rPr>
        <w:b/>
        <w:bCs/>
      </w:rPr>
      <w:tblPr/>
      <w:tcPr>
        <w:tcBorders>
          <w:top w:val="double" w:sz="4" w:space="0" w:color="7CCA62" w:themeColor="accent5"/>
        </w:tcBorders>
      </w:tcPr>
    </w:tblStylePr>
    <w:tblStylePr w:type="firstCol">
      <w:rPr>
        <w:b/>
        <w:bCs/>
      </w:rPr>
    </w:tblStylePr>
    <w:tblStylePr w:type="lastCol">
      <w:rPr>
        <w:b/>
        <w:bCs/>
      </w:rPr>
    </w:tblStylePr>
    <w:tblStylePr w:type="band1Vert">
      <w:tblPr/>
      <w:tcPr>
        <w:shd w:val="clear" w:color="auto" w:fill="E4F4DF" w:themeFill="accent5" w:themeFillTint="33"/>
      </w:tcPr>
    </w:tblStylePr>
    <w:tblStylePr w:type="band1Horz">
      <w:tblPr/>
      <w:tcPr>
        <w:shd w:val="clear" w:color="auto" w:fill="E4F4DF" w:themeFill="accent5" w:themeFillTint="33"/>
      </w:tcPr>
    </w:tblStylePr>
  </w:style>
  <w:style w:type="table" w:styleId="Tabellaelenco2-colore6">
    <w:name w:val="List Table 2 Accent 6"/>
    <w:basedOn w:val="Tabellanormale"/>
    <w:uiPriority w:val="47"/>
    <w:rsid w:val="005E3A63"/>
    <w:pPr>
      <w:spacing w:after="0" w:line="240" w:lineRule="auto"/>
    </w:pPr>
    <w:rPr>
      <w:rFonts w:ascii="Times New Roman" w:eastAsia="Times New Roman" w:hAnsi="Times New Roman" w:cs="Times New Roman"/>
      <w:sz w:val="20"/>
      <w:szCs w:val="20"/>
    </w:rPr>
    <w:tblPr>
      <w:tblInd w:w="0" w:type="nil"/>
      <w:tblCellMar>
        <w:left w:w="0" w:type="dxa"/>
        <w:right w:w="0" w:type="dxa"/>
      </w:tblCellMar>
    </w:tblPr>
    <w:tblStylePr w:type="firstRow">
      <w:rPr>
        <w:b/>
        <w:bCs/>
      </w:rPr>
    </w:tblStylePr>
    <w:tblStylePr w:type="lastRow">
      <w:rPr>
        <w:b/>
        <w:bCs/>
      </w:rPr>
    </w:tblStylePr>
    <w:tblStylePr w:type="firstCol">
      <w:rPr>
        <w:b/>
        <w:bCs/>
      </w:rPr>
    </w:tblStylePr>
    <w:tblStylePr w:type="lastCol">
      <w:rPr>
        <w:b/>
        <w:bCs/>
      </w:rPr>
    </w:tblStylePr>
  </w:style>
  <w:style w:type="table" w:styleId="Grigliatabellachiara">
    <w:name w:val="Grid Table Light"/>
    <w:basedOn w:val="Tabellanormale"/>
    <w:uiPriority w:val="40"/>
    <w:rsid w:val="005E3A63"/>
    <w:pPr>
      <w:spacing w:after="0" w:line="240" w:lineRule="auto"/>
    </w:pPr>
    <w:rPr>
      <w:rFonts w:ascii="Times New Roman" w:eastAsia="Times New Roman" w:hAnsi="Times New Roman" w:cs="Times New Roman"/>
      <w:sz w:val="20"/>
      <w:szCs w:val="20"/>
    </w:rPr>
    <w:tblPr>
      <w:tblInd w:w="0" w:type="nil"/>
      <w:tblCellMar>
        <w:left w:w="0" w:type="dxa"/>
        <w:right w:w="0" w:type="dxa"/>
      </w:tblCellMar>
    </w:tblPr>
  </w:style>
  <w:style w:type="paragraph" w:customStyle="1" w:styleId="StileSommario1Interlinea15righe">
    <w:name w:val="Stile Sommario 1 + Interlinea 15 righe"/>
    <w:basedOn w:val="Sommario1"/>
    <w:rsid w:val="005E3A63"/>
    <w:pPr>
      <w:tabs>
        <w:tab w:val="clear" w:pos="440"/>
        <w:tab w:val="clear" w:pos="9060"/>
        <w:tab w:val="left" w:pos="540"/>
        <w:tab w:val="right" w:leader="dot" w:pos="8460"/>
      </w:tabs>
      <w:spacing w:before="40" w:after="0" w:line="360" w:lineRule="auto"/>
      <w:ind w:left="454" w:hanging="720"/>
      <w:jc w:val="left"/>
    </w:pPr>
    <w:rPr>
      <w:rFonts w:eastAsia="Times New Roman" w:cs="Times New Roman"/>
      <w:szCs w:val="20"/>
    </w:rPr>
  </w:style>
  <w:style w:type="paragraph" w:customStyle="1" w:styleId="TitoloPEG3">
    <w:name w:val="Titolo PEG 3"/>
    <w:basedOn w:val="Normale"/>
    <w:rsid w:val="005E3A63"/>
    <w:pPr>
      <w:keepNext/>
      <w:pBdr>
        <w:top w:val="single" w:sz="4" w:space="1" w:color="auto"/>
        <w:bottom w:val="single" w:sz="4" w:space="1" w:color="auto"/>
      </w:pBdr>
      <w:shd w:val="clear" w:color="auto" w:fill="FFCC00"/>
      <w:spacing w:before="240" w:after="240" w:line="480" w:lineRule="auto"/>
    </w:pPr>
    <w:rPr>
      <w:rFonts w:eastAsia="Times New Roman" w:cs="Times New Roman"/>
      <w:b/>
      <w:bCs/>
      <w:sz w:val="28"/>
      <w:szCs w:val="20"/>
      <w:shd w:val="clear" w:color="auto" w:fill="FFCC00"/>
    </w:rPr>
  </w:style>
  <w:style w:type="paragraph" w:customStyle="1" w:styleId="TitoloPEG1">
    <w:name w:val="Titolo PEG 1"/>
    <w:basedOn w:val="Normale"/>
    <w:rsid w:val="005E3A63"/>
    <w:pPr>
      <w:keepNext/>
      <w:pBdr>
        <w:top w:val="single" w:sz="4" w:space="1" w:color="auto"/>
        <w:bottom w:val="single" w:sz="4" w:space="1" w:color="auto"/>
      </w:pBdr>
      <w:shd w:val="clear" w:color="auto" w:fill="CCFFCC"/>
      <w:spacing w:before="120" w:after="240" w:line="480" w:lineRule="auto"/>
    </w:pPr>
    <w:rPr>
      <w:rFonts w:eastAsia="Times New Roman" w:cs="Times New Roman"/>
      <w:b/>
      <w:bCs/>
      <w:sz w:val="28"/>
      <w:szCs w:val="20"/>
    </w:rPr>
  </w:style>
  <w:style w:type="paragraph" w:customStyle="1" w:styleId="DESTINATARIO">
    <w:name w:val="DESTINATARIO"/>
    <w:basedOn w:val="Normale"/>
    <w:rsid w:val="005E3A63"/>
    <w:pPr>
      <w:tabs>
        <w:tab w:val="left" w:pos="5940"/>
        <w:tab w:val="left" w:pos="8390"/>
      </w:tabs>
      <w:spacing w:after="0" w:line="240" w:lineRule="auto"/>
      <w:ind w:left="5940" w:hanging="1080"/>
      <w:jc w:val="left"/>
    </w:pPr>
    <w:rPr>
      <w:rFonts w:ascii="Times New Roman" w:eastAsia="Times New Roman" w:hAnsi="Times New Roman" w:cs="Times New Roman"/>
      <w:sz w:val="24"/>
      <w:szCs w:val="24"/>
    </w:rPr>
  </w:style>
  <w:style w:type="table" w:styleId="Tabellasemplice-2">
    <w:name w:val="Plain Table 2"/>
    <w:basedOn w:val="Tabellanormale"/>
    <w:uiPriority w:val="42"/>
    <w:rsid w:val="005E3A63"/>
    <w:pPr>
      <w:spacing w:after="0" w:line="240" w:lineRule="auto"/>
    </w:pPr>
    <w:rPr>
      <w:rFonts w:ascii="Times New Roman" w:eastAsia="Times New Roman" w:hAnsi="Times New Roman" w:cs="Times New Roman"/>
      <w:sz w:val="20"/>
      <w:szCs w:val="20"/>
    </w:rPr>
    <w:tblPr>
      <w:tblStyleRowBandSize w:val="1"/>
      <w:tblStyleColBandSize w:val="1"/>
      <w:tblInd w:w="0" w:type="nil"/>
      <w:tblCellMar>
        <w:left w:w="0" w:type="dxa"/>
        <w:right w:w="0"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RisultatoPEG">
    <w:name w:val="Risultato PEG"/>
    <w:basedOn w:val="Titolo3"/>
    <w:link w:val="RisultatoPEGCarattere"/>
    <w:qFormat/>
    <w:rsid w:val="005E3A63"/>
    <w:pPr>
      <w:keepLines/>
      <w:numPr>
        <w:ilvl w:val="0"/>
        <w:numId w:val="0"/>
      </w:numPr>
      <w:tabs>
        <w:tab w:val="clear" w:pos="1814"/>
        <w:tab w:val="left" w:pos="2268"/>
      </w:tabs>
      <w:spacing w:before="40" w:after="0" w:line="240" w:lineRule="auto"/>
      <w:jc w:val="left"/>
    </w:pPr>
    <w:rPr>
      <w:rFonts w:asciiTheme="majorHAnsi" w:eastAsiaTheme="majorEastAsia" w:hAnsiTheme="majorHAnsi"/>
      <w:i w:val="0"/>
      <w:color w:val="54A738" w:themeColor="accent5" w:themeShade="BF"/>
      <w:szCs w:val="22"/>
    </w:rPr>
  </w:style>
  <w:style w:type="character" w:customStyle="1" w:styleId="RisultatoPEGCarattere">
    <w:name w:val="Risultato PEG Carattere"/>
    <w:basedOn w:val="Carpredefinitoparagrafo"/>
    <w:link w:val="RisultatoPEG"/>
    <w:rsid w:val="005E3A63"/>
    <w:rPr>
      <w:rFonts w:asciiTheme="majorHAnsi" w:eastAsiaTheme="majorEastAsia" w:hAnsiTheme="majorHAnsi" w:cs="Arial"/>
      <w:b/>
      <w:bCs/>
      <w:color w:val="54A738" w:themeColor="accent5" w:themeShade="BF"/>
      <w:sz w:val="24"/>
    </w:rPr>
  </w:style>
  <w:style w:type="paragraph" w:customStyle="1" w:styleId="Predefinito">
    <w:name w:val="Predefinito"/>
    <w:uiPriority w:val="99"/>
    <w:rsid w:val="005E3A63"/>
    <w:pPr>
      <w:widowControl w:val="0"/>
      <w:autoSpaceDE w:val="0"/>
      <w:autoSpaceDN w:val="0"/>
      <w:adjustRightInd w:val="0"/>
      <w:spacing w:after="0" w:line="240" w:lineRule="auto"/>
    </w:pPr>
    <w:rPr>
      <w:rFonts w:ascii="Times New Roman" w:eastAsia="Times New Roman" w:hAnsi="Times New Roman" w:cs="Times New Roman"/>
      <w:kern w:val="1"/>
      <w:sz w:val="20"/>
      <w:szCs w:val="20"/>
    </w:rPr>
  </w:style>
  <w:style w:type="character" w:customStyle="1" w:styleId="Menzionenonrisolta1">
    <w:name w:val="Menzione non risolta1"/>
    <w:basedOn w:val="Carpredefinitoparagrafo"/>
    <w:uiPriority w:val="99"/>
    <w:semiHidden/>
    <w:unhideWhenUsed/>
    <w:rsid w:val="00BF3F06"/>
    <w:rPr>
      <w:color w:val="605E5C"/>
      <w:shd w:val="clear" w:color="auto" w:fill="E1DFDD"/>
    </w:rPr>
  </w:style>
  <w:style w:type="character" w:customStyle="1" w:styleId="rosso1">
    <w:name w:val="rosso1"/>
    <w:basedOn w:val="Carpredefinitoparagrafo"/>
    <w:rsid w:val="00BF3F06"/>
    <w:rPr>
      <w:b w:val="0"/>
      <w:bCs w:val="0"/>
      <w:vanish w:val="0"/>
      <w:webHidden w:val="0"/>
      <w:color w:val="990000"/>
      <w:specVanish w:val="0"/>
    </w:rPr>
  </w:style>
  <w:style w:type="character" w:customStyle="1" w:styleId="FontStyle32">
    <w:name w:val="Font Style32"/>
    <w:rsid w:val="00BF3F06"/>
    <w:rPr>
      <w:rFonts w:ascii="Arial Unicode MS" w:eastAsia="Times New Roman" w:hAnsi="Arial Unicode MS" w:cs="Arial Unicode MS"/>
      <w:b/>
      <w:bCs/>
      <w:sz w:val="20"/>
      <w:szCs w:val="20"/>
    </w:rPr>
  </w:style>
  <w:style w:type="paragraph" w:customStyle="1" w:styleId="Style1">
    <w:name w:val="Style1"/>
    <w:basedOn w:val="Normale"/>
    <w:rsid w:val="00BF3F06"/>
    <w:pPr>
      <w:widowControl w:val="0"/>
      <w:suppressAutoHyphens/>
      <w:autoSpaceDE w:val="0"/>
      <w:spacing w:after="0" w:line="274" w:lineRule="exact"/>
    </w:pPr>
    <w:rPr>
      <w:rFonts w:ascii="Arial Unicode MS" w:eastAsia="Times New Roman" w:hAnsi="Arial Unicode MS" w:cs="Arial Unicode MS"/>
      <w:sz w:val="24"/>
      <w:szCs w:val="24"/>
      <w:lang w:eastAsia="zh-CN"/>
    </w:rPr>
  </w:style>
  <w:style w:type="character" w:customStyle="1" w:styleId="field">
    <w:name w:val="field"/>
    <w:basedOn w:val="Carpredefinitoparagrafo"/>
    <w:rsid w:val="00BF3F06"/>
  </w:style>
  <w:style w:type="character" w:customStyle="1" w:styleId="arttextincomma">
    <w:name w:val="art_text_in_comma"/>
    <w:basedOn w:val="Carpredefinitoparagrafo"/>
    <w:rsid w:val="00BF3F06"/>
  </w:style>
  <w:style w:type="table" w:styleId="Tabellagriglia1chiara">
    <w:name w:val="Grid Table 1 Light"/>
    <w:basedOn w:val="Tabellanormale"/>
    <w:uiPriority w:val="46"/>
    <w:rsid w:val="007D001E"/>
    <w:pPr>
      <w:spacing w:after="0" w:line="240" w:lineRule="auto"/>
    </w:pPr>
    <w:tblPr>
      <w:tblStyleRowBandSize w:val="1"/>
      <w:tblStyleColBandSize w:val="1"/>
      <w:tblInd w:w="0" w:type="nil"/>
      <w:tblCellMar>
        <w:left w:w="0" w:type="dxa"/>
        <w:right w:w="0"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Stile5">
    <w:name w:val="Stile5"/>
    <w:basedOn w:val="Normale"/>
    <w:qFormat/>
    <w:rsid w:val="00BA110C"/>
    <w:pPr>
      <w:pBdr>
        <w:top w:val="single" w:sz="8" w:space="8" w:color="50B4C8"/>
        <w:bottom w:val="single" w:sz="8" w:space="8" w:color="50B4C8"/>
      </w:pBdr>
      <w:spacing w:after="0" w:line="240" w:lineRule="auto"/>
      <w:ind w:left="284" w:right="423"/>
    </w:pPr>
    <w:rPr>
      <w:rFonts w:ascii="Times New Roman" w:eastAsia="Times New Roman" w:hAnsi="Times New Roman" w:cs="Times New Roman"/>
      <w:color w:val="50B4C8"/>
      <w:szCs w:val="20"/>
      <w:shd w:val="clear" w:color="auto" w:fill="FFFFFF"/>
    </w:rPr>
  </w:style>
  <w:style w:type="paragraph" w:customStyle="1" w:styleId="Stile4">
    <w:name w:val="Stile4"/>
    <w:basedOn w:val="Sottotitolo"/>
    <w:link w:val="Stile4Carattere"/>
    <w:qFormat/>
    <w:rsid w:val="00C41751"/>
    <w:pPr>
      <w:numPr>
        <w:numId w:val="17"/>
      </w:numPr>
      <w:spacing w:before="480" w:after="240" w:line="240" w:lineRule="auto"/>
    </w:pPr>
    <w:rPr>
      <w:rFonts w:ascii="Times New Roman" w:hAnsi="Times New Roman" w:cs="Times New Roman"/>
      <w:caps/>
      <w:color w:val="595959" w:themeColor="text1" w:themeTint="A6"/>
      <w:spacing w:val="10"/>
    </w:rPr>
  </w:style>
  <w:style w:type="character" w:customStyle="1" w:styleId="Stile4Carattere">
    <w:name w:val="Stile4 Carattere"/>
    <w:basedOn w:val="SottotitoloCarattere"/>
    <w:link w:val="Stile4"/>
    <w:rsid w:val="00C41751"/>
    <w:rPr>
      <w:rFonts w:ascii="Times New Roman" w:eastAsiaTheme="minorEastAsia" w:hAnsi="Times New Roman" w:cs="Times New Roman"/>
      <w:caps/>
      <w:color w:val="595959" w:themeColor="text1" w:themeTint="A6"/>
      <w:spacing w:val="10"/>
    </w:rPr>
  </w:style>
  <w:style w:type="paragraph" w:customStyle="1" w:styleId="Contenuto">
    <w:name w:val="Contenuto"/>
    <w:basedOn w:val="Normale"/>
    <w:link w:val="Caratterecontenuto"/>
    <w:qFormat/>
    <w:rsid w:val="00C41751"/>
    <w:pPr>
      <w:spacing w:after="0" w:line="276" w:lineRule="auto"/>
      <w:jc w:val="left"/>
    </w:pPr>
    <w:rPr>
      <w:rFonts w:eastAsiaTheme="minorEastAsia"/>
      <w:color w:val="17406D" w:themeColor="text2"/>
      <w:sz w:val="28"/>
      <w:lang w:eastAsia="en-US"/>
    </w:rPr>
  </w:style>
  <w:style w:type="character" w:customStyle="1" w:styleId="Caratterecontenuto">
    <w:name w:val="Carattere contenuto"/>
    <w:basedOn w:val="Carpredefinitoparagrafo"/>
    <w:link w:val="Contenuto"/>
    <w:rsid w:val="00C41751"/>
    <w:rPr>
      <w:rFonts w:eastAsiaTheme="minorEastAsia"/>
      <w:color w:val="17406D" w:themeColor="text2"/>
      <w:sz w:val="28"/>
      <w:lang w:eastAsia="en-US"/>
    </w:rPr>
  </w:style>
  <w:style w:type="paragraph" w:customStyle="1" w:styleId="bodytext">
    <w:name w:val="bodytext"/>
    <w:basedOn w:val="Normale"/>
    <w:rsid w:val="00E77131"/>
    <w:pPr>
      <w:spacing w:before="100" w:beforeAutospacing="1" w:after="100" w:afterAutospacing="1" w:line="240" w:lineRule="auto"/>
      <w:jc w:val="left"/>
    </w:pPr>
    <w:rPr>
      <w:rFonts w:ascii="Times New Roman" w:eastAsia="Times New Roman" w:hAnsi="Times New Roman" w:cs="Times New Roman"/>
      <w:sz w:val="24"/>
      <w:szCs w:val="24"/>
    </w:rPr>
  </w:style>
  <w:style w:type="character" w:styleId="Testosegnaposto">
    <w:name w:val="Placeholder Text"/>
    <w:basedOn w:val="Carpredefinitoparagrafo"/>
    <w:uiPriority w:val="99"/>
    <w:semiHidden/>
    <w:rsid w:val="00F610BC"/>
    <w:rPr>
      <w:color w:val="666666"/>
    </w:rPr>
  </w:style>
  <w:style w:type="character" w:customStyle="1" w:styleId="Menzionenonrisolta2">
    <w:name w:val="Menzione non risolta2"/>
    <w:basedOn w:val="Carpredefinitoparagrafo"/>
    <w:uiPriority w:val="99"/>
    <w:semiHidden/>
    <w:unhideWhenUsed/>
    <w:rsid w:val="00FE7C0A"/>
    <w:rPr>
      <w:color w:val="605E5C"/>
      <w:shd w:val="clear" w:color="auto" w:fill="E1DFDD"/>
    </w:rPr>
  </w:style>
  <w:style w:type="table" w:styleId="Tabellagriglia4-colore5">
    <w:name w:val="Grid Table 4 Accent 5"/>
    <w:basedOn w:val="Tabellanormale"/>
    <w:uiPriority w:val="49"/>
    <w:rsid w:val="00880AB9"/>
    <w:pPr>
      <w:spacing w:after="0" w:line="240" w:lineRule="auto"/>
    </w:pPr>
    <w:tblPr>
      <w:tblStyleRowBandSize w:val="1"/>
      <w:tblStyleColBandSize w:val="1"/>
      <w:tblInd w:w="0" w:type="nil"/>
      <w:tblCellMar>
        <w:left w:w="0" w:type="dxa"/>
        <w:right w:w="0" w:type="dxa"/>
      </w:tblCellMar>
    </w:tblPr>
    <w:tcPr>
      <w:shd w:val="clear" w:color="auto" w:fill="E4F4DF" w:themeFill="accent5" w:themeFillTint="33"/>
    </w:tcPr>
    <w:tblStylePr w:type="firstRow">
      <w:rPr>
        <w:b/>
        <w:bCs/>
        <w:color w:val="FFFFFF" w:themeColor="background1"/>
      </w:rPr>
      <w:tblPr/>
      <w:tcPr>
        <w:tcBorders>
          <w:top w:val="single" w:sz="4" w:space="0" w:color="7CCA62" w:themeColor="accent5"/>
          <w:left w:val="single" w:sz="4" w:space="0" w:color="7CCA62" w:themeColor="accent5"/>
          <w:bottom w:val="single" w:sz="4" w:space="0" w:color="7CCA62" w:themeColor="accent5"/>
          <w:right w:val="single" w:sz="4" w:space="0" w:color="7CCA62" w:themeColor="accent5"/>
          <w:insideH w:val="nil"/>
          <w:insideV w:val="nil"/>
        </w:tcBorders>
        <w:shd w:val="clear" w:color="auto" w:fill="7CCA62" w:themeFill="accent5"/>
      </w:tcPr>
    </w:tblStylePr>
    <w:tblStylePr w:type="lastRow">
      <w:rPr>
        <w:b/>
        <w:bCs/>
      </w:rPr>
      <w:tblPr/>
      <w:tcPr>
        <w:tcBorders>
          <w:top w:val="double" w:sz="4" w:space="0" w:color="7CCA62" w:themeColor="accent5"/>
        </w:tcBorders>
      </w:tcPr>
    </w:tblStylePr>
    <w:tblStylePr w:type="firstCol">
      <w:rPr>
        <w:b/>
        <w:bCs/>
      </w:rPr>
    </w:tblStylePr>
    <w:tblStylePr w:type="lastCol">
      <w:rPr>
        <w:b/>
        <w:bCs/>
      </w:rPr>
    </w:tblStylePr>
    <w:tblStylePr w:type="band1Vert">
      <w:tblPr/>
      <w:tcPr>
        <w:shd w:val="clear" w:color="auto" w:fill="E4F4DF" w:themeFill="accent5" w:themeFillTint="33"/>
      </w:tcPr>
    </w:tblStylePr>
  </w:style>
  <w:style w:type="paragraph" w:customStyle="1" w:styleId="xl66">
    <w:name w:val="xl66"/>
    <w:basedOn w:val="Normale"/>
    <w:rsid w:val="00A1710B"/>
    <w:pPr>
      <w:spacing w:before="100" w:beforeAutospacing="1" w:after="100" w:afterAutospacing="1" w:line="240" w:lineRule="auto"/>
      <w:jc w:val="left"/>
    </w:pPr>
    <w:rPr>
      <w:rFonts w:ascii="Times New Roman" w:eastAsia="Times New Roman" w:hAnsi="Times New Roman" w:cs="Times New Roman"/>
      <w:b/>
      <w:bCs/>
      <w:sz w:val="24"/>
      <w:szCs w:val="24"/>
    </w:rPr>
  </w:style>
  <w:style w:type="paragraph" w:customStyle="1" w:styleId="xl67">
    <w:name w:val="xl67"/>
    <w:basedOn w:val="Normale"/>
    <w:rsid w:val="00A1710B"/>
    <w:pPr>
      <w:spacing w:before="100" w:beforeAutospacing="1" w:after="100" w:afterAutospacing="1" w:line="240" w:lineRule="auto"/>
      <w:jc w:val="left"/>
    </w:pPr>
    <w:rPr>
      <w:rFonts w:ascii="Times New Roman" w:eastAsia="Times New Roman" w:hAnsi="Times New Roman" w:cs="Times New Roman"/>
      <w:b/>
      <w:bCs/>
      <w:sz w:val="24"/>
      <w:szCs w:val="24"/>
    </w:rPr>
  </w:style>
  <w:style w:type="paragraph" w:customStyle="1" w:styleId="xl68">
    <w:name w:val="xl68"/>
    <w:basedOn w:val="Normale"/>
    <w:rsid w:val="00A171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69">
    <w:name w:val="xl69"/>
    <w:basedOn w:val="Normale"/>
    <w:rsid w:val="00A171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cs="Times New Roman"/>
      <w:sz w:val="20"/>
      <w:szCs w:val="20"/>
    </w:rPr>
  </w:style>
  <w:style w:type="paragraph" w:customStyle="1" w:styleId="xl70">
    <w:name w:val="xl70"/>
    <w:basedOn w:val="Normale"/>
    <w:rsid w:val="00A1710B"/>
    <w:pPr>
      <w:pBdr>
        <w:top w:val="double" w:sz="6"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71">
    <w:name w:val="xl71"/>
    <w:basedOn w:val="Normale"/>
    <w:rsid w:val="00A1710B"/>
    <w:pPr>
      <w:pBdr>
        <w:top w:val="double" w:sz="6"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72">
    <w:name w:val="xl72"/>
    <w:basedOn w:val="Normale"/>
    <w:rsid w:val="00A1710B"/>
    <w:pPr>
      <w:pBdr>
        <w:top w:val="double" w:sz="6" w:space="0" w:color="auto"/>
        <w:left w:val="single" w:sz="4" w:space="0" w:color="auto"/>
        <w:right w:val="single" w:sz="4" w:space="0" w:color="auto"/>
      </w:pBdr>
      <w:spacing w:before="100" w:beforeAutospacing="1" w:after="100" w:afterAutospacing="1" w:line="240" w:lineRule="auto"/>
      <w:jc w:val="left"/>
    </w:pPr>
    <w:rPr>
      <w:rFonts w:ascii="Times New Roman" w:eastAsia="Times New Roman" w:hAnsi="Times New Roman" w:cs="Times New Roman"/>
      <w:b/>
      <w:bCs/>
      <w:sz w:val="20"/>
      <w:szCs w:val="20"/>
    </w:rPr>
  </w:style>
  <w:style w:type="paragraph" w:customStyle="1" w:styleId="xl73">
    <w:name w:val="xl73"/>
    <w:basedOn w:val="Normale"/>
    <w:rsid w:val="00A1710B"/>
    <w:pPr>
      <w:pBdr>
        <w:top w:val="single" w:sz="4" w:space="0" w:color="A6A6A6"/>
        <w:left w:val="single" w:sz="4" w:space="0" w:color="A6A6A6"/>
        <w:bottom w:val="single" w:sz="4" w:space="0" w:color="A6A6A6"/>
        <w:right w:val="single" w:sz="4" w:space="0" w:color="A6A6A6"/>
      </w:pBdr>
      <w:shd w:val="clear" w:color="000000" w:fill="FFC000"/>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74">
    <w:name w:val="xl74"/>
    <w:basedOn w:val="Normale"/>
    <w:rsid w:val="00A1710B"/>
    <w:pPr>
      <w:pBdr>
        <w:top w:val="single" w:sz="4" w:space="0" w:color="A6A6A6"/>
        <w:left w:val="single" w:sz="4" w:space="0" w:color="A6A6A6"/>
        <w:bottom w:val="single" w:sz="4" w:space="0" w:color="A6A6A6"/>
        <w:right w:val="single" w:sz="4" w:space="0" w:color="A6A6A6"/>
      </w:pBdr>
      <w:shd w:val="clear" w:color="000000" w:fill="FFC000"/>
      <w:spacing w:before="100" w:beforeAutospacing="1" w:after="100" w:afterAutospacing="1" w:line="240" w:lineRule="auto"/>
      <w:jc w:val="left"/>
      <w:textAlignment w:val="center"/>
    </w:pPr>
    <w:rPr>
      <w:rFonts w:ascii="Times New Roman" w:eastAsia="Times New Roman" w:hAnsi="Times New Roman" w:cs="Times New Roman"/>
      <w:b/>
      <w:bCs/>
      <w:sz w:val="20"/>
      <w:szCs w:val="20"/>
    </w:rPr>
  </w:style>
  <w:style w:type="paragraph" w:customStyle="1" w:styleId="xl75">
    <w:name w:val="xl75"/>
    <w:basedOn w:val="Normale"/>
    <w:rsid w:val="00A1710B"/>
    <w:pPr>
      <w:pBdr>
        <w:top w:val="single" w:sz="4" w:space="0" w:color="A6A6A6"/>
        <w:left w:val="single" w:sz="4" w:space="0" w:color="A6A6A6"/>
        <w:bottom w:val="single" w:sz="4" w:space="0" w:color="A6A6A6"/>
        <w:right w:val="single" w:sz="4" w:space="0" w:color="A6A6A6"/>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6">
    <w:name w:val="xl76"/>
    <w:basedOn w:val="Normale"/>
    <w:rsid w:val="00A1710B"/>
    <w:pPr>
      <w:pBdr>
        <w:top w:val="single" w:sz="4" w:space="0" w:color="A6A6A6"/>
        <w:left w:val="single" w:sz="4" w:space="0" w:color="A6A6A6"/>
        <w:bottom w:val="single" w:sz="4" w:space="0" w:color="A6A6A6"/>
        <w:right w:val="single" w:sz="4" w:space="0" w:color="A6A6A6"/>
      </w:pBdr>
      <w:spacing w:before="100" w:beforeAutospacing="1" w:after="100" w:afterAutospacing="1" w:line="240" w:lineRule="auto"/>
      <w:jc w:val="left"/>
    </w:pPr>
    <w:rPr>
      <w:rFonts w:ascii="Times New Roman" w:eastAsia="Times New Roman" w:hAnsi="Times New Roman" w:cs="Times New Roman"/>
      <w:sz w:val="20"/>
      <w:szCs w:val="20"/>
    </w:rPr>
  </w:style>
  <w:style w:type="paragraph" w:customStyle="1" w:styleId="xl77">
    <w:name w:val="xl77"/>
    <w:basedOn w:val="Normale"/>
    <w:rsid w:val="00A1710B"/>
    <w:pPr>
      <w:pBdr>
        <w:top w:val="single" w:sz="4" w:space="0" w:color="A6A6A6"/>
        <w:left w:val="single" w:sz="4" w:space="0" w:color="A6A6A6"/>
        <w:bottom w:val="single" w:sz="4" w:space="0" w:color="A6A6A6"/>
        <w:right w:val="single" w:sz="4" w:space="0" w:color="A6A6A6"/>
      </w:pBdr>
      <w:spacing w:before="100" w:beforeAutospacing="1" w:after="100" w:afterAutospacing="1" w:line="240" w:lineRule="auto"/>
      <w:jc w:val="left"/>
    </w:pPr>
    <w:rPr>
      <w:rFonts w:ascii="Times New Roman" w:eastAsia="Times New Roman" w:hAnsi="Times New Roman" w:cs="Times New Roman"/>
      <w:sz w:val="20"/>
      <w:szCs w:val="20"/>
    </w:rPr>
  </w:style>
  <w:style w:type="paragraph" w:customStyle="1" w:styleId="xl78">
    <w:name w:val="xl78"/>
    <w:basedOn w:val="Normale"/>
    <w:rsid w:val="00A1710B"/>
    <w:pPr>
      <w:pBdr>
        <w:top w:val="single" w:sz="4" w:space="0" w:color="A6A6A6"/>
        <w:left w:val="single" w:sz="4" w:space="0" w:color="A6A6A6"/>
        <w:bottom w:val="double" w:sz="6" w:space="0" w:color="auto"/>
        <w:right w:val="single" w:sz="4" w:space="0" w:color="A6A6A6"/>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9">
    <w:name w:val="xl79"/>
    <w:basedOn w:val="Normale"/>
    <w:rsid w:val="00A1710B"/>
    <w:pPr>
      <w:pBdr>
        <w:top w:val="single" w:sz="4" w:space="0" w:color="A6A6A6"/>
        <w:left w:val="single" w:sz="4" w:space="0" w:color="A6A6A6"/>
        <w:bottom w:val="double" w:sz="6" w:space="0" w:color="auto"/>
        <w:right w:val="single" w:sz="4" w:space="0" w:color="A6A6A6"/>
      </w:pBdr>
      <w:spacing w:before="100" w:beforeAutospacing="1" w:after="100" w:afterAutospacing="1" w:line="240" w:lineRule="auto"/>
      <w:jc w:val="left"/>
    </w:pPr>
    <w:rPr>
      <w:rFonts w:ascii="Times New Roman" w:eastAsia="Times New Roman" w:hAnsi="Times New Roman" w:cs="Times New Roman"/>
      <w:sz w:val="20"/>
      <w:szCs w:val="20"/>
    </w:rPr>
  </w:style>
  <w:style w:type="paragraph" w:customStyle="1" w:styleId="xl80">
    <w:name w:val="xl80"/>
    <w:basedOn w:val="Normale"/>
    <w:rsid w:val="00A1710B"/>
    <w:pPr>
      <w:pBdr>
        <w:top w:val="single" w:sz="4" w:space="0" w:color="A6A6A6"/>
        <w:left w:val="single" w:sz="4" w:space="0" w:color="A6A6A6"/>
        <w:bottom w:val="double" w:sz="6" w:space="0" w:color="auto"/>
        <w:right w:val="single" w:sz="4" w:space="0" w:color="A6A6A6"/>
      </w:pBdr>
      <w:spacing w:before="100" w:beforeAutospacing="1" w:after="100" w:afterAutospacing="1" w:line="240" w:lineRule="auto"/>
      <w:jc w:val="left"/>
    </w:pPr>
    <w:rPr>
      <w:rFonts w:ascii="Times New Roman" w:eastAsia="Times New Roman" w:hAnsi="Times New Roman" w:cs="Times New Roman"/>
      <w:sz w:val="20"/>
      <w:szCs w:val="20"/>
    </w:rPr>
  </w:style>
  <w:style w:type="paragraph" w:customStyle="1" w:styleId="xl81">
    <w:name w:val="xl81"/>
    <w:basedOn w:val="Normale"/>
    <w:rsid w:val="00A1710B"/>
    <w:pPr>
      <w:pBdr>
        <w:top w:val="double" w:sz="6" w:space="0" w:color="auto"/>
        <w:left w:val="single" w:sz="4" w:space="0" w:color="A6A6A6"/>
        <w:bottom w:val="single" w:sz="4" w:space="0" w:color="A6A6A6"/>
        <w:right w:val="single" w:sz="4" w:space="0" w:color="A6A6A6"/>
      </w:pBd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82">
    <w:name w:val="xl82"/>
    <w:basedOn w:val="Normale"/>
    <w:rsid w:val="00A1710B"/>
    <w:pPr>
      <w:pBdr>
        <w:top w:val="double" w:sz="6" w:space="0" w:color="auto"/>
        <w:left w:val="single" w:sz="4" w:space="0" w:color="A6A6A6"/>
        <w:bottom w:val="single" w:sz="4" w:space="0" w:color="A6A6A6"/>
        <w:right w:val="single" w:sz="4" w:space="0" w:color="A6A6A6"/>
      </w:pBd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83">
    <w:name w:val="xl83"/>
    <w:basedOn w:val="Normale"/>
    <w:rsid w:val="00A1710B"/>
    <w:pPr>
      <w:pBdr>
        <w:top w:val="double" w:sz="6" w:space="0" w:color="auto"/>
        <w:left w:val="single" w:sz="4" w:space="0" w:color="A6A6A6"/>
        <w:bottom w:val="single" w:sz="4" w:space="0" w:color="A6A6A6"/>
        <w:right w:val="single" w:sz="4" w:space="0" w:color="A6A6A6"/>
      </w:pBdr>
      <w:spacing w:before="100" w:beforeAutospacing="1" w:after="100" w:afterAutospacing="1" w:line="240" w:lineRule="auto"/>
      <w:jc w:val="left"/>
    </w:pPr>
    <w:rPr>
      <w:rFonts w:ascii="Times New Roman" w:eastAsia="Times New Roman" w:hAnsi="Times New Roman" w:cs="Times New Roman"/>
      <w:b/>
      <w:bCs/>
      <w:sz w:val="20"/>
      <w:szCs w:val="20"/>
    </w:rPr>
  </w:style>
  <w:style w:type="paragraph" w:customStyle="1" w:styleId="xl84">
    <w:name w:val="xl84"/>
    <w:basedOn w:val="Normale"/>
    <w:rsid w:val="00A1710B"/>
    <w:pPr>
      <w:pBdr>
        <w:top w:val="double" w:sz="6" w:space="0" w:color="auto"/>
        <w:left w:val="single" w:sz="4" w:space="0" w:color="A6A6A6"/>
        <w:bottom w:val="single" w:sz="4" w:space="0" w:color="A6A6A6"/>
        <w:right w:val="single" w:sz="4" w:space="0" w:color="A6A6A6"/>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85">
    <w:name w:val="xl85"/>
    <w:basedOn w:val="Normale"/>
    <w:rsid w:val="00A1710B"/>
    <w:pPr>
      <w:pBdr>
        <w:top w:val="double" w:sz="6" w:space="0" w:color="auto"/>
        <w:left w:val="single" w:sz="4" w:space="0" w:color="A6A6A6"/>
        <w:bottom w:val="single" w:sz="4" w:space="0" w:color="A6A6A6"/>
        <w:right w:val="single" w:sz="4" w:space="0" w:color="A6A6A6"/>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86">
    <w:name w:val="xl86"/>
    <w:basedOn w:val="Normale"/>
    <w:rsid w:val="00A1710B"/>
    <w:pPr>
      <w:pBdr>
        <w:top w:val="double" w:sz="6" w:space="0" w:color="auto"/>
        <w:left w:val="single" w:sz="4" w:space="0" w:color="A6A6A6"/>
        <w:bottom w:val="single" w:sz="4" w:space="0" w:color="A6A6A6"/>
        <w:right w:val="single" w:sz="4" w:space="0" w:color="A6A6A6"/>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87">
    <w:name w:val="xl87"/>
    <w:basedOn w:val="Normale"/>
    <w:rsid w:val="00A1710B"/>
    <w:pPr>
      <w:pBdr>
        <w:top w:val="double" w:sz="6" w:space="0" w:color="auto"/>
        <w:left w:val="single" w:sz="4" w:space="0" w:color="A6A6A6"/>
        <w:bottom w:val="single" w:sz="4" w:space="0" w:color="A6A6A6"/>
        <w:right w:val="single" w:sz="4" w:space="0" w:color="A6A6A6"/>
      </w:pBdr>
      <w:spacing w:before="100" w:beforeAutospacing="1" w:after="100" w:afterAutospacing="1" w:line="240" w:lineRule="auto"/>
      <w:jc w:val="left"/>
    </w:pPr>
    <w:rPr>
      <w:rFonts w:ascii="Times New Roman" w:eastAsia="Times New Roman" w:hAnsi="Times New Roman" w:cs="Times New Roman"/>
      <w:sz w:val="20"/>
      <w:szCs w:val="20"/>
    </w:rPr>
  </w:style>
  <w:style w:type="paragraph" w:customStyle="1" w:styleId="xl88">
    <w:name w:val="xl88"/>
    <w:basedOn w:val="Normale"/>
    <w:rsid w:val="00A1710B"/>
    <w:pPr>
      <w:pBdr>
        <w:top w:val="double" w:sz="6" w:space="0" w:color="auto"/>
        <w:left w:val="single" w:sz="4" w:space="0" w:color="A6A6A6"/>
        <w:bottom w:val="single" w:sz="4" w:space="0" w:color="A6A6A6"/>
        <w:right w:val="single" w:sz="4" w:space="0" w:color="A6A6A6"/>
      </w:pBdr>
      <w:spacing w:before="100" w:beforeAutospacing="1" w:after="100" w:afterAutospacing="1" w:line="240" w:lineRule="auto"/>
      <w:jc w:val="left"/>
    </w:pPr>
    <w:rPr>
      <w:rFonts w:ascii="Times New Roman" w:eastAsia="Times New Roman" w:hAnsi="Times New Roman" w:cs="Times New Roman"/>
      <w:sz w:val="20"/>
      <w:szCs w:val="20"/>
    </w:rPr>
  </w:style>
  <w:style w:type="paragraph" w:customStyle="1" w:styleId="xl89">
    <w:name w:val="xl89"/>
    <w:basedOn w:val="Normale"/>
    <w:rsid w:val="00A1710B"/>
    <w:pPr>
      <w:pBdr>
        <w:top w:val="double" w:sz="6" w:space="0" w:color="auto"/>
        <w:left w:val="single" w:sz="4" w:space="0" w:color="A6A6A6"/>
        <w:right w:val="single" w:sz="4" w:space="0" w:color="A6A6A6"/>
      </w:pBd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90">
    <w:name w:val="xl90"/>
    <w:basedOn w:val="Normale"/>
    <w:rsid w:val="00A1710B"/>
    <w:pPr>
      <w:pBdr>
        <w:top w:val="double" w:sz="6" w:space="0" w:color="auto"/>
        <w:left w:val="single" w:sz="4" w:space="0" w:color="A6A6A6"/>
        <w:right w:val="single" w:sz="4" w:space="0" w:color="A6A6A6"/>
      </w:pBd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91">
    <w:name w:val="xl91"/>
    <w:basedOn w:val="Normale"/>
    <w:rsid w:val="00A1710B"/>
    <w:pPr>
      <w:pBdr>
        <w:top w:val="double" w:sz="6" w:space="0" w:color="auto"/>
        <w:left w:val="single" w:sz="4" w:space="0" w:color="A6A6A6"/>
        <w:right w:val="single" w:sz="4" w:space="0" w:color="A6A6A6"/>
      </w:pBdr>
      <w:spacing w:before="100" w:beforeAutospacing="1" w:after="100" w:afterAutospacing="1" w:line="240" w:lineRule="auto"/>
      <w:jc w:val="left"/>
    </w:pPr>
    <w:rPr>
      <w:rFonts w:ascii="Times New Roman" w:eastAsia="Times New Roman" w:hAnsi="Times New Roman" w:cs="Times New Roman"/>
      <w:b/>
      <w:bCs/>
      <w:sz w:val="20"/>
      <w:szCs w:val="20"/>
    </w:rPr>
  </w:style>
  <w:style w:type="paragraph" w:customStyle="1" w:styleId="xl92">
    <w:name w:val="xl92"/>
    <w:basedOn w:val="Normale"/>
    <w:rsid w:val="00A1710B"/>
    <w:pPr>
      <w:pBdr>
        <w:top w:val="double" w:sz="6" w:space="0" w:color="auto"/>
        <w:left w:val="single" w:sz="4" w:space="0" w:color="A6A6A6"/>
        <w:right w:val="single" w:sz="4" w:space="0" w:color="A6A6A6"/>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93">
    <w:name w:val="xl93"/>
    <w:basedOn w:val="Normale"/>
    <w:rsid w:val="00A1710B"/>
    <w:pPr>
      <w:pBdr>
        <w:top w:val="double" w:sz="6" w:space="0" w:color="auto"/>
        <w:left w:val="single" w:sz="4" w:space="0" w:color="A6A6A6"/>
        <w:right w:val="single" w:sz="4" w:space="0" w:color="A6A6A6"/>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94">
    <w:name w:val="xl94"/>
    <w:basedOn w:val="Normale"/>
    <w:rsid w:val="00A1710B"/>
    <w:pPr>
      <w:pBdr>
        <w:top w:val="double" w:sz="6" w:space="0" w:color="auto"/>
        <w:left w:val="single" w:sz="4" w:space="0" w:color="A6A6A6"/>
        <w:right w:val="single" w:sz="4" w:space="0" w:color="A6A6A6"/>
      </w:pBd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95">
    <w:name w:val="xl95"/>
    <w:basedOn w:val="Normale"/>
    <w:rsid w:val="00A1710B"/>
    <w:pPr>
      <w:pBdr>
        <w:top w:val="double" w:sz="6" w:space="0" w:color="auto"/>
        <w:left w:val="single" w:sz="4" w:space="0" w:color="A6A6A6"/>
        <w:right w:val="single" w:sz="4" w:space="0" w:color="A6A6A6"/>
      </w:pBdr>
      <w:spacing w:before="100" w:beforeAutospacing="1" w:after="100" w:afterAutospacing="1" w:line="240" w:lineRule="auto"/>
      <w:jc w:val="left"/>
    </w:pPr>
    <w:rPr>
      <w:rFonts w:ascii="Times New Roman" w:eastAsia="Times New Roman" w:hAnsi="Times New Roman" w:cs="Times New Roman"/>
      <w:b/>
      <w:bCs/>
      <w:sz w:val="20"/>
      <w:szCs w:val="20"/>
    </w:rPr>
  </w:style>
  <w:style w:type="paragraph" w:customStyle="1" w:styleId="xl96">
    <w:name w:val="xl96"/>
    <w:basedOn w:val="Normale"/>
    <w:rsid w:val="00A1710B"/>
    <w:pPr>
      <w:pBdr>
        <w:top w:val="double" w:sz="6" w:space="0" w:color="auto"/>
        <w:left w:val="single" w:sz="4" w:space="0" w:color="A6A6A6"/>
        <w:bottom w:val="single" w:sz="4" w:space="0" w:color="A6A6A6"/>
        <w:right w:val="single" w:sz="4" w:space="0" w:color="A6A6A6"/>
      </w:pBdr>
      <w:spacing w:before="100" w:beforeAutospacing="1" w:after="100" w:afterAutospacing="1" w:line="240" w:lineRule="auto"/>
      <w:jc w:val="left"/>
    </w:pPr>
    <w:rPr>
      <w:rFonts w:ascii="Times New Roman" w:eastAsia="Times New Roman" w:hAnsi="Times New Roman" w:cs="Times New Roman"/>
      <w:b/>
      <w:bCs/>
      <w:sz w:val="20"/>
      <w:szCs w:val="20"/>
    </w:rPr>
  </w:style>
  <w:style w:type="paragraph" w:customStyle="1" w:styleId="xl97">
    <w:name w:val="xl97"/>
    <w:basedOn w:val="Normale"/>
    <w:rsid w:val="00A1710B"/>
    <w:pPr>
      <w:pBdr>
        <w:top w:val="double" w:sz="6" w:space="0" w:color="auto"/>
        <w:left w:val="single" w:sz="4" w:space="0" w:color="A6A6A6"/>
        <w:bottom w:val="single" w:sz="4" w:space="0" w:color="A6A6A6"/>
        <w:right w:val="single" w:sz="4" w:space="0" w:color="A6A6A6"/>
      </w:pBd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98">
    <w:name w:val="xl98"/>
    <w:basedOn w:val="Normale"/>
    <w:rsid w:val="00A1710B"/>
    <w:pPr>
      <w:pBdr>
        <w:top w:val="double" w:sz="6" w:space="0" w:color="auto"/>
        <w:left w:val="single" w:sz="4" w:space="0" w:color="A6A6A6"/>
        <w:bottom w:val="single" w:sz="4" w:space="0" w:color="A6A6A6"/>
        <w:right w:val="single" w:sz="4" w:space="0" w:color="A6A6A6"/>
      </w:pBdr>
      <w:spacing w:before="100" w:beforeAutospacing="1" w:after="100" w:afterAutospacing="1" w:line="240" w:lineRule="auto"/>
      <w:jc w:val="left"/>
    </w:pPr>
    <w:rPr>
      <w:rFonts w:ascii="Times New Roman" w:eastAsia="Times New Roman" w:hAnsi="Times New Roman" w:cs="Times New Roman"/>
      <w:b/>
      <w:bCs/>
      <w:sz w:val="20"/>
      <w:szCs w:val="20"/>
    </w:rPr>
  </w:style>
  <w:style w:type="character" w:customStyle="1" w:styleId="Menzionenonrisolta3">
    <w:name w:val="Menzione non risolta3"/>
    <w:basedOn w:val="Carpredefinitoparagrafo"/>
    <w:uiPriority w:val="99"/>
    <w:semiHidden/>
    <w:unhideWhenUsed/>
    <w:rsid w:val="00D27B15"/>
    <w:rPr>
      <w:color w:val="605E5C"/>
      <w:shd w:val="clear" w:color="auto" w:fill="E1DFDD"/>
    </w:rPr>
  </w:style>
  <w:style w:type="character" w:customStyle="1" w:styleId="Menzionenonrisolta4">
    <w:name w:val="Menzione non risolta4"/>
    <w:basedOn w:val="Carpredefinitoparagrafo"/>
    <w:uiPriority w:val="99"/>
    <w:semiHidden/>
    <w:unhideWhenUsed/>
    <w:rsid w:val="00FB68C1"/>
    <w:rPr>
      <w:color w:val="605E5C"/>
      <w:shd w:val="clear" w:color="auto" w:fill="E1DFDD"/>
    </w:rPr>
  </w:style>
  <w:style w:type="character" w:customStyle="1" w:styleId="Menzionenonrisolta5">
    <w:name w:val="Menzione non risolta5"/>
    <w:basedOn w:val="Carpredefinitoparagrafo"/>
    <w:uiPriority w:val="99"/>
    <w:semiHidden/>
    <w:unhideWhenUsed/>
    <w:rsid w:val="00425270"/>
    <w:rPr>
      <w:color w:val="605E5C"/>
      <w:shd w:val="clear" w:color="auto" w:fill="E1DFDD"/>
    </w:rPr>
  </w:style>
  <w:style w:type="table" w:customStyle="1" w:styleId="Grigliatabella2">
    <w:name w:val="Griglia tabella2"/>
    <w:basedOn w:val="Tabellanormale"/>
    <w:next w:val="Grigliatabella"/>
    <w:uiPriority w:val="39"/>
    <w:rsid w:val="006E5453"/>
    <w:pPr>
      <w:spacing w:line="256"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customStyle="1" w:styleId="Menzionenonrisolta6">
    <w:name w:val="Menzione non risolta6"/>
    <w:basedOn w:val="Carpredefinitoparagrafo"/>
    <w:uiPriority w:val="99"/>
    <w:semiHidden/>
    <w:unhideWhenUsed/>
    <w:rsid w:val="00123033"/>
    <w:rPr>
      <w:color w:val="605E5C"/>
      <w:shd w:val="clear" w:color="auto" w:fill="E1DFDD"/>
    </w:rPr>
  </w:style>
  <w:style w:type="table" w:customStyle="1" w:styleId="Elencochiaro1">
    <w:name w:val="Elenco chiaro1"/>
    <w:basedOn w:val="Tabellanormale"/>
    <w:next w:val="Elencochiaro"/>
    <w:uiPriority w:val="61"/>
    <w:rsid w:val="00AD01C5"/>
    <w:pPr>
      <w:spacing w:after="0" w:line="240" w:lineRule="auto"/>
    </w:pPr>
    <w:rPr>
      <w:rFonts w:eastAsia="Meiryo"/>
    </w:rPr>
    <w:tblPr>
      <w:tblStyleRowBandSize w:val="1"/>
      <w:tblStyleColBandSize w:val="1"/>
      <w:tblInd w:w="0" w:type="nil"/>
      <w:tblCellMar>
        <w:left w:w="0" w:type="dxa"/>
        <w:right w:w="0" w:type="dxa"/>
      </w:tblCellMar>
    </w:tblPr>
    <w:tcPr>
      <w:tcBorders>
        <w:top w:val="single" w:sz="8" w:space="0" w:color="000000"/>
        <w:left w:val="single" w:sz="8" w:space="0" w:color="000000"/>
        <w:bottom w:val="single" w:sz="8" w:space="0" w:color="000000"/>
        <w:right w:val="single" w:sz="8" w:space="0" w:color="000000"/>
      </w:tcBorders>
      <w:shd w:val="clear" w:color="auto" w:fill="000000"/>
    </w:tc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styleId="Elencochiaro">
    <w:name w:val="Light List"/>
    <w:basedOn w:val="Tabellanormale"/>
    <w:uiPriority w:val="61"/>
    <w:semiHidden/>
    <w:unhideWhenUsed/>
    <w:rsid w:val="00AD01C5"/>
    <w:pPr>
      <w:spacing w:after="0" w:line="240" w:lineRule="auto"/>
    </w:pPr>
    <w:tblPr>
      <w:tblInd w:w="0" w:type="nil"/>
      <w:tblCellMar>
        <w:left w:w="0" w:type="dxa"/>
        <w:right w:w="0" w:type="dxa"/>
      </w:tblCellMa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paragraph" w:customStyle="1" w:styleId="norm">
    <w:name w:val="norm"/>
    <w:basedOn w:val="Normale"/>
    <w:rsid w:val="00BD0E47"/>
    <w:pPr>
      <w:spacing w:before="100" w:beforeAutospacing="1" w:after="100" w:afterAutospacing="1" w:line="240" w:lineRule="auto"/>
      <w:jc w:val="left"/>
    </w:pPr>
    <w:rPr>
      <w:rFonts w:ascii="Times New Roman" w:eastAsia="Times New Roman" w:hAnsi="Times New Roman" w:cs="Times New Roman"/>
      <w:sz w:val="24"/>
      <w:szCs w:val="24"/>
    </w:rPr>
  </w:style>
  <w:style w:type="paragraph" w:customStyle="1" w:styleId="xl65">
    <w:name w:val="xl65"/>
    <w:basedOn w:val="Normale"/>
    <w:rsid w:val="00EE3E83"/>
    <w:pPr>
      <w:spacing w:before="100" w:beforeAutospacing="1" w:after="100" w:afterAutospacing="1" w:line="240" w:lineRule="auto"/>
      <w:jc w:val="left"/>
    </w:pPr>
    <w:rPr>
      <w:rFonts w:ascii="Times New Roman" w:eastAsia="Times New Roman" w:hAnsi="Times New Roman" w:cs="Times New Roman"/>
      <w:sz w:val="24"/>
      <w:szCs w:val="24"/>
    </w:rPr>
  </w:style>
  <w:style w:type="paragraph" w:customStyle="1" w:styleId="xl99">
    <w:name w:val="xl99"/>
    <w:basedOn w:val="Normale"/>
    <w:rsid w:val="00EE3E83"/>
    <w:pPr>
      <w:pBdr>
        <w:bottom w:val="single" w:sz="8" w:space="0" w:color="A6A6A6"/>
        <w:right w:val="single" w:sz="8" w:space="0" w:color="A6A6A6"/>
      </w:pBdr>
      <w:shd w:val="clear" w:color="000000" w:fill="DAF2D0"/>
      <w:spacing w:before="100" w:beforeAutospacing="1" w:after="100" w:afterAutospacing="1" w:line="240" w:lineRule="auto"/>
      <w:jc w:val="center"/>
      <w:textAlignment w:val="center"/>
    </w:pPr>
    <w:rPr>
      <w:rFonts w:eastAsia="Times New Roman" w:cs="Calibri"/>
      <w:color w:val="000000"/>
      <w:sz w:val="18"/>
      <w:szCs w:val="18"/>
    </w:rPr>
  </w:style>
  <w:style w:type="paragraph" w:customStyle="1" w:styleId="xl100">
    <w:name w:val="xl100"/>
    <w:basedOn w:val="Normale"/>
    <w:rsid w:val="00EE3E83"/>
    <w:pPr>
      <w:pBdr>
        <w:bottom w:val="single" w:sz="8" w:space="0" w:color="A6A6A6"/>
        <w:right w:val="single" w:sz="8" w:space="0" w:color="A6A6A6"/>
      </w:pBdr>
      <w:shd w:val="clear" w:color="000000" w:fill="DAF2D0"/>
      <w:spacing w:before="100" w:beforeAutospacing="1" w:after="100" w:afterAutospacing="1" w:line="240" w:lineRule="auto"/>
      <w:jc w:val="right"/>
      <w:textAlignment w:val="center"/>
    </w:pPr>
    <w:rPr>
      <w:rFonts w:eastAsia="Times New Roman" w:cs="Calibri"/>
      <w:color w:val="000000"/>
      <w:sz w:val="18"/>
      <w:szCs w:val="18"/>
    </w:rPr>
  </w:style>
  <w:style w:type="paragraph" w:customStyle="1" w:styleId="xl101">
    <w:name w:val="xl101"/>
    <w:basedOn w:val="Normale"/>
    <w:rsid w:val="00EE3E83"/>
    <w:pPr>
      <w:pBdr>
        <w:bottom w:val="single" w:sz="8" w:space="0" w:color="A6A6A6"/>
        <w:right w:val="double" w:sz="6" w:space="0" w:color="A6A6A6"/>
      </w:pBdr>
      <w:shd w:val="clear" w:color="000000" w:fill="DAF2D0"/>
      <w:spacing w:before="100" w:beforeAutospacing="1" w:after="100" w:afterAutospacing="1" w:line="240" w:lineRule="auto"/>
      <w:jc w:val="right"/>
      <w:textAlignment w:val="center"/>
    </w:pPr>
    <w:rPr>
      <w:rFonts w:eastAsia="Times New Roman" w:cs="Calibri"/>
      <w:color w:val="000000"/>
      <w:sz w:val="18"/>
      <w:szCs w:val="18"/>
    </w:rPr>
  </w:style>
  <w:style w:type="paragraph" w:customStyle="1" w:styleId="xl102">
    <w:name w:val="xl102"/>
    <w:basedOn w:val="Normale"/>
    <w:rsid w:val="00EE3E83"/>
    <w:pPr>
      <w:pBdr>
        <w:bottom w:val="double" w:sz="6" w:space="0" w:color="A6A6A6"/>
        <w:right w:val="single" w:sz="8" w:space="0" w:color="A6A6A6"/>
      </w:pBdr>
      <w:shd w:val="clear" w:color="000000" w:fill="B5E6A2"/>
      <w:spacing w:before="100" w:beforeAutospacing="1" w:after="100" w:afterAutospacing="1" w:line="240" w:lineRule="auto"/>
      <w:jc w:val="center"/>
      <w:textAlignment w:val="center"/>
    </w:pPr>
    <w:rPr>
      <w:rFonts w:eastAsia="Times New Roman" w:cs="Calibri"/>
      <w:b/>
      <w:bCs/>
      <w:color w:val="000000"/>
      <w:sz w:val="18"/>
      <w:szCs w:val="18"/>
    </w:rPr>
  </w:style>
  <w:style w:type="paragraph" w:customStyle="1" w:styleId="xl103">
    <w:name w:val="xl103"/>
    <w:basedOn w:val="Normale"/>
    <w:rsid w:val="00EE3E83"/>
    <w:pPr>
      <w:pBdr>
        <w:top w:val="double" w:sz="6" w:space="0" w:color="A6A6A6"/>
        <w:left w:val="double" w:sz="6" w:space="0" w:color="A6A6A6"/>
        <w:bottom w:val="double" w:sz="6" w:space="0" w:color="A6A6A6"/>
        <w:right w:val="single" w:sz="8" w:space="0" w:color="A6A6A6"/>
      </w:pBdr>
      <w:shd w:val="clear" w:color="000000" w:fill="A5C34C"/>
      <w:spacing w:before="100" w:beforeAutospacing="1" w:after="100" w:afterAutospacing="1" w:line="240" w:lineRule="auto"/>
      <w:jc w:val="center"/>
      <w:textAlignment w:val="center"/>
    </w:pPr>
    <w:rPr>
      <w:rFonts w:eastAsia="Times New Roman" w:cs="Calibri"/>
      <w:b/>
      <w:bCs/>
      <w:color w:val="000000"/>
      <w:sz w:val="18"/>
      <w:szCs w:val="18"/>
    </w:rPr>
  </w:style>
  <w:style w:type="paragraph" w:customStyle="1" w:styleId="xl104">
    <w:name w:val="xl104"/>
    <w:basedOn w:val="Normale"/>
    <w:rsid w:val="00EE3E83"/>
    <w:pPr>
      <w:pBdr>
        <w:top w:val="double" w:sz="6" w:space="0" w:color="A6A6A6"/>
        <w:bottom w:val="double" w:sz="6" w:space="0" w:color="A6A6A6"/>
        <w:right w:val="single" w:sz="8" w:space="0" w:color="A6A6A6"/>
      </w:pBdr>
      <w:shd w:val="clear" w:color="000000" w:fill="A5C34C"/>
      <w:spacing w:before="100" w:beforeAutospacing="1" w:after="100" w:afterAutospacing="1" w:line="240" w:lineRule="auto"/>
      <w:jc w:val="left"/>
      <w:textAlignment w:val="center"/>
    </w:pPr>
    <w:rPr>
      <w:rFonts w:eastAsia="Times New Roman" w:cs="Calibri"/>
      <w:b/>
      <w:bCs/>
      <w:color w:val="000000"/>
      <w:sz w:val="18"/>
      <w:szCs w:val="18"/>
    </w:rPr>
  </w:style>
  <w:style w:type="paragraph" w:customStyle="1" w:styleId="xl105">
    <w:name w:val="xl105"/>
    <w:basedOn w:val="Normale"/>
    <w:rsid w:val="00EE3E83"/>
    <w:pPr>
      <w:pBdr>
        <w:top w:val="double" w:sz="6" w:space="0" w:color="A6A6A6"/>
        <w:bottom w:val="double" w:sz="6" w:space="0" w:color="A6A6A6"/>
        <w:right w:val="single" w:sz="8" w:space="0" w:color="A6A6A6"/>
      </w:pBdr>
      <w:shd w:val="clear" w:color="000000" w:fill="A5C34C"/>
      <w:spacing w:before="100" w:beforeAutospacing="1" w:after="100" w:afterAutospacing="1" w:line="240" w:lineRule="auto"/>
      <w:jc w:val="center"/>
      <w:textAlignment w:val="center"/>
    </w:pPr>
    <w:rPr>
      <w:rFonts w:eastAsia="Times New Roman" w:cs="Calibri"/>
      <w:b/>
      <w:bCs/>
      <w:color w:val="000000"/>
      <w:sz w:val="18"/>
      <w:szCs w:val="18"/>
    </w:rPr>
  </w:style>
  <w:style w:type="paragraph" w:customStyle="1" w:styleId="xl106">
    <w:name w:val="xl106"/>
    <w:basedOn w:val="Normale"/>
    <w:rsid w:val="00EE3E83"/>
    <w:pPr>
      <w:pBdr>
        <w:top w:val="double" w:sz="6" w:space="0" w:color="A6A6A6"/>
        <w:bottom w:val="double" w:sz="6" w:space="0" w:color="A6A6A6"/>
        <w:right w:val="single" w:sz="8" w:space="0" w:color="A6A6A6"/>
      </w:pBdr>
      <w:shd w:val="clear" w:color="000000" w:fill="A5C34C"/>
      <w:spacing w:before="100" w:beforeAutospacing="1" w:after="100" w:afterAutospacing="1" w:line="240" w:lineRule="auto"/>
      <w:jc w:val="center"/>
      <w:textAlignment w:val="center"/>
    </w:pPr>
    <w:rPr>
      <w:rFonts w:eastAsia="Times New Roman" w:cs="Calibri"/>
      <w:b/>
      <w:bCs/>
      <w:color w:val="000000"/>
      <w:sz w:val="18"/>
      <w:szCs w:val="18"/>
    </w:rPr>
  </w:style>
  <w:style w:type="paragraph" w:customStyle="1" w:styleId="xl107">
    <w:name w:val="xl107"/>
    <w:basedOn w:val="Normale"/>
    <w:rsid w:val="00EE3E83"/>
    <w:pPr>
      <w:pBdr>
        <w:top w:val="double" w:sz="6" w:space="0" w:color="A6A6A6"/>
        <w:bottom w:val="double" w:sz="6" w:space="0" w:color="A6A6A6"/>
        <w:right w:val="double" w:sz="6" w:space="0" w:color="A6A6A6"/>
      </w:pBdr>
      <w:shd w:val="clear" w:color="000000" w:fill="A5C34C"/>
      <w:spacing w:before="100" w:beforeAutospacing="1" w:after="100" w:afterAutospacing="1" w:line="240" w:lineRule="auto"/>
      <w:jc w:val="center"/>
      <w:textAlignment w:val="center"/>
    </w:pPr>
    <w:rPr>
      <w:rFonts w:eastAsia="Times New Roman" w:cs="Calibri"/>
      <w:b/>
      <w:bCs/>
      <w:color w:val="000000"/>
      <w:sz w:val="18"/>
      <w:szCs w:val="18"/>
    </w:rPr>
  </w:style>
  <w:style w:type="paragraph" w:customStyle="1" w:styleId="xl108">
    <w:name w:val="xl108"/>
    <w:basedOn w:val="Normale"/>
    <w:rsid w:val="00EE3E83"/>
    <w:pPr>
      <w:shd w:val="clear" w:color="000000" w:fill="FFFFFF"/>
      <w:spacing w:before="100" w:beforeAutospacing="1" w:after="100" w:afterAutospacing="1" w:line="240" w:lineRule="auto"/>
      <w:jc w:val="left"/>
      <w:textAlignment w:val="center"/>
    </w:pPr>
    <w:rPr>
      <w:rFonts w:eastAsia="Times New Roman" w:cs="Calibri"/>
      <w:b/>
      <w:bCs/>
      <w:color w:val="000000"/>
      <w:sz w:val="18"/>
      <w:szCs w:val="18"/>
    </w:rPr>
  </w:style>
  <w:style w:type="paragraph" w:customStyle="1" w:styleId="xl109">
    <w:name w:val="xl109"/>
    <w:basedOn w:val="Normale"/>
    <w:rsid w:val="00EE3E83"/>
    <w:pPr>
      <w:shd w:val="clear" w:color="000000" w:fill="FFFFFF"/>
      <w:spacing w:before="100" w:beforeAutospacing="1" w:after="100" w:afterAutospacing="1" w:line="240" w:lineRule="auto"/>
      <w:jc w:val="left"/>
      <w:textAlignment w:val="center"/>
    </w:pPr>
    <w:rPr>
      <w:rFonts w:eastAsia="Times New Roman" w:cs="Calibri"/>
      <w:b/>
      <w:bCs/>
      <w:color w:val="000000"/>
      <w:sz w:val="18"/>
      <w:szCs w:val="18"/>
    </w:rPr>
  </w:style>
  <w:style w:type="paragraph" w:customStyle="1" w:styleId="xl110">
    <w:name w:val="xl110"/>
    <w:basedOn w:val="Normale"/>
    <w:rsid w:val="00EE3E83"/>
    <w:pPr>
      <w:shd w:val="clear" w:color="000000" w:fill="FFFFFF"/>
      <w:spacing w:before="100" w:beforeAutospacing="1" w:after="100" w:afterAutospacing="1" w:line="240" w:lineRule="auto"/>
      <w:jc w:val="center"/>
      <w:textAlignment w:val="center"/>
    </w:pPr>
    <w:rPr>
      <w:rFonts w:eastAsia="Times New Roman" w:cs="Calibri"/>
      <w:b/>
      <w:bCs/>
      <w:sz w:val="18"/>
      <w:szCs w:val="18"/>
    </w:rPr>
  </w:style>
  <w:style w:type="paragraph" w:customStyle="1" w:styleId="xl111">
    <w:name w:val="xl111"/>
    <w:basedOn w:val="Normale"/>
    <w:rsid w:val="00EE3E83"/>
    <w:pPr>
      <w:shd w:val="clear" w:color="000000" w:fill="FFFFFF"/>
      <w:spacing w:before="100" w:beforeAutospacing="1" w:after="100" w:afterAutospacing="1" w:line="240" w:lineRule="auto"/>
      <w:jc w:val="right"/>
      <w:textAlignment w:val="center"/>
    </w:pPr>
    <w:rPr>
      <w:rFonts w:eastAsia="Times New Roman" w:cs="Calibri"/>
      <w:b/>
      <w:bCs/>
      <w:sz w:val="18"/>
      <w:szCs w:val="18"/>
    </w:rPr>
  </w:style>
  <w:style w:type="character" w:customStyle="1" w:styleId="Menzionenonrisolta7">
    <w:name w:val="Menzione non risolta7"/>
    <w:basedOn w:val="Carpredefinitoparagrafo"/>
    <w:uiPriority w:val="99"/>
    <w:semiHidden/>
    <w:unhideWhenUsed/>
    <w:rsid w:val="00DC53B4"/>
    <w:rPr>
      <w:color w:val="605E5C"/>
      <w:shd w:val="clear" w:color="auto" w:fill="E1DFDD"/>
    </w:rPr>
  </w:style>
  <w:style w:type="character" w:customStyle="1" w:styleId="Menzionenonrisolta70">
    <w:name w:val="Menzione non risolta7"/>
    <w:basedOn w:val="Carpredefinitoparagrafo"/>
    <w:uiPriority w:val="99"/>
    <w:semiHidden/>
    <w:unhideWhenUsed/>
    <w:rsid w:val="003E245D"/>
    <w:rPr>
      <w:color w:val="605E5C"/>
      <w:shd w:val="clear" w:color="auto" w:fill="E1DFDD"/>
    </w:rPr>
  </w:style>
  <w:style w:type="table" w:styleId="Tabellaelenco7acolori">
    <w:name w:val="List Table 7 Colorful"/>
    <w:basedOn w:val="Tabellanormale"/>
    <w:uiPriority w:val="52"/>
    <w:rsid w:val="003E245D"/>
    <w:pPr>
      <w:spacing w:after="0" w:line="240" w:lineRule="auto"/>
    </w:pPr>
    <w:rPr>
      <w:color w:val="000000" w:themeColor="text1"/>
    </w:rPr>
    <w:tblPr>
      <w:tblInd w:w="0" w:type="nil"/>
      <w:tblCellMar>
        <w:left w:w="0" w:type="dxa"/>
        <w:right w:w="0" w:type="dxa"/>
      </w:tblCellMar>
    </w:tblPr>
    <w:tblStylePr w:type="firstRow">
      <w:rPr>
        <w:rFonts w:asciiTheme="majorHAnsi" w:eastAsiaTheme="majorEastAsia" w:hAnsiTheme="majorHAnsi" w:cstheme="majorBidi"/>
        <w:i/>
        <w:iCs/>
        <w:sz w:val="26"/>
      </w:rPr>
    </w:tblStylePr>
    <w:tblStylePr w:type="lastRow">
      <w:rPr>
        <w:rFonts w:asciiTheme="majorHAnsi" w:eastAsiaTheme="majorEastAsia" w:hAnsiTheme="majorHAnsi" w:cstheme="majorBidi"/>
        <w:i/>
        <w:iCs/>
        <w:sz w:val="26"/>
      </w:r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style>
  <w:style w:type="character" w:customStyle="1" w:styleId="Menzionenonrisolta8">
    <w:name w:val="Menzione non risolta8"/>
    <w:basedOn w:val="Carpredefinitoparagrafo"/>
    <w:uiPriority w:val="99"/>
    <w:semiHidden/>
    <w:unhideWhenUsed/>
    <w:rsid w:val="003E24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878506">
      <w:bodyDiv w:val="1"/>
      <w:marLeft w:val="0"/>
      <w:marRight w:val="0"/>
      <w:marTop w:val="0"/>
      <w:marBottom w:val="0"/>
      <w:divBdr>
        <w:top w:val="none" w:sz="0" w:space="0" w:color="auto"/>
        <w:left w:val="none" w:sz="0" w:space="0" w:color="auto"/>
        <w:bottom w:val="none" w:sz="0" w:space="0" w:color="auto"/>
        <w:right w:val="none" w:sz="0" w:space="0" w:color="auto"/>
      </w:divBdr>
    </w:div>
    <w:div w:id="31615912">
      <w:bodyDiv w:val="1"/>
      <w:marLeft w:val="0"/>
      <w:marRight w:val="0"/>
      <w:marTop w:val="0"/>
      <w:marBottom w:val="0"/>
      <w:divBdr>
        <w:top w:val="none" w:sz="0" w:space="0" w:color="auto"/>
        <w:left w:val="none" w:sz="0" w:space="0" w:color="auto"/>
        <w:bottom w:val="none" w:sz="0" w:space="0" w:color="auto"/>
        <w:right w:val="none" w:sz="0" w:space="0" w:color="auto"/>
      </w:divBdr>
    </w:div>
    <w:div w:id="36928586">
      <w:bodyDiv w:val="1"/>
      <w:marLeft w:val="0"/>
      <w:marRight w:val="0"/>
      <w:marTop w:val="0"/>
      <w:marBottom w:val="0"/>
      <w:divBdr>
        <w:top w:val="none" w:sz="0" w:space="0" w:color="auto"/>
        <w:left w:val="none" w:sz="0" w:space="0" w:color="auto"/>
        <w:bottom w:val="none" w:sz="0" w:space="0" w:color="auto"/>
        <w:right w:val="none" w:sz="0" w:space="0" w:color="auto"/>
      </w:divBdr>
    </w:div>
    <w:div w:id="43531483">
      <w:bodyDiv w:val="1"/>
      <w:marLeft w:val="0"/>
      <w:marRight w:val="0"/>
      <w:marTop w:val="0"/>
      <w:marBottom w:val="0"/>
      <w:divBdr>
        <w:top w:val="none" w:sz="0" w:space="0" w:color="auto"/>
        <w:left w:val="none" w:sz="0" w:space="0" w:color="auto"/>
        <w:bottom w:val="none" w:sz="0" w:space="0" w:color="auto"/>
        <w:right w:val="none" w:sz="0" w:space="0" w:color="auto"/>
      </w:divBdr>
    </w:div>
    <w:div w:id="48848030">
      <w:bodyDiv w:val="1"/>
      <w:marLeft w:val="0"/>
      <w:marRight w:val="0"/>
      <w:marTop w:val="0"/>
      <w:marBottom w:val="0"/>
      <w:divBdr>
        <w:top w:val="none" w:sz="0" w:space="0" w:color="auto"/>
        <w:left w:val="none" w:sz="0" w:space="0" w:color="auto"/>
        <w:bottom w:val="none" w:sz="0" w:space="0" w:color="auto"/>
        <w:right w:val="none" w:sz="0" w:space="0" w:color="auto"/>
      </w:divBdr>
    </w:div>
    <w:div w:id="49698289">
      <w:bodyDiv w:val="1"/>
      <w:marLeft w:val="0"/>
      <w:marRight w:val="0"/>
      <w:marTop w:val="0"/>
      <w:marBottom w:val="0"/>
      <w:divBdr>
        <w:top w:val="none" w:sz="0" w:space="0" w:color="auto"/>
        <w:left w:val="none" w:sz="0" w:space="0" w:color="auto"/>
        <w:bottom w:val="none" w:sz="0" w:space="0" w:color="auto"/>
        <w:right w:val="none" w:sz="0" w:space="0" w:color="auto"/>
      </w:divBdr>
    </w:div>
    <w:div w:id="55008010">
      <w:bodyDiv w:val="1"/>
      <w:marLeft w:val="0"/>
      <w:marRight w:val="0"/>
      <w:marTop w:val="0"/>
      <w:marBottom w:val="0"/>
      <w:divBdr>
        <w:top w:val="none" w:sz="0" w:space="0" w:color="auto"/>
        <w:left w:val="none" w:sz="0" w:space="0" w:color="auto"/>
        <w:bottom w:val="none" w:sz="0" w:space="0" w:color="auto"/>
        <w:right w:val="none" w:sz="0" w:space="0" w:color="auto"/>
      </w:divBdr>
    </w:div>
    <w:div w:id="67120221">
      <w:bodyDiv w:val="1"/>
      <w:marLeft w:val="0"/>
      <w:marRight w:val="0"/>
      <w:marTop w:val="0"/>
      <w:marBottom w:val="0"/>
      <w:divBdr>
        <w:top w:val="none" w:sz="0" w:space="0" w:color="auto"/>
        <w:left w:val="none" w:sz="0" w:space="0" w:color="auto"/>
        <w:bottom w:val="none" w:sz="0" w:space="0" w:color="auto"/>
        <w:right w:val="none" w:sz="0" w:space="0" w:color="auto"/>
      </w:divBdr>
    </w:div>
    <w:div w:id="73744354">
      <w:bodyDiv w:val="1"/>
      <w:marLeft w:val="0"/>
      <w:marRight w:val="0"/>
      <w:marTop w:val="0"/>
      <w:marBottom w:val="0"/>
      <w:divBdr>
        <w:top w:val="none" w:sz="0" w:space="0" w:color="auto"/>
        <w:left w:val="none" w:sz="0" w:space="0" w:color="auto"/>
        <w:bottom w:val="none" w:sz="0" w:space="0" w:color="auto"/>
        <w:right w:val="none" w:sz="0" w:space="0" w:color="auto"/>
      </w:divBdr>
    </w:div>
    <w:div w:id="76487723">
      <w:bodyDiv w:val="1"/>
      <w:marLeft w:val="0"/>
      <w:marRight w:val="0"/>
      <w:marTop w:val="0"/>
      <w:marBottom w:val="0"/>
      <w:divBdr>
        <w:top w:val="none" w:sz="0" w:space="0" w:color="auto"/>
        <w:left w:val="none" w:sz="0" w:space="0" w:color="auto"/>
        <w:bottom w:val="none" w:sz="0" w:space="0" w:color="auto"/>
        <w:right w:val="none" w:sz="0" w:space="0" w:color="auto"/>
      </w:divBdr>
    </w:div>
    <w:div w:id="83772823">
      <w:bodyDiv w:val="1"/>
      <w:marLeft w:val="0"/>
      <w:marRight w:val="0"/>
      <w:marTop w:val="0"/>
      <w:marBottom w:val="0"/>
      <w:divBdr>
        <w:top w:val="none" w:sz="0" w:space="0" w:color="auto"/>
        <w:left w:val="none" w:sz="0" w:space="0" w:color="auto"/>
        <w:bottom w:val="none" w:sz="0" w:space="0" w:color="auto"/>
        <w:right w:val="none" w:sz="0" w:space="0" w:color="auto"/>
      </w:divBdr>
    </w:div>
    <w:div w:id="84502691">
      <w:bodyDiv w:val="1"/>
      <w:marLeft w:val="0"/>
      <w:marRight w:val="0"/>
      <w:marTop w:val="0"/>
      <w:marBottom w:val="0"/>
      <w:divBdr>
        <w:top w:val="none" w:sz="0" w:space="0" w:color="auto"/>
        <w:left w:val="none" w:sz="0" w:space="0" w:color="auto"/>
        <w:bottom w:val="none" w:sz="0" w:space="0" w:color="auto"/>
        <w:right w:val="none" w:sz="0" w:space="0" w:color="auto"/>
      </w:divBdr>
      <w:divsChild>
        <w:div w:id="2060009680">
          <w:marLeft w:val="547"/>
          <w:marRight w:val="0"/>
          <w:marTop w:val="0"/>
          <w:marBottom w:val="0"/>
          <w:divBdr>
            <w:top w:val="none" w:sz="0" w:space="0" w:color="auto"/>
            <w:left w:val="none" w:sz="0" w:space="0" w:color="auto"/>
            <w:bottom w:val="none" w:sz="0" w:space="0" w:color="auto"/>
            <w:right w:val="none" w:sz="0" w:space="0" w:color="auto"/>
          </w:divBdr>
        </w:div>
      </w:divsChild>
    </w:div>
    <w:div w:id="96608707">
      <w:bodyDiv w:val="1"/>
      <w:marLeft w:val="0"/>
      <w:marRight w:val="0"/>
      <w:marTop w:val="0"/>
      <w:marBottom w:val="0"/>
      <w:divBdr>
        <w:top w:val="none" w:sz="0" w:space="0" w:color="auto"/>
        <w:left w:val="none" w:sz="0" w:space="0" w:color="auto"/>
        <w:bottom w:val="none" w:sz="0" w:space="0" w:color="auto"/>
        <w:right w:val="none" w:sz="0" w:space="0" w:color="auto"/>
      </w:divBdr>
    </w:div>
    <w:div w:id="99033196">
      <w:bodyDiv w:val="1"/>
      <w:marLeft w:val="0"/>
      <w:marRight w:val="0"/>
      <w:marTop w:val="0"/>
      <w:marBottom w:val="0"/>
      <w:divBdr>
        <w:top w:val="none" w:sz="0" w:space="0" w:color="auto"/>
        <w:left w:val="none" w:sz="0" w:space="0" w:color="auto"/>
        <w:bottom w:val="none" w:sz="0" w:space="0" w:color="auto"/>
        <w:right w:val="none" w:sz="0" w:space="0" w:color="auto"/>
      </w:divBdr>
    </w:div>
    <w:div w:id="105194905">
      <w:bodyDiv w:val="1"/>
      <w:marLeft w:val="0"/>
      <w:marRight w:val="0"/>
      <w:marTop w:val="0"/>
      <w:marBottom w:val="0"/>
      <w:divBdr>
        <w:top w:val="none" w:sz="0" w:space="0" w:color="auto"/>
        <w:left w:val="none" w:sz="0" w:space="0" w:color="auto"/>
        <w:bottom w:val="none" w:sz="0" w:space="0" w:color="auto"/>
        <w:right w:val="none" w:sz="0" w:space="0" w:color="auto"/>
      </w:divBdr>
    </w:div>
    <w:div w:id="125129996">
      <w:bodyDiv w:val="1"/>
      <w:marLeft w:val="0"/>
      <w:marRight w:val="0"/>
      <w:marTop w:val="0"/>
      <w:marBottom w:val="0"/>
      <w:divBdr>
        <w:top w:val="none" w:sz="0" w:space="0" w:color="auto"/>
        <w:left w:val="none" w:sz="0" w:space="0" w:color="auto"/>
        <w:bottom w:val="none" w:sz="0" w:space="0" w:color="auto"/>
        <w:right w:val="none" w:sz="0" w:space="0" w:color="auto"/>
      </w:divBdr>
    </w:div>
    <w:div w:id="143935667">
      <w:bodyDiv w:val="1"/>
      <w:marLeft w:val="0"/>
      <w:marRight w:val="0"/>
      <w:marTop w:val="0"/>
      <w:marBottom w:val="0"/>
      <w:divBdr>
        <w:top w:val="none" w:sz="0" w:space="0" w:color="auto"/>
        <w:left w:val="none" w:sz="0" w:space="0" w:color="auto"/>
        <w:bottom w:val="none" w:sz="0" w:space="0" w:color="auto"/>
        <w:right w:val="none" w:sz="0" w:space="0" w:color="auto"/>
      </w:divBdr>
    </w:div>
    <w:div w:id="153188434">
      <w:bodyDiv w:val="1"/>
      <w:marLeft w:val="0"/>
      <w:marRight w:val="0"/>
      <w:marTop w:val="0"/>
      <w:marBottom w:val="0"/>
      <w:divBdr>
        <w:top w:val="none" w:sz="0" w:space="0" w:color="auto"/>
        <w:left w:val="none" w:sz="0" w:space="0" w:color="auto"/>
        <w:bottom w:val="none" w:sz="0" w:space="0" w:color="auto"/>
        <w:right w:val="none" w:sz="0" w:space="0" w:color="auto"/>
      </w:divBdr>
      <w:divsChild>
        <w:div w:id="233200033">
          <w:marLeft w:val="0"/>
          <w:marRight w:val="0"/>
          <w:marTop w:val="0"/>
          <w:marBottom w:val="450"/>
          <w:divBdr>
            <w:top w:val="none" w:sz="0" w:space="0" w:color="auto"/>
            <w:left w:val="none" w:sz="0" w:space="0" w:color="auto"/>
            <w:bottom w:val="none" w:sz="0" w:space="0" w:color="auto"/>
            <w:right w:val="none" w:sz="0" w:space="0" w:color="auto"/>
          </w:divBdr>
        </w:div>
      </w:divsChild>
    </w:div>
    <w:div w:id="179441830">
      <w:bodyDiv w:val="1"/>
      <w:marLeft w:val="0"/>
      <w:marRight w:val="0"/>
      <w:marTop w:val="0"/>
      <w:marBottom w:val="0"/>
      <w:divBdr>
        <w:top w:val="none" w:sz="0" w:space="0" w:color="auto"/>
        <w:left w:val="none" w:sz="0" w:space="0" w:color="auto"/>
        <w:bottom w:val="none" w:sz="0" w:space="0" w:color="auto"/>
        <w:right w:val="none" w:sz="0" w:space="0" w:color="auto"/>
      </w:divBdr>
    </w:div>
    <w:div w:id="186336982">
      <w:bodyDiv w:val="1"/>
      <w:marLeft w:val="0"/>
      <w:marRight w:val="0"/>
      <w:marTop w:val="0"/>
      <w:marBottom w:val="0"/>
      <w:divBdr>
        <w:top w:val="none" w:sz="0" w:space="0" w:color="auto"/>
        <w:left w:val="none" w:sz="0" w:space="0" w:color="auto"/>
        <w:bottom w:val="none" w:sz="0" w:space="0" w:color="auto"/>
        <w:right w:val="none" w:sz="0" w:space="0" w:color="auto"/>
      </w:divBdr>
    </w:div>
    <w:div w:id="187068225">
      <w:bodyDiv w:val="1"/>
      <w:marLeft w:val="0"/>
      <w:marRight w:val="0"/>
      <w:marTop w:val="0"/>
      <w:marBottom w:val="0"/>
      <w:divBdr>
        <w:top w:val="none" w:sz="0" w:space="0" w:color="auto"/>
        <w:left w:val="none" w:sz="0" w:space="0" w:color="auto"/>
        <w:bottom w:val="none" w:sz="0" w:space="0" w:color="auto"/>
        <w:right w:val="none" w:sz="0" w:space="0" w:color="auto"/>
      </w:divBdr>
      <w:divsChild>
        <w:div w:id="1563640180">
          <w:marLeft w:val="547"/>
          <w:marRight w:val="0"/>
          <w:marTop w:val="0"/>
          <w:marBottom w:val="0"/>
          <w:divBdr>
            <w:top w:val="none" w:sz="0" w:space="0" w:color="auto"/>
            <w:left w:val="none" w:sz="0" w:space="0" w:color="auto"/>
            <w:bottom w:val="none" w:sz="0" w:space="0" w:color="auto"/>
            <w:right w:val="none" w:sz="0" w:space="0" w:color="auto"/>
          </w:divBdr>
        </w:div>
      </w:divsChild>
    </w:div>
    <w:div w:id="194974523">
      <w:bodyDiv w:val="1"/>
      <w:marLeft w:val="0"/>
      <w:marRight w:val="0"/>
      <w:marTop w:val="0"/>
      <w:marBottom w:val="0"/>
      <w:divBdr>
        <w:top w:val="none" w:sz="0" w:space="0" w:color="auto"/>
        <w:left w:val="none" w:sz="0" w:space="0" w:color="auto"/>
        <w:bottom w:val="none" w:sz="0" w:space="0" w:color="auto"/>
        <w:right w:val="none" w:sz="0" w:space="0" w:color="auto"/>
      </w:divBdr>
    </w:div>
    <w:div w:id="201750289">
      <w:bodyDiv w:val="1"/>
      <w:marLeft w:val="0"/>
      <w:marRight w:val="0"/>
      <w:marTop w:val="0"/>
      <w:marBottom w:val="0"/>
      <w:divBdr>
        <w:top w:val="none" w:sz="0" w:space="0" w:color="auto"/>
        <w:left w:val="none" w:sz="0" w:space="0" w:color="auto"/>
        <w:bottom w:val="none" w:sz="0" w:space="0" w:color="auto"/>
        <w:right w:val="none" w:sz="0" w:space="0" w:color="auto"/>
      </w:divBdr>
    </w:div>
    <w:div w:id="203371230">
      <w:bodyDiv w:val="1"/>
      <w:marLeft w:val="0"/>
      <w:marRight w:val="0"/>
      <w:marTop w:val="0"/>
      <w:marBottom w:val="0"/>
      <w:divBdr>
        <w:top w:val="none" w:sz="0" w:space="0" w:color="auto"/>
        <w:left w:val="none" w:sz="0" w:space="0" w:color="auto"/>
        <w:bottom w:val="none" w:sz="0" w:space="0" w:color="auto"/>
        <w:right w:val="none" w:sz="0" w:space="0" w:color="auto"/>
      </w:divBdr>
    </w:div>
    <w:div w:id="210658523">
      <w:bodyDiv w:val="1"/>
      <w:marLeft w:val="0"/>
      <w:marRight w:val="0"/>
      <w:marTop w:val="0"/>
      <w:marBottom w:val="0"/>
      <w:divBdr>
        <w:top w:val="none" w:sz="0" w:space="0" w:color="auto"/>
        <w:left w:val="none" w:sz="0" w:space="0" w:color="auto"/>
        <w:bottom w:val="none" w:sz="0" w:space="0" w:color="auto"/>
        <w:right w:val="none" w:sz="0" w:space="0" w:color="auto"/>
      </w:divBdr>
    </w:div>
    <w:div w:id="226259060">
      <w:bodyDiv w:val="1"/>
      <w:marLeft w:val="0"/>
      <w:marRight w:val="0"/>
      <w:marTop w:val="0"/>
      <w:marBottom w:val="0"/>
      <w:divBdr>
        <w:top w:val="none" w:sz="0" w:space="0" w:color="auto"/>
        <w:left w:val="none" w:sz="0" w:space="0" w:color="auto"/>
        <w:bottom w:val="none" w:sz="0" w:space="0" w:color="auto"/>
        <w:right w:val="none" w:sz="0" w:space="0" w:color="auto"/>
      </w:divBdr>
    </w:div>
    <w:div w:id="231891992">
      <w:bodyDiv w:val="1"/>
      <w:marLeft w:val="0"/>
      <w:marRight w:val="0"/>
      <w:marTop w:val="0"/>
      <w:marBottom w:val="0"/>
      <w:divBdr>
        <w:top w:val="none" w:sz="0" w:space="0" w:color="auto"/>
        <w:left w:val="none" w:sz="0" w:space="0" w:color="auto"/>
        <w:bottom w:val="none" w:sz="0" w:space="0" w:color="auto"/>
        <w:right w:val="none" w:sz="0" w:space="0" w:color="auto"/>
      </w:divBdr>
    </w:div>
    <w:div w:id="241767150">
      <w:bodyDiv w:val="1"/>
      <w:marLeft w:val="0"/>
      <w:marRight w:val="0"/>
      <w:marTop w:val="0"/>
      <w:marBottom w:val="0"/>
      <w:divBdr>
        <w:top w:val="none" w:sz="0" w:space="0" w:color="auto"/>
        <w:left w:val="none" w:sz="0" w:space="0" w:color="auto"/>
        <w:bottom w:val="none" w:sz="0" w:space="0" w:color="auto"/>
        <w:right w:val="none" w:sz="0" w:space="0" w:color="auto"/>
      </w:divBdr>
    </w:div>
    <w:div w:id="242840548">
      <w:bodyDiv w:val="1"/>
      <w:marLeft w:val="0"/>
      <w:marRight w:val="0"/>
      <w:marTop w:val="0"/>
      <w:marBottom w:val="0"/>
      <w:divBdr>
        <w:top w:val="none" w:sz="0" w:space="0" w:color="auto"/>
        <w:left w:val="none" w:sz="0" w:space="0" w:color="auto"/>
        <w:bottom w:val="none" w:sz="0" w:space="0" w:color="auto"/>
        <w:right w:val="none" w:sz="0" w:space="0" w:color="auto"/>
      </w:divBdr>
    </w:div>
    <w:div w:id="245726629">
      <w:bodyDiv w:val="1"/>
      <w:marLeft w:val="0"/>
      <w:marRight w:val="0"/>
      <w:marTop w:val="0"/>
      <w:marBottom w:val="0"/>
      <w:divBdr>
        <w:top w:val="none" w:sz="0" w:space="0" w:color="auto"/>
        <w:left w:val="none" w:sz="0" w:space="0" w:color="auto"/>
        <w:bottom w:val="none" w:sz="0" w:space="0" w:color="auto"/>
        <w:right w:val="none" w:sz="0" w:space="0" w:color="auto"/>
      </w:divBdr>
    </w:div>
    <w:div w:id="248469339">
      <w:bodyDiv w:val="1"/>
      <w:marLeft w:val="0"/>
      <w:marRight w:val="0"/>
      <w:marTop w:val="0"/>
      <w:marBottom w:val="0"/>
      <w:divBdr>
        <w:top w:val="none" w:sz="0" w:space="0" w:color="auto"/>
        <w:left w:val="none" w:sz="0" w:space="0" w:color="auto"/>
        <w:bottom w:val="none" w:sz="0" w:space="0" w:color="auto"/>
        <w:right w:val="none" w:sz="0" w:space="0" w:color="auto"/>
      </w:divBdr>
    </w:div>
    <w:div w:id="250892626">
      <w:bodyDiv w:val="1"/>
      <w:marLeft w:val="0"/>
      <w:marRight w:val="0"/>
      <w:marTop w:val="0"/>
      <w:marBottom w:val="0"/>
      <w:divBdr>
        <w:top w:val="none" w:sz="0" w:space="0" w:color="auto"/>
        <w:left w:val="none" w:sz="0" w:space="0" w:color="auto"/>
        <w:bottom w:val="none" w:sz="0" w:space="0" w:color="auto"/>
        <w:right w:val="none" w:sz="0" w:space="0" w:color="auto"/>
      </w:divBdr>
    </w:div>
    <w:div w:id="259879392">
      <w:bodyDiv w:val="1"/>
      <w:marLeft w:val="0"/>
      <w:marRight w:val="0"/>
      <w:marTop w:val="0"/>
      <w:marBottom w:val="0"/>
      <w:divBdr>
        <w:top w:val="none" w:sz="0" w:space="0" w:color="auto"/>
        <w:left w:val="none" w:sz="0" w:space="0" w:color="auto"/>
        <w:bottom w:val="none" w:sz="0" w:space="0" w:color="auto"/>
        <w:right w:val="none" w:sz="0" w:space="0" w:color="auto"/>
      </w:divBdr>
    </w:div>
    <w:div w:id="263268368">
      <w:bodyDiv w:val="1"/>
      <w:marLeft w:val="0"/>
      <w:marRight w:val="0"/>
      <w:marTop w:val="0"/>
      <w:marBottom w:val="0"/>
      <w:divBdr>
        <w:top w:val="none" w:sz="0" w:space="0" w:color="auto"/>
        <w:left w:val="none" w:sz="0" w:space="0" w:color="auto"/>
        <w:bottom w:val="none" w:sz="0" w:space="0" w:color="auto"/>
        <w:right w:val="none" w:sz="0" w:space="0" w:color="auto"/>
      </w:divBdr>
    </w:div>
    <w:div w:id="304236045">
      <w:bodyDiv w:val="1"/>
      <w:marLeft w:val="0"/>
      <w:marRight w:val="0"/>
      <w:marTop w:val="0"/>
      <w:marBottom w:val="0"/>
      <w:divBdr>
        <w:top w:val="none" w:sz="0" w:space="0" w:color="auto"/>
        <w:left w:val="none" w:sz="0" w:space="0" w:color="auto"/>
        <w:bottom w:val="none" w:sz="0" w:space="0" w:color="auto"/>
        <w:right w:val="none" w:sz="0" w:space="0" w:color="auto"/>
      </w:divBdr>
    </w:div>
    <w:div w:id="305859749">
      <w:bodyDiv w:val="1"/>
      <w:marLeft w:val="0"/>
      <w:marRight w:val="0"/>
      <w:marTop w:val="0"/>
      <w:marBottom w:val="0"/>
      <w:divBdr>
        <w:top w:val="none" w:sz="0" w:space="0" w:color="auto"/>
        <w:left w:val="none" w:sz="0" w:space="0" w:color="auto"/>
        <w:bottom w:val="none" w:sz="0" w:space="0" w:color="auto"/>
        <w:right w:val="none" w:sz="0" w:space="0" w:color="auto"/>
      </w:divBdr>
    </w:div>
    <w:div w:id="309554443">
      <w:bodyDiv w:val="1"/>
      <w:marLeft w:val="0"/>
      <w:marRight w:val="0"/>
      <w:marTop w:val="0"/>
      <w:marBottom w:val="0"/>
      <w:divBdr>
        <w:top w:val="none" w:sz="0" w:space="0" w:color="auto"/>
        <w:left w:val="none" w:sz="0" w:space="0" w:color="auto"/>
        <w:bottom w:val="none" w:sz="0" w:space="0" w:color="auto"/>
        <w:right w:val="none" w:sz="0" w:space="0" w:color="auto"/>
      </w:divBdr>
    </w:div>
    <w:div w:id="313602855">
      <w:bodyDiv w:val="1"/>
      <w:marLeft w:val="0"/>
      <w:marRight w:val="0"/>
      <w:marTop w:val="0"/>
      <w:marBottom w:val="0"/>
      <w:divBdr>
        <w:top w:val="none" w:sz="0" w:space="0" w:color="auto"/>
        <w:left w:val="none" w:sz="0" w:space="0" w:color="auto"/>
        <w:bottom w:val="none" w:sz="0" w:space="0" w:color="auto"/>
        <w:right w:val="none" w:sz="0" w:space="0" w:color="auto"/>
      </w:divBdr>
    </w:div>
    <w:div w:id="325868274">
      <w:bodyDiv w:val="1"/>
      <w:marLeft w:val="0"/>
      <w:marRight w:val="0"/>
      <w:marTop w:val="0"/>
      <w:marBottom w:val="0"/>
      <w:divBdr>
        <w:top w:val="none" w:sz="0" w:space="0" w:color="auto"/>
        <w:left w:val="none" w:sz="0" w:space="0" w:color="auto"/>
        <w:bottom w:val="none" w:sz="0" w:space="0" w:color="auto"/>
        <w:right w:val="none" w:sz="0" w:space="0" w:color="auto"/>
      </w:divBdr>
    </w:div>
    <w:div w:id="325941689">
      <w:bodyDiv w:val="1"/>
      <w:marLeft w:val="0"/>
      <w:marRight w:val="0"/>
      <w:marTop w:val="0"/>
      <w:marBottom w:val="0"/>
      <w:divBdr>
        <w:top w:val="none" w:sz="0" w:space="0" w:color="auto"/>
        <w:left w:val="none" w:sz="0" w:space="0" w:color="auto"/>
        <w:bottom w:val="none" w:sz="0" w:space="0" w:color="auto"/>
        <w:right w:val="none" w:sz="0" w:space="0" w:color="auto"/>
      </w:divBdr>
    </w:div>
    <w:div w:id="336421093">
      <w:bodyDiv w:val="1"/>
      <w:marLeft w:val="0"/>
      <w:marRight w:val="0"/>
      <w:marTop w:val="0"/>
      <w:marBottom w:val="0"/>
      <w:divBdr>
        <w:top w:val="none" w:sz="0" w:space="0" w:color="auto"/>
        <w:left w:val="none" w:sz="0" w:space="0" w:color="auto"/>
        <w:bottom w:val="none" w:sz="0" w:space="0" w:color="auto"/>
        <w:right w:val="none" w:sz="0" w:space="0" w:color="auto"/>
      </w:divBdr>
    </w:div>
    <w:div w:id="339476536">
      <w:bodyDiv w:val="1"/>
      <w:marLeft w:val="0"/>
      <w:marRight w:val="0"/>
      <w:marTop w:val="0"/>
      <w:marBottom w:val="0"/>
      <w:divBdr>
        <w:top w:val="none" w:sz="0" w:space="0" w:color="auto"/>
        <w:left w:val="none" w:sz="0" w:space="0" w:color="auto"/>
        <w:bottom w:val="none" w:sz="0" w:space="0" w:color="auto"/>
        <w:right w:val="none" w:sz="0" w:space="0" w:color="auto"/>
      </w:divBdr>
    </w:div>
    <w:div w:id="345210858">
      <w:bodyDiv w:val="1"/>
      <w:marLeft w:val="0"/>
      <w:marRight w:val="0"/>
      <w:marTop w:val="0"/>
      <w:marBottom w:val="0"/>
      <w:divBdr>
        <w:top w:val="none" w:sz="0" w:space="0" w:color="auto"/>
        <w:left w:val="none" w:sz="0" w:space="0" w:color="auto"/>
        <w:bottom w:val="none" w:sz="0" w:space="0" w:color="auto"/>
        <w:right w:val="none" w:sz="0" w:space="0" w:color="auto"/>
      </w:divBdr>
    </w:div>
    <w:div w:id="346105538">
      <w:bodyDiv w:val="1"/>
      <w:marLeft w:val="0"/>
      <w:marRight w:val="0"/>
      <w:marTop w:val="0"/>
      <w:marBottom w:val="0"/>
      <w:divBdr>
        <w:top w:val="none" w:sz="0" w:space="0" w:color="auto"/>
        <w:left w:val="none" w:sz="0" w:space="0" w:color="auto"/>
        <w:bottom w:val="none" w:sz="0" w:space="0" w:color="auto"/>
        <w:right w:val="none" w:sz="0" w:space="0" w:color="auto"/>
      </w:divBdr>
    </w:div>
    <w:div w:id="348456208">
      <w:bodyDiv w:val="1"/>
      <w:marLeft w:val="0"/>
      <w:marRight w:val="0"/>
      <w:marTop w:val="0"/>
      <w:marBottom w:val="0"/>
      <w:divBdr>
        <w:top w:val="none" w:sz="0" w:space="0" w:color="auto"/>
        <w:left w:val="none" w:sz="0" w:space="0" w:color="auto"/>
        <w:bottom w:val="none" w:sz="0" w:space="0" w:color="auto"/>
        <w:right w:val="none" w:sz="0" w:space="0" w:color="auto"/>
      </w:divBdr>
    </w:div>
    <w:div w:id="351302545">
      <w:bodyDiv w:val="1"/>
      <w:marLeft w:val="0"/>
      <w:marRight w:val="0"/>
      <w:marTop w:val="0"/>
      <w:marBottom w:val="0"/>
      <w:divBdr>
        <w:top w:val="none" w:sz="0" w:space="0" w:color="auto"/>
        <w:left w:val="none" w:sz="0" w:space="0" w:color="auto"/>
        <w:bottom w:val="none" w:sz="0" w:space="0" w:color="auto"/>
        <w:right w:val="none" w:sz="0" w:space="0" w:color="auto"/>
      </w:divBdr>
    </w:div>
    <w:div w:id="365251739">
      <w:bodyDiv w:val="1"/>
      <w:marLeft w:val="0"/>
      <w:marRight w:val="0"/>
      <w:marTop w:val="0"/>
      <w:marBottom w:val="0"/>
      <w:divBdr>
        <w:top w:val="none" w:sz="0" w:space="0" w:color="auto"/>
        <w:left w:val="none" w:sz="0" w:space="0" w:color="auto"/>
        <w:bottom w:val="none" w:sz="0" w:space="0" w:color="auto"/>
        <w:right w:val="none" w:sz="0" w:space="0" w:color="auto"/>
      </w:divBdr>
    </w:div>
    <w:div w:id="375009886">
      <w:bodyDiv w:val="1"/>
      <w:marLeft w:val="0"/>
      <w:marRight w:val="0"/>
      <w:marTop w:val="0"/>
      <w:marBottom w:val="0"/>
      <w:divBdr>
        <w:top w:val="none" w:sz="0" w:space="0" w:color="auto"/>
        <w:left w:val="none" w:sz="0" w:space="0" w:color="auto"/>
        <w:bottom w:val="none" w:sz="0" w:space="0" w:color="auto"/>
        <w:right w:val="none" w:sz="0" w:space="0" w:color="auto"/>
      </w:divBdr>
    </w:div>
    <w:div w:id="388694434">
      <w:bodyDiv w:val="1"/>
      <w:marLeft w:val="0"/>
      <w:marRight w:val="0"/>
      <w:marTop w:val="0"/>
      <w:marBottom w:val="0"/>
      <w:divBdr>
        <w:top w:val="none" w:sz="0" w:space="0" w:color="auto"/>
        <w:left w:val="none" w:sz="0" w:space="0" w:color="auto"/>
        <w:bottom w:val="none" w:sz="0" w:space="0" w:color="auto"/>
        <w:right w:val="none" w:sz="0" w:space="0" w:color="auto"/>
      </w:divBdr>
    </w:div>
    <w:div w:id="408382796">
      <w:bodyDiv w:val="1"/>
      <w:marLeft w:val="0"/>
      <w:marRight w:val="0"/>
      <w:marTop w:val="0"/>
      <w:marBottom w:val="0"/>
      <w:divBdr>
        <w:top w:val="none" w:sz="0" w:space="0" w:color="auto"/>
        <w:left w:val="none" w:sz="0" w:space="0" w:color="auto"/>
        <w:bottom w:val="none" w:sz="0" w:space="0" w:color="auto"/>
        <w:right w:val="none" w:sz="0" w:space="0" w:color="auto"/>
      </w:divBdr>
    </w:div>
    <w:div w:id="437066224">
      <w:bodyDiv w:val="1"/>
      <w:marLeft w:val="0"/>
      <w:marRight w:val="0"/>
      <w:marTop w:val="0"/>
      <w:marBottom w:val="0"/>
      <w:divBdr>
        <w:top w:val="none" w:sz="0" w:space="0" w:color="auto"/>
        <w:left w:val="none" w:sz="0" w:space="0" w:color="auto"/>
        <w:bottom w:val="none" w:sz="0" w:space="0" w:color="auto"/>
        <w:right w:val="none" w:sz="0" w:space="0" w:color="auto"/>
      </w:divBdr>
    </w:div>
    <w:div w:id="444812350">
      <w:bodyDiv w:val="1"/>
      <w:marLeft w:val="0"/>
      <w:marRight w:val="0"/>
      <w:marTop w:val="0"/>
      <w:marBottom w:val="0"/>
      <w:divBdr>
        <w:top w:val="none" w:sz="0" w:space="0" w:color="auto"/>
        <w:left w:val="none" w:sz="0" w:space="0" w:color="auto"/>
        <w:bottom w:val="none" w:sz="0" w:space="0" w:color="auto"/>
        <w:right w:val="none" w:sz="0" w:space="0" w:color="auto"/>
      </w:divBdr>
    </w:div>
    <w:div w:id="449085255">
      <w:bodyDiv w:val="1"/>
      <w:marLeft w:val="0"/>
      <w:marRight w:val="0"/>
      <w:marTop w:val="0"/>
      <w:marBottom w:val="0"/>
      <w:divBdr>
        <w:top w:val="none" w:sz="0" w:space="0" w:color="auto"/>
        <w:left w:val="none" w:sz="0" w:space="0" w:color="auto"/>
        <w:bottom w:val="none" w:sz="0" w:space="0" w:color="auto"/>
        <w:right w:val="none" w:sz="0" w:space="0" w:color="auto"/>
      </w:divBdr>
    </w:div>
    <w:div w:id="451091794">
      <w:bodyDiv w:val="1"/>
      <w:marLeft w:val="0"/>
      <w:marRight w:val="0"/>
      <w:marTop w:val="0"/>
      <w:marBottom w:val="0"/>
      <w:divBdr>
        <w:top w:val="none" w:sz="0" w:space="0" w:color="auto"/>
        <w:left w:val="none" w:sz="0" w:space="0" w:color="auto"/>
        <w:bottom w:val="none" w:sz="0" w:space="0" w:color="auto"/>
        <w:right w:val="none" w:sz="0" w:space="0" w:color="auto"/>
      </w:divBdr>
    </w:div>
    <w:div w:id="457645731">
      <w:bodyDiv w:val="1"/>
      <w:marLeft w:val="0"/>
      <w:marRight w:val="0"/>
      <w:marTop w:val="0"/>
      <w:marBottom w:val="0"/>
      <w:divBdr>
        <w:top w:val="none" w:sz="0" w:space="0" w:color="auto"/>
        <w:left w:val="none" w:sz="0" w:space="0" w:color="auto"/>
        <w:bottom w:val="none" w:sz="0" w:space="0" w:color="auto"/>
        <w:right w:val="none" w:sz="0" w:space="0" w:color="auto"/>
      </w:divBdr>
    </w:div>
    <w:div w:id="470100735">
      <w:bodyDiv w:val="1"/>
      <w:marLeft w:val="0"/>
      <w:marRight w:val="0"/>
      <w:marTop w:val="0"/>
      <w:marBottom w:val="0"/>
      <w:divBdr>
        <w:top w:val="none" w:sz="0" w:space="0" w:color="auto"/>
        <w:left w:val="none" w:sz="0" w:space="0" w:color="auto"/>
        <w:bottom w:val="none" w:sz="0" w:space="0" w:color="auto"/>
        <w:right w:val="none" w:sz="0" w:space="0" w:color="auto"/>
      </w:divBdr>
    </w:div>
    <w:div w:id="497113110">
      <w:bodyDiv w:val="1"/>
      <w:marLeft w:val="0"/>
      <w:marRight w:val="0"/>
      <w:marTop w:val="0"/>
      <w:marBottom w:val="0"/>
      <w:divBdr>
        <w:top w:val="none" w:sz="0" w:space="0" w:color="auto"/>
        <w:left w:val="none" w:sz="0" w:space="0" w:color="auto"/>
        <w:bottom w:val="none" w:sz="0" w:space="0" w:color="auto"/>
        <w:right w:val="none" w:sz="0" w:space="0" w:color="auto"/>
      </w:divBdr>
    </w:div>
    <w:div w:id="499857937">
      <w:bodyDiv w:val="1"/>
      <w:marLeft w:val="0"/>
      <w:marRight w:val="0"/>
      <w:marTop w:val="0"/>
      <w:marBottom w:val="0"/>
      <w:divBdr>
        <w:top w:val="none" w:sz="0" w:space="0" w:color="auto"/>
        <w:left w:val="none" w:sz="0" w:space="0" w:color="auto"/>
        <w:bottom w:val="none" w:sz="0" w:space="0" w:color="auto"/>
        <w:right w:val="none" w:sz="0" w:space="0" w:color="auto"/>
      </w:divBdr>
    </w:div>
    <w:div w:id="502739977">
      <w:bodyDiv w:val="1"/>
      <w:marLeft w:val="0"/>
      <w:marRight w:val="0"/>
      <w:marTop w:val="0"/>
      <w:marBottom w:val="0"/>
      <w:divBdr>
        <w:top w:val="none" w:sz="0" w:space="0" w:color="auto"/>
        <w:left w:val="none" w:sz="0" w:space="0" w:color="auto"/>
        <w:bottom w:val="none" w:sz="0" w:space="0" w:color="auto"/>
        <w:right w:val="none" w:sz="0" w:space="0" w:color="auto"/>
      </w:divBdr>
    </w:div>
    <w:div w:id="506409526">
      <w:bodyDiv w:val="1"/>
      <w:marLeft w:val="0"/>
      <w:marRight w:val="0"/>
      <w:marTop w:val="0"/>
      <w:marBottom w:val="0"/>
      <w:divBdr>
        <w:top w:val="none" w:sz="0" w:space="0" w:color="auto"/>
        <w:left w:val="none" w:sz="0" w:space="0" w:color="auto"/>
        <w:bottom w:val="none" w:sz="0" w:space="0" w:color="auto"/>
        <w:right w:val="none" w:sz="0" w:space="0" w:color="auto"/>
      </w:divBdr>
    </w:div>
    <w:div w:id="507672581">
      <w:bodyDiv w:val="1"/>
      <w:marLeft w:val="0"/>
      <w:marRight w:val="0"/>
      <w:marTop w:val="0"/>
      <w:marBottom w:val="0"/>
      <w:divBdr>
        <w:top w:val="none" w:sz="0" w:space="0" w:color="auto"/>
        <w:left w:val="none" w:sz="0" w:space="0" w:color="auto"/>
        <w:bottom w:val="none" w:sz="0" w:space="0" w:color="auto"/>
        <w:right w:val="none" w:sz="0" w:space="0" w:color="auto"/>
      </w:divBdr>
    </w:div>
    <w:div w:id="511383036">
      <w:bodyDiv w:val="1"/>
      <w:marLeft w:val="0"/>
      <w:marRight w:val="0"/>
      <w:marTop w:val="0"/>
      <w:marBottom w:val="0"/>
      <w:divBdr>
        <w:top w:val="none" w:sz="0" w:space="0" w:color="auto"/>
        <w:left w:val="none" w:sz="0" w:space="0" w:color="auto"/>
        <w:bottom w:val="none" w:sz="0" w:space="0" w:color="auto"/>
        <w:right w:val="none" w:sz="0" w:space="0" w:color="auto"/>
      </w:divBdr>
    </w:div>
    <w:div w:id="538326234">
      <w:bodyDiv w:val="1"/>
      <w:marLeft w:val="0"/>
      <w:marRight w:val="0"/>
      <w:marTop w:val="0"/>
      <w:marBottom w:val="0"/>
      <w:divBdr>
        <w:top w:val="none" w:sz="0" w:space="0" w:color="auto"/>
        <w:left w:val="none" w:sz="0" w:space="0" w:color="auto"/>
        <w:bottom w:val="none" w:sz="0" w:space="0" w:color="auto"/>
        <w:right w:val="none" w:sz="0" w:space="0" w:color="auto"/>
      </w:divBdr>
    </w:div>
    <w:div w:id="539901333">
      <w:bodyDiv w:val="1"/>
      <w:marLeft w:val="0"/>
      <w:marRight w:val="0"/>
      <w:marTop w:val="0"/>
      <w:marBottom w:val="0"/>
      <w:divBdr>
        <w:top w:val="none" w:sz="0" w:space="0" w:color="auto"/>
        <w:left w:val="none" w:sz="0" w:space="0" w:color="auto"/>
        <w:bottom w:val="none" w:sz="0" w:space="0" w:color="auto"/>
        <w:right w:val="none" w:sz="0" w:space="0" w:color="auto"/>
      </w:divBdr>
      <w:divsChild>
        <w:div w:id="1148328364">
          <w:marLeft w:val="0"/>
          <w:marRight w:val="0"/>
          <w:marTop w:val="0"/>
          <w:marBottom w:val="0"/>
          <w:divBdr>
            <w:top w:val="none" w:sz="0" w:space="0" w:color="auto"/>
            <w:left w:val="none" w:sz="0" w:space="0" w:color="auto"/>
            <w:bottom w:val="none" w:sz="0" w:space="0" w:color="auto"/>
            <w:right w:val="none" w:sz="0" w:space="0" w:color="auto"/>
          </w:divBdr>
        </w:div>
        <w:div w:id="1281454361">
          <w:marLeft w:val="0"/>
          <w:marRight w:val="0"/>
          <w:marTop w:val="0"/>
          <w:marBottom w:val="0"/>
          <w:divBdr>
            <w:top w:val="none" w:sz="0" w:space="0" w:color="auto"/>
            <w:left w:val="none" w:sz="0" w:space="0" w:color="auto"/>
            <w:bottom w:val="none" w:sz="0" w:space="0" w:color="auto"/>
            <w:right w:val="none" w:sz="0" w:space="0" w:color="auto"/>
          </w:divBdr>
        </w:div>
        <w:div w:id="1599100514">
          <w:marLeft w:val="0"/>
          <w:marRight w:val="0"/>
          <w:marTop w:val="0"/>
          <w:marBottom w:val="0"/>
          <w:divBdr>
            <w:top w:val="none" w:sz="0" w:space="0" w:color="auto"/>
            <w:left w:val="none" w:sz="0" w:space="0" w:color="auto"/>
            <w:bottom w:val="none" w:sz="0" w:space="0" w:color="auto"/>
            <w:right w:val="none" w:sz="0" w:space="0" w:color="auto"/>
          </w:divBdr>
        </w:div>
        <w:div w:id="1892811087">
          <w:marLeft w:val="0"/>
          <w:marRight w:val="0"/>
          <w:marTop w:val="0"/>
          <w:marBottom w:val="0"/>
          <w:divBdr>
            <w:top w:val="none" w:sz="0" w:space="0" w:color="auto"/>
            <w:left w:val="none" w:sz="0" w:space="0" w:color="auto"/>
            <w:bottom w:val="none" w:sz="0" w:space="0" w:color="auto"/>
            <w:right w:val="none" w:sz="0" w:space="0" w:color="auto"/>
          </w:divBdr>
        </w:div>
      </w:divsChild>
    </w:div>
    <w:div w:id="541022729">
      <w:bodyDiv w:val="1"/>
      <w:marLeft w:val="0"/>
      <w:marRight w:val="0"/>
      <w:marTop w:val="0"/>
      <w:marBottom w:val="0"/>
      <w:divBdr>
        <w:top w:val="none" w:sz="0" w:space="0" w:color="auto"/>
        <w:left w:val="none" w:sz="0" w:space="0" w:color="auto"/>
        <w:bottom w:val="none" w:sz="0" w:space="0" w:color="auto"/>
        <w:right w:val="none" w:sz="0" w:space="0" w:color="auto"/>
      </w:divBdr>
    </w:div>
    <w:div w:id="546256428">
      <w:bodyDiv w:val="1"/>
      <w:marLeft w:val="0"/>
      <w:marRight w:val="0"/>
      <w:marTop w:val="0"/>
      <w:marBottom w:val="0"/>
      <w:divBdr>
        <w:top w:val="none" w:sz="0" w:space="0" w:color="auto"/>
        <w:left w:val="none" w:sz="0" w:space="0" w:color="auto"/>
        <w:bottom w:val="none" w:sz="0" w:space="0" w:color="auto"/>
        <w:right w:val="none" w:sz="0" w:space="0" w:color="auto"/>
      </w:divBdr>
    </w:div>
    <w:div w:id="599486053">
      <w:bodyDiv w:val="1"/>
      <w:marLeft w:val="0"/>
      <w:marRight w:val="0"/>
      <w:marTop w:val="0"/>
      <w:marBottom w:val="0"/>
      <w:divBdr>
        <w:top w:val="none" w:sz="0" w:space="0" w:color="auto"/>
        <w:left w:val="none" w:sz="0" w:space="0" w:color="auto"/>
        <w:bottom w:val="none" w:sz="0" w:space="0" w:color="auto"/>
        <w:right w:val="none" w:sz="0" w:space="0" w:color="auto"/>
      </w:divBdr>
    </w:div>
    <w:div w:id="607084522">
      <w:bodyDiv w:val="1"/>
      <w:marLeft w:val="0"/>
      <w:marRight w:val="0"/>
      <w:marTop w:val="0"/>
      <w:marBottom w:val="0"/>
      <w:divBdr>
        <w:top w:val="none" w:sz="0" w:space="0" w:color="auto"/>
        <w:left w:val="none" w:sz="0" w:space="0" w:color="auto"/>
        <w:bottom w:val="none" w:sz="0" w:space="0" w:color="auto"/>
        <w:right w:val="none" w:sz="0" w:space="0" w:color="auto"/>
      </w:divBdr>
    </w:div>
    <w:div w:id="612398192">
      <w:bodyDiv w:val="1"/>
      <w:marLeft w:val="0"/>
      <w:marRight w:val="0"/>
      <w:marTop w:val="0"/>
      <w:marBottom w:val="0"/>
      <w:divBdr>
        <w:top w:val="none" w:sz="0" w:space="0" w:color="auto"/>
        <w:left w:val="none" w:sz="0" w:space="0" w:color="auto"/>
        <w:bottom w:val="none" w:sz="0" w:space="0" w:color="auto"/>
        <w:right w:val="none" w:sz="0" w:space="0" w:color="auto"/>
      </w:divBdr>
    </w:div>
    <w:div w:id="615452947">
      <w:bodyDiv w:val="1"/>
      <w:marLeft w:val="0"/>
      <w:marRight w:val="0"/>
      <w:marTop w:val="0"/>
      <w:marBottom w:val="0"/>
      <w:divBdr>
        <w:top w:val="none" w:sz="0" w:space="0" w:color="auto"/>
        <w:left w:val="none" w:sz="0" w:space="0" w:color="auto"/>
        <w:bottom w:val="none" w:sz="0" w:space="0" w:color="auto"/>
        <w:right w:val="none" w:sz="0" w:space="0" w:color="auto"/>
      </w:divBdr>
    </w:div>
    <w:div w:id="631136009">
      <w:bodyDiv w:val="1"/>
      <w:marLeft w:val="0"/>
      <w:marRight w:val="0"/>
      <w:marTop w:val="0"/>
      <w:marBottom w:val="0"/>
      <w:divBdr>
        <w:top w:val="none" w:sz="0" w:space="0" w:color="auto"/>
        <w:left w:val="none" w:sz="0" w:space="0" w:color="auto"/>
        <w:bottom w:val="none" w:sz="0" w:space="0" w:color="auto"/>
        <w:right w:val="none" w:sz="0" w:space="0" w:color="auto"/>
      </w:divBdr>
    </w:div>
    <w:div w:id="634877026">
      <w:bodyDiv w:val="1"/>
      <w:marLeft w:val="0"/>
      <w:marRight w:val="0"/>
      <w:marTop w:val="0"/>
      <w:marBottom w:val="0"/>
      <w:divBdr>
        <w:top w:val="none" w:sz="0" w:space="0" w:color="auto"/>
        <w:left w:val="none" w:sz="0" w:space="0" w:color="auto"/>
        <w:bottom w:val="none" w:sz="0" w:space="0" w:color="auto"/>
        <w:right w:val="none" w:sz="0" w:space="0" w:color="auto"/>
      </w:divBdr>
    </w:div>
    <w:div w:id="642857785">
      <w:bodyDiv w:val="1"/>
      <w:marLeft w:val="0"/>
      <w:marRight w:val="0"/>
      <w:marTop w:val="0"/>
      <w:marBottom w:val="0"/>
      <w:divBdr>
        <w:top w:val="none" w:sz="0" w:space="0" w:color="auto"/>
        <w:left w:val="none" w:sz="0" w:space="0" w:color="auto"/>
        <w:bottom w:val="none" w:sz="0" w:space="0" w:color="auto"/>
        <w:right w:val="none" w:sz="0" w:space="0" w:color="auto"/>
      </w:divBdr>
    </w:div>
    <w:div w:id="644553250">
      <w:bodyDiv w:val="1"/>
      <w:marLeft w:val="0"/>
      <w:marRight w:val="0"/>
      <w:marTop w:val="0"/>
      <w:marBottom w:val="0"/>
      <w:divBdr>
        <w:top w:val="none" w:sz="0" w:space="0" w:color="auto"/>
        <w:left w:val="none" w:sz="0" w:space="0" w:color="auto"/>
        <w:bottom w:val="none" w:sz="0" w:space="0" w:color="auto"/>
        <w:right w:val="none" w:sz="0" w:space="0" w:color="auto"/>
      </w:divBdr>
    </w:div>
    <w:div w:id="646785242">
      <w:bodyDiv w:val="1"/>
      <w:marLeft w:val="0"/>
      <w:marRight w:val="0"/>
      <w:marTop w:val="0"/>
      <w:marBottom w:val="0"/>
      <w:divBdr>
        <w:top w:val="none" w:sz="0" w:space="0" w:color="auto"/>
        <w:left w:val="none" w:sz="0" w:space="0" w:color="auto"/>
        <w:bottom w:val="none" w:sz="0" w:space="0" w:color="auto"/>
        <w:right w:val="none" w:sz="0" w:space="0" w:color="auto"/>
      </w:divBdr>
    </w:div>
    <w:div w:id="649602587">
      <w:bodyDiv w:val="1"/>
      <w:marLeft w:val="0"/>
      <w:marRight w:val="0"/>
      <w:marTop w:val="0"/>
      <w:marBottom w:val="0"/>
      <w:divBdr>
        <w:top w:val="none" w:sz="0" w:space="0" w:color="auto"/>
        <w:left w:val="none" w:sz="0" w:space="0" w:color="auto"/>
        <w:bottom w:val="none" w:sz="0" w:space="0" w:color="auto"/>
        <w:right w:val="none" w:sz="0" w:space="0" w:color="auto"/>
      </w:divBdr>
    </w:div>
    <w:div w:id="657001238">
      <w:bodyDiv w:val="1"/>
      <w:marLeft w:val="0"/>
      <w:marRight w:val="0"/>
      <w:marTop w:val="0"/>
      <w:marBottom w:val="0"/>
      <w:divBdr>
        <w:top w:val="none" w:sz="0" w:space="0" w:color="auto"/>
        <w:left w:val="none" w:sz="0" w:space="0" w:color="auto"/>
        <w:bottom w:val="none" w:sz="0" w:space="0" w:color="auto"/>
        <w:right w:val="none" w:sz="0" w:space="0" w:color="auto"/>
      </w:divBdr>
    </w:div>
    <w:div w:id="683240540">
      <w:bodyDiv w:val="1"/>
      <w:marLeft w:val="0"/>
      <w:marRight w:val="0"/>
      <w:marTop w:val="0"/>
      <w:marBottom w:val="0"/>
      <w:divBdr>
        <w:top w:val="none" w:sz="0" w:space="0" w:color="auto"/>
        <w:left w:val="none" w:sz="0" w:space="0" w:color="auto"/>
        <w:bottom w:val="none" w:sz="0" w:space="0" w:color="auto"/>
        <w:right w:val="none" w:sz="0" w:space="0" w:color="auto"/>
      </w:divBdr>
    </w:div>
    <w:div w:id="685794350">
      <w:bodyDiv w:val="1"/>
      <w:marLeft w:val="0"/>
      <w:marRight w:val="0"/>
      <w:marTop w:val="0"/>
      <w:marBottom w:val="0"/>
      <w:divBdr>
        <w:top w:val="none" w:sz="0" w:space="0" w:color="auto"/>
        <w:left w:val="none" w:sz="0" w:space="0" w:color="auto"/>
        <w:bottom w:val="none" w:sz="0" w:space="0" w:color="auto"/>
        <w:right w:val="none" w:sz="0" w:space="0" w:color="auto"/>
      </w:divBdr>
    </w:div>
    <w:div w:id="698313624">
      <w:bodyDiv w:val="1"/>
      <w:marLeft w:val="0"/>
      <w:marRight w:val="0"/>
      <w:marTop w:val="0"/>
      <w:marBottom w:val="0"/>
      <w:divBdr>
        <w:top w:val="none" w:sz="0" w:space="0" w:color="auto"/>
        <w:left w:val="none" w:sz="0" w:space="0" w:color="auto"/>
        <w:bottom w:val="none" w:sz="0" w:space="0" w:color="auto"/>
        <w:right w:val="none" w:sz="0" w:space="0" w:color="auto"/>
      </w:divBdr>
    </w:div>
    <w:div w:id="699551171">
      <w:bodyDiv w:val="1"/>
      <w:marLeft w:val="0"/>
      <w:marRight w:val="0"/>
      <w:marTop w:val="0"/>
      <w:marBottom w:val="0"/>
      <w:divBdr>
        <w:top w:val="none" w:sz="0" w:space="0" w:color="auto"/>
        <w:left w:val="none" w:sz="0" w:space="0" w:color="auto"/>
        <w:bottom w:val="none" w:sz="0" w:space="0" w:color="auto"/>
        <w:right w:val="none" w:sz="0" w:space="0" w:color="auto"/>
      </w:divBdr>
    </w:div>
    <w:div w:id="711340765">
      <w:bodyDiv w:val="1"/>
      <w:marLeft w:val="0"/>
      <w:marRight w:val="0"/>
      <w:marTop w:val="0"/>
      <w:marBottom w:val="0"/>
      <w:divBdr>
        <w:top w:val="none" w:sz="0" w:space="0" w:color="auto"/>
        <w:left w:val="none" w:sz="0" w:space="0" w:color="auto"/>
        <w:bottom w:val="none" w:sz="0" w:space="0" w:color="auto"/>
        <w:right w:val="none" w:sz="0" w:space="0" w:color="auto"/>
      </w:divBdr>
    </w:div>
    <w:div w:id="718406306">
      <w:bodyDiv w:val="1"/>
      <w:marLeft w:val="0"/>
      <w:marRight w:val="0"/>
      <w:marTop w:val="0"/>
      <w:marBottom w:val="0"/>
      <w:divBdr>
        <w:top w:val="none" w:sz="0" w:space="0" w:color="auto"/>
        <w:left w:val="none" w:sz="0" w:space="0" w:color="auto"/>
        <w:bottom w:val="none" w:sz="0" w:space="0" w:color="auto"/>
        <w:right w:val="none" w:sz="0" w:space="0" w:color="auto"/>
      </w:divBdr>
    </w:div>
    <w:div w:id="733239685">
      <w:bodyDiv w:val="1"/>
      <w:marLeft w:val="0"/>
      <w:marRight w:val="0"/>
      <w:marTop w:val="0"/>
      <w:marBottom w:val="0"/>
      <w:divBdr>
        <w:top w:val="none" w:sz="0" w:space="0" w:color="auto"/>
        <w:left w:val="none" w:sz="0" w:space="0" w:color="auto"/>
        <w:bottom w:val="none" w:sz="0" w:space="0" w:color="auto"/>
        <w:right w:val="none" w:sz="0" w:space="0" w:color="auto"/>
      </w:divBdr>
    </w:div>
    <w:div w:id="736318929">
      <w:bodyDiv w:val="1"/>
      <w:marLeft w:val="0"/>
      <w:marRight w:val="0"/>
      <w:marTop w:val="0"/>
      <w:marBottom w:val="0"/>
      <w:divBdr>
        <w:top w:val="none" w:sz="0" w:space="0" w:color="auto"/>
        <w:left w:val="none" w:sz="0" w:space="0" w:color="auto"/>
        <w:bottom w:val="none" w:sz="0" w:space="0" w:color="auto"/>
        <w:right w:val="none" w:sz="0" w:space="0" w:color="auto"/>
      </w:divBdr>
      <w:divsChild>
        <w:div w:id="805658785">
          <w:marLeft w:val="446"/>
          <w:marRight w:val="0"/>
          <w:marTop w:val="0"/>
          <w:marBottom w:val="0"/>
          <w:divBdr>
            <w:top w:val="none" w:sz="0" w:space="0" w:color="auto"/>
            <w:left w:val="none" w:sz="0" w:space="0" w:color="auto"/>
            <w:bottom w:val="none" w:sz="0" w:space="0" w:color="auto"/>
            <w:right w:val="none" w:sz="0" w:space="0" w:color="auto"/>
          </w:divBdr>
        </w:div>
      </w:divsChild>
    </w:div>
    <w:div w:id="751271432">
      <w:bodyDiv w:val="1"/>
      <w:marLeft w:val="0"/>
      <w:marRight w:val="0"/>
      <w:marTop w:val="0"/>
      <w:marBottom w:val="0"/>
      <w:divBdr>
        <w:top w:val="none" w:sz="0" w:space="0" w:color="auto"/>
        <w:left w:val="none" w:sz="0" w:space="0" w:color="auto"/>
        <w:bottom w:val="none" w:sz="0" w:space="0" w:color="auto"/>
        <w:right w:val="none" w:sz="0" w:space="0" w:color="auto"/>
      </w:divBdr>
    </w:div>
    <w:div w:id="755711255">
      <w:bodyDiv w:val="1"/>
      <w:marLeft w:val="0"/>
      <w:marRight w:val="0"/>
      <w:marTop w:val="0"/>
      <w:marBottom w:val="0"/>
      <w:divBdr>
        <w:top w:val="none" w:sz="0" w:space="0" w:color="auto"/>
        <w:left w:val="none" w:sz="0" w:space="0" w:color="auto"/>
        <w:bottom w:val="none" w:sz="0" w:space="0" w:color="auto"/>
        <w:right w:val="none" w:sz="0" w:space="0" w:color="auto"/>
      </w:divBdr>
    </w:div>
    <w:div w:id="759109499">
      <w:bodyDiv w:val="1"/>
      <w:marLeft w:val="0"/>
      <w:marRight w:val="0"/>
      <w:marTop w:val="0"/>
      <w:marBottom w:val="0"/>
      <w:divBdr>
        <w:top w:val="none" w:sz="0" w:space="0" w:color="auto"/>
        <w:left w:val="none" w:sz="0" w:space="0" w:color="auto"/>
        <w:bottom w:val="none" w:sz="0" w:space="0" w:color="auto"/>
        <w:right w:val="none" w:sz="0" w:space="0" w:color="auto"/>
      </w:divBdr>
    </w:div>
    <w:div w:id="769814869">
      <w:bodyDiv w:val="1"/>
      <w:marLeft w:val="0"/>
      <w:marRight w:val="0"/>
      <w:marTop w:val="0"/>
      <w:marBottom w:val="0"/>
      <w:divBdr>
        <w:top w:val="none" w:sz="0" w:space="0" w:color="auto"/>
        <w:left w:val="none" w:sz="0" w:space="0" w:color="auto"/>
        <w:bottom w:val="none" w:sz="0" w:space="0" w:color="auto"/>
        <w:right w:val="none" w:sz="0" w:space="0" w:color="auto"/>
      </w:divBdr>
    </w:div>
    <w:div w:id="777213299">
      <w:bodyDiv w:val="1"/>
      <w:marLeft w:val="0"/>
      <w:marRight w:val="0"/>
      <w:marTop w:val="0"/>
      <w:marBottom w:val="0"/>
      <w:divBdr>
        <w:top w:val="none" w:sz="0" w:space="0" w:color="auto"/>
        <w:left w:val="none" w:sz="0" w:space="0" w:color="auto"/>
        <w:bottom w:val="none" w:sz="0" w:space="0" w:color="auto"/>
        <w:right w:val="none" w:sz="0" w:space="0" w:color="auto"/>
      </w:divBdr>
    </w:div>
    <w:div w:id="787629195">
      <w:bodyDiv w:val="1"/>
      <w:marLeft w:val="0"/>
      <w:marRight w:val="0"/>
      <w:marTop w:val="0"/>
      <w:marBottom w:val="0"/>
      <w:divBdr>
        <w:top w:val="none" w:sz="0" w:space="0" w:color="auto"/>
        <w:left w:val="none" w:sz="0" w:space="0" w:color="auto"/>
        <w:bottom w:val="none" w:sz="0" w:space="0" w:color="auto"/>
        <w:right w:val="none" w:sz="0" w:space="0" w:color="auto"/>
      </w:divBdr>
    </w:div>
    <w:div w:id="802776189">
      <w:bodyDiv w:val="1"/>
      <w:marLeft w:val="0"/>
      <w:marRight w:val="0"/>
      <w:marTop w:val="0"/>
      <w:marBottom w:val="0"/>
      <w:divBdr>
        <w:top w:val="none" w:sz="0" w:space="0" w:color="auto"/>
        <w:left w:val="none" w:sz="0" w:space="0" w:color="auto"/>
        <w:bottom w:val="none" w:sz="0" w:space="0" w:color="auto"/>
        <w:right w:val="none" w:sz="0" w:space="0" w:color="auto"/>
      </w:divBdr>
    </w:div>
    <w:div w:id="808936670">
      <w:bodyDiv w:val="1"/>
      <w:marLeft w:val="0"/>
      <w:marRight w:val="0"/>
      <w:marTop w:val="0"/>
      <w:marBottom w:val="0"/>
      <w:divBdr>
        <w:top w:val="none" w:sz="0" w:space="0" w:color="auto"/>
        <w:left w:val="none" w:sz="0" w:space="0" w:color="auto"/>
        <w:bottom w:val="none" w:sz="0" w:space="0" w:color="auto"/>
        <w:right w:val="none" w:sz="0" w:space="0" w:color="auto"/>
      </w:divBdr>
    </w:div>
    <w:div w:id="810292688">
      <w:bodyDiv w:val="1"/>
      <w:marLeft w:val="0"/>
      <w:marRight w:val="0"/>
      <w:marTop w:val="0"/>
      <w:marBottom w:val="0"/>
      <w:divBdr>
        <w:top w:val="none" w:sz="0" w:space="0" w:color="auto"/>
        <w:left w:val="none" w:sz="0" w:space="0" w:color="auto"/>
        <w:bottom w:val="none" w:sz="0" w:space="0" w:color="auto"/>
        <w:right w:val="none" w:sz="0" w:space="0" w:color="auto"/>
      </w:divBdr>
    </w:div>
    <w:div w:id="815033348">
      <w:bodyDiv w:val="1"/>
      <w:marLeft w:val="0"/>
      <w:marRight w:val="0"/>
      <w:marTop w:val="0"/>
      <w:marBottom w:val="0"/>
      <w:divBdr>
        <w:top w:val="none" w:sz="0" w:space="0" w:color="auto"/>
        <w:left w:val="none" w:sz="0" w:space="0" w:color="auto"/>
        <w:bottom w:val="none" w:sz="0" w:space="0" w:color="auto"/>
        <w:right w:val="none" w:sz="0" w:space="0" w:color="auto"/>
      </w:divBdr>
    </w:div>
    <w:div w:id="828791144">
      <w:bodyDiv w:val="1"/>
      <w:marLeft w:val="0"/>
      <w:marRight w:val="0"/>
      <w:marTop w:val="0"/>
      <w:marBottom w:val="0"/>
      <w:divBdr>
        <w:top w:val="none" w:sz="0" w:space="0" w:color="auto"/>
        <w:left w:val="none" w:sz="0" w:space="0" w:color="auto"/>
        <w:bottom w:val="none" w:sz="0" w:space="0" w:color="auto"/>
        <w:right w:val="none" w:sz="0" w:space="0" w:color="auto"/>
      </w:divBdr>
    </w:div>
    <w:div w:id="837843170">
      <w:bodyDiv w:val="1"/>
      <w:marLeft w:val="0"/>
      <w:marRight w:val="0"/>
      <w:marTop w:val="0"/>
      <w:marBottom w:val="0"/>
      <w:divBdr>
        <w:top w:val="none" w:sz="0" w:space="0" w:color="auto"/>
        <w:left w:val="none" w:sz="0" w:space="0" w:color="auto"/>
        <w:bottom w:val="none" w:sz="0" w:space="0" w:color="auto"/>
        <w:right w:val="none" w:sz="0" w:space="0" w:color="auto"/>
      </w:divBdr>
    </w:div>
    <w:div w:id="843478429">
      <w:bodyDiv w:val="1"/>
      <w:marLeft w:val="0"/>
      <w:marRight w:val="0"/>
      <w:marTop w:val="0"/>
      <w:marBottom w:val="0"/>
      <w:divBdr>
        <w:top w:val="none" w:sz="0" w:space="0" w:color="auto"/>
        <w:left w:val="none" w:sz="0" w:space="0" w:color="auto"/>
        <w:bottom w:val="none" w:sz="0" w:space="0" w:color="auto"/>
        <w:right w:val="none" w:sz="0" w:space="0" w:color="auto"/>
      </w:divBdr>
    </w:div>
    <w:div w:id="852300469">
      <w:bodyDiv w:val="1"/>
      <w:marLeft w:val="0"/>
      <w:marRight w:val="0"/>
      <w:marTop w:val="0"/>
      <w:marBottom w:val="0"/>
      <w:divBdr>
        <w:top w:val="none" w:sz="0" w:space="0" w:color="auto"/>
        <w:left w:val="none" w:sz="0" w:space="0" w:color="auto"/>
        <w:bottom w:val="none" w:sz="0" w:space="0" w:color="auto"/>
        <w:right w:val="none" w:sz="0" w:space="0" w:color="auto"/>
      </w:divBdr>
    </w:div>
    <w:div w:id="852456929">
      <w:bodyDiv w:val="1"/>
      <w:marLeft w:val="0"/>
      <w:marRight w:val="0"/>
      <w:marTop w:val="0"/>
      <w:marBottom w:val="0"/>
      <w:divBdr>
        <w:top w:val="none" w:sz="0" w:space="0" w:color="auto"/>
        <w:left w:val="none" w:sz="0" w:space="0" w:color="auto"/>
        <w:bottom w:val="none" w:sz="0" w:space="0" w:color="auto"/>
        <w:right w:val="none" w:sz="0" w:space="0" w:color="auto"/>
      </w:divBdr>
    </w:div>
    <w:div w:id="863399603">
      <w:bodyDiv w:val="1"/>
      <w:marLeft w:val="0"/>
      <w:marRight w:val="0"/>
      <w:marTop w:val="0"/>
      <w:marBottom w:val="0"/>
      <w:divBdr>
        <w:top w:val="none" w:sz="0" w:space="0" w:color="auto"/>
        <w:left w:val="none" w:sz="0" w:space="0" w:color="auto"/>
        <w:bottom w:val="none" w:sz="0" w:space="0" w:color="auto"/>
        <w:right w:val="none" w:sz="0" w:space="0" w:color="auto"/>
      </w:divBdr>
    </w:div>
    <w:div w:id="868104001">
      <w:bodyDiv w:val="1"/>
      <w:marLeft w:val="0"/>
      <w:marRight w:val="0"/>
      <w:marTop w:val="0"/>
      <w:marBottom w:val="0"/>
      <w:divBdr>
        <w:top w:val="none" w:sz="0" w:space="0" w:color="auto"/>
        <w:left w:val="none" w:sz="0" w:space="0" w:color="auto"/>
        <w:bottom w:val="none" w:sz="0" w:space="0" w:color="auto"/>
        <w:right w:val="none" w:sz="0" w:space="0" w:color="auto"/>
      </w:divBdr>
    </w:div>
    <w:div w:id="885264735">
      <w:bodyDiv w:val="1"/>
      <w:marLeft w:val="0"/>
      <w:marRight w:val="0"/>
      <w:marTop w:val="0"/>
      <w:marBottom w:val="0"/>
      <w:divBdr>
        <w:top w:val="none" w:sz="0" w:space="0" w:color="auto"/>
        <w:left w:val="none" w:sz="0" w:space="0" w:color="auto"/>
        <w:bottom w:val="none" w:sz="0" w:space="0" w:color="auto"/>
        <w:right w:val="none" w:sz="0" w:space="0" w:color="auto"/>
      </w:divBdr>
    </w:div>
    <w:div w:id="910969261">
      <w:bodyDiv w:val="1"/>
      <w:marLeft w:val="0"/>
      <w:marRight w:val="0"/>
      <w:marTop w:val="0"/>
      <w:marBottom w:val="0"/>
      <w:divBdr>
        <w:top w:val="none" w:sz="0" w:space="0" w:color="auto"/>
        <w:left w:val="none" w:sz="0" w:space="0" w:color="auto"/>
        <w:bottom w:val="none" w:sz="0" w:space="0" w:color="auto"/>
        <w:right w:val="none" w:sz="0" w:space="0" w:color="auto"/>
      </w:divBdr>
    </w:div>
    <w:div w:id="911622487">
      <w:bodyDiv w:val="1"/>
      <w:marLeft w:val="0"/>
      <w:marRight w:val="0"/>
      <w:marTop w:val="0"/>
      <w:marBottom w:val="0"/>
      <w:divBdr>
        <w:top w:val="none" w:sz="0" w:space="0" w:color="auto"/>
        <w:left w:val="none" w:sz="0" w:space="0" w:color="auto"/>
        <w:bottom w:val="none" w:sz="0" w:space="0" w:color="auto"/>
        <w:right w:val="none" w:sz="0" w:space="0" w:color="auto"/>
      </w:divBdr>
    </w:div>
    <w:div w:id="919489905">
      <w:bodyDiv w:val="1"/>
      <w:marLeft w:val="0"/>
      <w:marRight w:val="0"/>
      <w:marTop w:val="0"/>
      <w:marBottom w:val="0"/>
      <w:divBdr>
        <w:top w:val="none" w:sz="0" w:space="0" w:color="auto"/>
        <w:left w:val="none" w:sz="0" w:space="0" w:color="auto"/>
        <w:bottom w:val="none" w:sz="0" w:space="0" w:color="auto"/>
        <w:right w:val="none" w:sz="0" w:space="0" w:color="auto"/>
      </w:divBdr>
    </w:div>
    <w:div w:id="930821543">
      <w:bodyDiv w:val="1"/>
      <w:marLeft w:val="0"/>
      <w:marRight w:val="0"/>
      <w:marTop w:val="0"/>
      <w:marBottom w:val="0"/>
      <w:divBdr>
        <w:top w:val="none" w:sz="0" w:space="0" w:color="auto"/>
        <w:left w:val="none" w:sz="0" w:space="0" w:color="auto"/>
        <w:bottom w:val="none" w:sz="0" w:space="0" w:color="auto"/>
        <w:right w:val="none" w:sz="0" w:space="0" w:color="auto"/>
      </w:divBdr>
    </w:div>
    <w:div w:id="935871697">
      <w:bodyDiv w:val="1"/>
      <w:marLeft w:val="0"/>
      <w:marRight w:val="0"/>
      <w:marTop w:val="0"/>
      <w:marBottom w:val="0"/>
      <w:divBdr>
        <w:top w:val="none" w:sz="0" w:space="0" w:color="auto"/>
        <w:left w:val="none" w:sz="0" w:space="0" w:color="auto"/>
        <w:bottom w:val="none" w:sz="0" w:space="0" w:color="auto"/>
        <w:right w:val="none" w:sz="0" w:space="0" w:color="auto"/>
      </w:divBdr>
    </w:div>
    <w:div w:id="941642227">
      <w:bodyDiv w:val="1"/>
      <w:marLeft w:val="0"/>
      <w:marRight w:val="0"/>
      <w:marTop w:val="0"/>
      <w:marBottom w:val="0"/>
      <w:divBdr>
        <w:top w:val="none" w:sz="0" w:space="0" w:color="auto"/>
        <w:left w:val="none" w:sz="0" w:space="0" w:color="auto"/>
        <w:bottom w:val="none" w:sz="0" w:space="0" w:color="auto"/>
        <w:right w:val="none" w:sz="0" w:space="0" w:color="auto"/>
      </w:divBdr>
    </w:div>
    <w:div w:id="962077720">
      <w:bodyDiv w:val="1"/>
      <w:marLeft w:val="0"/>
      <w:marRight w:val="0"/>
      <w:marTop w:val="0"/>
      <w:marBottom w:val="0"/>
      <w:divBdr>
        <w:top w:val="none" w:sz="0" w:space="0" w:color="auto"/>
        <w:left w:val="none" w:sz="0" w:space="0" w:color="auto"/>
        <w:bottom w:val="none" w:sz="0" w:space="0" w:color="auto"/>
        <w:right w:val="none" w:sz="0" w:space="0" w:color="auto"/>
      </w:divBdr>
    </w:div>
    <w:div w:id="971056026">
      <w:bodyDiv w:val="1"/>
      <w:marLeft w:val="0"/>
      <w:marRight w:val="0"/>
      <w:marTop w:val="0"/>
      <w:marBottom w:val="0"/>
      <w:divBdr>
        <w:top w:val="none" w:sz="0" w:space="0" w:color="auto"/>
        <w:left w:val="none" w:sz="0" w:space="0" w:color="auto"/>
        <w:bottom w:val="none" w:sz="0" w:space="0" w:color="auto"/>
        <w:right w:val="none" w:sz="0" w:space="0" w:color="auto"/>
      </w:divBdr>
    </w:div>
    <w:div w:id="981420357">
      <w:bodyDiv w:val="1"/>
      <w:marLeft w:val="0"/>
      <w:marRight w:val="0"/>
      <w:marTop w:val="0"/>
      <w:marBottom w:val="0"/>
      <w:divBdr>
        <w:top w:val="none" w:sz="0" w:space="0" w:color="auto"/>
        <w:left w:val="none" w:sz="0" w:space="0" w:color="auto"/>
        <w:bottom w:val="none" w:sz="0" w:space="0" w:color="auto"/>
        <w:right w:val="none" w:sz="0" w:space="0" w:color="auto"/>
      </w:divBdr>
    </w:div>
    <w:div w:id="987174054">
      <w:bodyDiv w:val="1"/>
      <w:marLeft w:val="0"/>
      <w:marRight w:val="0"/>
      <w:marTop w:val="0"/>
      <w:marBottom w:val="0"/>
      <w:divBdr>
        <w:top w:val="none" w:sz="0" w:space="0" w:color="auto"/>
        <w:left w:val="none" w:sz="0" w:space="0" w:color="auto"/>
        <w:bottom w:val="none" w:sz="0" w:space="0" w:color="auto"/>
        <w:right w:val="none" w:sz="0" w:space="0" w:color="auto"/>
      </w:divBdr>
    </w:div>
    <w:div w:id="996155774">
      <w:bodyDiv w:val="1"/>
      <w:marLeft w:val="0"/>
      <w:marRight w:val="0"/>
      <w:marTop w:val="0"/>
      <w:marBottom w:val="0"/>
      <w:divBdr>
        <w:top w:val="none" w:sz="0" w:space="0" w:color="auto"/>
        <w:left w:val="none" w:sz="0" w:space="0" w:color="auto"/>
        <w:bottom w:val="none" w:sz="0" w:space="0" w:color="auto"/>
        <w:right w:val="none" w:sz="0" w:space="0" w:color="auto"/>
      </w:divBdr>
    </w:div>
    <w:div w:id="998969138">
      <w:bodyDiv w:val="1"/>
      <w:marLeft w:val="0"/>
      <w:marRight w:val="0"/>
      <w:marTop w:val="0"/>
      <w:marBottom w:val="0"/>
      <w:divBdr>
        <w:top w:val="none" w:sz="0" w:space="0" w:color="auto"/>
        <w:left w:val="none" w:sz="0" w:space="0" w:color="auto"/>
        <w:bottom w:val="none" w:sz="0" w:space="0" w:color="auto"/>
        <w:right w:val="none" w:sz="0" w:space="0" w:color="auto"/>
      </w:divBdr>
    </w:div>
    <w:div w:id="999774531">
      <w:bodyDiv w:val="1"/>
      <w:marLeft w:val="0"/>
      <w:marRight w:val="0"/>
      <w:marTop w:val="0"/>
      <w:marBottom w:val="0"/>
      <w:divBdr>
        <w:top w:val="none" w:sz="0" w:space="0" w:color="auto"/>
        <w:left w:val="none" w:sz="0" w:space="0" w:color="auto"/>
        <w:bottom w:val="none" w:sz="0" w:space="0" w:color="auto"/>
        <w:right w:val="none" w:sz="0" w:space="0" w:color="auto"/>
      </w:divBdr>
    </w:div>
    <w:div w:id="1003436713">
      <w:bodyDiv w:val="1"/>
      <w:marLeft w:val="0"/>
      <w:marRight w:val="0"/>
      <w:marTop w:val="0"/>
      <w:marBottom w:val="0"/>
      <w:divBdr>
        <w:top w:val="none" w:sz="0" w:space="0" w:color="auto"/>
        <w:left w:val="none" w:sz="0" w:space="0" w:color="auto"/>
        <w:bottom w:val="none" w:sz="0" w:space="0" w:color="auto"/>
        <w:right w:val="none" w:sz="0" w:space="0" w:color="auto"/>
      </w:divBdr>
    </w:div>
    <w:div w:id="1012685645">
      <w:bodyDiv w:val="1"/>
      <w:marLeft w:val="0"/>
      <w:marRight w:val="0"/>
      <w:marTop w:val="0"/>
      <w:marBottom w:val="0"/>
      <w:divBdr>
        <w:top w:val="none" w:sz="0" w:space="0" w:color="auto"/>
        <w:left w:val="none" w:sz="0" w:space="0" w:color="auto"/>
        <w:bottom w:val="none" w:sz="0" w:space="0" w:color="auto"/>
        <w:right w:val="none" w:sz="0" w:space="0" w:color="auto"/>
      </w:divBdr>
    </w:div>
    <w:div w:id="1019233623">
      <w:bodyDiv w:val="1"/>
      <w:marLeft w:val="0"/>
      <w:marRight w:val="0"/>
      <w:marTop w:val="0"/>
      <w:marBottom w:val="0"/>
      <w:divBdr>
        <w:top w:val="none" w:sz="0" w:space="0" w:color="auto"/>
        <w:left w:val="none" w:sz="0" w:space="0" w:color="auto"/>
        <w:bottom w:val="none" w:sz="0" w:space="0" w:color="auto"/>
        <w:right w:val="none" w:sz="0" w:space="0" w:color="auto"/>
      </w:divBdr>
    </w:div>
    <w:div w:id="1021050884">
      <w:bodyDiv w:val="1"/>
      <w:marLeft w:val="0"/>
      <w:marRight w:val="0"/>
      <w:marTop w:val="0"/>
      <w:marBottom w:val="0"/>
      <w:divBdr>
        <w:top w:val="none" w:sz="0" w:space="0" w:color="auto"/>
        <w:left w:val="none" w:sz="0" w:space="0" w:color="auto"/>
        <w:bottom w:val="none" w:sz="0" w:space="0" w:color="auto"/>
        <w:right w:val="none" w:sz="0" w:space="0" w:color="auto"/>
      </w:divBdr>
    </w:div>
    <w:div w:id="1021201648">
      <w:bodyDiv w:val="1"/>
      <w:marLeft w:val="0"/>
      <w:marRight w:val="0"/>
      <w:marTop w:val="0"/>
      <w:marBottom w:val="0"/>
      <w:divBdr>
        <w:top w:val="none" w:sz="0" w:space="0" w:color="auto"/>
        <w:left w:val="none" w:sz="0" w:space="0" w:color="auto"/>
        <w:bottom w:val="none" w:sz="0" w:space="0" w:color="auto"/>
        <w:right w:val="none" w:sz="0" w:space="0" w:color="auto"/>
      </w:divBdr>
    </w:div>
    <w:div w:id="1035038484">
      <w:bodyDiv w:val="1"/>
      <w:marLeft w:val="0"/>
      <w:marRight w:val="0"/>
      <w:marTop w:val="0"/>
      <w:marBottom w:val="0"/>
      <w:divBdr>
        <w:top w:val="none" w:sz="0" w:space="0" w:color="auto"/>
        <w:left w:val="none" w:sz="0" w:space="0" w:color="auto"/>
        <w:bottom w:val="none" w:sz="0" w:space="0" w:color="auto"/>
        <w:right w:val="none" w:sz="0" w:space="0" w:color="auto"/>
      </w:divBdr>
    </w:div>
    <w:div w:id="1051005859">
      <w:bodyDiv w:val="1"/>
      <w:marLeft w:val="0"/>
      <w:marRight w:val="0"/>
      <w:marTop w:val="0"/>
      <w:marBottom w:val="0"/>
      <w:divBdr>
        <w:top w:val="none" w:sz="0" w:space="0" w:color="auto"/>
        <w:left w:val="none" w:sz="0" w:space="0" w:color="auto"/>
        <w:bottom w:val="none" w:sz="0" w:space="0" w:color="auto"/>
        <w:right w:val="none" w:sz="0" w:space="0" w:color="auto"/>
      </w:divBdr>
      <w:divsChild>
        <w:div w:id="464011353">
          <w:marLeft w:val="0"/>
          <w:marRight w:val="0"/>
          <w:marTop w:val="0"/>
          <w:marBottom w:val="0"/>
          <w:divBdr>
            <w:top w:val="none" w:sz="0" w:space="0" w:color="auto"/>
            <w:left w:val="none" w:sz="0" w:space="0" w:color="auto"/>
            <w:bottom w:val="none" w:sz="0" w:space="0" w:color="auto"/>
            <w:right w:val="none" w:sz="0" w:space="0" w:color="auto"/>
          </w:divBdr>
          <w:divsChild>
            <w:div w:id="81805043">
              <w:marLeft w:val="0"/>
              <w:marRight w:val="0"/>
              <w:marTop w:val="0"/>
              <w:marBottom w:val="0"/>
              <w:divBdr>
                <w:top w:val="none" w:sz="0" w:space="0" w:color="auto"/>
                <w:left w:val="none" w:sz="0" w:space="0" w:color="auto"/>
                <w:bottom w:val="none" w:sz="0" w:space="0" w:color="auto"/>
                <w:right w:val="none" w:sz="0" w:space="0" w:color="auto"/>
              </w:divBdr>
              <w:divsChild>
                <w:div w:id="2081631822">
                  <w:marLeft w:val="0"/>
                  <w:marRight w:val="0"/>
                  <w:marTop w:val="0"/>
                  <w:marBottom w:val="0"/>
                  <w:divBdr>
                    <w:top w:val="none" w:sz="0" w:space="0" w:color="auto"/>
                    <w:left w:val="none" w:sz="0" w:space="0" w:color="auto"/>
                    <w:bottom w:val="none" w:sz="0" w:space="0" w:color="auto"/>
                    <w:right w:val="none" w:sz="0" w:space="0" w:color="auto"/>
                  </w:divBdr>
                  <w:divsChild>
                    <w:div w:id="1059090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8094276">
          <w:marLeft w:val="0"/>
          <w:marRight w:val="0"/>
          <w:marTop w:val="0"/>
          <w:marBottom w:val="0"/>
          <w:divBdr>
            <w:top w:val="none" w:sz="0" w:space="0" w:color="auto"/>
            <w:left w:val="none" w:sz="0" w:space="0" w:color="auto"/>
            <w:bottom w:val="none" w:sz="0" w:space="0" w:color="auto"/>
            <w:right w:val="none" w:sz="0" w:space="0" w:color="auto"/>
          </w:divBdr>
          <w:divsChild>
            <w:div w:id="1112869630">
              <w:marLeft w:val="0"/>
              <w:marRight w:val="0"/>
              <w:marTop w:val="0"/>
              <w:marBottom w:val="0"/>
              <w:divBdr>
                <w:top w:val="none" w:sz="0" w:space="0" w:color="auto"/>
                <w:left w:val="none" w:sz="0" w:space="0" w:color="auto"/>
                <w:bottom w:val="none" w:sz="0" w:space="0" w:color="auto"/>
                <w:right w:val="none" w:sz="0" w:space="0" w:color="auto"/>
              </w:divBdr>
              <w:divsChild>
                <w:div w:id="1611543754">
                  <w:marLeft w:val="0"/>
                  <w:marRight w:val="0"/>
                  <w:marTop w:val="0"/>
                  <w:marBottom w:val="0"/>
                  <w:divBdr>
                    <w:top w:val="none" w:sz="0" w:space="0" w:color="auto"/>
                    <w:left w:val="none" w:sz="0" w:space="0" w:color="auto"/>
                    <w:bottom w:val="none" w:sz="0" w:space="0" w:color="auto"/>
                    <w:right w:val="none" w:sz="0" w:space="0" w:color="auto"/>
                  </w:divBdr>
                  <w:divsChild>
                    <w:div w:id="1033774205">
                      <w:marLeft w:val="0"/>
                      <w:marRight w:val="0"/>
                      <w:marTop w:val="0"/>
                      <w:marBottom w:val="0"/>
                      <w:divBdr>
                        <w:top w:val="none" w:sz="0" w:space="0" w:color="auto"/>
                        <w:left w:val="none" w:sz="0" w:space="0" w:color="auto"/>
                        <w:bottom w:val="none" w:sz="0" w:space="0" w:color="auto"/>
                        <w:right w:val="none" w:sz="0" w:space="0" w:color="auto"/>
                      </w:divBdr>
                      <w:divsChild>
                        <w:div w:id="639767229">
                          <w:marLeft w:val="0"/>
                          <w:marRight w:val="0"/>
                          <w:marTop w:val="0"/>
                          <w:marBottom w:val="0"/>
                          <w:divBdr>
                            <w:top w:val="none" w:sz="0" w:space="0" w:color="auto"/>
                            <w:left w:val="none" w:sz="0" w:space="0" w:color="auto"/>
                            <w:bottom w:val="none" w:sz="0" w:space="0" w:color="auto"/>
                            <w:right w:val="none" w:sz="0" w:space="0" w:color="auto"/>
                          </w:divBdr>
                        </w:div>
                        <w:div w:id="1828669910">
                          <w:marLeft w:val="0"/>
                          <w:marRight w:val="0"/>
                          <w:marTop w:val="0"/>
                          <w:marBottom w:val="0"/>
                          <w:divBdr>
                            <w:top w:val="none" w:sz="0" w:space="0" w:color="auto"/>
                            <w:left w:val="none" w:sz="0" w:space="0" w:color="auto"/>
                            <w:bottom w:val="none" w:sz="0" w:space="0" w:color="auto"/>
                            <w:right w:val="none" w:sz="0" w:space="0" w:color="auto"/>
                          </w:divBdr>
                        </w:div>
                        <w:div w:id="1989744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7897485">
      <w:bodyDiv w:val="1"/>
      <w:marLeft w:val="0"/>
      <w:marRight w:val="0"/>
      <w:marTop w:val="0"/>
      <w:marBottom w:val="0"/>
      <w:divBdr>
        <w:top w:val="none" w:sz="0" w:space="0" w:color="auto"/>
        <w:left w:val="none" w:sz="0" w:space="0" w:color="auto"/>
        <w:bottom w:val="none" w:sz="0" w:space="0" w:color="auto"/>
        <w:right w:val="none" w:sz="0" w:space="0" w:color="auto"/>
      </w:divBdr>
    </w:div>
    <w:div w:id="1058675709">
      <w:bodyDiv w:val="1"/>
      <w:marLeft w:val="0"/>
      <w:marRight w:val="0"/>
      <w:marTop w:val="0"/>
      <w:marBottom w:val="0"/>
      <w:divBdr>
        <w:top w:val="none" w:sz="0" w:space="0" w:color="auto"/>
        <w:left w:val="none" w:sz="0" w:space="0" w:color="auto"/>
        <w:bottom w:val="none" w:sz="0" w:space="0" w:color="auto"/>
        <w:right w:val="none" w:sz="0" w:space="0" w:color="auto"/>
      </w:divBdr>
    </w:div>
    <w:div w:id="1061831029">
      <w:bodyDiv w:val="1"/>
      <w:marLeft w:val="0"/>
      <w:marRight w:val="0"/>
      <w:marTop w:val="0"/>
      <w:marBottom w:val="0"/>
      <w:divBdr>
        <w:top w:val="none" w:sz="0" w:space="0" w:color="auto"/>
        <w:left w:val="none" w:sz="0" w:space="0" w:color="auto"/>
        <w:bottom w:val="none" w:sz="0" w:space="0" w:color="auto"/>
        <w:right w:val="none" w:sz="0" w:space="0" w:color="auto"/>
      </w:divBdr>
    </w:div>
    <w:div w:id="1068111621">
      <w:bodyDiv w:val="1"/>
      <w:marLeft w:val="0"/>
      <w:marRight w:val="0"/>
      <w:marTop w:val="0"/>
      <w:marBottom w:val="0"/>
      <w:divBdr>
        <w:top w:val="none" w:sz="0" w:space="0" w:color="auto"/>
        <w:left w:val="none" w:sz="0" w:space="0" w:color="auto"/>
        <w:bottom w:val="none" w:sz="0" w:space="0" w:color="auto"/>
        <w:right w:val="none" w:sz="0" w:space="0" w:color="auto"/>
      </w:divBdr>
    </w:div>
    <w:div w:id="1091971130">
      <w:bodyDiv w:val="1"/>
      <w:marLeft w:val="0"/>
      <w:marRight w:val="0"/>
      <w:marTop w:val="0"/>
      <w:marBottom w:val="0"/>
      <w:divBdr>
        <w:top w:val="none" w:sz="0" w:space="0" w:color="auto"/>
        <w:left w:val="none" w:sz="0" w:space="0" w:color="auto"/>
        <w:bottom w:val="none" w:sz="0" w:space="0" w:color="auto"/>
        <w:right w:val="none" w:sz="0" w:space="0" w:color="auto"/>
      </w:divBdr>
    </w:div>
    <w:div w:id="1098912464">
      <w:bodyDiv w:val="1"/>
      <w:marLeft w:val="0"/>
      <w:marRight w:val="0"/>
      <w:marTop w:val="0"/>
      <w:marBottom w:val="0"/>
      <w:divBdr>
        <w:top w:val="none" w:sz="0" w:space="0" w:color="auto"/>
        <w:left w:val="none" w:sz="0" w:space="0" w:color="auto"/>
        <w:bottom w:val="none" w:sz="0" w:space="0" w:color="auto"/>
        <w:right w:val="none" w:sz="0" w:space="0" w:color="auto"/>
      </w:divBdr>
      <w:divsChild>
        <w:div w:id="81074593">
          <w:marLeft w:val="0"/>
          <w:marRight w:val="0"/>
          <w:marTop w:val="0"/>
          <w:marBottom w:val="0"/>
          <w:divBdr>
            <w:top w:val="none" w:sz="0" w:space="0" w:color="auto"/>
            <w:left w:val="none" w:sz="0" w:space="0" w:color="auto"/>
            <w:bottom w:val="none" w:sz="0" w:space="0" w:color="auto"/>
            <w:right w:val="none" w:sz="0" w:space="0" w:color="auto"/>
          </w:divBdr>
        </w:div>
        <w:div w:id="135609641">
          <w:marLeft w:val="0"/>
          <w:marRight w:val="0"/>
          <w:marTop w:val="0"/>
          <w:marBottom w:val="0"/>
          <w:divBdr>
            <w:top w:val="none" w:sz="0" w:space="0" w:color="auto"/>
            <w:left w:val="none" w:sz="0" w:space="0" w:color="auto"/>
            <w:bottom w:val="none" w:sz="0" w:space="0" w:color="auto"/>
            <w:right w:val="none" w:sz="0" w:space="0" w:color="auto"/>
          </w:divBdr>
        </w:div>
        <w:div w:id="180977556">
          <w:marLeft w:val="0"/>
          <w:marRight w:val="0"/>
          <w:marTop w:val="0"/>
          <w:marBottom w:val="0"/>
          <w:divBdr>
            <w:top w:val="none" w:sz="0" w:space="0" w:color="auto"/>
            <w:left w:val="none" w:sz="0" w:space="0" w:color="auto"/>
            <w:bottom w:val="none" w:sz="0" w:space="0" w:color="auto"/>
            <w:right w:val="none" w:sz="0" w:space="0" w:color="auto"/>
          </w:divBdr>
        </w:div>
        <w:div w:id="230703049">
          <w:marLeft w:val="0"/>
          <w:marRight w:val="0"/>
          <w:marTop w:val="0"/>
          <w:marBottom w:val="0"/>
          <w:divBdr>
            <w:top w:val="none" w:sz="0" w:space="0" w:color="auto"/>
            <w:left w:val="none" w:sz="0" w:space="0" w:color="auto"/>
            <w:bottom w:val="none" w:sz="0" w:space="0" w:color="auto"/>
            <w:right w:val="none" w:sz="0" w:space="0" w:color="auto"/>
          </w:divBdr>
        </w:div>
        <w:div w:id="682172645">
          <w:marLeft w:val="0"/>
          <w:marRight w:val="0"/>
          <w:marTop w:val="0"/>
          <w:marBottom w:val="0"/>
          <w:divBdr>
            <w:top w:val="none" w:sz="0" w:space="0" w:color="auto"/>
            <w:left w:val="none" w:sz="0" w:space="0" w:color="auto"/>
            <w:bottom w:val="none" w:sz="0" w:space="0" w:color="auto"/>
            <w:right w:val="none" w:sz="0" w:space="0" w:color="auto"/>
          </w:divBdr>
        </w:div>
        <w:div w:id="693766768">
          <w:marLeft w:val="0"/>
          <w:marRight w:val="0"/>
          <w:marTop w:val="0"/>
          <w:marBottom w:val="0"/>
          <w:divBdr>
            <w:top w:val="none" w:sz="0" w:space="0" w:color="auto"/>
            <w:left w:val="none" w:sz="0" w:space="0" w:color="auto"/>
            <w:bottom w:val="none" w:sz="0" w:space="0" w:color="auto"/>
            <w:right w:val="none" w:sz="0" w:space="0" w:color="auto"/>
          </w:divBdr>
        </w:div>
        <w:div w:id="972174961">
          <w:marLeft w:val="0"/>
          <w:marRight w:val="0"/>
          <w:marTop w:val="0"/>
          <w:marBottom w:val="0"/>
          <w:divBdr>
            <w:top w:val="none" w:sz="0" w:space="0" w:color="auto"/>
            <w:left w:val="none" w:sz="0" w:space="0" w:color="auto"/>
            <w:bottom w:val="none" w:sz="0" w:space="0" w:color="auto"/>
            <w:right w:val="none" w:sz="0" w:space="0" w:color="auto"/>
          </w:divBdr>
        </w:div>
        <w:div w:id="1108308715">
          <w:marLeft w:val="0"/>
          <w:marRight w:val="0"/>
          <w:marTop w:val="0"/>
          <w:marBottom w:val="0"/>
          <w:divBdr>
            <w:top w:val="none" w:sz="0" w:space="0" w:color="auto"/>
            <w:left w:val="none" w:sz="0" w:space="0" w:color="auto"/>
            <w:bottom w:val="none" w:sz="0" w:space="0" w:color="auto"/>
            <w:right w:val="none" w:sz="0" w:space="0" w:color="auto"/>
          </w:divBdr>
        </w:div>
        <w:div w:id="1159344493">
          <w:marLeft w:val="0"/>
          <w:marRight w:val="0"/>
          <w:marTop w:val="0"/>
          <w:marBottom w:val="0"/>
          <w:divBdr>
            <w:top w:val="none" w:sz="0" w:space="0" w:color="auto"/>
            <w:left w:val="none" w:sz="0" w:space="0" w:color="auto"/>
            <w:bottom w:val="none" w:sz="0" w:space="0" w:color="auto"/>
            <w:right w:val="none" w:sz="0" w:space="0" w:color="auto"/>
          </w:divBdr>
        </w:div>
        <w:div w:id="1395620596">
          <w:marLeft w:val="0"/>
          <w:marRight w:val="0"/>
          <w:marTop w:val="0"/>
          <w:marBottom w:val="0"/>
          <w:divBdr>
            <w:top w:val="none" w:sz="0" w:space="0" w:color="auto"/>
            <w:left w:val="none" w:sz="0" w:space="0" w:color="auto"/>
            <w:bottom w:val="none" w:sz="0" w:space="0" w:color="auto"/>
            <w:right w:val="none" w:sz="0" w:space="0" w:color="auto"/>
          </w:divBdr>
        </w:div>
        <w:div w:id="1400635534">
          <w:marLeft w:val="0"/>
          <w:marRight w:val="0"/>
          <w:marTop w:val="0"/>
          <w:marBottom w:val="0"/>
          <w:divBdr>
            <w:top w:val="none" w:sz="0" w:space="0" w:color="auto"/>
            <w:left w:val="none" w:sz="0" w:space="0" w:color="auto"/>
            <w:bottom w:val="none" w:sz="0" w:space="0" w:color="auto"/>
            <w:right w:val="none" w:sz="0" w:space="0" w:color="auto"/>
          </w:divBdr>
        </w:div>
        <w:div w:id="1475754779">
          <w:marLeft w:val="0"/>
          <w:marRight w:val="0"/>
          <w:marTop w:val="0"/>
          <w:marBottom w:val="0"/>
          <w:divBdr>
            <w:top w:val="none" w:sz="0" w:space="0" w:color="auto"/>
            <w:left w:val="none" w:sz="0" w:space="0" w:color="auto"/>
            <w:bottom w:val="none" w:sz="0" w:space="0" w:color="auto"/>
            <w:right w:val="none" w:sz="0" w:space="0" w:color="auto"/>
          </w:divBdr>
        </w:div>
        <w:div w:id="1777216163">
          <w:marLeft w:val="0"/>
          <w:marRight w:val="0"/>
          <w:marTop w:val="0"/>
          <w:marBottom w:val="0"/>
          <w:divBdr>
            <w:top w:val="none" w:sz="0" w:space="0" w:color="auto"/>
            <w:left w:val="none" w:sz="0" w:space="0" w:color="auto"/>
            <w:bottom w:val="none" w:sz="0" w:space="0" w:color="auto"/>
            <w:right w:val="none" w:sz="0" w:space="0" w:color="auto"/>
          </w:divBdr>
        </w:div>
        <w:div w:id="2031369745">
          <w:marLeft w:val="0"/>
          <w:marRight w:val="0"/>
          <w:marTop w:val="0"/>
          <w:marBottom w:val="0"/>
          <w:divBdr>
            <w:top w:val="none" w:sz="0" w:space="0" w:color="auto"/>
            <w:left w:val="none" w:sz="0" w:space="0" w:color="auto"/>
            <w:bottom w:val="none" w:sz="0" w:space="0" w:color="auto"/>
            <w:right w:val="none" w:sz="0" w:space="0" w:color="auto"/>
          </w:divBdr>
        </w:div>
      </w:divsChild>
    </w:div>
    <w:div w:id="1114908638">
      <w:bodyDiv w:val="1"/>
      <w:marLeft w:val="0"/>
      <w:marRight w:val="0"/>
      <w:marTop w:val="0"/>
      <w:marBottom w:val="0"/>
      <w:divBdr>
        <w:top w:val="none" w:sz="0" w:space="0" w:color="auto"/>
        <w:left w:val="none" w:sz="0" w:space="0" w:color="auto"/>
        <w:bottom w:val="none" w:sz="0" w:space="0" w:color="auto"/>
        <w:right w:val="none" w:sz="0" w:space="0" w:color="auto"/>
      </w:divBdr>
    </w:div>
    <w:div w:id="1130585400">
      <w:bodyDiv w:val="1"/>
      <w:marLeft w:val="0"/>
      <w:marRight w:val="0"/>
      <w:marTop w:val="0"/>
      <w:marBottom w:val="0"/>
      <w:divBdr>
        <w:top w:val="none" w:sz="0" w:space="0" w:color="auto"/>
        <w:left w:val="none" w:sz="0" w:space="0" w:color="auto"/>
        <w:bottom w:val="none" w:sz="0" w:space="0" w:color="auto"/>
        <w:right w:val="none" w:sz="0" w:space="0" w:color="auto"/>
      </w:divBdr>
    </w:div>
    <w:div w:id="1138448826">
      <w:bodyDiv w:val="1"/>
      <w:marLeft w:val="0"/>
      <w:marRight w:val="0"/>
      <w:marTop w:val="0"/>
      <w:marBottom w:val="0"/>
      <w:divBdr>
        <w:top w:val="none" w:sz="0" w:space="0" w:color="auto"/>
        <w:left w:val="none" w:sz="0" w:space="0" w:color="auto"/>
        <w:bottom w:val="none" w:sz="0" w:space="0" w:color="auto"/>
        <w:right w:val="none" w:sz="0" w:space="0" w:color="auto"/>
      </w:divBdr>
    </w:div>
    <w:div w:id="1149591133">
      <w:bodyDiv w:val="1"/>
      <w:marLeft w:val="0"/>
      <w:marRight w:val="0"/>
      <w:marTop w:val="0"/>
      <w:marBottom w:val="0"/>
      <w:divBdr>
        <w:top w:val="none" w:sz="0" w:space="0" w:color="auto"/>
        <w:left w:val="none" w:sz="0" w:space="0" w:color="auto"/>
        <w:bottom w:val="none" w:sz="0" w:space="0" w:color="auto"/>
        <w:right w:val="none" w:sz="0" w:space="0" w:color="auto"/>
      </w:divBdr>
    </w:div>
    <w:div w:id="1154221512">
      <w:bodyDiv w:val="1"/>
      <w:marLeft w:val="0"/>
      <w:marRight w:val="0"/>
      <w:marTop w:val="0"/>
      <w:marBottom w:val="0"/>
      <w:divBdr>
        <w:top w:val="none" w:sz="0" w:space="0" w:color="auto"/>
        <w:left w:val="none" w:sz="0" w:space="0" w:color="auto"/>
        <w:bottom w:val="none" w:sz="0" w:space="0" w:color="auto"/>
        <w:right w:val="none" w:sz="0" w:space="0" w:color="auto"/>
      </w:divBdr>
    </w:div>
    <w:div w:id="1157918712">
      <w:bodyDiv w:val="1"/>
      <w:marLeft w:val="0"/>
      <w:marRight w:val="0"/>
      <w:marTop w:val="0"/>
      <w:marBottom w:val="0"/>
      <w:divBdr>
        <w:top w:val="none" w:sz="0" w:space="0" w:color="auto"/>
        <w:left w:val="none" w:sz="0" w:space="0" w:color="auto"/>
        <w:bottom w:val="none" w:sz="0" w:space="0" w:color="auto"/>
        <w:right w:val="none" w:sz="0" w:space="0" w:color="auto"/>
      </w:divBdr>
    </w:div>
    <w:div w:id="1181121641">
      <w:bodyDiv w:val="1"/>
      <w:marLeft w:val="0"/>
      <w:marRight w:val="0"/>
      <w:marTop w:val="0"/>
      <w:marBottom w:val="0"/>
      <w:divBdr>
        <w:top w:val="none" w:sz="0" w:space="0" w:color="auto"/>
        <w:left w:val="none" w:sz="0" w:space="0" w:color="auto"/>
        <w:bottom w:val="none" w:sz="0" w:space="0" w:color="auto"/>
        <w:right w:val="none" w:sz="0" w:space="0" w:color="auto"/>
      </w:divBdr>
      <w:divsChild>
        <w:div w:id="397284692">
          <w:marLeft w:val="0"/>
          <w:marRight w:val="0"/>
          <w:marTop w:val="0"/>
          <w:marBottom w:val="0"/>
          <w:divBdr>
            <w:top w:val="none" w:sz="0" w:space="0" w:color="auto"/>
            <w:left w:val="none" w:sz="0" w:space="0" w:color="auto"/>
            <w:bottom w:val="none" w:sz="0" w:space="0" w:color="auto"/>
            <w:right w:val="none" w:sz="0" w:space="0" w:color="auto"/>
          </w:divBdr>
          <w:divsChild>
            <w:div w:id="67776169">
              <w:marLeft w:val="0"/>
              <w:marRight w:val="0"/>
              <w:marTop w:val="0"/>
              <w:marBottom w:val="0"/>
              <w:divBdr>
                <w:top w:val="none" w:sz="0" w:space="0" w:color="auto"/>
                <w:left w:val="none" w:sz="0" w:space="0" w:color="auto"/>
                <w:bottom w:val="none" w:sz="0" w:space="0" w:color="auto"/>
                <w:right w:val="none" w:sz="0" w:space="0" w:color="auto"/>
              </w:divBdr>
              <w:divsChild>
                <w:div w:id="802307623">
                  <w:marLeft w:val="0"/>
                  <w:marRight w:val="0"/>
                  <w:marTop w:val="0"/>
                  <w:marBottom w:val="0"/>
                  <w:divBdr>
                    <w:top w:val="none" w:sz="0" w:space="0" w:color="auto"/>
                    <w:left w:val="none" w:sz="0" w:space="0" w:color="auto"/>
                    <w:bottom w:val="none" w:sz="0" w:space="0" w:color="auto"/>
                    <w:right w:val="none" w:sz="0" w:space="0" w:color="auto"/>
                  </w:divBdr>
                  <w:divsChild>
                    <w:div w:id="742991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8898498">
          <w:marLeft w:val="0"/>
          <w:marRight w:val="0"/>
          <w:marTop w:val="0"/>
          <w:marBottom w:val="0"/>
          <w:divBdr>
            <w:top w:val="none" w:sz="0" w:space="0" w:color="auto"/>
            <w:left w:val="none" w:sz="0" w:space="0" w:color="auto"/>
            <w:bottom w:val="none" w:sz="0" w:space="0" w:color="auto"/>
            <w:right w:val="none" w:sz="0" w:space="0" w:color="auto"/>
          </w:divBdr>
          <w:divsChild>
            <w:div w:id="816263241">
              <w:marLeft w:val="0"/>
              <w:marRight w:val="0"/>
              <w:marTop w:val="0"/>
              <w:marBottom w:val="0"/>
              <w:divBdr>
                <w:top w:val="none" w:sz="0" w:space="0" w:color="auto"/>
                <w:left w:val="none" w:sz="0" w:space="0" w:color="auto"/>
                <w:bottom w:val="none" w:sz="0" w:space="0" w:color="auto"/>
                <w:right w:val="none" w:sz="0" w:space="0" w:color="auto"/>
              </w:divBdr>
              <w:divsChild>
                <w:div w:id="177349042">
                  <w:marLeft w:val="0"/>
                  <w:marRight w:val="0"/>
                  <w:marTop w:val="0"/>
                  <w:marBottom w:val="0"/>
                  <w:divBdr>
                    <w:top w:val="none" w:sz="0" w:space="0" w:color="auto"/>
                    <w:left w:val="none" w:sz="0" w:space="0" w:color="auto"/>
                    <w:bottom w:val="none" w:sz="0" w:space="0" w:color="auto"/>
                    <w:right w:val="none" w:sz="0" w:space="0" w:color="auto"/>
                  </w:divBdr>
                  <w:divsChild>
                    <w:div w:id="1303269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4779817">
      <w:bodyDiv w:val="1"/>
      <w:marLeft w:val="0"/>
      <w:marRight w:val="0"/>
      <w:marTop w:val="0"/>
      <w:marBottom w:val="0"/>
      <w:divBdr>
        <w:top w:val="none" w:sz="0" w:space="0" w:color="auto"/>
        <w:left w:val="none" w:sz="0" w:space="0" w:color="auto"/>
        <w:bottom w:val="none" w:sz="0" w:space="0" w:color="auto"/>
        <w:right w:val="none" w:sz="0" w:space="0" w:color="auto"/>
      </w:divBdr>
    </w:div>
    <w:div w:id="1206521164">
      <w:bodyDiv w:val="1"/>
      <w:marLeft w:val="0"/>
      <w:marRight w:val="0"/>
      <w:marTop w:val="0"/>
      <w:marBottom w:val="0"/>
      <w:divBdr>
        <w:top w:val="none" w:sz="0" w:space="0" w:color="auto"/>
        <w:left w:val="none" w:sz="0" w:space="0" w:color="auto"/>
        <w:bottom w:val="none" w:sz="0" w:space="0" w:color="auto"/>
        <w:right w:val="none" w:sz="0" w:space="0" w:color="auto"/>
      </w:divBdr>
    </w:div>
    <w:div w:id="1210191785">
      <w:bodyDiv w:val="1"/>
      <w:marLeft w:val="0"/>
      <w:marRight w:val="0"/>
      <w:marTop w:val="0"/>
      <w:marBottom w:val="0"/>
      <w:divBdr>
        <w:top w:val="none" w:sz="0" w:space="0" w:color="auto"/>
        <w:left w:val="none" w:sz="0" w:space="0" w:color="auto"/>
        <w:bottom w:val="none" w:sz="0" w:space="0" w:color="auto"/>
        <w:right w:val="none" w:sz="0" w:space="0" w:color="auto"/>
      </w:divBdr>
    </w:div>
    <w:div w:id="1222716109">
      <w:bodyDiv w:val="1"/>
      <w:marLeft w:val="0"/>
      <w:marRight w:val="0"/>
      <w:marTop w:val="0"/>
      <w:marBottom w:val="0"/>
      <w:divBdr>
        <w:top w:val="none" w:sz="0" w:space="0" w:color="auto"/>
        <w:left w:val="none" w:sz="0" w:space="0" w:color="auto"/>
        <w:bottom w:val="none" w:sz="0" w:space="0" w:color="auto"/>
        <w:right w:val="none" w:sz="0" w:space="0" w:color="auto"/>
      </w:divBdr>
    </w:div>
    <w:div w:id="1233076685">
      <w:bodyDiv w:val="1"/>
      <w:marLeft w:val="0"/>
      <w:marRight w:val="0"/>
      <w:marTop w:val="0"/>
      <w:marBottom w:val="0"/>
      <w:divBdr>
        <w:top w:val="none" w:sz="0" w:space="0" w:color="auto"/>
        <w:left w:val="none" w:sz="0" w:space="0" w:color="auto"/>
        <w:bottom w:val="none" w:sz="0" w:space="0" w:color="auto"/>
        <w:right w:val="none" w:sz="0" w:space="0" w:color="auto"/>
      </w:divBdr>
    </w:div>
    <w:div w:id="1233388680">
      <w:bodyDiv w:val="1"/>
      <w:marLeft w:val="0"/>
      <w:marRight w:val="0"/>
      <w:marTop w:val="0"/>
      <w:marBottom w:val="0"/>
      <w:divBdr>
        <w:top w:val="none" w:sz="0" w:space="0" w:color="auto"/>
        <w:left w:val="none" w:sz="0" w:space="0" w:color="auto"/>
        <w:bottom w:val="none" w:sz="0" w:space="0" w:color="auto"/>
        <w:right w:val="none" w:sz="0" w:space="0" w:color="auto"/>
      </w:divBdr>
    </w:div>
    <w:div w:id="1248882527">
      <w:bodyDiv w:val="1"/>
      <w:marLeft w:val="0"/>
      <w:marRight w:val="0"/>
      <w:marTop w:val="0"/>
      <w:marBottom w:val="0"/>
      <w:divBdr>
        <w:top w:val="none" w:sz="0" w:space="0" w:color="auto"/>
        <w:left w:val="none" w:sz="0" w:space="0" w:color="auto"/>
        <w:bottom w:val="none" w:sz="0" w:space="0" w:color="auto"/>
        <w:right w:val="none" w:sz="0" w:space="0" w:color="auto"/>
      </w:divBdr>
    </w:div>
    <w:div w:id="1256018731">
      <w:bodyDiv w:val="1"/>
      <w:marLeft w:val="0"/>
      <w:marRight w:val="0"/>
      <w:marTop w:val="0"/>
      <w:marBottom w:val="0"/>
      <w:divBdr>
        <w:top w:val="none" w:sz="0" w:space="0" w:color="auto"/>
        <w:left w:val="none" w:sz="0" w:space="0" w:color="auto"/>
        <w:bottom w:val="none" w:sz="0" w:space="0" w:color="auto"/>
        <w:right w:val="none" w:sz="0" w:space="0" w:color="auto"/>
      </w:divBdr>
    </w:div>
    <w:div w:id="1266309094">
      <w:bodyDiv w:val="1"/>
      <w:marLeft w:val="0"/>
      <w:marRight w:val="0"/>
      <w:marTop w:val="0"/>
      <w:marBottom w:val="0"/>
      <w:divBdr>
        <w:top w:val="none" w:sz="0" w:space="0" w:color="auto"/>
        <w:left w:val="none" w:sz="0" w:space="0" w:color="auto"/>
        <w:bottom w:val="none" w:sz="0" w:space="0" w:color="auto"/>
        <w:right w:val="none" w:sz="0" w:space="0" w:color="auto"/>
      </w:divBdr>
      <w:divsChild>
        <w:div w:id="84421319">
          <w:marLeft w:val="480"/>
          <w:marRight w:val="0"/>
          <w:marTop w:val="0"/>
          <w:marBottom w:val="0"/>
          <w:divBdr>
            <w:top w:val="none" w:sz="0" w:space="0" w:color="auto"/>
            <w:left w:val="none" w:sz="0" w:space="0" w:color="auto"/>
            <w:bottom w:val="none" w:sz="0" w:space="0" w:color="auto"/>
            <w:right w:val="none" w:sz="0" w:space="0" w:color="auto"/>
          </w:divBdr>
        </w:div>
        <w:div w:id="453868298">
          <w:marLeft w:val="480"/>
          <w:marRight w:val="0"/>
          <w:marTop w:val="0"/>
          <w:marBottom w:val="0"/>
          <w:divBdr>
            <w:top w:val="none" w:sz="0" w:space="0" w:color="auto"/>
            <w:left w:val="none" w:sz="0" w:space="0" w:color="auto"/>
            <w:bottom w:val="none" w:sz="0" w:space="0" w:color="auto"/>
            <w:right w:val="none" w:sz="0" w:space="0" w:color="auto"/>
          </w:divBdr>
        </w:div>
      </w:divsChild>
    </w:div>
    <w:div w:id="1275794572">
      <w:bodyDiv w:val="1"/>
      <w:marLeft w:val="0"/>
      <w:marRight w:val="0"/>
      <w:marTop w:val="0"/>
      <w:marBottom w:val="0"/>
      <w:divBdr>
        <w:top w:val="none" w:sz="0" w:space="0" w:color="auto"/>
        <w:left w:val="none" w:sz="0" w:space="0" w:color="auto"/>
        <w:bottom w:val="none" w:sz="0" w:space="0" w:color="auto"/>
        <w:right w:val="none" w:sz="0" w:space="0" w:color="auto"/>
      </w:divBdr>
    </w:div>
    <w:div w:id="1276520378">
      <w:bodyDiv w:val="1"/>
      <w:marLeft w:val="0"/>
      <w:marRight w:val="0"/>
      <w:marTop w:val="0"/>
      <w:marBottom w:val="0"/>
      <w:divBdr>
        <w:top w:val="none" w:sz="0" w:space="0" w:color="auto"/>
        <w:left w:val="none" w:sz="0" w:space="0" w:color="auto"/>
        <w:bottom w:val="none" w:sz="0" w:space="0" w:color="auto"/>
        <w:right w:val="none" w:sz="0" w:space="0" w:color="auto"/>
      </w:divBdr>
      <w:divsChild>
        <w:div w:id="366486452">
          <w:marLeft w:val="0"/>
          <w:marRight w:val="0"/>
          <w:marTop w:val="0"/>
          <w:marBottom w:val="0"/>
          <w:divBdr>
            <w:top w:val="none" w:sz="0" w:space="0" w:color="auto"/>
            <w:left w:val="none" w:sz="0" w:space="0" w:color="auto"/>
            <w:bottom w:val="none" w:sz="0" w:space="0" w:color="auto"/>
            <w:right w:val="none" w:sz="0" w:space="0" w:color="auto"/>
          </w:divBdr>
          <w:divsChild>
            <w:div w:id="884870185">
              <w:marLeft w:val="0"/>
              <w:marRight w:val="0"/>
              <w:marTop w:val="0"/>
              <w:marBottom w:val="0"/>
              <w:divBdr>
                <w:top w:val="none" w:sz="0" w:space="0" w:color="auto"/>
                <w:left w:val="none" w:sz="0" w:space="0" w:color="auto"/>
                <w:bottom w:val="none" w:sz="0" w:space="0" w:color="auto"/>
                <w:right w:val="none" w:sz="0" w:space="0" w:color="auto"/>
              </w:divBdr>
              <w:divsChild>
                <w:div w:id="80150793">
                  <w:marLeft w:val="0"/>
                  <w:marRight w:val="0"/>
                  <w:marTop w:val="0"/>
                  <w:marBottom w:val="0"/>
                  <w:divBdr>
                    <w:top w:val="none" w:sz="0" w:space="0" w:color="auto"/>
                    <w:left w:val="none" w:sz="0" w:space="0" w:color="auto"/>
                    <w:bottom w:val="none" w:sz="0" w:space="0" w:color="auto"/>
                    <w:right w:val="none" w:sz="0" w:space="0" w:color="auto"/>
                  </w:divBdr>
                  <w:divsChild>
                    <w:div w:id="427777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677035">
          <w:marLeft w:val="0"/>
          <w:marRight w:val="0"/>
          <w:marTop w:val="0"/>
          <w:marBottom w:val="0"/>
          <w:divBdr>
            <w:top w:val="none" w:sz="0" w:space="0" w:color="auto"/>
            <w:left w:val="none" w:sz="0" w:space="0" w:color="auto"/>
            <w:bottom w:val="none" w:sz="0" w:space="0" w:color="auto"/>
            <w:right w:val="none" w:sz="0" w:space="0" w:color="auto"/>
          </w:divBdr>
          <w:divsChild>
            <w:div w:id="729040296">
              <w:marLeft w:val="0"/>
              <w:marRight w:val="0"/>
              <w:marTop w:val="0"/>
              <w:marBottom w:val="0"/>
              <w:divBdr>
                <w:top w:val="none" w:sz="0" w:space="0" w:color="auto"/>
                <w:left w:val="none" w:sz="0" w:space="0" w:color="auto"/>
                <w:bottom w:val="none" w:sz="0" w:space="0" w:color="auto"/>
                <w:right w:val="none" w:sz="0" w:space="0" w:color="auto"/>
              </w:divBdr>
              <w:divsChild>
                <w:div w:id="1522430601">
                  <w:marLeft w:val="0"/>
                  <w:marRight w:val="0"/>
                  <w:marTop w:val="0"/>
                  <w:marBottom w:val="0"/>
                  <w:divBdr>
                    <w:top w:val="none" w:sz="0" w:space="0" w:color="auto"/>
                    <w:left w:val="none" w:sz="0" w:space="0" w:color="auto"/>
                    <w:bottom w:val="none" w:sz="0" w:space="0" w:color="auto"/>
                    <w:right w:val="none" w:sz="0" w:space="0" w:color="auto"/>
                  </w:divBdr>
                  <w:divsChild>
                    <w:div w:id="1911578720">
                      <w:marLeft w:val="0"/>
                      <w:marRight w:val="0"/>
                      <w:marTop w:val="0"/>
                      <w:marBottom w:val="0"/>
                      <w:divBdr>
                        <w:top w:val="none" w:sz="0" w:space="0" w:color="auto"/>
                        <w:left w:val="none" w:sz="0" w:space="0" w:color="auto"/>
                        <w:bottom w:val="none" w:sz="0" w:space="0" w:color="auto"/>
                        <w:right w:val="none" w:sz="0" w:space="0" w:color="auto"/>
                      </w:divBdr>
                      <w:divsChild>
                        <w:div w:id="360981746">
                          <w:marLeft w:val="0"/>
                          <w:marRight w:val="0"/>
                          <w:marTop w:val="0"/>
                          <w:marBottom w:val="0"/>
                          <w:divBdr>
                            <w:top w:val="none" w:sz="0" w:space="0" w:color="auto"/>
                            <w:left w:val="none" w:sz="0" w:space="0" w:color="auto"/>
                            <w:bottom w:val="none" w:sz="0" w:space="0" w:color="auto"/>
                            <w:right w:val="none" w:sz="0" w:space="0" w:color="auto"/>
                          </w:divBdr>
                        </w:div>
                        <w:div w:id="710804701">
                          <w:marLeft w:val="0"/>
                          <w:marRight w:val="0"/>
                          <w:marTop w:val="0"/>
                          <w:marBottom w:val="0"/>
                          <w:divBdr>
                            <w:top w:val="none" w:sz="0" w:space="0" w:color="auto"/>
                            <w:left w:val="none" w:sz="0" w:space="0" w:color="auto"/>
                            <w:bottom w:val="none" w:sz="0" w:space="0" w:color="auto"/>
                            <w:right w:val="none" w:sz="0" w:space="0" w:color="auto"/>
                          </w:divBdr>
                        </w:div>
                        <w:div w:id="1607151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2030584">
      <w:bodyDiv w:val="1"/>
      <w:marLeft w:val="0"/>
      <w:marRight w:val="0"/>
      <w:marTop w:val="0"/>
      <w:marBottom w:val="0"/>
      <w:divBdr>
        <w:top w:val="none" w:sz="0" w:space="0" w:color="auto"/>
        <w:left w:val="none" w:sz="0" w:space="0" w:color="auto"/>
        <w:bottom w:val="none" w:sz="0" w:space="0" w:color="auto"/>
        <w:right w:val="none" w:sz="0" w:space="0" w:color="auto"/>
      </w:divBdr>
    </w:div>
    <w:div w:id="1290207854">
      <w:bodyDiv w:val="1"/>
      <w:marLeft w:val="0"/>
      <w:marRight w:val="0"/>
      <w:marTop w:val="0"/>
      <w:marBottom w:val="0"/>
      <w:divBdr>
        <w:top w:val="none" w:sz="0" w:space="0" w:color="auto"/>
        <w:left w:val="none" w:sz="0" w:space="0" w:color="auto"/>
        <w:bottom w:val="none" w:sz="0" w:space="0" w:color="auto"/>
        <w:right w:val="none" w:sz="0" w:space="0" w:color="auto"/>
      </w:divBdr>
    </w:div>
    <w:div w:id="1294796798">
      <w:bodyDiv w:val="1"/>
      <w:marLeft w:val="0"/>
      <w:marRight w:val="0"/>
      <w:marTop w:val="0"/>
      <w:marBottom w:val="0"/>
      <w:divBdr>
        <w:top w:val="none" w:sz="0" w:space="0" w:color="auto"/>
        <w:left w:val="none" w:sz="0" w:space="0" w:color="auto"/>
        <w:bottom w:val="none" w:sz="0" w:space="0" w:color="auto"/>
        <w:right w:val="none" w:sz="0" w:space="0" w:color="auto"/>
      </w:divBdr>
    </w:div>
    <w:div w:id="1299991587">
      <w:bodyDiv w:val="1"/>
      <w:marLeft w:val="0"/>
      <w:marRight w:val="0"/>
      <w:marTop w:val="0"/>
      <w:marBottom w:val="0"/>
      <w:divBdr>
        <w:top w:val="none" w:sz="0" w:space="0" w:color="auto"/>
        <w:left w:val="none" w:sz="0" w:space="0" w:color="auto"/>
        <w:bottom w:val="none" w:sz="0" w:space="0" w:color="auto"/>
        <w:right w:val="none" w:sz="0" w:space="0" w:color="auto"/>
      </w:divBdr>
    </w:div>
    <w:div w:id="1307473838">
      <w:bodyDiv w:val="1"/>
      <w:marLeft w:val="0"/>
      <w:marRight w:val="0"/>
      <w:marTop w:val="0"/>
      <w:marBottom w:val="0"/>
      <w:divBdr>
        <w:top w:val="none" w:sz="0" w:space="0" w:color="auto"/>
        <w:left w:val="none" w:sz="0" w:space="0" w:color="auto"/>
        <w:bottom w:val="none" w:sz="0" w:space="0" w:color="auto"/>
        <w:right w:val="none" w:sz="0" w:space="0" w:color="auto"/>
      </w:divBdr>
    </w:div>
    <w:div w:id="1313607938">
      <w:bodyDiv w:val="1"/>
      <w:marLeft w:val="0"/>
      <w:marRight w:val="0"/>
      <w:marTop w:val="0"/>
      <w:marBottom w:val="0"/>
      <w:divBdr>
        <w:top w:val="none" w:sz="0" w:space="0" w:color="auto"/>
        <w:left w:val="none" w:sz="0" w:space="0" w:color="auto"/>
        <w:bottom w:val="none" w:sz="0" w:space="0" w:color="auto"/>
        <w:right w:val="none" w:sz="0" w:space="0" w:color="auto"/>
      </w:divBdr>
    </w:div>
    <w:div w:id="1319260112">
      <w:bodyDiv w:val="1"/>
      <w:marLeft w:val="0"/>
      <w:marRight w:val="0"/>
      <w:marTop w:val="0"/>
      <w:marBottom w:val="0"/>
      <w:divBdr>
        <w:top w:val="none" w:sz="0" w:space="0" w:color="auto"/>
        <w:left w:val="none" w:sz="0" w:space="0" w:color="auto"/>
        <w:bottom w:val="none" w:sz="0" w:space="0" w:color="auto"/>
        <w:right w:val="none" w:sz="0" w:space="0" w:color="auto"/>
      </w:divBdr>
    </w:div>
    <w:div w:id="1320503733">
      <w:bodyDiv w:val="1"/>
      <w:marLeft w:val="0"/>
      <w:marRight w:val="0"/>
      <w:marTop w:val="0"/>
      <w:marBottom w:val="0"/>
      <w:divBdr>
        <w:top w:val="none" w:sz="0" w:space="0" w:color="auto"/>
        <w:left w:val="none" w:sz="0" w:space="0" w:color="auto"/>
        <w:bottom w:val="none" w:sz="0" w:space="0" w:color="auto"/>
        <w:right w:val="none" w:sz="0" w:space="0" w:color="auto"/>
      </w:divBdr>
    </w:div>
    <w:div w:id="1325546647">
      <w:bodyDiv w:val="1"/>
      <w:marLeft w:val="0"/>
      <w:marRight w:val="0"/>
      <w:marTop w:val="0"/>
      <w:marBottom w:val="0"/>
      <w:divBdr>
        <w:top w:val="none" w:sz="0" w:space="0" w:color="auto"/>
        <w:left w:val="none" w:sz="0" w:space="0" w:color="auto"/>
        <w:bottom w:val="none" w:sz="0" w:space="0" w:color="auto"/>
        <w:right w:val="none" w:sz="0" w:space="0" w:color="auto"/>
      </w:divBdr>
    </w:div>
    <w:div w:id="1327243598">
      <w:bodyDiv w:val="1"/>
      <w:marLeft w:val="0"/>
      <w:marRight w:val="0"/>
      <w:marTop w:val="0"/>
      <w:marBottom w:val="0"/>
      <w:divBdr>
        <w:top w:val="none" w:sz="0" w:space="0" w:color="auto"/>
        <w:left w:val="none" w:sz="0" w:space="0" w:color="auto"/>
        <w:bottom w:val="none" w:sz="0" w:space="0" w:color="auto"/>
        <w:right w:val="none" w:sz="0" w:space="0" w:color="auto"/>
      </w:divBdr>
    </w:div>
    <w:div w:id="1342195640">
      <w:bodyDiv w:val="1"/>
      <w:marLeft w:val="0"/>
      <w:marRight w:val="0"/>
      <w:marTop w:val="0"/>
      <w:marBottom w:val="0"/>
      <w:divBdr>
        <w:top w:val="none" w:sz="0" w:space="0" w:color="auto"/>
        <w:left w:val="none" w:sz="0" w:space="0" w:color="auto"/>
        <w:bottom w:val="none" w:sz="0" w:space="0" w:color="auto"/>
        <w:right w:val="none" w:sz="0" w:space="0" w:color="auto"/>
      </w:divBdr>
    </w:div>
    <w:div w:id="1343241246">
      <w:bodyDiv w:val="1"/>
      <w:marLeft w:val="0"/>
      <w:marRight w:val="0"/>
      <w:marTop w:val="0"/>
      <w:marBottom w:val="0"/>
      <w:divBdr>
        <w:top w:val="none" w:sz="0" w:space="0" w:color="auto"/>
        <w:left w:val="none" w:sz="0" w:space="0" w:color="auto"/>
        <w:bottom w:val="none" w:sz="0" w:space="0" w:color="auto"/>
        <w:right w:val="none" w:sz="0" w:space="0" w:color="auto"/>
      </w:divBdr>
    </w:div>
    <w:div w:id="1345208619">
      <w:bodyDiv w:val="1"/>
      <w:marLeft w:val="0"/>
      <w:marRight w:val="0"/>
      <w:marTop w:val="0"/>
      <w:marBottom w:val="0"/>
      <w:divBdr>
        <w:top w:val="none" w:sz="0" w:space="0" w:color="auto"/>
        <w:left w:val="none" w:sz="0" w:space="0" w:color="auto"/>
        <w:bottom w:val="none" w:sz="0" w:space="0" w:color="auto"/>
        <w:right w:val="none" w:sz="0" w:space="0" w:color="auto"/>
      </w:divBdr>
    </w:div>
    <w:div w:id="1354528358">
      <w:bodyDiv w:val="1"/>
      <w:marLeft w:val="0"/>
      <w:marRight w:val="0"/>
      <w:marTop w:val="0"/>
      <w:marBottom w:val="0"/>
      <w:divBdr>
        <w:top w:val="none" w:sz="0" w:space="0" w:color="auto"/>
        <w:left w:val="none" w:sz="0" w:space="0" w:color="auto"/>
        <w:bottom w:val="none" w:sz="0" w:space="0" w:color="auto"/>
        <w:right w:val="none" w:sz="0" w:space="0" w:color="auto"/>
      </w:divBdr>
    </w:div>
    <w:div w:id="1389643184">
      <w:bodyDiv w:val="1"/>
      <w:marLeft w:val="0"/>
      <w:marRight w:val="0"/>
      <w:marTop w:val="0"/>
      <w:marBottom w:val="0"/>
      <w:divBdr>
        <w:top w:val="none" w:sz="0" w:space="0" w:color="auto"/>
        <w:left w:val="none" w:sz="0" w:space="0" w:color="auto"/>
        <w:bottom w:val="none" w:sz="0" w:space="0" w:color="auto"/>
        <w:right w:val="none" w:sz="0" w:space="0" w:color="auto"/>
      </w:divBdr>
    </w:div>
    <w:div w:id="1394892139">
      <w:bodyDiv w:val="1"/>
      <w:marLeft w:val="0"/>
      <w:marRight w:val="0"/>
      <w:marTop w:val="0"/>
      <w:marBottom w:val="0"/>
      <w:divBdr>
        <w:top w:val="none" w:sz="0" w:space="0" w:color="auto"/>
        <w:left w:val="none" w:sz="0" w:space="0" w:color="auto"/>
        <w:bottom w:val="none" w:sz="0" w:space="0" w:color="auto"/>
        <w:right w:val="none" w:sz="0" w:space="0" w:color="auto"/>
      </w:divBdr>
    </w:div>
    <w:div w:id="1405180143">
      <w:bodyDiv w:val="1"/>
      <w:marLeft w:val="0"/>
      <w:marRight w:val="0"/>
      <w:marTop w:val="0"/>
      <w:marBottom w:val="0"/>
      <w:divBdr>
        <w:top w:val="none" w:sz="0" w:space="0" w:color="auto"/>
        <w:left w:val="none" w:sz="0" w:space="0" w:color="auto"/>
        <w:bottom w:val="none" w:sz="0" w:space="0" w:color="auto"/>
        <w:right w:val="none" w:sz="0" w:space="0" w:color="auto"/>
      </w:divBdr>
    </w:div>
    <w:div w:id="1415971786">
      <w:bodyDiv w:val="1"/>
      <w:marLeft w:val="0"/>
      <w:marRight w:val="0"/>
      <w:marTop w:val="0"/>
      <w:marBottom w:val="0"/>
      <w:divBdr>
        <w:top w:val="none" w:sz="0" w:space="0" w:color="auto"/>
        <w:left w:val="none" w:sz="0" w:space="0" w:color="auto"/>
        <w:bottom w:val="none" w:sz="0" w:space="0" w:color="auto"/>
        <w:right w:val="none" w:sz="0" w:space="0" w:color="auto"/>
      </w:divBdr>
    </w:div>
    <w:div w:id="1439377038">
      <w:bodyDiv w:val="1"/>
      <w:marLeft w:val="0"/>
      <w:marRight w:val="0"/>
      <w:marTop w:val="0"/>
      <w:marBottom w:val="0"/>
      <w:divBdr>
        <w:top w:val="none" w:sz="0" w:space="0" w:color="auto"/>
        <w:left w:val="none" w:sz="0" w:space="0" w:color="auto"/>
        <w:bottom w:val="none" w:sz="0" w:space="0" w:color="auto"/>
        <w:right w:val="none" w:sz="0" w:space="0" w:color="auto"/>
      </w:divBdr>
    </w:div>
    <w:div w:id="1449422952">
      <w:bodyDiv w:val="1"/>
      <w:marLeft w:val="0"/>
      <w:marRight w:val="0"/>
      <w:marTop w:val="0"/>
      <w:marBottom w:val="0"/>
      <w:divBdr>
        <w:top w:val="none" w:sz="0" w:space="0" w:color="auto"/>
        <w:left w:val="none" w:sz="0" w:space="0" w:color="auto"/>
        <w:bottom w:val="none" w:sz="0" w:space="0" w:color="auto"/>
        <w:right w:val="none" w:sz="0" w:space="0" w:color="auto"/>
      </w:divBdr>
    </w:div>
    <w:div w:id="1457526684">
      <w:bodyDiv w:val="1"/>
      <w:marLeft w:val="0"/>
      <w:marRight w:val="0"/>
      <w:marTop w:val="0"/>
      <w:marBottom w:val="0"/>
      <w:divBdr>
        <w:top w:val="none" w:sz="0" w:space="0" w:color="auto"/>
        <w:left w:val="none" w:sz="0" w:space="0" w:color="auto"/>
        <w:bottom w:val="none" w:sz="0" w:space="0" w:color="auto"/>
        <w:right w:val="none" w:sz="0" w:space="0" w:color="auto"/>
      </w:divBdr>
    </w:div>
    <w:div w:id="1460563375">
      <w:bodyDiv w:val="1"/>
      <w:marLeft w:val="0"/>
      <w:marRight w:val="0"/>
      <w:marTop w:val="0"/>
      <w:marBottom w:val="0"/>
      <w:divBdr>
        <w:top w:val="none" w:sz="0" w:space="0" w:color="auto"/>
        <w:left w:val="none" w:sz="0" w:space="0" w:color="auto"/>
        <w:bottom w:val="none" w:sz="0" w:space="0" w:color="auto"/>
        <w:right w:val="none" w:sz="0" w:space="0" w:color="auto"/>
      </w:divBdr>
      <w:divsChild>
        <w:div w:id="605967031">
          <w:marLeft w:val="547"/>
          <w:marRight w:val="0"/>
          <w:marTop w:val="0"/>
          <w:marBottom w:val="0"/>
          <w:divBdr>
            <w:top w:val="none" w:sz="0" w:space="0" w:color="auto"/>
            <w:left w:val="none" w:sz="0" w:space="0" w:color="auto"/>
            <w:bottom w:val="none" w:sz="0" w:space="0" w:color="auto"/>
            <w:right w:val="none" w:sz="0" w:space="0" w:color="auto"/>
          </w:divBdr>
        </w:div>
      </w:divsChild>
    </w:div>
    <w:div w:id="1466773896">
      <w:bodyDiv w:val="1"/>
      <w:marLeft w:val="0"/>
      <w:marRight w:val="0"/>
      <w:marTop w:val="0"/>
      <w:marBottom w:val="0"/>
      <w:divBdr>
        <w:top w:val="none" w:sz="0" w:space="0" w:color="auto"/>
        <w:left w:val="none" w:sz="0" w:space="0" w:color="auto"/>
        <w:bottom w:val="none" w:sz="0" w:space="0" w:color="auto"/>
        <w:right w:val="none" w:sz="0" w:space="0" w:color="auto"/>
      </w:divBdr>
    </w:div>
    <w:div w:id="1475290009">
      <w:bodyDiv w:val="1"/>
      <w:marLeft w:val="0"/>
      <w:marRight w:val="0"/>
      <w:marTop w:val="0"/>
      <w:marBottom w:val="0"/>
      <w:divBdr>
        <w:top w:val="none" w:sz="0" w:space="0" w:color="auto"/>
        <w:left w:val="none" w:sz="0" w:space="0" w:color="auto"/>
        <w:bottom w:val="none" w:sz="0" w:space="0" w:color="auto"/>
        <w:right w:val="none" w:sz="0" w:space="0" w:color="auto"/>
      </w:divBdr>
    </w:div>
    <w:div w:id="1478179607">
      <w:bodyDiv w:val="1"/>
      <w:marLeft w:val="0"/>
      <w:marRight w:val="0"/>
      <w:marTop w:val="0"/>
      <w:marBottom w:val="0"/>
      <w:divBdr>
        <w:top w:val="none" w:sz="0" w:space="0" w:color="auto"/>
        <w:left w:val="none" w:sz="0" w:space="0" w:color="auto"/>
        <w:bottom w:val="none" w:sz="0" w:space="0" w:color="auto"/>
        <w:right w:val="none" w:sz="0" w:space="0" w:color="auto"/>
      </w:divBdr>
    </w:div>
    <w:div w:id="1479685902">
      <w:bodyDiv w:val="1"/>
      <w:marLeft w:val="0"/>
      <w:marRight w:val="0"/>
      <w:marTop w:val="0"/>
      <w:marBottom w:val="0"/>
      <w:divBdr>
        <w:top w:val="none" w:sz="0" w:space="0" w:color="auto"/>
        <w:left w:val="none" w:sz="0" w:space="0" w:color="auto"/>
        <w:bottom w:val="none" w:sz="0" w:space="0" w:color="auto"/>
        <w:right w:val="none" w:sz="0" w:space="0" w:color="auto"/>
      </w:divBdr>
    </w:div>
    <w:div w:id="1493369554">
      <w:bodyDiv w:val="1"/>
      <w:marLeft w:val="0"/>
      <w:marRight w:val="0"/>
      <w:marTop w:val="0"/>
      <w:marBottom w:val="0"/>
      <w:divBdr>
        <w:top w:val="none" w:sz="0" w:space="0" w:color="auto"/>
        <w:left w:val="none" w:sz="0" w:space="0" w:color="auto"/>
        <w:bottom w:val="none" w:sz="0" w:space="0" w:color="auto"/>
        <w:right w:val="none" w:sz="0" w:space="0" w:color="auto"/>
      </w:divBdr>
    </w:div>
    <w:div w:id="1504126449">
      <w:bodyDiv w:val="1"/>
      <w:marLeft w:val="0"/>
      <w:marRight w:val="0"/>
      <w:marTop w:val="0"/>
      <w:marBottom w:val="0"/>
      <w:divBdr>
        <w:top w:val="none" w:sz="0" w:space="0" w:color="auto"/>
        <w:left w:val="none" w:sz="0" w:space="0" w:color="auto"/>
        <w:bottom w:val="none" w:sz="0" w:space="0" w:color="auto"/>
        <w:right w:val="none" w:sz="0" w:space="0" w:color="auto"/>
      </w:divBdr>
    </w:div>
    <w:div w:id="1505510917">
      <w:bodyDiv w:val="1"/>
      <w:marLeft w:val="0"/>
      <w:marRight w:val="0"/>
      <w:marTop w:val="0"/>
      <w:marBottom w:val="0"/>
      <w:divBdr>
        <w:top w:val="none" w:sz="0" w:space="0" w:color="auto"/>
        <w:left w:val="none" w:sz="0" w:space="0" w:color="auto"/>
        <w:bottom w:val="none" w:sz="0" w:space="0" w:color="auto"/>
        <w:right w:val="none" w:sz="0" w:space="0" w:color="auto"/>
      </w:divBdr>
    </w:div>
    <w:div w:id="1517040382">
      <w:bodyDiv w:val="1"/>
      <w:marLeft w:val="0"/>
      <w:marRight w:val="0"/>
      <w:marTop w:val="0"/>
      <w:marBottom w:val="0"/>
      <w:divBdr>
        <w:top w:val="none" w:sz="0" w:space="0" w:color="auto"/>
        <w:left w:val="none" w:sz="0" w:space="0" w:color="auto"/>
        <w:bottom w:val="none" w:sz="0" w:space="0" w:color="auto"/>
        <w:right w:val="none" w:sz="0" w:space="0" w:color="auto"/>
      </w:divBdr>
    </w:div>
    <w:div w:id="1517381975">
      <w:bodyDiv w:val="1"/>
      <w:marLeft w:val="0"/>
      <w:marRight w:val="0"/>
      <w:marTop w:val="0"/>
      <w:marBottom w:val="0"/>
      <w:divBdr>
        <w:top w:val="none" w:sz="0" w:space="0" w:color="auto"/>
        <w:left w:val="none" w:sz="0" w:space="0" w:color="auto"/>
        <w:bottom w:val="none" w:sz="0" w:space="0" w:color="auto"/>
        <w:right w:val="none" w:sz="0" w:space="0" w:color="auto"/>
      </w:divBdr>
    </w:div>
    <w:div w:id="1536429299">
      <w:bodyDiv w:val="1"/>
      <w:marLeft w:val="0"/>
      <w:marRight w:val="0"/>
      <w:marTop w:val="0"/>
      <w:marBottom w:val="0"/>
      <w:divBdr>
        <w:top w:val="none" w:sz="0" w:space="0" w:color="auto"/>
        <w:left w:val="none" w:sz="0" w:space="0" w:color="auto"/>
        <w:bottom w:val="none" w:sz="0" w:space="0" w:color="auto"/>
        <w:right w:val="none" w:sz="0" w:space="0" w:color="auto"/>
      </w:divBdr>
    </w:div>
    <w:div w:id="1545673675">
      <w:bodyDiv w:val="1"/>
      <w:marLeft w:val="0"/>
      <w:marRight w:val="0"/>
      <w:marTop w:val="0"/>
      <w:marBottom w:val="0"/>
      <w:divBdr>
        <w:top w:val="none" w:sz="0" w:space="0" w:color="auto"/>
        <w:left w:val="none" w:sz="0" w:space="0" w:color="auto"/>
        <w:bottom w:val="none" w:sz="0" w:space="0" w:color="auto"/>
        <w:right w:val="none" w:sz="0" w:space="0" w:color="auto"/>
      </w:divBdr>
    </w:div>
    <w:div w:id="1548640953">
      <w:bodyDiv w:val="1"/>
      <w:marLeft w:val="0"/>
      <w:marRight w:val="0"/>
      <w:marTop w:val="0"/>
      <w:marBottom w:val="0"/>
      <w:divBdr>
        <w:top w:val="none" w:sz="0" w:space="0" w:color="auto"/>
        <w:left w:val="none" w:sz="0" w:space="0" w:color="auto"/>
        <w:bottom w:val="none" w:sz="0" w:space="0" w:color="auto"/>
        <w:right w:val="none" w:sz="0" w:space="0" w:color="auto"/>
      </w:divBdr>
    </w:div>
    <w:div w:id="1574004245">
      <w:bodyDiv w:val="1"/>
      <w:marLeft w:val="0"/>
      <w:marRight w:val="0"/>
      <w:marTop w:val="0"/>
      <w:marBottom w:val="0"/>
      <w:divBdr>
        <w:top w:val="none" w:sz="0" w:space="0" w:color="auto"/>
        <w:left w:val="none" w:sz="0" w:space="0" w:color="auto"/>
        <w:bottom w:val="none" w:sz="0" w:space="0" w:color="auto"/>
        <w:right w:val="none" w:sz="0" w:space="0" w:color="auto"/>
      </w:divBdr>
    </w:div>
    <w:div w:id="1599413197">
      <w:bodyDiv w:val="1"/>
      <w:marLeft w:val="0"/>
      <w:marRight w:val="0"/>
      <w:marTop w:val="0"/>
      <w:marBottom w:val="0"/>
      <w:divBdr>
        <w:top w:val="none" w:sz="0" w:space="0" w:color="auto"/>
        <w:left w:val="none" w:sz="0" w:space="0" w:color="auto"/>
        <w:bottom w:val="none" w:sz="0" w:space="0" w:color="auto"/>
        <w:right w:val="none" w:sz="0" w:space="0" w:color="auto"/>
      </w:divBdr>
    </w:div>
    <w:div w:id="1607930085">
      <w:bodyDiv w:val="1"/>
      <w:marLeft w:val="0"/>
      <w:marRight w:val="0"/>
      <w:marTop w:val="0"/>
      <w:marBottom w:val="0"/>
      <w:divBdr>
        <w:top w:val="none" w:sz="0" w:space="0" w:color="auto"/>
        <w:left w:val="none" w:sz="0" w:space="0" w:color="auto"/>
        <w:bottom w:val="none" w:sz="0" w:space="0" w:color="auto"/>
        <w:right w:val="none" w:sz="0" w:space="0" w:color="auto"/>
      </w:divBdr>
    </w:div>
    <w:div w:id="1615014879">
      <w:bodyDiv w:val="1"/>
      <w:marLeft w:val="0"/>
      <w:marRight w:val="0"/>
      <w:marTop w:val="0"/>
      <w:marBottom w:val="0"/>
      <w:divBdr>
        <w:top w:val="none" w:sz="0" w:space="0" w:color="auto"/>
        <w:left w:val="none" w:sz="0" w:space="0" w:color="auto"/>
        <w:bottom w:val="none" w:sz="0" w:space="0" w:color="auto"/>
        <w:right w:val="none" w:sz="0" w:space="0" w:color="auto"/>
      </w:divBdr>
    </w:div>
    <w:div w:id="1652366991">
      <w:bodyDiv w:val="1"/>
      <w:marLeft w:val="0"/>
      <w:marRight w:val="0"/>
      <w:marTop w:val="0"/>
      <w:marBottom w:val="0"/>
      <w:divBdr>
        <w:top w:val="none" w:sz="0" w:space="0" w:color="auto"/>
        <w:left w:val="none" w:sz="0" w:space="0" w:color="auto"/>
        <w:bottom w:val="none" w:sz="0" w:space="0" w:color="auto"/>
        <w:right w:val="none" w:sz="0" w:space="0" w:color="auto"/>
      </w:divBdr>
    </w:div>
    <w:div w:id="1657101971">
      <w:bodyDiv w:val="1"/>
      <w:marLeft w:val="0"/>
      <w:marRight w:val="0"/>
      <w:marTop w:val="0"/>
      <w:marBottom w:val="0"/>
      <w:divBdr>
        <w:top w:val="none" w:sz="0" w:space="0" w:color="auto"/>
        <w:left w:val="none" w:sz="0" w:space="0" w:color="auto"/>
        <w:bottom w:val="none" w:sz="0" w:space="0" w:color="auto"/>
        <w:right w:val="none" w:sz="0" w:space="0" w:color="auto"/>
      </w:divBdr>
    </w:div>
    <w:div w:id="1671636971">
      <w:bodyDiv w:val="1"/>
      <w:marLeft w:val="0"/>
      <w:marRight w:val="0"/>
      <w:marTop w:val="0"/>
      <w:marBottom w:val="0"/>
      <w:divBdr>
        <w:top w:val="none" w:sz="0" w:space="0" w:color="auto"/>
        <w:left w:val="none" w:sz="0" w:space="0" w:color="auto"/>
        <w:bottom w:val="none" w:sz="0" w:space="0" w:color="auto"/>
        <w:right w:val="none" w:sz="0" w:space="0" w:color="auto"/>
      </w:divBdr>
    </w:div>
    <w:div w:id="1680811611">
      <w:bodyDiv w:val="1"/>
      <w:marLeft w:val="0"/>
      <w:marRight w:val="0"/>
      <w:marTop w:val="0"/>
      <w:marBottom w:val="0"/>
      <w:divBdr>
        <w:top w:val="none" w:sz="0" w:space="0" w:color="auto"/>
        <w:left w:val="none" w:sz="0" w:space="0" w:color="auto"/>
        <w:bottom w:val="none" w:sz="0" w:space="0" w:color="auto"/>
        <w:right w:val="none" w:sz="0" w:space="0" w:color="auto"/>
      </w:divBdr>
    </w:div>
    <w:div w:id="1683165806">
      <w:bodyDiv w:val="1"/>
      <w:marLeft w:val="0"/>
      <w:marRight w:val="0"/>
      <w:marTop w:val="0"/>
      <w:marBottom w:val="0"/>
      <w:divBdr>
        <w:top w:val="none" w:sz="0" w:space="0" w:color="auto"/>
        <w:left w:val="none" w:sz="0" w:space="0" w:color="auto"/>
        <w:bottom w:val="none" w:sz="0" w:space="0" w:color="auto"/>
        <w:right w:val="none" w:sz="0" w:space="0" w:color="auto"/>
      </w:divBdr>
    </w:div>
    <w:div w:id="1690718871">
      <w:bodyDiv w:val="1"/>
      <w:marLeft w:val="0"/>
      <w:marRight w:val="0"/>
      <w:marTop w:val="0"/>
      <w:marBottom w:val="0"/>
      <w:divBdr>
        <w:top w:val="none" w:sz="0" w:space="0" w:color="auto"/>
        <w:left w:val="none" w:sz="0" w:space="0" w:color="auto"/>
        <w:bottom w:val="none" w:sz="0" w:space="0" w:color="auto"/>
        <w:right w:val="none" w:sz="0" w:space="0" w:color="auto"/>
      </w:divBdr>
    </w:div>
    <w:div w:id="1691761518">
      <w:bodyDiv w:val="1"/>
      <w:marLeft w:val="0"/>
      <w:marRight w:val="0"/>
      <w:marTop w:val="0"/>
      <w:marBottom w:val="0"/>
      <w:divBdr>
        <w:top w:val="none" w:sz="0" w:space="0" w:color="auto"/>
        <w:left w:val="none" w:sz="0" w:space="0" w:color="auto"/>
        <w:bottom w:val="none" w:sz="0" w:space="0" w:color="auto"/>
        <w:right w:val="none" w:sz="0" w:space="0" w:color="auto"/>
      </w:divBdr>
    </w:div>
    <w:div w:id="1693605039">
      <w:bodyDiv w:val="1"/>
      <w:marLeft w:val="0"/>
      <w:marRight w:val="0"/>
      <w:marTop w:val="0"/>
      <w:marBottom w:val="0"/>
      <w:divBdr>
        <w:top w:val="none" w:sz="0" w:space="0" w:color="auto"/>
        <w:left w:val="none" w:sz="0" w:space="0" w:color="auto"/>
        <w:bottom w:val="none" w:sz="0" w:space="0" w:color="auto"/>
        <w:right w:val="none" w:sz="0" w:space="0" w:color="auto"/>
      </w:divBdr>
    </w:div>
    <w:div w:id="1711497486">
      <w:bodyDiv w:val="1"/>
      <w:marLeft w:val="0"/>
      <w:marRight w:val="0"/>
      <w:marTop w:val="0"/>
      <w:marBottom w:val="0"/>
      <w:divBdr>
        <w:top w:val="none" w:sz="0" w:space="0" w:color="auto"/>
        <w:left w:val="none" w:sz="0" w:space="0" w:color="auto"/>
        <w:bottom w:val="none" w:sz="0" w:space="0" w:color="auto"/>
        <w:right w:val="none" w:sz="0" w:space="0" w:color="auto"/>
      </w:divBdr>
    </w:div>
    <w:div w:id="1712879250">
      <w:bodyDiv w:val="1"/>
      <w:marLeft w:val="0"/>
      <w:marRight w:val="0"/>
      <w:marTop w:val="0"/>
      <w:marBottom w:val="0"/>
      <w:divBdr>
        <w:top w:val="none" w:sz="0" w:space="0" w:color="auto"/>
        <w:left w:val="none" w:sz="0" w:space="0" w:color="auto"/>
        <w:bottom w:val="none" w:sz="0" w:space="0" w:color="auto"/>
        <w:right w:val="none" w:sz="0" w:space="0" w:color="auto"/>
      </w:divBdr>
    </w:div>
    <w:div w:id="1713963131">
      <w:bodyDiv w:val="1"/>
      <w:marLeft w:val="0"/>
      <w:marRight w:val="0"/>
      <w:marTop w:val="0"/>
      <w:marBottom w:val="0"/>
      <w:divBdr>
        <w:top w:val="none" w:sz="0" w:space="0" w:color="auto"/>
        <w:left w:val="none" w:sz="0" w:space="0" w:color="auto"/>
        <w:bottom w:val="none" w:sz="0" w:space="0" w:color="auto"/>
        <w:right w:val="none" w:sz="0" w:space="0" w:color="auto"/>
      </w:divBdr>
    </w:div>
    <w:div w:id="1755545321">
      <w:bodyDiv w:val="1"/>
      <w:marLeft w:val="0"/>
      <w:marRight w:val="0"/>
      <w:marTop w:val="0"/>
      <w:marBottom w:val="0"/>
      <w:divBdr>
        <w:top w:val="none" w:sz="0" w:space="0" w:color="auto"/>
        <w:left w:val="none" w:sz="0" w:space="0" w:color="auto"/>
        <w:bottom w:val="none" w:sz="0" w:space="0" w:color="auto"/>
        <w:right w:val="none" w:sz="0" w:space="0" w:color="auto"/>
      </w:divBdr>
    </w:div>
    <w:div w:id="1767454413">
      <w:bodyDiv w:val="1"/>
      <w:marLeft w:val="0"/>
      <w:marRight w:val="0"/>
      <w:marTop w:val="0"/>
      <w:marBottom w:val="0"/>
      <w:divBdr>
        <w:top w:val="none" w:sz="0" w:space="0" w:color="auto"/>
        <w:left w:val="none" w:sz="0" w:space="0" w:color="auto"/>
        <w:bottom w:val="none" w:sz="0" w:space="0" w:color="auto"/>
        <w:right w:val="none" w:sz="0" w:space="0" w:color="auto"/>
      </w:divBdr>
    </w:div>
    <w:div w:id="1784571703">
      <w:bodyDiv w:val="1"/>
      <w:marLeft w:val="0"/>
      <w:marRight w:val="0"/>
      <w:marTop w:val="0"/>
      <w:marBottom w:val="0"/>
      <w:divBdr>
        <w:top w:val="none" w:sz="0" w:space="0" w:color="auto"/>
        <w:left w:val="none" w:sz="0" w:space="0" w:color="auto"/>
        <w:bottom w:val="none" w:sz="0" w:space="0" w:color="auto"/>
        <w:right w:val="none" w:sz="0" w:space="0" w:color="auto"/>
      </w:divBdr>
    </w:div>
    <w:div w:id="1788619893">
      <w:bodyDiv w:val="1"/>
      <w:marLeft w:val="0"/>
      <w:marRight w:val="0"/>
      <w:marTop w:val="0"/>
      <w:marBottom w:val="0"/>
      <w:divBdr>
        <w:top w:val="none" w:sz="0" w:space="0" w:color="auto"/>
        <w:left w:val="none" w:sz="0" w:space="0" w:color="auto"/>
        <w:bottom w:val="none" w:sz="0" w:space="0" w:color="auto"/>
        <w:right w:val="none" w:sz="0" w:space="0" w:color="auto"/>
      </w:divBdr>
    </w:div>
    <w:div w:id="1790969560">
      <w:bodyDiv w:val="1"/>
      <w:marLeft w:val="0"/>
      <w:marRight w:val="0"/>
      <w:marTop w:val="0"/>
      <w:marBottom w:val="0"/>
      <w:divBdr>
        <w:top w:val="none" w:sz="0" w:space="0" w:color="auto"/>
        <w:left w:val="none" w:sz="0" w:space="0" w:color="auto"/>
        <w:bottom w:val="none" w:sz="0" w:space="0" w:color="auto"/>
        <w:right w:val="none" w:sz="0" w:space="0" w:color="auto"/>
      </w:divBdr>
    </w:div>
    <w:div w:id="1798067384">
      <w:bodyDiv w:val="1"/>
      <w:marLeft w:val="0"/>
      <w:marRight w:val="0"/>
      <w:marTop w:val="0"/>
      <w:marBottom w:val="0"/>
      <w:divBdr>
        <w:top w:val="none" w:sz="0" w:space="0" w:color="auto"/>
        <w:left w:val="none" w:sz="0" w:space="0" w:color="auto"/>
        <w:bottom w:val="none" w:sz="0" w:space="0" w:color="auto"/>
        <w:right w:val="none" w:sz="0" w:space="0" w:color="auto"/>
      </w:divBdr>
    </w:div>
    <w:div w:id="1809975816">
      <w:bodyDiv w:val="1"/>
      <w:marLeft w:val="0"/>
      <w:marRight w:val="0"/>
      <w:marTop w:val="0"/>
      <w:marBottom w:val="0"/>
      <w:divBdr>
        <w:top w:val="none" w:sz="0" w:space="0" w:color="auto"/>
        <w:left w:val="none" w:sz="0" w:space="0" w:color="auto"/>
        <w:bottom w:val="none" w:sz="0" w:space="0" w:color="auto"/>
        <w:right w:val="none" w:sz="0" w:space="0" w:color="auto"/>
      </w:divBdr>
    </w:div>
    <w:div w:id="1824738648">
      <w:bodyDiv w:val="1"/>
      <w:marLeft w:val="0"/>
      <w:marRight w:val="0"/>
      <w:marTop w:val="0"/>
      <w:marBottom w:val="0"/>
      <w:divBdr>
        <w:top w:val="none" w:sz="0" w:space="0" w:color="auto"/>
        <w:left w:val="none" w:sz="0" w:space="0" w:color="auto"/>
        <w:bottom w:val="none" w:sz="0" w:space="0" w:color="auto"/>
        <w:right w:val="none" w:sz="0" w:space="0" w:color="auto"/>
      </w:divBdr>
      <w:divsChild>
        <w:div w:id="1465351953">
          <w:marLeft w:val="547"/>
          <w:marRight w:val="0"/>
          <w:marTop w:val="0"/>
          <w:marBottom w:val="0"/>
          <w:divBdr>
            <w:top w:val="none" w:sz="0" w:space="0" w:color="auto"/>
            <w:left w:val="none" w:sz="0" w:space="0" w:color="auto"/>
            <w:bottom w:val="none" w:sz="0" w:space="0" w:color="auto"/>
            <w:right w:val="none" w:sz="0" w:space="0" w:color="auto"/>
          </w:divBdr>
        </w:div>
      </w:divsChild>
    </w:div>
    <w:div w:id="1832940767">
      <w:bodyDiv w:val="1"/>
      <w:marLeft w:val="0"/>
      <w:marRight w:val="0"/>
      <w:marTop w:val="0"/>
      <w:marBottom w:val="0"/>
      <w:divBdr>
        <w:top w:val="none" w:sz="0" w:space="0" w:color="auto"/>
        <w:left w:val="none" w:sz="0" w:space="0" w:color="auto"/>
        <w:bottom w:val="none" w:sz="0" w:space="0" w:color="auto"/>
        <w:right w:val="none" w:sz="0" w:space="0" w:color="auto"/>
      </w:divBdr>
    </w:div>
    <w:div w:id="1840802275">
      <w:bodyDiv w:val="1"/>
      <w:marLeft w:val="0"/>
      <w:marRight w:val="0"/>
      <w:marTop w:val="0"/>
      <w:marBottom w:val="0"/>
      <w:divBdr>
        <w:top w:val="none" w:sz="0" w:space="0" w:color="auto"/>
        <w:left w:val="none" w:sz="0" w:space="0" w:color="auto"/>
        <w:bottom w:val="none" w:sz="0" w:space="0" w:color="auto"/>
        <w:right w:val="none" w:sz="0" w:space="0" w:color="auto"/>
      </w:divBdr>
    </w:div>
    <w:div w:id="1848590962">
      <w:bodyDiv w:val="1"/>
      <w:marLeft w:val="0"/>
      <w:marRight w:val="0"/>
      <w:marTop w:val="0"/>
      <w:marBottom w:val="0"/>
      <w:divBdr>
        <w:top w:val="none" w:sz="0" w:space="0" w:color="auto"/>
        <w:left w:val="none" w:sz="0" w:space="0" w:color="auto"/>
        <w:bottom w:val="none" w:sz="0" w:space="0" w:color="auto"/>
        <w:right w:val="none" w:sz="0" w:space="0" w:color="auto"/>
      </w:divBdr>
    </w:div>
    <w:div w:id="1864705099">
      <w:bodyDiv w:val="1"/>
      <w:marLeft w:val="0"/>
      <w:marRight w:val="0"/>
      <w:marTop w:val="0"/>
      <w:marBottom w:val="0"/>
      <w:divBdr>
        <w:top w:val="none" w:sz="0" w:space="0" w:color="auto"/>
        <w:left w:val="none" w:sz="0" w:space="0" w:color="auto"/>
        <w:bottom w:val="none" w:sz="0" w:space="0" w:color="auto"/>
        <w:right w:val="none" w:sz="0" w:space="0" w:color="auto"/>
      </w:divBdr>
    </w:div>
    <w:div w:id="1874228627">
      <w:bodyDiv w:val="1"/>
      <w:marLeft w:val="0"/>
      <w:marRight w:val="0"/>
      <w:marTop w:val="0"/>
      <w:marBottom w:val="0"/>
      <w:divBdr>
        <w:top w:val="none" w:sz="0" w:space="0" w:color="auto"/>
        <w:left w:val="none" w:sz="0" w:space="0" w:color="auto"/>
        <w:bottom w:val="none" w:sz="0" w:space="0" w:color="auto"/>
        <w:right w:val="none" w:sz="0" w:space="0" w:color="auto"/>
      </w:divBdr>
    </w:div>
    <w:div w:id="1881699849">
      <w:bodyDiv w:val="1"/>
      <w:marLeft w:val="0"/>
      <w:marRight w:val="0"/>
      <w:marTop w:val="0"/>
      <w:marBottom w:val="0"/>
      <w:divBdr>
        <w:top w:val="none" w:sz="0" w:space="0" w:color="auto"/>
        <w:left w:val="none" w:sz="0" w:space="0" w:color="auto"/>
        <w:bottom w:val="none" w:sz="0" w:space="0" w:color="auto"/>
        <w:right w:val="none" w:sz="0" w:space="0" w:color="auto"/>
      </w:divBdr>
    </w:div>
    <w:div w:id="1883446508">
      <w:bodyDiv w:val="1"/>
      <w:marLeft w:val="0"/>
      <w:marRight w:val="0"/>
      <w:marTop w:val="0"/>
      <w:marBottom w:val="0"/>
      <w:divBdr>
        <w:top w:val="none" w:sz="0" w:space="0" w:color="auto"/>
        <w:left w:val="none" w:sz="0" w:space="0" w:color="auto"/>
        <w:bottom w:val="none" w:sz="0" w:space="0" w:color="auto"/>
        <w:right w:val="none" w:sz="0" w:space="0" w:color="auto"/>
      </w:divBdr>
    </w:div>
    <w:div w:id="1885825992">
      <w:bodyDiv w:val="1"/>
      <w:marLeft w:val="0"/>
      <w:marRight w:val="0"/>
      <w:marTop w:val="0"/>
      <w:marBottom w:val="0"/>
      <w:divBdr>
        <w:top w:val="none" w:sz="0" w:space="0" w:color="auto"/>
        <w:left w:val="none" w:sz="0" w:space="0" w:color="auto"/>
        <w:bottom w:val="none" w:sz="0" w:space="0" w:color="auto"/>
        <w:right w:val="none" w:sz="0" w:space="0" w:color="auto"/>
      </w:divBdr>
    </w:div>
    <w:div w:id="1895582413">
      <w:bodyDiv w:val="1"/>
      <w:marLeft w:val="0"/>
      <w:marRight w:val="0"/>
      <w:marTop w:val="0"/>
      <w:marBottom w:val="0"/>
      <w:divBdr>
        <w:top w:val="none" w:sz="0" w:space="0" w:color="auto"/>
        <w:left w:val="none" w:sz="0" w:space="0" w:color="auto"/>
        <w:bottom w:val="none" w:sz="0" w:space="0" w:color="auto"/>
        <w:right w:val="none" w:sz="0" w:space="0" w:color="auto"/>
      </w:divBdr>
    </w:div>
    <w:div w:id="1896157050">
      <w:bodyDiv w:val="1"/>
      <w:marLeft w:val="0"/>
      <w:marRight w:val="0"/>
      <w:marTop w:val="0"/>
      <w:marBottom w:val="0"/>
      <w:divBdr>
        <w:top w:val="none" w:sz="0" w:space="0" w:color="auto"/>
        <w:left w:val="none" w:sz="0" w:space="0" w:color="auto"/>
        <w:bottom w:val="none" w:sz="0" w:space="0" w:color="auto"/>
        <w:right w:val="none" w:sz="0" w:space="0" w:color="auto"/>
      </w:divBdr>
    </w:div>
    <w:div w:id="1909339312">
      <w:bodyDiv w:val="1"/>
      <w:marLeft w:val="0"/>
      <w:marRight w:val="0"/>
      <w:marTop w:val="0"/>
      <w:marBottom w:val="0"/>
      <w:divBdr>
        <w:top w:val="none" w:sz="0" w:space="0" w:color="auto"/>
        <w:left w:val="none" w:sz="0" w:space="0" w:color="auto"/>
        <w:bottom w:val="none" w:sz="0" w:space="0" w:color="auto"/>
        <w:right w:val="none" w:sz="0" w:space="0" w:color="auto"/>
      </w:divBdr>
    </w:div>
    <w:div w:id="1909923536">
      <w:bodyDiv w:val="1"/>
      <w:marLeft w:val="0"/>
      <w:marRight w:val="0"/>
      <w:marTop w:val="0"/>
      <w:marBottom w:val="0"/>
      <w:divBdr>
        <w:top w:val="none" w:sz="0" w:space="0" w:color="auto"/>
        <w:left w:val="none" w:sz="0" w:space="0" w:color="auto"/>
        <w:bottom w:val="none" w:sz="0" w:space="0" w:color="auto"/>
        <w:right w:val="none" w:sz="0" w:space="0" w:color="auto"/>
      </w:divBdr>
    </w:div>
    <w:div w:id="1910995834">
      <w:bodyDiv w:val="1"/>
      <w:marLeft w:val="0"/>
      <w:marRight w:val="0"/>
      <w:marTop w:val="0"/>
      <w:marBottom w:val="0"/>
      <w:divBdr>
        <w:top w:val="none" w:sz="0" w:space="0" w:color="auto"/>
        <w:left w:val="none" w:sz="0" w:space="0" w:color="auto"/>
        <w:bottom w:val="none" w:sz="0" w:space="0" w:color="auto"/>
        <w:right w:val="none" w:sz="0" w:space="0" w:color="auto"/>
      </w:divBdr>
    </w:div>
    <w:div w:id="1936283047">
      <w:bodyDiv w:val="1"/>
      <w:marLeft w:val="0"/>
      <w:marRight w:val="0"/>
      <w:marTop w:val="0"/>
      <w:marBottom w:val="0"/>
      <w:divBdr>
        <w:top w:val="none" w:sz="0" w:space="0" w:color="auto"/>
        <w:left w:val="none" w:sz="0" w:space="0" w:color="auto"/>
        <w:bottom w:val="none" w:sz="0" w:space="0" w:color="auto"/>
        <w:right w:val="none" w:sz="0" w:space="0" w:color="auto"/>
      </w:divBdr>
    </w:div>
    <w:div w:id="1974091373">
      <w:bodyDiv w:val="1"/>
      <w:marLeft w:val="0"/>
      <w:marRight w:val="0"/>
      <w:marTop w:val="0"/>
      <w:marBottom w:val="0"/>
      <w:divBdr>
        <w:top w:val="none" w:sz="0" w:space="0" w:color="auto"/>
        <w:left w:val="none" w:sz="0" w:space="0" w:color="auto"/>
        <w:bottom w:val="none" w:sz="0" w:space="0" w:color="auto"/>
        <w:right w:val="none" w:sz="0" w:space="0" w:color="auto"/>
      </w:divBdr>
    </w:div>
    <w:div w:id="1995446089">
      <w:bodyDiv w:val="1"/>
      <w:marLeft w:val="0"/>
      <w:marRight w:val="0"/>
      <w:marTop w:val="0"/>
      <w:marBottom w:val="0"/>
      <w:divBdr>
        <w:top w:val="none" w:sz="0" w:space="0" w:color="auto"/>
        <w:left w:val="none" w:sz="0" w:space="0" w:color="auto"/>
        <w:bottom w:val="none" w:sz="0" w:space="0" w:color="auto"/>
        <w:right w:val="none" w:sz="0" w:space="0" w:color="auto"/>
      </w:divBdr>
    </w:div>
    <w:div w:id="2015106828">
      <w:bodyDiv w:val="1"/>
      <w:marLeft w:val="0"/>
      <w:marRight w:val="0"/>
      <w:marTop w:val="0"/>
      <w:marBottom w:val="0"/>
      <w:divBdr>
        <w:top w:val="none" w:sz="0" w:space="0" w:color="auto"/>
        <w:left w:val="none" w:sz="0" w:space="0" w:color="auto"/>
        <w:bottom w:val="none" w:sz="0" w:space="0" w:color="auto"/>
        <w:right w:val="none" w:sz="0" w:space="0" w:color="auto"/>
      </w:divBdr>
    </w:div>
    <w:div w:id="2031450929">
      <w:bodyDiv w:val="1"/>
      <w:marLeft w:val="0"/>
      <w:marRight w:val="0"/>
      <w:marTop w:val="0"/>
      <w:marBottom w:val="0"/>
      <w:divBdr>
        <w:top w:val="none" w:sz="0" w:space="0" w:color="auto"/>
        <w:left w:val="none" w:sz="0" w:space="0" w:color="auto"/>
        <w:bottom w:val="none" w:sz="0" w:space="0" w:color="auto"/>
        <w:right w:val="none" w:sz="0" w:space="0" w:color="auto"/>
      </w:divBdr>
    </w:div>
    <w:div w:id="2043089917">
      <w:bodyDiv w:val="1"/>
      <w:marLeft w:val="0"/>
      <w:marRight w:val="0"/>
      <w:marTop w:val="0"/>
      <w:marBottom w:val="0"/>
      <w:divBdr>
        <w:top w:val="none" w:sz="0" w:space="0" w:color="auto"/>
        <w:left w:val="none" w:sz="0" w:space="0" w:color="auto"/>
        <w:bottom w:val="none" w:sz="0" w:space="0" w:color="auto"/>
        <w:right w:val="none" w:sz="0" w:space="0" w:color="auto"/>
      </w:divBdr>
    </w:div>
    <w:div w:id="2045052653">
      <w:bodyDiv w:val="1"/>
      <w:marLeft w:val="0"/>
      <w:marRight w:val="0"/>
      <w:marTop w:val="0"/>
      <w:marBottom w:val="0"/>
      <w:divBdr>
        <w:top w:val="none" w:sz="0" w:space="0" w:color="auto"/>
        <w:left w:val="none" w:sz="0" w:space="0" w:color="auto"/>
        <w:bottom w:val="none" w:sz="0" w:space="0" w:color="auto"/>
        <w:right w:val="none" w:sz="0" w:space="0" w:color="auto"/>
      </w:divBdr>
      <w:divsChild>
        <w:div w:id="1087116638">
          <w:marLeft w:val="0"/>
          <w:marRight w:val="0"/>
          <w:marTop w:val="0"/>
          <w:marBottom w:val="0"/>
          <w:divBdr>
            <w:top w:val="single" w:sz="6" w:space="0" w:color="38454D"/>
            <w:left w:val="none" w:sz="0" w:space="0" w:color="auto"/>
            <w:bottom w:val="none" w:sz="0" w:space="0" w:color="auto"/>
            <w:right w:val="none" w:sz="0" w:space="0" w:color="auto"/>
          </w:divBdr>
        </w:div>
      </w:divsChild>
    </w:div>
    <w:div w:id="2049521370">
      <w:bodyDiv w:val="1"/>
      <w:marLeft w:val="0"/>
      <w:marRight w:val="0"/>
      <w:marTop w:val="0"/>
      <w:marBottom w:val="0"/>
      <w:divBdr>
        <w:top w:val="none" w:sz="0" w:space="0" w:color="auto"/>
        <w:left w:val="none" w:sz="0" w:space="0" w:color="auto"/>
        <w:bottom w:val="none" w:sz="0" w:space="0" w:color="auto"/>
        <w:right w:val="none" w:sz="0" w:space="0" w:color="auto"/>
      </w:divBdr>
    </w:div>
    <w:div w:id="2064674471">
      <w:bodyDiv w:val="1"/>
      <w:marLeft w:val="0"/>
      <w:marRight w:val="0"/>
      <w:marTop w:val="0"/>
      <w:marBottom w:val="0"/>
      <w:divBdr>
        <w:top w:val="none" w:sz="0" w:space="0" w:color="auto"/>
        <w:left w:val="none" w:sz="0" w:space="0" w:color="auto"/>
        <w:bottom w:val="none" w:sz="0" w:space="0" w:color="auto"/>
        <w:right w:val="none" w:sz="0" w:space="0" w:color="auto"/>
      </w:divBdr>
    </w:div>
    <w:div w:id="2067558863">
      <w:bodyDiv w:val="1"/>
      <w:marLeft w:val="0"/>
      <w:marRight w:val="0"/>
      <w:marTop w:val="0"/>
      <w:marBottom w:val="0"/>
      <w:divBdr>
        <w:top w:val="none" w:sz="0" w:space="0" w:color="auto"/>
        <w:left w:val="none" w:sz="0" w:space="0" w:color="auto"/>
        <w:bottom w:val="none" w:sz="0" w:space="0" w:color="auto"/>
        <w:right w:val="none" w:sz="0" w:space="0" w:color="auto"/>
      </w:divBdr>
    </w:div>
    <w:div w:id="2076514616">
      <w:bodyDiv w:val="1"/>
      <w:marLeft w:val="0"/>
      <w:marRight w:val="0"/>
      <w:marTop w:val="0"/>
      <w:marBottom w:val="0"/>
      <w:divBdr>
        <w:top w:val="none" w:sz="0" w:space="0" w:color="auto"/>
        <w:left w:val="none" w:sz="0" w:space="0" w:color="auto"/>
        <w:bottom w:val="none" w:sz="0" w:space="0" w:color="auto"/>
        <w:right w:val="none" w:sz="0" w:space="0" w:color="auto"/>
      </w:divBdr>
    </w:div>
    <w:div w:id="2077048563">
      <w:bodyDiv w:val="1"/>
      <w:marLeft w:val="0"/>
      <w:marRight w:val="0"/>
      <w:marTop w:val="0"/>
      <w:marBottom w:val="0"/>
      <w:divBdr>
        <w:top w:val="none" w:sz="0" w:space="0" w:color="auto"/>
        <w:left w:val="none" w:sz="0" w:space="0" w:color="auto"/>
        <w:bottom w:val="none" w:sz="0" w:space="0" w:color="auto"/>
        <w:right w:val="none" w:sz="0" w:space="0" w:color="auto"/>
      </w:divBdr>
    </w:div>
    <w:div w:id="2081098229">
      <w:bodyDiv w:val="1"/>
      <w:marLeft w:val="0"/>
      <w:marRight w:val="0"/>
      <w:marTop w:val="0"/>
      <w:marBottom w:val="0"/>
      <w:divBdr>
        <w:top w:val="none" w:sz="0" w:space="0" w:color="auto"/>
        <w:left w:val="none" w:sz="0" w:space="0" w:color="auto"/>
        <w:bottom w:val="none" w:sz="0" w:space="0" w:color="auto"/>
        <w:right w:val="none" w:sz="0" w:space="0" w:color="auto"/>
      </w:divBdr>
    </w:div>
    <w:div w:id="2093427370">
      <w:bodyDiv w:val="1"/>
      <w:marLeft w:val="0"/>
      <w:marRight w:val="0"/>
      <w:marTop w:val="0"/>
      <w:marBottom w:val="0"/>
      <w:divBdr>
        <w:top w:val="none" w:sz="0" w:space="0" w:color="auto"/>
        <w:left w:val="none" w:sz="0" w:space="0" w:color="auto"/>
        <w:bottom w:val="none" w:sz="0" w:space="0" w:color="auto"/>
        <w:right w:val="none" w:sz="0" w:space="0" w:color="auto"/>
      </w:divBdr>
    </w:div>
    <w:div w:id="2094544256">
      <w:bodyDiv w:val="1"/>
      <w:marLeft w:val="0"/>
      <w:marRight w:val="0"/>
      <w:marTop w:val="0"/>
      <w:marBottom w:val="0"/>
      <w:divBdr>
        <w:top w:val="none" w:sz="0" w:space="0" w:color="auto"/>
        <w:left w:val="none" w:sz="0" w:space="0" w:color="auto"/>
        <w:bottom w:val="none" w:sz="0" w:space="0" w:color="auto"/>
        <w:right w:val="none" w:sz="0" w:space="0" w:color="auto"/>
      </w:divBdr>
    </w:div>
    <w:div w:id="2106146187">
      <w:bodyDiv w:val="1"/>
      <w:marLeft w:val="0"/>
      <w:marRight w:val="0"/>
      <w:marTop w:val="0"/>
      <w:marBottom w:val="0"/>
      <w:divBdr>
        <w:top w:val="none" w:sz="0" w:space="0" w:color="auto"/>
        <w:left w:val="none" w:sz="0" w:space="0" w:color="auto"/>
        <w:bottom w:val="none" w:sz="0" w:space="0" w:color="auto"/>
        <w:right w:val="none" w:sz="0" w:space="0" w:color="auto"/>
      </w:divBdr>
    </w:div>
    <w:div w:id="2111048068">
      <w:bodyDiv w:val="1"/>
      <w:marLeft w:val="0"/>
      <w:marRight w:val="0"/>
      <w:marTop w:val="0"/>
      <w:marBottom w:val="0"/>
      <w:divBdr>
        <w:top w:val="none" w:sz="0" w:space="0" w:color="auto"/>
        <w:left w:val="none" w:sz="0" w:space="0" w:color="auto"/>
        <w:bottom w:val="none" w:sz="0" w:space="0" w:color="auto"/>
        <w:right w:val="none" w:sz="0" w:space="0" w:color="auto"/>
      </w:divBdr>
    </w:div>
    <w:div w:id="2112698823">
      <w:bodyDiv w:val="1"/>
      <w:marLeft w:val="0"/>
      <w:marRight w:val="0"/>
      <w:marTop w:val="0"/>
      <w:marBottom w:val="0"/>
      <w:divBdr>
        <w:top w:val="none" w:sz="0" w:space="0" w:color="auto"/>
        <w:left w:val="none" w:sz="0" w:space="0" w:color="auto"/>
        <w:bottom w:val="none" w:sz="0" w:space="0" w:color="auto"/>
        <w:right w:val="none" w:sz="0" w:space="0" w:color="auto"/>
      </w:divBdr>
    </w:div>
    <w:div w:id="2113864640">
      <w:bodyDiv w:val="1"/>
      <w:marLeft w:val="0"/>
      <w:marRight w:val="0"/>
      <w:marTop w:val="0"/>
      <w:marBottom w:val="0"/>
      <w:divBdr>
        <w:top w:val="none" w:sz="0" w:space="0" w:color="auto"/>
        <w:left w:val="none" w:sz="0" w:space="0" w:color="auto"/>
        <w:bottom w:val="none" w:sz="0" w:space="0" w:color="auto"/>
        <w:right w:val="none" w:sz="0" w:space="0" w:color="auto"/>
      </w:divBdr>
    </w:div>
    <w:div w:id="2115860289">
      <w:bodyDiv w:val="1"/>
      <w:marLeft w:val="0"/>
      <w:marRight w:val="0"/>
      <w:marTop w:val="0"/>
      <w:marBottom w:val="0"/>
      <w:divBdr>
        <w:top w:val="none" w:sz="0" w:space="0" w:color="auto"/>
        <w:left w:val="none" w:sz="0" w:space="0" w:color="auto"/>
        <w:bottom w:val="none" w:sz="0" w:space="0" w:color="auto"/>
        <w:right w:val="none" w:sz="0" w:space="0" w:color="auto"/>
      </w:divBdr>
    </w:div>
    <w:div w:id="2135052432">
      <w:bodyDiv w:val="1"/>
      <w:marLeft w:val="0"/>
      <w:marRight w:val="0"/>
      <w:marTop w:val="0"/>
      <w:marBottom w:val="0"/>
      <w:divBdr>
        <w:top w:val="none" w:sz="0" w:space="0" w:color="auto"/>
        <w:left w:val="none" w:sz="0" w:space="0" w:color="auto"/>
        <w:bottom w:val="none" w:sz="0" w:space="0" w:color="auto"/>
        <w:right w:val="none" w:sz="0" w:space="0" w:color="auto"/>
      </w:divBdr>
    </w:div>
    <w:div w:id="2141917319">
      <w:bodyDiv w:val="1"/>
      <w:marLeft w:val="0"/>
      <w:marRight w:val="0"/>
      <w:marTop w:val="0"/>
      <w:marBottom w:val="0"/>
      <w:divBdr>
        <w:top w:val="none" w:sz="0" w:space="0" w:color="auto"/>
        <w:left w:val="none" w:sz="0" w:space="0" w:color="auto"/>
        <w:bottom w:val="none" w:sz="0" w:space="0" w:color="auto"/>
        <w:right w:val="none" w:sz="0" w:space="0" w:color="auto"/>
      </w:divBdr>
    </w:div>
    <w:div w:id="2142766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9.png"/><Relationship Id="rId21" Type="http://schemas.openxmlformats.org/officeDocument/2006/relationships/hyperlink" Target="https://www.gazzettaufficiale.it/eli/id/2018/01/31/18G00013/sg" TargetMode="External"/><Relationship Id="rId42" Type="http://schemas.openxmlformats.org/officeDocument/2006/relationships/image" Target="media/image25.emf"/><Relationship Id="rId47" Type="http://schemas.openxmlformats.org/officeDocument/2006/relationships/image" Target="media/image30.emf"/><Relationship Id="rId63" Type="http://schemas.openxmlformats.org/officeDocument/2006/relationships/image" Target="media/image44.png"/><Relationship Id="rId68" Type="http://schemas.openxmlformats.org/officeDocument/2006/relationships/image" Target="media/image49.png"/><Relationship Id="rId84" Type="http://schemas.openxmlformats.org/officeDocument/2006/relationships/image" Target="media/image59.png"/><Relationship Id="rId89" Type="http://schemas.openxmlformats.org/officeDocument/2006/relationships/image" Target="media/image64.png"/><Relationship Id="rId16" Type="http://schemas.openxmlformats.org/officeDocument/2006/relationships/image" Target="media/image6.emf"/><Relationship Id="rId107" Type="http://schemas.openxmlformats.org/officeDocument/2006/relationships/header" Target="header3.xml"/><Relationship Id="rId11" Type="http://schemas.openxmlformats.org/officeDocument/2006/relationships/header" Target="header1.xml"/><Relationship Id="rId32" Type="http://schemas.openxmlformats.org/officeDocument/2006/relationships/image" Target="media/image15.png"/><Relationship Id="rId37" Type="http://schemas.openxmlformats.org/officeDocument/2006/relationships/image" Target="media/image20.png"/><Relationship Id="rId53" Type="http://schemas.openxmlformats.org/officeDocument/2006/relationships/image" Target="media/image37.png"/><Relationship Id="rId58" Type="http://schemas.openxmlformats.org/officeDocument/2006/relationships/image" Target="media/image40.emf"/><Relationship Id="rId74" Type="http://schemas.openxmlformats.org/officeDocument/2006/relationships/image" Target="media/image54.svg"/><Relationship Id="rId79" Type="http://schemas.openxmlformats.org/officeDocument/2006/relationships/hyperlink" Target="https://chivasso.trasparenza-valutazione-merito.it/web/trasparenza/provvedimenti-organi-politici?p_p_id=jcitygovalbopubblicazioni_WAR_jcitygovalbiportlet&amp;p_p_lifecycle=2&amp;p_p_state=pop_up&amp;p_p_mode=view&amp;p_p_resource_id=downloadAllegato&amp;p_p_cacheability=cacheLevelPage&amp;_jcitygovalbopubblicazioni_WAR_jcitygovalbiportlet_downloadSigned=true&amp;_jcitygovalbopubblicazioni_WAR_jcitygovalbiportlet_id=10600406&amp;_jcitygovalbopubblicazioni_WAR_jcitygovalbiportlet_action=mostraDettaglio&amp;_jcitygovalbopubblicazioni_WAR_jcitygovalbiportlet_fromAction=recuperaDettaglio" TargetMode="External"/><Relationship Id="rId102" Type="http://schemas.openxmlformats.org/officeDocument/2006/relationships/image" Target="media/image76.png"/><Relationship Id="rId5" Type="http://schemas.openxmlformats.org/officeDocument/2006/relationships/settings" Target="settings.xml"/><Relationship Id="rId90" Type="http://schemas.openxmlformats.org/officeDocument/2006/relationships/image" Target="media/image65.png"/><Relationship Id="rId95" Type="http://schemas.openxmlformats.org/officeDocument/2006/relationships/image" Target="media/image70.emf"/><Relationship Id="rId22" Type="http://schemas.openxmlformats.org/officeDocument/2006/relationships/header" Target="header2.xml"/><Relationship Id="rId27" Type="http://schemas.openxmlformats.org/officeDocument/2006/relationships/image" Target="media/image10.png"/><Relationship Id="rId43" Type="http://schemas.openxmlformats.org/officeDocument/2006/relationships/image" Target="media/image26.emf"/><Relationship Id="rId48" Type="http://schemas.openxmlformats.org/officeDocument/2006/relationships/image" Target="media/image31.emf"/><Relationship Id="rId64" Type="http://schemas.openxmlformats.org/officeDocument/2006/relationships/image" Target="media/image45.png"/><Relationship Id="rId69" Type="http://schemas.openxmlformats.org/officeDocument/2006/relationships/image" Target="media/image50.emf"/><Relationship Id="rId80" Type="http://schemas.openxmlformats.org/officeDocument/2006/relationships/hyperlink" Target="https://servizionline.comune.ivrea.to.it/cmsivrea/portale/delibere/getfile.aspx?SOURCE=PATH&amp;KEY=FileTestoDelib_1" TargetMode="External"/><Relationship Id="rId85" Type="http://schemas.openxmlformats.org/officeDocument/2006/relationships/image" Target="media/image60.png"/><Relationship Id="rId12" Type="http://schemas.openxmlformats.org/officeDocument/2006/relationships/footer" Target="footer1.xml"/><Relationship Id="rId17" Type="http://schemas.openxmlformats.org/officeDocument/2006/relationships/image" Target="media/image7.png"/><Relationship Id="rId33" Type="http://schemas.openxmlformats.org/officeDocument/2006/relationships/image" Target="media/image16.png"/><Relationship Id="rId38" Type="http://schemas.openxmlformats.org/officeDocument/2006/relationships/image" Target="media/image21.png"/><Relationship Id="rId59" Type="http://schemas.openxmlformats.org/officeDocument/2006/relationships/footer" Target="footer6.xml"/><Relationship Id="rId103" Type="http://schemas.openxmlformats.org/officeDocument/2006/relationships/image" Target="media/image77.png"/><Relationship Id="rId108" Type="http://schemas.openxmlformats.org/officeDocument/2006/relationships/footer" Target="footer12.xml"/><Relationship Id="rId54" Type="http://schemas.openxmlformats.org/officeDocument/2006/relationships/image" Target="media/image38.emf"/><Relationship Id="rId70" Type="http://schemas.openxmlformats.org/officeDocument/2006/relationships/image" Target="media/image51.emf"/><Relationship Id="rId75" Type="http://schemas.openxmlformats.org/officeDocument/2006/relationships/image" Target="media/image55.png"/><Relationship Id="rId91" Type="http://schemas.openxmlformats.org/officeDocument/2006/relationships/image" Target="media/image66.emf"/><Relationship Id="rId96" Type="http://schemas.openxmlformats.org/officeDocument/2006/relationships/image" Target="media/image71.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footer" Target="footer4.xml"/><Relationship Id="rId28" Type="http://schemas.openxmlformats.org/officeDocument/2006/relationships/image" Target="media/image11.png"/><Relationship Id="rId36" Type="http://schemas.openxmlformats.org/officeDocument/2006/relationships/image" Target="media/image19.png"/><Relationship Id="rId49" Type="http://schemas.openxmlformats.org/officeDocument/2006/relationships/image" Target="media/image32.emf"/><Relationship Id="rId57" Type="http://schemas.openxmlformats.org/officeDocument/2006/relationships/chart" Target="charts/chart1.xml"/><Relationship Id="rId106" Type="http://schemas.openxmlformats.org/officeDocument/2006/relationships/image" Target="media/image78.png"/><Relationship Id="rId10" Type="http://schemas.openxmlformats.org/officeDocument/2006/relationships/image" Target="media/image2.png"/><Relationship Id="rId31" Type="http://schemas.openxmlformats.org/officeDocument/2006/relationships/image" Target="media/image14.png"/><Relationship Id="rId44" Type="http://schemas.openxmlformats.org/officeDocument/2006/relationships/image" Target="media/image27.emf"/><Relationship Id="rId52" Type="http://schemas.openxmlformats.org/officeDocument/2006/relationships/image" Target="media/image35.emf"/><Relationship Id="rId60" Type="http://schemas.openxmlformats.org/officeDocument/2006/relationships/image" Target="media/image41.png"/><Relationship Id="rId65" Type="http://schemas.openxmlformats.org/officeDocument/2006/relationships/image" Target="media/image46.png"/><Relationship Id="rId73" Type="http://schemas.openxmlformats.org/officeDocument/2006/relationships/image" Target="media/image53.png"/><Relationship Id="rId78" Type="http://schemas.openxmlformats.org/officeDocument/2006/relationships/image" Target="media/image57.emf"/><Relationship Id="rId81" Type="http://schemas.openxmlformats.org/officeDocument/2006/relationships/hyperlink" Target="https://chivasso.trasparenza-valutazione-merito.it/web/trasparenza/provvedimenti-organi-politici?p_p_id=jcitygovalbopubblicazioni_WAR_jcitygovalbiportlet&amp;p_p_lifecycle=2&amp;p_p_state=pop_up&amp;p_p_mode=view&amp;p_p_resource_id=downloadAllegato&amp;p_p_cacheability=cacheLevelPage&amp;_jcitygovalbopubblicazioni_WAR_jcitygovalbiportlet_downloadSigned=true&amp;_jcitygovalbopubblicazioni_WAR_jcitygovalbiportlet_id=10600406&amp;_jcitygovalbopubblicazioni_WAR_jcitygovalbiportlet_action=mostraDettaglio&amp;_jcitygovalbopubblicazioni_WAR_jcitygovalbiportlet_fromAction=recuperaDettaglio" TargetMode="External"/><Relationship Id="rId86" Type="http://schemas.openxmlformats.org/officeDocument/2006/relationships/image" Target="media/image61.png"/><Relationship Id="rId94" Type="http://schemas.openxmlformats.org/officeDocument/2006/relationships/image" Target="media/image69.png"/><Relationship Id="rId99" Type="http://schemas.openxmlformats.org/officeDocument/2006/relationships/image" Target="media/image73.png"/><Relationship Id="rId101" Type="http://schemas.openxmlformats.org/officeDocument/2006/relationships/image" Target="media/image75.png"/><Relationship Id="rId4" Type="http://schemas.openxmlformats.org/officeDocument/2006/relationships/styles" Target="styles.xml"/><Relationship Id="rId9"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3.xml"/><Relationship Id="rId39" Type="http://schemas.openxmlformats.org/officeDocument/2006/relationships/image" Target="media/image22.png"/><Relationship Id="rId109" Type="http://schemas.openxmlformats.org/officeDocument/2006/relationships/header" Target="header4.xml"/><Relationship Id="rId34" Type="http://schemas.openxmlformats.org/officeDocument/2006/relationships/image" Target="media/image17.png"/><Relationship Id="rId50" Type="http://schemas.openxmlformats.org/officeDocument/2006/relationships/image" Target="media/image33.emf"/><Relationship Id="rId55" Type="http://schemas.openxmlformats.org/officeDocument/2006/relationships/image" Target="media/image39.png"/><Relationship Id="rId76" Type="http://schemas.openxmlformats.org/officeDocument/2006/relationships/image" Target="media/image56.svg"/><Relationship Id="rId97" Type="http://schemas.openxmlformats.org/officeDocument/2006/relationships/image" Target="media/image72.emf"/><Relationship Id="rId104" Type="http://schemas.openxmlformats.org/officeDocument/2006/relationships/footer" Target="footer10.xml"/><Relationship Id="rId7" Type="http://schemas.openxmlformats.org/officeDocument/2006/relationships/footnotes" Target="footnotes.xml"/><Relationship Id="rId71" Type="http://schemas.openxmlformats.org/officeDocument/2006/relationships/image" Target="media/image52.jpeg"/><Relationship Id="rId92" Type="http://schemas.openxmlformats.org/officeDocument/2006/relationships/image" Target="media/image67.emf"/><Relationship Id="rId2" Type="http://schemas.openxmlformats.org/officeDocument/2006/relationships/customXml" Target="../customXml/item2.xml"/><Relationship Id="rId29" Type="http://schemas.openxmlformats.org/officeDocument/2006/relationships/image" Target="media/image12.png"/><Relationship Id="rId24" Type="http://schemas.openxmlformats.org/officeDocument/2006/relationships/footer" Target="footer5.xml"/><Relationship Id="rId40" Type="http://schemas.openxmlformats.org/officeDocument/2006/relationships/image" Target="media/image23.png"/><Relationship Id="rId45" Type="http://schemas.openxmlformats.org/officeDocument/2006/relationships/image" Target="media/image28.emf"/><Relationship Id="rId66" Type="http://schemas.openxmlformats.org/officeDocument/2006/relationships/image" Target="media/image47.png"/><Relationship Id="rId87" Type="http://schemas.openxmlformats.org/officeDocument/2006/relationships/image" Target="media/image62.emf"/><Relationship Id="rId110" Type="http://schemas.openxmlformats.org/officeDocument/2006/relationships/fontTable" Target="fontTable.xml"/><Relationship Id="rId61" Type="http://schemas.openxmlformats.org/officeDocument/2006/relationships/image" Target="media/image42.png"/><Relationship Id="rId82" Type="http://schemas.openxmlformats.org/officeDocument/2006/relationships/image" Target="media/image58.png"/><Relationship Id="rId19" Type="http://schemas.openxmlformats.org/officeDocument/2006/relationships/hyperlink" Target="http://arianna.cr.piemonte.it/iterlegcoordweb/dettaglioLegge.do?urnLegge=urn:nir:regione.piemonte:legge:2000;1@2018-10-29" TargetMode="External"/><Relationship Id="rId14" Type="http://schemas.openxmlformats.org/officeDocument/2006/relationships/image" Target="media/image4.emf"/><Relationship Id="rId30" Type="http://schemas.openxmlformats.org/officeDocument/2006/relationships/image" Target="media/image13.png"/><Relationship Id="rId35" Type="http://schemas.openxmlformats.org/officeDocument/2006/relationships/image" Target="media/image18.png"/><Relationship Id="rId56" Type="http://schemas.openxmlformats.org/officeDocument/2006/relationships/hyperlink" Target="https://ampartecipa.mtm.torino.it/processes/bacino-metropolitano/f/24/meetings/44" TargetMode="External"/><Relationship Id="rId77" Type="http://schemas.openxmlformats.org/officeDocument/2006/relationships/footer" Target="footer8.xml"/><Relationship Id="rId100" Type="http://schemas.openxmlformats.org/officeDocument/2006/relationships/image" Target="media/image74.png"/><Relationship Id="rId105" Type="http://schemas.openxmlformats.org/officeDocument/2006/relationships/footer" Target="footer11.xml"/><Relationship Id="rId8" Type="http://schemas.openxmlformats.org/officeDocument/2006/relationships/endnotes" Target="endnotes.xml"/><Relationship Id="rId51" Type="http://schemas.openxmlformats.org/officeDocument/2006/relationships/image" Target="media/image34.emf"/><Relationship Id="rId72" Type="http://schemas.openxmlformats.org/officeDocument/2006/relationships/footer" Target="footer7.xml"/><Relationship Id="rId93" Type="http://schemas.openxmlformats.org/officeDocument/2006/relationships/image" Target="media/image68.png"/><Relationship Id="rId98" Type="http://schemas.openxmlformats.org/officeDocument/2006/relationships/hyperlink" Target="https://ampartecipa.mtm.torino.it/" TargetMode="External"/><Relationship Id="rId3" Type="http://schemas.openxmlformats.org/officeDocument/2006/relationships/numbering" Target="numbering.xml"/><Relationship Id="rId25" Type="http://schemas.openxmlformats.org/officeDocument/2006/relationships/image" Target="media/image8.png"/><Relationship Id="rId46" Type="http://schemas.openxmlformats.org/officeDocument/2006/relationships/image" Target="media/image29.emf"/><Relationship Id="rId67" Type="http://schemas.openxmlformats.org/officeDocument/2006/relationships/image" Target="media/image48.png"/><Relationship Id="rId20" Type="http://schemas.openxmlformats.org/officeDocument/2006/relationships/hyperlink" Target="http://www.regione.piemonte.it/governo/bollettino/abbonati/2018/05/suppo1/00000003.htm" TargetMode="External"/><Relationship Id="rId41" Type="http://schemas.openxmlformats.org/officeDocument/2006/relationships/image" Target="media/image24.emf"/><Relationship Id="rId62" Type="http://schemas.openxmlformats.org/officeDocument/2006/relationships/image" Target="media/image43.png"/><Relationship Id="rId83" Type="http://schemas.openxmlformats.org/officeDocument/2006/relationships/footer" Target="footer9.xml"/><Relationship Id="rId88" Type="http://schemas.openxmlformats.org/officeDocument/2006/relationships/image" Target="media/image63.emf"/><Relationship Id="rId111"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mtm.torino.it/it/piani-progetti/progetti-a-scala-regionale/studi-su-linee-ferroviarie-sospese/" TargetMode="External"/><Relationship Id="rId13" Type="http://schemas.openxmlformats.org/officeDocument/2006/relationships/hyperlink" Target="https://rivaluta.istat.it/Rivaluta/Widget/calcolatoreWidget.jsp" TargetMode="External"/><Relationship Id="rId3" Type="http://schemas.openxmlformats.org/officeDocument/2006/relationships/hyperlink" Target="https://mtm.torino.it/wp-content/uploads/2023/06/Relazione_Affidamenti_2022_pubbl_15-06-2023.pdf" TargetMode="External"/><Relationship Id="rId7" Type="http://schemas.openxmlformats.org/officeDocument/2006/relationships/hyperlink" Target="https://www.istat.it/statistica-sperimentale/previsioni-demografiche-comunali-statistica-sperimentale/" TargetMode="External"/><Relationship Id="rId12" Type="http://schemas.openxmlformats.org/officeDocument/2006/relationships/hyperlink" Target="https://rivaluta.istat.it/Rivaluta/Widget/calcolatoreWidget.jsp" TargetMode="External"/><Relationship Id="rId2" Type="http://schemas.openxmlformats.org/officeDocument/2006/relationships/hyperlink" Target="https://mtm.torino.it/it/servizi-e-contratti/relazioni-di-affidamento/" TargetMode="External"/><Relationship Id="rId16" Type="http://schemas.openxmlformats.org/officeDocument/2006/relationships/hyperlink" Target="https://ampartecipa.mtm.torino.it/processes/bacino-metropolitano/f/42/posts/69%20" TargetMode="External"/><Relationship Id="rId1" Type="http://schemas.openxmlformats.org/officeDocument/2006/relationships/hyperlink" Target="https://mtm.torino.it/it/aggiornamento-avvisi-pre-informazione-delle-procedure-di-affidamento-delle-concessioni-dei-servizi-di-tpl/" TargetMode="External"/><Relationship Id="rId6" Type="http://schemas.openxmlformats.org/officeDocument/2006/relationships/hyperlink" Target="https://datamobility.it/magazine/ok-boomer-una-prospettiva-generazionale-sui-comportamenti-di-mobilita/" TargetMode="External"/><Relationship Id="rId11" Type="http://schemas.openxmlformats.org/officeDocument/2006/relationships/hyperlink" Target="https://www.dt.mef.gov.it/it/attivita_istituzionali/analisi_programmazione_economico_finanziaria/inflaz_programmata/" TargetMode="External"/><Relationship Id="rId5" Type="http://schemas.openxmlformats.org/officeDocument/2006/relationships/hyperlink" Target="https://www.muoversinpiemonte.it/piattaforma-digitale-regionale-emma" TargetMode="External"/><Relationship Id="rId15" Type="http://schemas.openxmlformats.org/officeDocument/2006/relationships/hyperlink" Target="https://ampartecipa.mtm.torino.it/processes/bacino-metropolitano/f/42/posts/11" TargetMode="External"/><Relationship Id="rId10" Type="http://schemas.openxmlformats.org/officeDocument/2006/relationships/hyperlink" Target="https://www.emta.com/wp-content/uploads/2021/12/rebelgroup_report.pdf" TargetMode="External"/><Relationship Id="rId4" Type="http://schemas.openxmlformats.org/officeDocument/2006/relationships/image" Target="media/image36.wmf"/><Relationship Id="rId9" Type="http://schemas.openxmlformats.org/officeDocument/2006/relationships/hyperlink" Target="https://mtm.torino.it/it/servizi-e-contratti/servizi-tpl/" TargetMode="External"/><Relationship Id="rId14" Type="http://schemas.openxmlformats.org/officeDocument/2006/relationships/hyperlink" Target="https://mtm.torino.it/wp-content/uploads/amministrazione-trasparente/bandi-gara-contratti/sistema-di-qualificazione-concessionari-tpl/sistema-di-qualificazione-normativa-3.00.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192.168.0.40\open%20mtmCloud\RELAZIONI%20LOTTI\materiale%20lavoro\BACINO%20METRO\TURISMO\turismo_piemonte_2016-2024_VISIT%20CMTO.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it-IT"/>
              <a:t>Bacino</a:t>
            </a:r>
            <a:r>
              <a:rPr lang="it-IT" baseline="0"/>
              <a:t> metropolitano</a:t>
            </a:r>
            <a:endParaRPr lang="it-IT"/>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it-IT"/>
        </a:p>
      </c:txPr>
    </c:title>
    <c:autoTitleDeleted val="0"/>
    <c:plotArea>
      <c:layout/>
      <c:barChart>
        <c:barDir val="col"/>
        <c:grouping val="stacked"/>
        <c:varyColors val="0"/>
        <c:ser>
          <c:idx val="0"/>
          <c:order val="0"/>
          <c:tx>
            <c:strRef>
              <c:f>Foglio1!$I$21</c:f>
              <c:strCache>
                <c:ptCount val="1"/>
                <c:pt idx="0">
                  <c:v>Presenze Italia</c:v>
                </c:pt>
              </c:strCache>
            </c:strRef>
          </c:tx>
          <c:spPr>
            <a:solidFill>
              <a:srgbClr val="EE0000"/>
            </a:solidFill>
            <a:ln>
              <a:noFill/>
            </a:ln>
            <a:effectLst/>
          </c:spPr>
          <c:invertIfNegative val="0"/>
          <c:cat>
            <c:numRef>
              <c:f>Foglio1!$H$22:$H$30</c:f>
              <c:numCache>
                <c:formatCode>General</c:formatCode>
                <c:ptCount val="9"/>
                <c:pt idx="0">
                  <c:v>2016</c:v>
                </c:pt>
                <c:pt idx="1">
                  <c:v>2017</c:v>
                </c:pt>
                <c:pt idx="2">
                  <c:v>2018</c:v>
                </c:pt>
                <c:pt idx="3">
                  <c:v>2019</c:v>
                </c:pt>
                <c:pt idx="4">
                  <c:v>2020</c:v>
                </c:pt>
                <c:pt idx="5">
                  <c:v>2021</c:v>
                </c:pt>
                <c:pt idx="6">
                  <c:v>2022</c:v>
                </c:pt>
                <c:pt idx="7">
                  <c:v>2023</c:v>
                </c:pt>
                <c:pt idx="8">
                  <c:v>2024</c:v>
                </c:pt>
              </c:numCache>
            </c:numRef>
          </c:cat>
          <c:val>
            <c:numRef>
              <c:f>Foglio1!$I$22:$I$30</c:f>
              <c:numCache>
                <c:formatCode>#,##0</c:formatCode>
                <c:ptCount val="9"/>
                <c:pt idx="0">
                  <c:v>4994853</c:v>
                </c:pt>
                <c:pt idx="1">
                  <c:v>5204167</c:v>
                </c:pt>
                <c:pt idx="2">
                  <c:v>5143914</c:v>
                </c:pt>
                <c:pt idx="3">
                  <c:v>5033429</c:v>
                </c:pt>
                <c:pt idx="4">
                  <c:v>2106034</c:v>
                </c:pt>
                <c:pt idx="5">
                  <c:v>3086233</c:v>
                </c:pt>
                <c:pt idx="6">
                  <c:v>4286252</c:v>
                </c:pt>
                <c:pt idx="7">
                  <c:v>4289525</c:v>
                </c:pt>
                <c:pt idx="8">
                  <c:v>4431328</c:v>
                </c:pt>
              </c:numCache>
            </c:numRef>
          </c:val>
          <c:extLst>
            <c:ext xmlns:c16="http://schemas.microsoft.com/office/drawing/2014/chart" uri="{C3380CC4-5D6E-409C-BE32-E72D297353CC}">
              <c16:uniqueId val="{00000000-A71E-465C-81FE-08C5D420377E}"/>
            </c:ext>
          </c:extLst>
        </c:ser>
        <c:ser>
          <c:idx val="1"/>
          <c:order val="1"/>
          <c:tx>
            <c:strRef>
              <c:f>Foglio1!$J$21</c:f>
              <c:strCache>
                <c:ptCount val="1"/>
                <c:pt idx="0">
                  <c:v>Presenze Estero</c:v>
                </c:pt>
              </c:strCache>
            </c:strRef>
          </c:tx>
          <c:spPr>
            <a:solidFill>
              <a:srgbClr val="C00000"/>
            </a:solidFill>
            <a:ln>
              <a:noFill/>
            </a:ln>
            <a:effectLst/>
          </c:spPr>
          <c:invertIfNegative val="0"/>
          <c:cat>
            <c:numRef>
              <c:f>Foglio1!$H$22:$H$30</c:f>
              <c:numCache>
                <c:formatCode>General</c:formatCode>
                <c:ptCount val="9"/>
                <c:pt idx="0">
                  <c:v>2016</c:v>
                </c:pt>
                <c:pt idx="1">
                  <c:v>2017</c:v>
                </c:pt>
                <c:pt idx="2">
                  <c:v>2018</c:v>
                </c:pt>
                <c:pt idx="3">
                  <c:v>2019</c:v>
                </c:pt>
                <c:pt idx="4">
                  <c:v>2020</c:v>
                </c:pt>
                <c:pt idx="5">
                  <c:v>2021</c:v>
                </c:pt>
                <c:pt idx="6">
                  <c:v>2022</c:v>
                </c:pt>
                <c:pt idx="7">
                  <c:v>2023</c:v>
                </c:pt>
                <c:pt idx="8">
                  <c:v>2024</c:v>
                </c:pt>
              </c:numCache>
            </c:numRef>
          </c:cat>
          <c:val>
            <c:numRef>
              <c:f>Foglio1!$J$22:$J$30</c:f>
              <c:numCache>
                <c:formatCode>#,##0</c:formatCode>
                <c:ptCount val="9"/>
                <c:pt idx="0">
                  <c:v>1818802</c:v>
                </c:pt>
                <c:pt idx="1">
                  <c:v>1842052</c:v>
                </c:pt>
                <c:pt idx="2">
                  <c:v>2104661</c:v>
                </c:pt>
                <c:pt idx="3">
                  <c:v>2176792</c:v>
                </c:pt>
                <c:pt idx="4">
                  <c:v>811955</c:v>
                </c:pt>
                <c:pt idx="5">
                  <c:v>917483</c:v>
                </c:pt>
                <c:pt idx="6">
                  <c:v>2342101</c:v>
                </c:pt>
                <c:pt idx="7">
                  <c:v>2807365</c:v>
                </c:pt>
                <c:pt idx="8">
                  <c:v>3153386</c:v>
                </c:pt>
              </c:numCache>
            </c:numRef>
          </c:val>
          <c:extLst>
            <c:ext xmlns:c16="http://schemas.microsoft.com/office/drawing/2014/chart" uri="{C3380CC4-5D6E-409C-BE32-E72D297353CC}">
              <c16:uniqueId val="{00000001-A71E-465C-81FE-08C5D420377E}"/>
            </c:ext>
          </c:extLst>
        </c:ser>
        <c:dLbls>
          <c:showLegendKey val="0"/>
          <c:showVal val="0"/>
          <c:showCatName val="0"/>
          <c:showSerName val="0"/>
          <c:showPercent val="0"/>
          <c:showBubbleSize val="0"/>
        </c:dLbls>
        <c:gapWidth val="219"/>
        <c:overlap val="100"/>
        <c:axId val="1341277935"/>
        <c:axId val="1341296655"/>
      </c:barChart>
      <c:lineChart>
        <c:grouping val="standard"/>
        <c:varyColors val="0"/>
        <c:ser>
          <c:idx val="2"/>
          <c:order val="2"/>
          <c:tx>
            <c:strRef>
              <c:f>Foglio1!$K$21</c:f>
              <c:strCache>
                <c:ptCount val="1"/>
                <c:pt idx="0">
                  <c:v>% su Piemonte</c:v>
                </c:pt>
              </c:strCache>
            </c:strRef>
          </c:tx>
          <c:spPr>
            <a:ln w="28575" cap="rnd">
              <a:solidFill>
                <a:schemeClr val="accent3"/>
              </a:solidFill>
              <a:round/>
            </a:ln>
            <a:effectLst/>
          </c:spPr>
          <c:marker>
            <c:symbol val="none"/>
          </c:marker>
          <c:cat>
            <c:numRef>
              <c:f>Foglio1!$H$22:$H$30</c:f>
              <c:numCache>
                <c:formatCode>General</c:formatCode>
                <c:ptCount val="9"/>
                <c:pt idx="0">
                  <c:v>2016</c:v>
                </c:pt>
                <c:pt idx="1">
                  <c:v>2017</c:v>
                </c:pt>
                <c:pt idx="2">
                  <c:v>2018</c:v>
                </c:pt>
                <c:pt idx="3">
                  <c:v>2019</c:v>
                </c:pt>
                <c:pt idx="4">
                  <c:v>2020</c:v>
                </c:pt>
                <c:pt idx="5">
                  <c:v>2021</c:v>
                </c:pt>
                <c:pt idx="6">
                  <c:v>2022</c:v>
                </c:pt>
                <c:pt idx="7">
                  <c:v>2023</c:v>
                </c:pt>
                <c:pt idx="8">
                  <c:v>2024</c:v>
                </c:pt>
              </c:numCache>
            </c:numRef>
          </c:cat>
          <c:val>
            <c:numRef>
              <c:f>Foglio1!$K$22:$K$30</c:f>
              <c:numCache>
                <c:formatCode>0.0%</c:formatCode>
                <c:ptCount val="9"/>
                <c:pt idx="0">
                  <c:v>0.48630167832534171</c:v>
                </c:pt>
                <c:pt idx="1">
                  <c:v>0.4728848306200793</c:v>
                </c:pt>
                <c:pt idx="2">
                  <c:v>0.48000247663749446</c:v>
                </c:pt>
                <c:pt idx="3">
                  <c:v>0.48423403139473059</c:v>
                </c:pt>
                <c:pt idx="4">
                  <c:v>0.43972027175357731</c:v>
                </c:pt>
                <c:pt idx="5">
                  <c:v>0.40554251033224231</c:v>
                </c:pt>
                <c:pt idx="6">
                  <c:v>0.44348960089667377</c:v>
                </c:pt>
                <c:pt idx="7">
                  <c:v>0.43707931157063007</c:v>
                </c:pt>
                <c:pt idx="8">
                  <c:v>0.44885504802545451</c:v>
                </c:pt>
              </c:numCache>
            </c:numRef>
          </c:val>
          <c:smooth val="0"/>
          <c:extLst>
            <c:ext xmlns:c16="http://schemas.microsoft.com/office/drawing/2014/chart" uri="{C3380CC4-5D6E-409C-BE32-E72D297353CC}">
              <c16:uniqueId val="{00000002-A71E-465C-81FE-08C5D420377E}"/>
            </c:ext>
          </c:extLst>
        </c:ser>
        <c:dLbls>
          <c:showLegendKey val="0"/>
          <c:showVal val="0"/>
          <c:showCatName val="0"/>
          <c:showSerName val="0"/>
          <c:showPercent val="0"/>
          <c:showBubbleSize val="0"/>
        </c:dLbls>
        <c:marker val="1"/>
        <c:smooth val="0"/>
        <c:axId val="1558828000"/>
        <c:axId val="1558812640"/>
      </c:lineChart>
      <c:catAx>
        <c:axId val="134127793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t-IT"/>
          </a:p>
        </c:txPr>
        <c:crossAx val="1341296655"/>
        <c:crosses val="autoZero"/>
        <c:auto val="1"/>
        <c:lblAlgn val="ctr"/>
        <c:lblOffset val="100"/>
        <c:noMultiLvlLbl val="0"/>
      </c:catAx>
      <c:valAx>
        <c:axId val="1341296655"/>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t-IT"/>
          </a:p>
        </c:txPr>
        <c:crossAx val="1341277935"/>
        <c:crosses val="autoZero"/>
        <c:crossBetween val="between"/>
        <c:dispUnits>
          <c:builtInUnit val="millions"/>
          <c:dispUnitsLbl>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it-IT"/>
              </a:p>
            </c:txPr>
          </c:dispUnitsLbl>
        </c:dispUnits>
      </c:valAx>
      <c:valAx>
        <c:axId val="1558812640"/>
        <c:scaling>
          <c:orientation val="minMax"/>
        </c:scaling>
        <c:delete val="0"/>
        <c:axPos val="r"/>
        <c:numFmt formatCode="0.00%" sourceLinked="0"/>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t-IT"/>
          </a:p>
        </c:txPr>
        <c:crossAx val="1558828000"/>
        <c:crosses val="max"/>
        <c:crossBetween val="between"/>
      </c:valAx>
      <c:catAx>
        <c:axId val="1558828000"/>
        <c:scaling>
          <c:orientation val="minMax"/>
        </c:scaling>
        <c:delete val="1"/>
        <c:axPos val="b"/>
        <c:numFmt formatCode="General" sourceLinked="1"/>
        <c:majorTickMark val="out"/>
        <c:minorTickMark val="none"/>
        <c:tickLblPos val="nextTo"/>
        <c:crossAx val="1558812640"/>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t-IT"/>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it-IT"/>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1">
  <a:themeElements>
    <a:clrScheme name="Personalizzato 1">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C8DA91"/>
      </a:accent6>
      <a:hlink>
        <a:srgbClr val="F49100"/>
      </a:hlink>
      <a:folHlink>
        <a:srgbClr val="85DFD0"/>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Dividendi">
      <a:fillStyleLst>
        <a:solidFill>
          <a:schemeClr val="phClr"/>
        </a:solidFill>
        <a:gradFill rotWithShape="1">
          <a:gsLst>
            <a:gs pos="0">
              <a:schemeClr val="phClr">
                <a:tint val="68000"/>
                <a:alpha val="90000"/>
                <a:lumMod val="100000"/>
              </a:schemeClr>
            </a:gs>
            <a:gs pos="100000">
              <a:schemeClr val="phClr">
                <a:tint val="90000"/>
                <a:lumMod val="95000"/>
              </a:schemeClr>
            </a:gs>
          </a:gsLst>
          <a:lin ang="5400000" scaled="1"/>
        </a:gradFill>
        <a:gradFill rotWithShape="1">
          <a:gsLst>
            <a:gs pos="0">
              <a:schemeClr val="phClr">
                <a:tint val="98000"/>
                <a:lumMod val="110000"/>
              </a:schemeClr>
            </a:gs>
            <a:gs pos="84000">
              <a:schemeClr val="phClr">
                <a:shade val="90000"/>
                <a:lumMod val="88000"/>
              </a:schemeClr>
            </a:gs>
          </a:gsLst>
          <a:lin ang="5400000" scaled="0"/>
        </a:gradFill>
      </a:fillStyleLst>
      <a:lnStyleLst>
        <a:ln w="12700" cap="rnd" cmpd="sng" algn="ctr">
          <a:solidFill>
            <a:schemeClr val="phClr">
              <a:lumMod val="90000"/>
            </a:schemeClr>
          </a:solidFill>
          <a:prstDash val="solid"/>
        </a:ln>
        <a:ln w="22225" cap="rnd" cmpd="sng" algn="ctr">
          <a:solidFill>
            <a:schemeClr val="phClr"/>
          </a:solidFill>
          <a:prstDash val="solid"/>
        </a:ln>
        <a:ln w="25400" cap="rnd" cmpd="sng" algn="ctr">
          <a:solidFill>
            <a:schemeClr val="phClr"/>
          </a:solidFill>
          <a:prstDash val="solid"/>
        </a:ln>
      </a:lnStyleLst>
      <a:effectStyleLst>
        <a:effectStyle>
          <a:effectLst/>
        </a:effectStyle>
        <a:effectStyle>
          <a:effectLst>
            <a:outerShdw blurRad="38100" dist="25400" dir="5400000" rotWithShape="0">
              <a:srgbClr val="000000">
                <a:alpha val="55000"/>
              </a:srgbClr>
            </a:outerShdw>
          </a:effectLst>
        </a:effectStyle>
        <a:effectStyle>
          <a:effectLst>
            <a:outerShdw blurRad="88900" dist="38100" dir="5040000" rotWithShape="0">
              <a:srgbClr val="000000">
                <a:alpha val="60000"/>
              </a:srgbClr>
            </a:outerShdw>
          </a:effectLst>
          <a:scene3d>
            <a:camera prst="orthographicFront">
              <a:rot lat="0" lon="0" rev="0"/>
            </a:camera>
            <a:lightRig rig="threePt" dir="tl">
              <a:rot lat="0" lon="0" rev="1200000"/>
            </a:lightRig>
          </a:scene3d>
          <a:sp3d>
            <a:bevelT w="38100" h="50800"/>
          </a:sp3d>
        </a:effectStyle>
      </a:effectStyleLst>
      <a:bgFillStyleLst>
        <a:solidFill>
          <a:schemeClr val="phClr"/>
        </a:solidFill>
        <a:gradFill rotWithShape="1">
          <a:gsLst>
            <a:gs pos="0">
              <a:schemeClr val="phClr">
                <a:tint val="90000"/>
                <a:lumMod val="110000"/>
              </a:schemeClr>
            </a:gs>
            <a:gs pos="88000">
              <a:schemeClr val="phClr">
                <a:shade val="94000"/>
                <a:satMod val="110000"/>
                <a:lumMod val="88000"/>
              </a:schemeClr>
            </a:gs>
          </a:gsLst>
          <a:lin ang="5400000" scaled="0"/>
        </a:gradFill>
        <a:gradFill rotWithShape="1">
          <a:gsLst>
            <a:gs pos="0">
              <a:schemeClr val="phClr">
                <a:tint val="90000"/>
                <a:lumMod val="110000"/>
              </a:schemeClr>
            </a:gs>
            <a:gs pos="100000">
              <a:schemeClr val="phClr">
                <a:shade val="98000"/>
                <a:satMod val="110000"/>
                <a:lumMod val="86000"/>
              </a:schemeClr>
            </a:gs>
          </a:gsLst>
          <a:path path="circle">
            <a:fillToRect l="50000" t="50000" r="100000" b="100000"/>
          </a:path>
        </a:gradFill>
      </a:bgFillStyleLst>
    </a:fmtScheme>
  </a:themeElements>
  <a:objectDefaults/>
  <a:extraClrSchemeLst/>
  <a:extLst>
    <a:ext uri="{05A4C25C-085E-4340-85A3-A5531E510DB2}">
      <thm15:themeFamily xmlns:thm15="http://schemas.microsoft.com/office/thememl/2012/main" name="Dividend" id="{9697A71B-4AB7-4A1A-BD5B-BB2D22835B57}" vid="{C21699FF-00E4-43C8-BBCC-D7E5536C3717}"/>
    </a:ext>
  </a:extLst>
</a:theme>
</file>

<file path=word/theme/themeOverride1.xml><?xml version="1.0" encoding="utf-8"?>
<a:themeOverride xmlns:a="http://schemas.openxmlformats.org/drawingml/2006/main">
  <a:clrScheme name="Personalizzato 1">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C8DA91"/>
    </a:accent6>
    <a:hlink>
      <a:srgbClr val="F49100"/>
    </a:hlink>
    <a:folHlink>
      <a:srgbClr val="85DFD0"/>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Dividendi">
    <a:fillStyleLst>
      <a:solidFill>
        <a:schemeClr val="phClr"/>
      </a:solidFill>
      <a:gradFill rotWithShape="1">
        <a:gsLst>
          <a:gs pos="0">
            <a:schemeClr val="phClr">
              <a:tint val="68000"/>
              <a:alpha val="90000"/>
              <a:lumMod val="100000"/>
            </a:schemeClr>
          </a:gs>
          <a:gs pos="100000">
            <a:schemeClr val="phClr">
              <a:tint val="90000"/>
              <a:lumMod val="95000"/>
            </a:schemeClr>
          </a:gs>
        </a:gsLst>
        <a:lin ang="5400000" scaled="1"/>
      </a:gradFill>
      <a:gradFill rotWithShape="1">
        <a:gsLst>
          <a:gs pos="0">
            <a:schemeClr val="phClr">
              <a:tint val="98000"/>
              <a:lumMod val="110000"/>
            </a:schemeClr>
          </a:gs>
          <a:gs pos="84000">
            <a:schemeClr val="phClr">
              <a:shade val="90000"/>
              <a:lumMod val="88000"/>
            </a:schemeClr>
          </a:gs>
        </a:gsLst>
        <a:lin ang="5400000" scaled="0"/>
      </a:gradFill>
    </a:fillStyleLst>
    <a:lnStyleLst>
      <a:ln w="12700" cap="rnd" cmpd="sng" algn="ctr">
        <a:solidFill>
          <a:schemeClr val="phClr">
            <a:lumMod val="90000"/>
          </a:schemeClr>
        </a:solidFill>
        <a:prstDash val="solid"/>
      </a:ln>
      <a:ln w="22225" cap="rnd" cmpd="sng" algn="ctr">
        <a:solidFill>
          <a:schemeClr val="phClr"/>
        </a:solidFill>
        <a:prstDash val="solid"/>
      </a:ln>
      <a:ln w="25400" cap="rnd" cmpd="sng" algn="ctr">
        <a:solidFill>
          <a:schemeClr val="phClr"/>
        </a:solidFill>
        <a:prstDash val="solid"/>
      </a:ln>
    </a:lnStyleLst>
    <a:effectStyleLst>
      <a:effectStyle>
        <a:effectLst/>
      </a:effectStyle>
      <a:effectStyle>
        <a:effectLst>
          <a:outerShdw blurRad="38100" dist="25400" dir="5400000" rotWithShape="0">
            <a:srgbClr val="000000">
              <a:alpha val="55000"/>
            </a:srgbClr>
          </a:outerShdw>
        </a:effectLst>
      </a:effectStyle>
      <a:effectStyle>
        <a:effectLst>
          <a:outerShdw blurRad="88900" dist="38100" dir="5040000" rotWithShape="0">
            <a:srgbClr val="000000">
              <a:alpha val="60000"/>
            </a:srgbClr>
          </a:outerShdw>
        </a:effectLst>
        <a:scene3d>
          <a:camera prst="orthographicFront">
            <a:rot lat="0" lon="0" rev="0"/>
          </a:camera>
          <a:lightRig rig="threePt" dir="tl">
            <a:rot lat="0" lon="0" rev="1200000"/>
          </a:lightRig>
        </a:scene3d>
        <a:sp3d>
          <a:bevelT w="38100" h="50800"/>
        </a:sp3d>
      </a:effectStyle>
    </a:effectStyleLst>
    <a:bgFillStyleLst>
      <a:solidFill>
        <a:schemeClr val="phClr"/>
      </a:solidFill>
      <a:gradFill rotWithShape="1">
        <a:gsLst>
          <a:gs pos="0">
            <a:schemeClr val="phClr">
              <a:tint val="90000"/>
              <a:lumMod val="110000"/>
            </a:schemeClr>
          </a:gs>
          <a:gs pos="88000">
            <a:schemeClr val="phClr">
              <a:shade val="94000"/>
              <a:satMod val="110000"/>
              <a:lumMod val="88000"/>
            </a:schemeClr>
          </a:gs>
        </a:gsLst>
        <a:lin ang="5400000" scaled="0"/>
      </a:gradFill>
      <a:gradFill rotWithShape="1">
        <a:gsLst>
          <a:gs pos="0">
            <a:schemeClr val="phClr">
              <a:tint val="90000"/>
              <a:lumMod val="110000"/>
            </a:schemeClr>
          </a:gs>
          <a:gs pos="100000">
            <a:schemeClr val="phClr">
              <a:shade val="98000"/>
              <a:satMod val="110000"/>
              <a:lumMod val="86000"/>
            </a:schemeClr>
          </a:gs>
        </a:gsLst>
        <a:path path="circle">
          <a:fillToRect l="50000" t="50000" r="100000" b="10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Affidamento dei servizi di Trasporto Pubblico Locale   Ex Misure 4 e 6 dell’allegato A                                        alla Delibera ART 48/2017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EBA1A17-FAF9-464C-BC29-766FDAEDF7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1223</TotalTime>
  <Pages>168</Pages>
  <Words>58064</Words>
  <Characters>330970</Characters>
  <Application>Microsoft Office Word</Application>
  <DocSecurity>0</DocSecurity>
  <Lines>2758</Lines>
  <Paragraphs>776</Paragraphs>
  <ScaleCrop>false</ScaleCrop>
  <HeadingPairs>
    <vt:vector size="2" baseType="variant">
      <vt:variant>
        <vt:lpstr>Titolo</vt:lpstr>
      </vt:variant>
      <vt:variant>
        <vt:i4>1</vt:i4>
      </vt:variant>
    </vt:vector>
  </HeadingPairs>
  <TitlesOfParts>
    <vt:vector size="1" baseType="lpstr">
      <vt:lpstr>Relazione sui lotti di gara</vt:lpstr>
    </vt:vector>
  </TitlesOfParts>
  <Company>Agenzia della mobilità piemontese</Company>
  <LinksUpToDate>false</LinksUpToDate>
  <CharactersWithSpaces>388258</CharactersWithSpaces>
  <SharedDoc>false</SharedDoc>
  <HLinks>
    <vt:vector size="672" baseType="variant">
      <vt:variant>
        <vt:i4>2162812</vt:i4>
      </vt:variant>
      <vt:variant>
        <vt:i4>978</vt:i4>
      </vt:variant>
      <vt:variant>
        <vt:i4>0</vt:i4>
      </vt:variant>
      <vt:variant>
        <vt:i4>5</vt:i4>
      </vt:variant>
      <vt:variant>
        <vt:lpwstr>https://ampartecipa.mtm.torino.it/</vt:lpwstr>
      </vt:variant>
      <vt:variant>
        <vt:lpwstr/>
      </vt:variant>
      <vt:variant>
        <vt:i4>4063333</vt:i4>
      </vt:variant>
      <vt:variant>
        <vt:i4>828</vt:i4>
      </vt:variant>
      <vt:variant>
        <vt:i4>0</vt:i4>
      </vt:variant>
      <vt:variant>
        <vt:i4>5</vt:i4>
      </vt:variant>
      <vt:variant>
        <vt:lpwstr>https://chivasso.trasparenza-valutazione-merito.it/web/trasparenza/provvedimenti-organi-politici?p_p_id=jcitygovalbopubblicazioni_WAR_jcitygovalbiportlet&amp;p_p_lifecycle=2&amp;p_p_state=pop_up&amp;p_p_mode=view&amp;p_p_resource_id=downloadAllegato&amp;p_p_cacheability=cacheLevelPage&amp;_jcitygovalbopubblicazioni_WAR_jcitygovalbiportlet_downloadSigned=true&amp;_jcitygovalbopubblicazioni_WAR_jcitygovalbiportlet_id=10600406&amp;_jcitygovalbopubblicazioni_WAR_jcitygovalbiportlet_action=mostraDettaglio&amp;_jcitygovalbopubblicazioni_WAR_jcitygovalbiportlet_fromAction=recuperaDettaglio</vt:lpwstr>
      </vt:variant>
      <vt:variant>
        <vt:lpwstr/>
      </vt:variant>
      <vt:variant>
        <vt:i4>1900647</vt:i4>
      </vt:variant>
      <vt:variant>
        <vt:i4>825</vt:i4>
      </vt:variant>
      <vt:variant>
        <vt:i4>0</vt:i4>
      </vt:variant>
      <vt:variant>
        <vt:i4>5</vt:i4>
      </vt:variant>
      <vt:variant>
        <vt:lpwstr>https://servizionline.comune.ivrea.to.it/cmsivrea/portale/delibere/getfile.aspx?SOURCE=PATH&amp;KEY=FileTestoDelib_1</vt:lpwstr>
      </vt:variant>
      <vt:variant>
        <vt:lpwstr/>
      </vt:variant>
      <vt:variant>
        <vt:i4>4063333</vt:i4>
      </vt:variant>
      <vt:variant>
        <vt:i4>819</vt:i4>
      </vt:variant>
      <vt:variant>
        <vt:i4>0</vt:i4>
      </vt:variant>
      <vt:variant>
        <vt:i4>5</vt:i4>
      </vt:variant>
      <vt:variant>
        <vt:lpwstr>https://chivasso.trasparenza-valutazione-merito.it/web/trasparenza/provvedimenti-organi-politici?p_p_id=jcitygovalbopubblicazioni_WAR_jcitygovalbiportlet&amp;p_p_lifecycle=2&amp;p_p_state=pop_up&amp;p_p_mode=view&amp;p_p_resource_id=downloadAllegato&amp;p_p_cacheability=cacheLevelPage&amp;_jcitygovalbopubblicazioni_WAR_jcitygovalbiportlet_downloadSigned=true&amp;_jcitygovalbopubblicazioni_WAR_jcitygovalbiportlet_id=10600406&amp;_jcitygovalbopubblicazioni_WAR_jcitygovalbiportlet_action=mostraDettaglio&amp;_jcitygovalbopubblicazioni_WAR_jcitygovalbiportlet_fromAction=recuperaDettaglio</vt:lpwstr>
      </vt:variant>
      <vt:variant>
        <vt:lpwstr/>
      </vt:variant>
      <vt:variant>
        <vt:i4>5439560</vt:i4>
      </vt:variant>
      <vt:variant>
        <vt:i4>735</vt:i4>
      </vt:variant>
      <vt:variant>
        <vt:i4>0</vt:i4>
      </vt:variant>
      <vt:variant>
        <vt:i4>5</vt:i4>
      </vt:variant>
      <vt:variant>
        <vt:lpwstr>https://ampartecipa.mtm.torino.it/processes/bacino-metropolitano/f/24/meetings/44</vt:lpwstr>
      </vt:variant>
      <vt:variant>
        <vt:lpwstr/>
      </vt:variant>
      <vt:variant>
        <vt:i4>6619168</vt:i4>
      </vt:variant>
      <vt:variant>
        <vt:i4>552</vt:i4>
      </vt:variant>
      <vt:variant>
        <vt:i4>0</vt:i4>
      </vt:variant>
      <vt:variant>
        <vt:i4>5</vt:i4>
      </vt:variant>
      <vt:variant>
        <vt:lpwstr>https://www.gazzettaufficiale.it/eli/id/2018/01/31/18G00013/sg</vt:lpwstr>
      </vt:variant>
      <vt:variant>
        <vt:lpwstr/>
      </vt:variant>
      <vt:variant>
        <vt:i4>7012384</vt:i4>
      </vt:variant>
      <vt:variant>
        <vt:i4>549</vt:i4>
      </vt:variant>
      <vt:variant>
        <vt:i4>0</vt:i4>
      </vt:variant>
      <vt:variant>
        <vt:i4>5</vt:i4>
      </vt:variant>
      <vt:variant>
        <vt:lpwstr>http://www.regione.piemonte.it/governo/bollettino/abbonati/2018/05/suppo1/00000003.htm</vt:lpwstr>
      </vt:variant>
      <vt:variant>
        <vt:lpwstr/>
      </vt:variant>
      <vt:variant>
        <vt:i4>6684695</vt:i4>
      </vt:variant>
      <vt:variant>
        <vt:i4>546</vt:i4>
      </vt:variant>
      <vt:variant>
        <vt:i4>0</vt:i4>
      </vt:variant>
      <vt:variant>
        <vt:i4>5</vt:i4>
      </vt:variant>
      <vt:variant>
        <vt:lpwstr>http://arianna.cr.piemonte.it/iterlegcoordweb/dettaglioLegge.do?urnLegge=urn:nir:regione.piemonte:legge:2000;1@2018-10-29</vt:lpwstr>
      </vt:variant>
      <vt:variant>
        <vt:lpwstr>art11-com1</vt:lpwstr>
      </vt:variant>
      <vt:variant>
        <vt:i4>1507379</vt:i4>
      </vt:variant>
      <vt:variant>
        <vt:i4>530</vt:i4>
      </vt:variant>
      <vt:variant>
        <vt:i4>0</vt:i4>
      </vt:variant>
      <vt:variant>
        <vt:i4>5</vt:i4>
      </vt:variant>
      <vt:variant>
        <vt:lpwstr/>
      </vt:variant>
      <vt:variant>
        <vt:lpwstr>_Toc213072538</vt:lpwstr>
      </vt:variant>
      <vt:variant>
        <vt:i4>1507379</vt:i4>
      </vt:variant>
      <vt:variant>
        <vt:i4>524</vt:i4>
      </vt:variant>
      <vt:variant>
        <vt:i4>0</vt:i4>
      </vt:variant>
      <vt:variant>
        <vt:i4>5</vt:i4>
      </vt:variant>
      <vt:variant>
        <vt:lpwstr/>
      </vt:variant>
      <vt:variant>
        <vt:lpwstr>_Toc213072537</vt:lpwstr>
      </vt:variant>
      <vt:variant>
        <vt:i4>1507379</vt:i4>
      </vt:variant>
      <vt:variant>
        <vt:i4>518</vt:i4>
      </vt:variant>
      <vt:variant>
        <vt:i4>0</vt:i4>
      </vt:variant>
      <vt:variant>
        <vt:i4>5</vt:i4>
      </vt:variant>
      <vt:variant>
        <vt:lpwstr/>
      </vt:variant>
      <vt:variant>
        <vt:lpwstr>_Toc213072536</vt:lpwstr>
      </vt:variant>
      <vt:variant>
        <vt:i4>1507379</vt:i4>
      </vt:variant>
      <vt:variant>
        <vt:i4>512</vt:i4>
      </vt:variant>
      <vt:variant>
        <vt:i4>0</vt:i4>
      </vt:variant>
      <vt:variant>
        <vt:i4>5</vt:i4>
      </vt:variant>
      <vt:variant>
        <vt:lpwstr/>
      </vt:variant>
      <vt:variant>
        <vt:lpwstr>_Toc213072535</vt:lpwstr>
      </vt:variant>
      <vt:variant>
        <vt:i4>1507379</vt:i4>
      </vt:variant>
      <vt:variant>
        <vt:i4>506</vt:i4>
      </vt:variant>
      <vt:variant>
        <vt:i4>0</vt:i4>
      </vt:variant>
      <vt:variant>
        <vt:i4>5</vt:i4>
      </vt:variant>
      <vt:variant>
        <vt:lpwstr/>
      </vt:variant>
      <vt:variant>
        <vt:lpwstr>_Toc213072534</vt:lpwstr>
      </vt:variant>
      <vt:variant>
        <vt:i4>1507379</vt:i4>
      </vt:variant>
      <vt:variant>
        <vt:i4>500</vt:i4>
      </vt:variant>
      <vt:variant>
        <vt:i4>0</vt:i4>
      </vt:variant>
      <vt:variant>
        <vt:i4>5</vt:i4>
      </vt:variant>
      <vt:variant>
        <vt:lpwstr/>
      </vt:variant>
      <vt:variant>
        <vt:lpwstr>_Toc213072533</vt:lpwstr>
      </vt:variant>
      <vt:variant>
        <vt:i4>1507379</vt:i4>
      </vt:variant>
      <vt:variant>
        <vt:i4>494</vt:i4>
      </vt:variant>
      <vt:variant>
        <vt:i4>0</vt:i4>
      </vt:variant>
      <vt:variant>
        <vt:i4>5</vt:i4>
      </vt:variant>
      <vt:variant>
        <vt:lpwstr/>
      </vt:variant>
      <vt:variant>
        <vt:lpwstr>_Toc213072532</vt:lpwstr>
      </vt:variant>
      <vt:variant>
        <vt:i4>1507379</vt:i4>
      </vt:variant>
      <vt:variant>
        <vt:i4>488</vt:i4>
      </vt:variant>
      <vt:variant>
        <vt:i4>0</vt:i4>
      </vt:variant>
      <vt:variant>
        <vt:i4>5</vt:i4>
      </vt:variant>
      <vt:variant>
        <vt:lpwstr/>
      </vt:variant>
      <vt:variant>
        <vt:lpwstr>_Toc213072531</vt:lpwstr>
      </vt:variant>
      <vt:variant>
        <vt:i4>1507379</vt:i4>
      </vt:variant>
      <vt:variant>
        <vt:i4>482</vt:i4>
      </vt:variant>
      <vt:variant>
        <vt:i4>0</vt:i4>
      </vt:variant>
      <vt:variant>
        <vt:i4>5</vt:i4>
      </vt:variant>
      <vt:variant>
        <vt:lpwstr/>
      </vt:variant>
      <vt:variant>
        <vt:lpwstr>_Toc213072530</vt:lpwstr>
      </vt:variant>
      <vt:variant>
        <vt:i4>1441843</vt:i4>
      </vt:variant>
      <vt:variant>
        <vt:i4>476</vt:i4>
      </vt:variant>
      <vt:variant>
        <vt:i4>0</vt:i4>
      </vt:variant>
      <vt:variant>
        <vt:i4>5</vt:i4>
      </vt:variant>
      <vt:variant>
        <vt:lpwstr/>
      </vt:variant>
      <vt:variant>
        <vt:lpwstr>_Toc213072529</vt:lpwstr>
      </vt:variant>
      <vt:variant>
        <vt:i4>1441843</vt:i4>
      </vt:variant>
      <vt:variant>
        <vt:i4>470</vt:i4>
      </vt:variant>
      <vt:variant>
        <vt:i4>0</vt:i4>
      </vt:variant>
      <vt:variant>
        <vt:i4>5</vt:i4>
      </vt:variant>
      <vt:variant>
        <vt:lpwstr/>
      </vt:variant>
      <vt:variant>
        <vt:lpwstr>_Toc213072528</vt:lpwstr>
      </vt:variant>
      <vt:variant>
        <vt:i4>1441843</vt:i4>
      </vt:variant>
      <vt:variant>
        <vt:i4>464</vt:i4>
      </vt:variant>
      <vt:variant>
        <vt:i4>0</vt:i4>
      </vt:variant>
      <vt:variant>
        <vt:i4>5</vt:i4>
      </vt:variant>
      <vt:variant>
        <vt:lpwstr/>
      </vt:variant>
      <vt:variant>
        <vt:lpwstr>_Toc213072527</vt:lpwstr>
      </vt:variant>
      <vt:variant>
        <vt:i4>1441843</vt:i4>
      </vt:variant>
      <vt:variant>
        <vt:i4>458</vt:i4>
      </vt:variant>
      <vt:variant>
        <vt:i4>0</vt:i4>
      </vt:variant>
      <vt:variant>
        <vt:i4>5</vt:i4>
      </vt:variant>
      <vt:variant>
        <vt:lpwstr/>
      </vt:variant>
      <vt:variant>
        <vt:lpwstr>_Toc213072526</vt:lpwstr>
      </vt:variant>
      <vt:variant>
        <vt:i4>1441843</vt:i4>
      </vt:variant>
      <vt:variant>
        <vt:i4>452</vt:i4>
      </vt:variant>
      <vt:variant>
        <vt:i4>0</vt:i4>
      </vt:variant>
      <vt:variant>
        <vt:i4>5</vt:i4>
      </vt:variant>
      <vt:variant>
        <vt:lpwstr/>
      </vt:variant>
      <vt:variant>
        <vt:lpwstr>_Toc213072525</vt:lpwstr>
      </vt:variant>
      <vt:variant>
        <vt:i4>1441843</vt:i4>
      </vt:variant>
      <vt:variant>
        <vt:i4>446</vt:i4>
      </vt:variant>
      <vt:variant>
        <vt:i4>0</vt:i4>
      </vt:variant>
      <vt:variant>
        <vt:i4>5</vt:i4>
      </vt:variant>
      <vt:variant>
        <vt:lpwstr/>
      </vt:variant>
      <vt:variant>
        <vt:lpwstr>_Toc213072524</vt:lpwstr>
      </vt:variant>
      <vt:variant>
        <vt:i4>1441843</vt:i4>
      </vt:variant>
      <vt:variant>
        <vt:i4>440</vt:i4>
      </vt:variant>
      <vt:variant>
        <vt:i4>0</vt:i4>
      </vt:variant>
      <vt:variant>
        <vt:i4>5</vt:i4>
      </vt:variant>
      <vt:variant>
        <vt:lpwstr/>
      </vt:variant>
      <vt:variant>
        <vt:lpwstr>_Toc213072523</vt:lpwstr>
      </vt:variant>
      <vt:variant>
        <vt:i4>1441843</vt:i4>
      </vt:variant>
      <vt:variant>
        <vt:i4>434</vt:i4>
      </vt:variant>
      <vt:variant>
        <vt:i4>0</vt:i4>
      </vt:variant>
      <vt:variant>
        <vt:i4>5</vt:i4>
      </vt:variant>
      <vt:variant>
        <vt:lpwstr/>
      </vt:variant>
      <vt:variant>
        <vt:lpwstr>_Toc213072522</vt:lpwstr>
      </vt:variant>
      <vt:variant>
        <vt:i4>1441843</vt:i4>
      </vt:variant>
      <vt:variant>
        <vt:i4>428</vt:i4>
      </vt:variant>
      <vt:variant>
        <vt:i4>0</vt:i4>
      </vt:variant>
      <vt:variant>
        <vt:i4>5</vt:i4>
      </vt:variant>
      <vt:variant>
        <vt:lpwstr/>
      </vt:variant>
      <vt:variant>
        <vt:lpwstr>_Toc213072521</vt:lpwstr>
      </vt:variant>
      <vt:variant>
        <vt:i4>1441843</vt:i4>
      </vt:variant>
      <vt:variant>
        <vt:i4>422</vt:i4>
      </vt:variant>
      <vt:variant>
        <vt:i4>0</vt:i4>
      </vt:variant>
      <vt:variant>
        <vt:i4>5</vt:i4>
      </vt:variant>
      <vt:variant>
        <vt:lpwstr/>
      </vt:variant>
      <vt:variant>
        <vt:lpwstr>_Toc213072520</vt:lpwstr>
      </vt:variant>
      <vt:variant>
        <vt:i4>1376307</vt:i4>
      </vt:variant>
      <vt:variant>
        <vt:i4>416</vt:i4>
      </vt:variant>
      <vt:variant>
        <vt:i4>0</vt:i4>
      </vt:variant>
      <vt:variant>
        <vt:i4>5</vt:i4>
      </vt:variant>
      <vt:variant>
        <vt:lpwstr/>
      </vt:variant>
      <vt:variant>
        <vt:lpwstr>_Toc213072519</vt:lpwstr>
      </vt:variant>
      <vt:variant>
        <vt:i4>1376307</vt:i4>
      </vt:variant>
      <vt:variant>
        <vt:i4>410</vt:i4>
      </vt:variant>
      <vt:variant>
        <vt:i4>0</vt:i4>
      </vt:variant>
      <vt:variant>
        <vt:i4>5</vt:i4>
      </vt:variant>
      <vt:variant>
        <vt:lpwstr/>
      </vt:variant>
      <vt:variant>
        <vt:lpwstr>_Toc213072518</vt:lpwstr>
      </vt:variant>
      <vt:variant>
        <vt:i4>1376307</vt:i4>
      </vt:variant>
      <vt:variant>
        <vt:i4>404</vt:i4>
      </vt:variant>
      <vt:variant>
        <vt:i4>0</vt:i4>
      </vt:variant>
      <vt:variant>
        <vt:i4>5</vt:i4>
      </vt:variant>
      <vt:variant>
        <vt:lpwstr/>
      </vt:variant>
      <vt:variant>
        <vt:lpwstr>_Toc213072517</vt:lpwstr>
      </vt:variant>
      <vt:variant>
        <vt:i4>1376307</vt:i4>
      </vt:variant>
      <vt:variant>
        <vt:i4>398</vt:i4>
      </vt:variant>
      <vt:variant>
        <vt:i4>0</vt:i4>
      </vt:variant>
      <vt:variant>
        <vt:i4>5</vt:i4>
      </vt:variant>
      <vt:variant>
        <vt:lpwstr/>
      </vt:variant>
      <vt:variant>
        <vt:lpwstr>_Toc213072516</vt:lpwstr>
      </vt:variant>
      <vt:variant>
        <vt:i4>1376307</vt:i4>
      </vt:variant>
      <vt:variant>
        <vt:i4>392</vt:i4>
      </vt:variant>
      <vt:variant>
        <vt:i4>0</vt:i4>
      </vt:variant>
      <vt:variant>
        <vt:i4>5</vt:i4>
      </vt:variant>
      <vt:variant>
        <vt:lpwstr/>
      </vt:variant>
      <vt:variant>
        <vt:lpwstr>_Toc213072515</vt:lpwstr>
      </vt:variant>
      <vt:variant>
        <vt:i4>1376307</vt:i4>
      </vt:variant>
      <vt:variant>
        <vt:i4>386</vt:i4>
      </vt:variant>
      <vt:variant>
        <vt:i4>0</vt:i4>
      </vt:variant>
      <vt:variant>
        <vt:i4>5</vt:i4>
      </vt:variant>
      <vt:variant>
        <vt:lpwstr/>
      </vt:variant>
      <vt:variant>
        <vt:lpwstr>_Toc213072514</vt:lpwstr>
      </vt:variant>
      <vt:variant>
        <vt:i4>1376307</vt:i4>
      </vt:variant>
      <vt:variant>
        <vt:i4>380</vt:i4>
      </vt:variant>
      <vt:variant>
        <vt:i4>0</vt:i4>
      </vt:variant>
      <vt:variant>
        <vt:i4>5</vt:i4>
      </vt:variant>
      <vt:variant>
        <vt:lpwstr/>
      </vt:variant>
      <vt:variant>
        <vt:lpwstr>_Toc213072513</vt:lpwstr>
      </vt:variant>
      <vt:variant>
        <vt:i4>1376307</vt:i4>
      </vt:variant>
      <vt:variant>
        <vt:i4>374</vt:i4>
      </vt:variant>
      <vt:variant>
        <vt:i4>0</vt:i4>
      </vt:variant>
      <vt:variant>
        <vt:i4>5</vt:i4>
      </vt:variant>
      <vt:variant>
        <vt:lpwstr/>
      </vt:variant>
      <vt:variant>
        <vt:lpwstr>_Toc213072512</vt:lpwstr>
      </vt:variant>
      <vt:variant>
        <vt:i4>1376307</vt:i4>
      </vt:variant>
      <vt:variant>
        <vt:i4>368</vt:i4>
      </vt:variant>
      <vt:variant>
        <vt:i4>0</vt:i4>
      </vt:variant>
      <vt:variant>
        <vt:i4>5</vt:i4>
      </vt:variant>
      <vt:variant>
        <vt:lpwstr/>
      </vt:variant>
      <vt:variant>
        <vt:lpwstr>_Toc213072511</vt:lpwstr>
      </vt:variant>
      <vt:variant>
        <vt:i4>1376307</vt:i4>
      </vt:variant>
      <vt:variant>
        <vt:i4>362</vt:i4>
      </vt:variant>
      <vt:variant>
        <vt:i4>0</vt:i4>
      </vt:variant>
      <vt:variant>
        <vt:i4>5</vt:i4>
      </vt:variant>
      <vt:variant>
        <vt:lpwstr/>
      </vt:variant>
      <vt:variant>
        <vt:lpwstr>_Toc213072510</vt:lpwstr>
      </vt:variant>
      <vt:variant>
        <vt:i4>1310771</vt:i4>
      </vt:variant>
      <vt:variant>
        <vt:i4>356</vt:i4>
      </vt:variant>
      <vt:variant>
        <vt:i4>0</vt:i4>
      </vt:variant>
      <vt:variant>
        <vt:i4>5</vt:i4>
      </vt:variant>
      <vt:variant>
        <vt:lpwstr/>
      </vt:variant>
      <vt:variant>
        <vt:lpwstr>_Toc213072509</vt:lpwstr>
      </vt:variant>
      <vt:variant>
        <vt:i4>1310771</vt:i4>
      </vt:variant>
      <vt:variant>
        <vt:i4>350</vt:i4>
      </vt:variant>
      <vt:variant>
        <vt:i4>0</vt:i4>
      </vt:variant>
      <vt:variant>
        <vt:i4>5</vt:i4>
      </vt:variant>
      <vt:variant>
        <vt:lpwstr/>
      </vt:variant>
      <vt:variant>
        <vt:lpwstr>_Toc213072508</vt:lpwstr>
      </vt:variant>
      <vt:variant>
        <vt:i4>1310771</vt:i4>
      </vt:variant>
      <vt:variant>
        <vt:i4>344</vt:i4>
      </vt:variant>
      <vt:variant>
        <vt:i4>0</vt:i4>
      </vt:variant>
      <vt:variant>
        <vt:i4>5</vt:i4>
      </vt:variant>
      <vt:variant>
        <vt:lpwstr/>
      </vt:variant>
      <vt:variant>
        <vt:lpwstr>_Toc213072507</vt:lpwstr>
      </vt:variant>
      <vt:variant>
        <vt:i4>1310771</vt:i4>
      </vt:variant>
      <vt:variant>
        <vt:i4>338</vt:i4>
      </vt:variant>
      <vt:variant>
        <vt:i4>0</vt:i4>
      </vt:variant>
      <vt:variant>
        <vt:i4>5</vt:i4>
      </vt:variant>
      <vt:variant>
        <vt:lpwstr/>
      </vt:variant>
      <vt:variant>
        <vt:lpwstr>_Toc213072506</vt:lpwstr>
      </vt:variant>
      <vt:variant>
        <vt:i4>1310771</vt:i4>
      </vt:variant>
      <vt:variant>
        <vt:i4>332</vt:i4>
      </vt:variant>
      <vt:variant>
        <vt:i4>0</vt:i4>
      </vt:variant>
      <vt:variant>
        <vt:i4>5</vt:i4>
      </vt:variant>
      <vt:variant>
        <vt:lpwstr/>
      </vt:variant>
      <vt:variant>
        <vt:lpwstr>_Toc213072505</vt:lpwstr>
      </vt:variant>
      <vt:variant>
        <vt:i4>1310771</vt:i4>
      </vt:variant>
      <vt:variant>
        <vt:i4>326</vt:i4>
      </vt:variant>
      <vt:variant>
        <vt:i4>0</vt:i4>
      </vt:variant>
      <vt:variant>
        <vt:i4>5</vt:i4>
      </vt:variant>
      <vt:variant>
        <vt:lpwstr/>
      </vt:variant>
      <vt:variant>
        <vt:lpwstr>_Toc213072504</vt:lpwstr>
      </vt:variant>
      <vt:variant>
        <vt:i4>1310771</vt:i4>
      </vt:variant>
      <vt:variant>
        <vt:i4>320</vt:i4>
      </vt:variant>
      <vt:variant>
        <vt:i4>0</vt:i4>
      </vt:variant>
      <vt:variant>
        <vt:i4>5</vt:i4>
      </vt:variant>
      <vt:variant>
        <vt:lpwstr/>
      </vt:variant>
      <vt:variant>
        <vt:lpwstr>_Toc213072503</vt:lpwstr>
      </vt:variant>
      <vt:variant>
        <vt:i4>1310771</vt:i4>
      </vt:variant>
      <vt:variant>
        <vt:i4>314</vt:i4>
      </vt:variant>
      <vt:variant>
        <vt:i4>0</vt:i4>
      </vt:variant>
      <vt:variant>
        <vt:i4>5</vt:i4>
      </vt:variant>
      <vt:variant>
        <vt:lpwstr/>
      </vt:variant>
      <vt:variant>
        <vt:lpwstr>_Toc213072502</vt:lpwstr>
      </vt:variant>
      <vt:variant>
        <vt:i4>1310771</vt:i4>
      </vt:variant>
      <vt:variant>
        <vt:i4>308</vt:i4>
      </vt:variant>
      <vt:variant>
        <vt:i4>0</vt:i4>
      </vt:variant>
      <vt:variant>
        <vt:i4>5</vt:i4>
      </vt:variant>
      <vt:variant>
        <vt:lpwstr/>
      </vt:variant>
      <vt:variant>
        <vt:lpwstr>_Toc213072501</vt:lpwstr>
      </vt:variant>
      <vt:variant>
        <vt:i4>1310771</vt:i4>
      </vt:variant>
      <vt:variant>
        <vt:i4>302</vt:i4>
      </vt:variant>
      <vt:variant>
        <vt:i4>0</vt:i4>
      </vt:variant>
      <vt:variant>
        <vt:i4>5</vt:i4>
      </vt:variant>
      <vt:variant>
        <vt:lpwstr/>
      </vt:variant>
      <vt:variant>
        <vt:lpwstr>_Toc213072500</vt:lpwstr>
      </vt:variant>
      <vt:variant>
        <vt:i4>1900594</vt:i4>
      </vt:variant>
      <vt:variant>
        <vt:i4>296</vt:i4>
      </vt:variant>
      <vt:variant>
        <vt:i4>0</vt:i4>
      </vt:variant>
      <vt:variant>
        <vt:i4>5</vt:i4>
      </vt:variant>
      <vt:variant>
        <vt:lpwstr/>
      </vt:variant>
      <vt:variant>
        <vt:lpwstr>_Toc213072499</vt:lpwstr>
      </vt:variant>
      <vt:variant>
        <vt:i4>1900594</vt:i4>
      </vt:variant>
      <vt:variant>
        <vt:i4>290</vt:i4>
      </vt:variant>
      <vt:variant>
        <vt:i4>0</vt:i4>
      </vt:variant>
      <vt:variant>
        <vt:i4>5</vt:i4>
      </vt:variant>
      <vt:variant>
        <vt:lpwstr/>
      </vt:variant>
      <vt:variant>
        <vt:lpwstr>_Toc213072498</vt:lpwstr>
      </vt:variant>
      <vt:variant>
        <vt:i4>1900594</vt:i4>
      </vt:variant>
      <vt:variant>
        <vt:i4>284</vt:i4>
      </vt:variant>
      <vt:variant>
        <vt:i4>0</vt:i4>
      </vt:variant>
      <vt:variant>
        <vt:i4>5</vt:i4>
      </vt:variant>
      <vt:variant>
        <vt:lpwstr/>
      </vt:variant>
      <vt:variant>
        <vt:lpwstr>_Toc213072497</vt:lpwstr>
      </vt:variant>
      <vt:variant>
        <vt:i4>1900594</vt:i4>
      </vt:variant>
      <vt:variant>
        <vt:i4>278</vt:i4>
      </vt:variant>
      <vt:variant>
        <vt:i4>0</vt:i4>
      </vt:variant>
      <vt:variant>
        <vt:i4>5</vt:i4>
      </vt:variant>
      <vt:variant>
        <vt:lpwstr/>
      </vt:variant>
      <vt:variant>
        <vt:lpwstr>_Toc213072496</vt:lpwstr>
      </vt:variant>
      <vt:variant>
        <vt:i4>1900594</vt:i4>
      </vt:variant>
      <vt:variant>
        <vt:i4>272</vt:i4>
      </vt:variant>
      <vt:variant>
        <vt:i4>0</vt:i4>
      </vt:variant>
      <vt:variant>
        <vt:i4>5</vt:i4>
      </vt:variant>
      <vt:variant>
        <vt:lpwstr/>
      </vt:variant>
      <vt:variant>
        <vt:lpwstr>_Toc213072495</vt:lpwstr>
      </vt:variant>
      <vt:variant>
        <vt:i4>1900594</vt:i4>
      </vt:variant>
      <vt:variant>
        <vt:i4>266</vt:i4>
      </vt:variant>
      <vt:variant>
        <vt:i4>0</vt:i4>
      </vt:variant>
      <vt:variant>
        <vt:i4>5</vt:i4>
      </vt:variant>
      <vt:variant>
        <vt:lpwstr/>
      </vt:variant>
      <vt:variant>
        <vt:lpwstr>_Toc213072494</vt:lpwstr>
      </vt:variant>
      <vt:variant>
        <vt:i4>1900594</vt:i4>
      </vt:variant>
      <vt:variant>
        <vt:i4>260</vt:i4>
      </vt:variant>
      <vt:variant>
        <vt:i4>0</vt:i4>
      </vt:variant>
      <vt:variant>
        <vt:i4>5</vt:i4>
      </vt:variant>
      <vt:variant>
        <vt:lpwstr/>
      </vt:variant>
      <vt:variant>
        <vt:lpwstr>_Toc213072493</vt:lpwstr>
      </vt:variant>
      <vt:variant>
        <vt:i4>1900594</vt:i4>
      </vt:variant>
      <vt:variant>
        <vt:i4>254</vt:i4>
      </vt:variant>
      <vt:variant>
        <vt:i4>0</vt:i4>
      </vt:variant>
      <vt:variant>
        <vt:i4>5</vt:i4>
      </vt:variant>
      <vt:variant>
        <vt:lpwstr/>
      </vt:variant>
      <vt:variant>
        <vt:lpwstr>_Toc213072492</vt:lpwstr>
      </vt:variant>
      <vt:variant>
        <vt:i4>1900594</vt:i4>
      </vt:variant>
      <vt:variant>
        <vt:i4>248</vt:i4>
      </vt:variant>
      <vt:variant>
        <vt:i4>0</vt:i4>
      </vt:variant>
      <vt:variant>
        <vt:i4>5</vt:i4>
      </vt:variant>
      <vt:variant>
        <vt:lpwstr/>
      </vt:variant>
      <vt:variant>
        <vt:lpwstr>_Toc213072491</vt:lpwstr>
      </vt:variant>
      <vt:variant>
        <vt:i4>1900594</vt:i4>
      </vt:variant>
      <vt:variant>
        <vt:i4>242</vt:i4>
      </vt:variant>
      <vt:variant>
        <vt:i4>0</vt:i4>
      </vt:variant>
      <vt:variant>
        <vt:i4>5</vt:i4>
      </vt:variant>
      <vt:variant>
        <vt:lpwstr/>
      </vt:variant>
      <vt:variant>
        <vt:lpwstr>_Toc213072490</vt:lpwstr>
      </vt:variant>
      <vt:variant>
        <vt:i4>1835058</vt:i4>
      </vt:variant>
      <vt:variant>
        <vt:i4>236</vt:i4>
      </vt:variant>
      <vt:variant>
        <vt:i4>0</vt:i4>
      </vt:variant>
      <vt:variant>
        <vt:i4>5</vt:i4>
      </vt:variant>
      <vt:variant>
        <vt:lpwstr/>
      </vt:variant>
      <vt:variant>
        <vt:lpwstr>_Toc213072489</vt:lpwstr>
      </vt:variant>
      <vt:variant>
        <vt:i4>1835058</vt:i4>
      </vt:variant>
      <vt:variant>
        <vt:i4>230</vt:i4>
      </vt:variant>
      <vt:variant>
        <vt:i4>0</vt:i4>
      </vt:variant>
      <vt:variant>
        <vt:i4>5</vt:i4>
      </vt:variant>
      <vt:variant>
        <vt:lpwstr/>
      </vt:variant>
      <vt:variant>
        <vt:lpwstr>_Toc213072488</vt:lpwstr>
      </vt:variant>
      <vt:variant>
        <vt:i4>1835058</vt:i4>
      </vt:variant>
      <vt:variant>
        <vt:i4>224</vt:i4>
      </vt:variant>
      <vt:variant>
        <vt:i4>0</vt:i4>
      </vt:variant>
      <vt:variant>
        <vt:i4>5</vt:i4>
      </vt:variant>
      <vt:variant>
        <vt:lpwstr/>
      </vt:variant>
      <vt:variant>
        <vt:lpwstr>_Toc213072487</vt:lpwstr>
      </vt:variant>
      <vt:variant>
        <vt:i4>1835058</vt:i4>
      </vt:variant>
      <vt:variant>
        <vt:i4>218</vt:i4>
      </vt:variant>
      <vt:variant>
        <vt:i4>0</vt:i4>
      </vt:variant>
      <vt:variant>
        <vt:i4>5</vt:i4>
      </vt:variant>
      <vt:variant>
        <vt:lpwstr/>
      </vt:variant>
      <vt:variant>
        <vt:lpwstr>_Toc213072486</vt:lpwstr>
      </vt:variant>
      <vt:variant>
        <vt:i4>1835058</vt:i4>
      </vt:variant>
      <vt:variant>
        <vt:i4>212</vt:i4>
      </vt:variant>
      <vt:variant>
        <vt:i4>0</vt:i4>
      </vt:variant>
      <vt:variant>
        <vt:i4>5</vt:i4>
      </vt:variant>
      <vt:variant>
        <vt:lpwstr/>
      </vt:variant>
      <vt:variant>
        <vt:lpwstr>_Toc213072485</vt:lpwstr>
      </vt:variant>
      <vt:variant>
        <vt:i4>1835058</vt:i4>
      </vt:variant>
      <vt:variant>
        <vt:i4>206</vt:i4>
      </vt:variant>
      <vt:variant>
        <vt:i4>0</vt:i4>
      </vt:variant>
      <vt:variant>
        <vt:i4>5</vt:i4>
      </vt:variant>
      <vt:variant>
        <vt:lpwstr/>
      </vt:variant>
      <vt:variant>
        <vt:lpwstr>_Toc213072484</vt:lpwstr>
      </vt:variant>
      <vt:variant>
        <vt:i4>1835058</vt:i4>
      </vt:variant>
      <vt:variant>
        <vt:i4>200</vt:i4>
      </vt:variant>
      <vt:variant>
        <vt:i4>0</vt:i4>
      </vt:variant>
      <vt:variant>
        <vt:i4>5</vt:i4>
      </vt:variant>
      <vt:variant>
        <vt:lpwstr/>
      </vt:variant>
      <vt:variant>
        <vt:lpwstr>_Toc213072483</vt:lpwstr>
      </vt:variant>
      <vt:variant>
        <vt:i4>1835058</vt:i4>
      </vt:variant>
      <vt:variant>
        <vt:i4>194</vt:i4>
      </vt:variant>
      <vt:variant>
        <vt:i4>0</vt:i4>
      </vt:variant>
      <vt:variant>
        <vt:i4>5</vt:i4>
      </vt:variant>
      <vt:variant>
        <vt:lpwstr/>
      </vt:variant>
      <vt:variant>
        <vt:lpwstr>_Toc213072482</vt:lpwstr>
      </vt:variant>
      <vt:variant>
        <vt:i4>1835058</vt:i4>
      </vt:variant>
      <vt:variant>
        <vt:i4>188</vt:i4>
      </vt:variant>
      <vt:variant>
        <vt:i4>0</vt:i4>
      </vt:variant>
      <vt:variant>
        <vt:i4>5</vt:i4>
      </vt:variant>
      <vt:variant>
        <vt:lpwstr/>
      </vt:variant>
      <vt:variant>
        <vt:lpwstr>_Toc213072481</vt:lpwstr>
      </vt:variant>
      <vt:variant>
        <vt:i4>1835058</vt:i4>
      </vt:variant>
      <vt:variant>
        <vt:i4>182</vt:i4>
      </vt:variant>
      <vt:variant>
        <vt:i4>0</vt:i4>
      </vt:variant>
      <vt:variant>
        <vt:i4>5</vt:i4>
      </vt:variant>
      <vt:variant>
        <vt:lpwstr/>
      </vt:variant>
      <vt:variant>
        <vt:lpwstr>_Toc213072480</vt:lpwstr>
      </vt:variant>
      <vt:variant>
        <vt:i4>1245234</vt:i4>
      </vt:variant>
      <vt:variant>
        <vt:i4>176</vt:i4>
      </vt:variant>
      <vt:variant>
        <vt:i4>0</vt:i4>
      </vt:variant>
      <vt:variant>
        <vt:i4>5</vt:i4>
      </vt:variant>
      <vt:variant>
        <vt:lpwstr/>
      </vt:variant>
      <vt:variant>
        <vt:lpwstr>_Toc213072479</vt:lpwstr>
      </vt:variant>
      <vt:variant>
        <vt:i4>1245234</vt:i4>
      </vt:variant>
      <vt:variant>
        <vt:i4>170</vt:i4>
      </vt:variant>
      <vt:variant>
        <vt:i4>0</vt:i4>
      </vt:variant>
      <vt:variant>
        <vt:i4>5</vt:i4>
      </vt:variant>
      <vt:variant>
        <vt:lpwstr/>
      </vt:variant>
      <vt:variant>
        <vt:lpwstr>_Toc213072478</vt:lpwstr>
      </vt:variant>
      <vt:variant>
        <vt:i4>1245234</vt:i4>
      </vt:variant>
      <vt:variant>
        <vt:i4>164</vt:i4>
      </vt:variant>
      <vt:variant>
        <vt:i4>0</vt:i4>
      </vt:variant>
      <vt:variant>
        <vt:i4>5</vt:i4>
      </vt:variant>
      <vt:variant>
        <vt:lpwstr/>
      </vt:variant>
      <vt:variant>
        <vt:lpwstr>_Toc213072477</vt:lpwstr>
      </vt:variant>
      <vt:variant>
        <vt:i4>1245234</vt:i4>
      </vt:variant>
      <vt:variant>
        <vt:i4>158</vt:i4>
      </vt:variant>
      <vt:variant>
        <vt:i4>0</vt:i4>
      </vt:variant>
      <vt:variant>
        <vt:i4>5</vt:i4>
      </vt:variant>
      <vt:variant>
        <vt:lpwstr/>
      </vt:variant>
      <vt:variant>
        <vt:lpwstr>_Toc213072476</vt:lpwstr>
      </vt:variant>
      <vt:variant>
        <vt:i4>1245234</vt:i4>
      </vt:variant>
      <vt:variant>
        <vt:i4>152</vt:i4>
      </vt:variant>
      <vt:variant>
        <vt:i4>0</vt:i4>
      </vt:variant>
      <vt:variant>
        <vt:i4>5</vt:i4>
      </vt:variant>
      <vt:variant>
        <vt:lpwstr/>
      </vt:variant>
      <vt:variant>
        <vt:lpwstr>_Toc213072475</vt:lpwstr>
      </vt:variant>
      <vt:variant>
        <vt:i4>1245234</vt:i4>
      </vt:variant>
      <vt:variant>
        <vt:i4>146</vt:i4>
      </vt:variant>
      <vt:variant>
        <vt:i4>0</vt:i4>
      </vt:variant>
      <vt:variant>
        <vt:i4>5</vt:i4>
      </vt:variant>
      <vt:variant>
        <vt:lpwstr/>
      </vt:variant>
      <vt:variant>
        <vt:lpwstr>_Toc213072474</vt:lpwstr>
      </vt:variant>
      <vt:variant>
        <vt:i4>1245234</vt:i4>
      </vt:variant>
      <vt:variant>
        <vt:i4>140</vt:i4>
      </vt:variant>
      <vt:variant>
        <vt:i4>0</vt:i4>
      </vt:variant>
      <vt:variant>
        <vt:i4>5</vt:i4>
      </vt:variant>
      <vt:variant>
        <vt:lpwstr/>
      </vt:variant>
      <vt:variant>
        <vt:lpwstr>_Toc213072473</vt:lpwstr>
      </vt:variant>
      <vt:variant>
        <vt:i4>1245234</vt:i4>
      </vt:variant>
      <vt:variant>
        <vt:i4>134</vt:i4>
      </vt:variant>
      <vt:variant>
        <vt:i4>0</vt:i4>
      </vt:variant>
      <vt:variant>
        <vt:i4>5</vt:i4>
      </vt:variant>
      <vt:variant>
        <vt:lpwstr/>
      </vt:variant>
      <vt:variant>
        <vt:lpwstr>_Toc213072472</vt:lpwstr>
      </vt:variant>
      <vt:variant>
        <vt:i4>1245234</vt:i4>
      </vt:variant>
      <vt:variant>
        <vt:i4>128</vt:i4>
      </vt:variant>
      <vt:variant>
        <vt:i4>0</vt:i4>
      </vt:variant>
      <vt:variant>
        <vt:i4>5</vt:i4>
      </vt:variant>
      <vt:variant>
        <vt:lpwstr/>
      </vt:variant>
      <vt:variant>
        <vt:lpwstr>_Toc213072471</vt:lpwstr>
      </vt:variant>
      <vt:variant>
        <vt:i4>1245234</vt:i4>
      </vt:variant>
      <vt:variant>
        <vt:i4>122</vt:i4>
      </vt:variant>
      <vt:variant>
        <vt:i4>0</vt:i4>
      </vt:variant>
      <vt:variant>
        <vt:i4>5</vt:i4>
      </vt:variant>
      <vt:variant>
        <vt:lpwstr/>
      </vt:variant>
      <vt:variant>
        <vt:lpwstr>_Toc213072470</vt:lpwstr>
      </vt:variant>
      <vt:variant>
        <vt:i4>1179698</vt:i4>
      </vt:variant>
      <vt:variant>
        <vt:i4>116</vt:i4>
      </vt:variant>
      <vt:variant>
        <vt:i4>0</vt:i4>
      </vt:variant>
      <vt:variant>
        <vt:i4>5</vt:i4>
      </vt:variant>
      <vt:variant>
        <vt:lpwstr/>
      </vt:variant>
      <vt:variant>
        <vt:lpwstr>_Toc213072469</vt:lpwstr>
      </vt:variant>
      <vt:variant>
        <vt:i4>1179698</vt:i4>
      </vt:variant>
      <vt:variant>
        <vt:i4>110</vt:i4>
      </vt:variant>
      <vt:variant>
        <vt:i4>0</vt:i4>
      </vt:variant>
      <vt:variant>
        <vt:i4>5</vt:i4>
      </vt:variant>
      <vt:variant>
        <vt:lpwstr/>
      </vt:variant>
      <vt:variant>
        <vt:lpwstr>_Toc213072468</vt:lpwstr>
      </vt:variant>
      <vt:variant>
        <vt:i4>1179698</vt:i4>
      </vt:variant>
      <vt:variant>
        <vt:i4>104</vt:i4>
      </vt:variant>
      <vt:variant>
        <vt:i4>0</vt:i4>
      </vt:variant>
      <vt:variant>
        <vt:i4>5</vt:i4>
      </vt:variant>
      <vt:variant>
        <vt:lpwstr/>
      </vt:variant>
      <vt:variant>
        <vt:lpwstr>_Toc213072467</vt:lpwstr>
      </vt:variant>
      <vt:variant>
        <vt:i4>1179698</vt:i4>
      </vt:variant>
      <vt:variant>
        <vt:i4>98</vt:i4>
      </vt:variant>
      <vt:variant>
        <vt:i4>0</vt:i4>
      </vt:variant>
      <vt:variant>
        <vt:i4>5</vt:i4>
      </vt:variant>
      <vt:variant>
        <vt:lpwstr/>
      </vt:variant>
      <vt:variant>
        <vt:lpwstr>_Toc213072466</vt:lpwstr>
      </vt:variant>
      <vt:variant>
        <vt:i4>1179698</vt:i4>
      </vt:variant>
      <vt:variant>
        <vt:i4>92</vt:i4>
      </vt:variant>
      <vt:variant>
        <vt:i4>0</vt:i4>
      </vt:variant>
      <vt:variant>
        <vt:i4>5</vt:i4>
      </vt:variant>
      <vt:variant>
        <vt:lpwstr/>
      </vt:variant>
      <vt:variant>
        <vt:lpwstr>_Toc213072465</vt:lpwstr>
      </vt:variant>
      <vt:variant>
        <vt:i4>1179698</vt:i4>
      </vt:variant>
      <vt:variant>
        <vt:i4>86</vt:i4>
      </vt:variant>
      <vt:variant>
        <vt:i4>0</vt:i4>
      </vt:variant>
      <vt:variant>
        <vt:i4>5</vt:i4>
      </vt:variant>
      <vt:variant>
        <vt:lpwstr/>
      </vt:variant>
      <vt:variant>
        <vt:lpwstr>_Toc213072464</vt:lpwstr>
      </vt:variant>
      <vt:variant>
        <vt:i4>1179698</vt:i4>
      </vt:variant>
      <vt:variant>
        <vt:i4>80</vt:i4>
      </vt:variant>
      <vt:variant>
        <vt:i4>0</vt:i4>
      </vt:variant>
      <vt:variant>
        <vt:i4>5</vt:i4>
      </vt:variant>
      <vt:variant>
        <vt:lpwstr/>
      </vt:variant>
      <vt:variant>
        <vt:lpwstr>_Toc213072463</vt:lpwstr>
      </vt:variant>
      <vt:variant>
        <vt:i4>1179698</vt:i4>
      </vt:variant>
      <vt:variant>
        <vt:i4>74</vt:i4>
      </vt:variant>
      <vt:variant>
        <vt:i4>0</vt:i4>
      </vt:variant>
      <vt:variant>
        <vt:i4>5</vt:i4>
      </vt:variant>
      <vt:variant>
        <vt:lpwstr/>
      </vt:variant>
      <vt:variant>
        <vt:lpwstr>_Toc213072462</vt:lpwstr>
      </vt:variant>
      <vt:variant>
        <vt:i4>1179698</vt:i4>
      </vt:variant>
      <vt:variant>
        <vt:i4>68</vt:i4>
      </vt:variant>
      <vt:variant>
        <vt:i4>0</vt:i4>
      </vt:variant>
      <vt:variant>
        <vt:i4>5</vt:i4>
      </vt:variant>
      <vt:variant>
        <vt:lpwstr/>
      </vt:variant>
      <vt:variant>
        <vt:lpwstr>_Toc213072461</vt:lpwstr>
      </vt:variant>
      <vt:variant>
        <vt:i4>1179698</vt:i4>
      </vt:variant>
      <vt:variant>
        <vt:i4>62</vt:i4>
      </vt:variant>
      <vt:variant>
        <vt:i4>0</vt:i4>
      </vt:variant>
      <vt:variant>
        <vt:i4>5</vt:i4>
      </vt:variant>
      <vt:variant>
        <vt:lpwstr/>
      </vt:variant>
      <vt:variant>
        <vt:lpwstr>_Toc213072460</vt:lpwstr>
      </vt:variant>
      <vt:variant>
        <vt:i4>1114162</vt:i4>
      </vt:variant>
      <vt:variant>
        <vt:i4>56</vt:i4>
      </vt:variant>
      <vt:variant>
        <vt:i4>0</vt:i4>
      </vt:variant>
      <vt:variant>
        <vt:i4>5</vt:i4>
      </vt:variant>
      <vt:variant>
        <vt:lpwstr/>
      </vt:variant>
      <vt:variant>
        <vt:lpwstr>_Toc213072459</vt:lpwstr>
      </vt:variant>
      <vt:variant>
        <vt:i4>1114162</vt:i4>
      </vt:variant>
      <vt:variant>
        <vt:i4>50</vt:i4>
      </vt:variant>
      <vt:variant>
        <vt:i4>0</vt:i4>
      </vt:variant>
      <vt:variant>
        <vt:i4>5</vt:i4>
      </vt:variant>
      <vt:variant>
        <vt:lpwstr/>
      </vt:variant>
      <vt:variant>
        <vt:lpwstr>_Toc213072458</vt:lpwstr>
      </vt:variant>
      <vt:variant>
        <vt:i4>1114162</vt:i4>
      </vt:variant>
      <vt:variant>
        <vt:i4>44</vt:i4>
      </vt:variant>
      <vt:variant>
        <vt:i4>0</vt:i4>
      </vt:variant>
      <vt:variant>
        <vt:i4>5</vt:i4>
      </vt:variant>
      <vt:variant>
        <vt:lpwstr/>
      </vt:variant>
      <vt:variant>
        <vt:lpwstr>_Toc213072457</vt:lpwstr>
      </vt:variant>
      <vt:variant>
        <vt:i4>1114162</vt:i4>
      </vt:variant>
      <vt:variant>
        <vt:i4>38</vt:i4>
      </vt:variant>
      <vt:variant>
        <vt:i4>0</vt:i4>
      </vt:variant>
      <vt:variant>
        <vt:i4>5</vt:i4>
      </vt:variant>
      <vt:variant>
        <vt:lpwstr/>
      </vt:variant>
      <vt:variant>
        <vt:lpwstr>_Toc213072456</vt:lpwstr>
      </vt:variant>
      <vt:variant>
        <vt:i4>1114162</vt:i4>
      </vt:variant>
      <vt:variant>
        <vt:i4>32</vt:i4>
      </vt:variant>
      <vt:variant>
        <vt:i4>0</vt:i4>
      </vt:variant>
      <vt:variant>
        <vt:i4>5</vt:i4>
      </vt:variant>
      <vt:variant>
        <vt:lpwstr/>
      </vt:variant>
      <vt:variant>
        <vt:lpwstr>_Toc213072455</vt:lpwstr>
      </vt:variant>
      <vt:variant>
        <vt:i4>1114162</vt:i4>
      </vt:variant>
      <vt:variant>
        <vt:i4>26</vt:i4>
      </vt:variant>
      <vt:variant>
        <vt:i4>0</vt:i4>
      </vt:variant>
      <vt:variant>
        <vt:i4>5</vt:i4>
      </vt:variant>
      <vt:variant>
        <vt:lpwstr/>
      </vt:variant>
      <vt:variant>
        <vt:lpwstr>_Toc213072454</vt:lpwstr>
      </vt:variant>
      <vt:variant>
        <vt:i4>1114162</vt:i4>
      </vt:variant>
      <vt:variant>
        <vt:i4>20</vt:i4>
      </vt:variant>
      <vt:variant>
        <vt:i4>0</vt:i4>
      </vt:variant>
      <vt:variant>
        <vt:i4>5</vt:i4>
      </vt:variant>
      <vt:variant>
        <vt:lpwstr/>
      </vt:variant>
      <vt:variant>
        <vt:lpwstr>_Toc213072453</vt:lpwstr>
      </vt:variant>
      <vt:variant>
        <vt:i4>1114162</vt:i4>
      </vt:variant>
      <vt:variant>
        <vt:i4>14</vt:i4>
      </vt:variant>
      <vt:variant>
        <vt:i4>0</vt:i4>
      </vt:variant>
      <vt:variant>
        <vt:i4>5</vt:i4>
      </vt:variant>
      <vt:variant>
        <vt:lpwstr/>
      </vt:variant>
      <vt:variant>
        <vt:lpwstr>_Toc213072452</vt:lpwstr>
      </vt:variant>
      <vt:variant>
        <vt:i4>1114162</vt:i4>
      </vt:variant>
      <vt:variant>
        <vt:i4>8</vt:i4>
      </vt:variant>
      <vt:variant>
        <vt:i4>0</vt:i4>
      </vt:variant>
      <vt:variant>
        <vt:i4>5</vt:i4>
      </vt:variant>
      <vt:variant>
        <vt:lpwstr/>
      </vt:variant>
      <vt:variant>
        <vt:lpwstr>_Toc213072451</vt:lpwstr>
      </vt:variant>
      <vt:variant>
        <vt:i4>1114162</vt:i4>
      </vt:variant>
      <vt:variant>
        <vt:i4>2</vt:i4>
      </vt:variant>
      <vt:variant>
        <vt:i4>0</vt:i4>
      </vt:variant>
      <vt:variant>
        <vt:i4>5</vt:i4>
      </vt:variant>
      <vt:variant>
        <vt:lpwstr/>
      </vt:variant>
      <vt:variant>
        <vt:lpwstr>_Toc213072450</vt:lpwstr>
      </vt:variant>
      <vt:variant>
        <vt:i4>6291489</vt:i4>
      </vt:variant>
      <vt:variant>
        <vt:i4>45</vt:i4>
      </vt:variant>
      <vt:variant>
        <vt:i4>0</vt:i4>
      </vt:variant>
      <vt:variant>
        <vt:i4>5</vt:i4>
      </vt:variant>
      <vt:variant>
        <vt:lpwstr>https://ampartecipa.mtm.torino.it/processes/bacino-metropolitano/f/42/posts/69</vt:lpwstr>
      </vt:variant>
      <vt:variant>
        <vt:lpwstr/>
      </vt:variant>
      <vt:variant>
        <vt:i4>6815782</vt:i4>
      </vt:variant>
      <vt:variant>
        <vt:i4>42</vt:i4>
      </vt:variant>
      <vt:variant>
        <vt:i4>0</vt:i4>
      </vt:variant>
      <vt:variant>
        <vt:i4>5</vt:i4>
      </vt:variant>
      <vt:variant>
        <vt:lpwstr>https://ampartecipa.mtm.torino.it/processes/bacino-metropolitano/f/42/posts/11</vt:lpwstr>
      </vt:variant>
      <vt:variant>
        <vt:lpwstr/>
      </vt:variant>
      <vt:variant>
        <vt:i4>2949176</vt:i4>
      </vt:variant>
      <vt:variant>
        <vt:i4>39</vt:i4>
      </vt:variant>
      <vt:variant>
        <vt:i4>0</vt:i4>
      </vt:variant>
      <vt:variant>
        <vt:i4>5</vt:i4>
      </vt:variant>
      <vt:variant>
        <vt:lpwstr>https://mtm.torino.it/wp-content/uploads/amministrazione-trasparente/bandi-gara-contratti/sistema-di-qualificazione-concessionari-tpl/sistema-di-qualificazione-normativa-3.00.pdf</vt:lpwstr>
      </vt:variant>
      <vt:variant>
        <vt:lpwstr/>
      </vt:variant>
      <vt:variant>
        <vt:i4>2359400</vt:i4>
      </vt:variant>
      <vt:variant>
        <vt:i4>36</vt:i4>
      </vt:variant>
      <vt:variant>
        <vt:i4>0</vt:i4>
      </vt:variant>
      <vt:variant>
        <vt:i4>5</vt:i4>
      </vt:variant>
      <vt:variant>
        <vt:lpwstr>https://rivaluta.istat.it/Rivaluta/Widget/calcolatoreWidget.jsp</vt:lpwstr>
      </vt:variant>
      <vt:variant>
        <vt:lpwstr/>
      </vt:variant>
      <vt:variant>
        <vt:i4>2359400</vt:i4>
      </vt:variant>
      <vt:variant>
        <vt:i4>33</vt:i4>
      </vt:variant>
      <vt:variant>
        <vt:i4>0</vt:i4>
      </vt:variant>
      <vt:variant>
        <vt:i4>5</vt:i4>
      </vt:variant>
      <vt:variant>
        <vt:lpwstr>https://rivaluta.istat.it/Rivaluta/Widget/calcolatoreWidget.jsp</vt:lpwstr>
      </vt:variant>
      <vt:variant>
        <vt:lpwstr/>
      </vt:variant>
      <vt:variant>
        <vt:i4>3932187</vt:i4>
      </vt:variant>
      <vt:variant>
        <vt:i4>27</vt:i4>
      </vt:variant>
      <vt:variant>
        <vt:i4>0</vt:i4>
      </vt:variant>
      <vt:variant>
        <vt:i4>5</vt:i4>
      </vt:variant>
      <vt:variant>
        <vt:lpwstr>https://www.dt.mef.gov.it/it/attivita_istituzionali/analisi_programmazione_economico_finanziaria/inflaz_programmata/</vt:lpwstr>
      </vt:variant>
      <vt:variant>
        <vt:lpwstr/>
      </vt:variant>
      <vt:variant>
        <vt:i4>4391023</vt:i4>
      </vt:variant>
      <vt:variant>
        <vt:i4>24</vt:i4>
      </vt:variant>
      <vt:variant>
        <vt:i4>0</vt:i4>
      </vt:variant>
      <vt:variant>
        <vt:i4>5</vt:i4>
      </vt:variant>
      <vt:variant>
        <vt:lpwstr>https://www.emta.com/wp-content/uploads/2021/12/rebelgroup_report.pdf</vt:lpwstr>
      </vt:variant>
      <vt:variant>
        <vt:lpwstr/>
      </vt:variant>
      <vt:variant>
        <vt:i4>983112</vt:i4>
      </vt:variant>
      <vt:variant>
        <vt:i4>21</vt:i4>
      </vt:variant>
      <vt:variant>
        <vt:i4>0</vt:i4>
      </vt:variant>
      <vt:variant>
        <vt:i4>5</vt:i4>
      </vt:variant>
      <vt:variant>
        <vt:lpwstr>https://mtm.torino.it/it/servizi-e-contratti/servizi-tpl/</vt:lpwstr>
      </vt:variant>
      <vt:variant>
        <vt:lpwstr/>
      </vt:variant>
      <vt:variant>
        <vt:i4>3801137</vt:i4>
      </vt:variant>
      <vt:variant>
        <vt:i4>18</vt:i4>
      </vt:variant>
      <vt:variant>
        <vt:i4>0</vt:i4>
      </vt:variant>
      <vt:variant>
        <vt:i4>5</vt:i4>
      </vt:variant>
      <vt:variant>
        <vt:lpwstr>https://mtm.torino.it/it/piani-progetti/progetti-a-scala-regionale/studi-su-linee-ferroviarie-sospese/</vt:lpwstr>
      </vt:variant>
      <vt:variant>
        <vt:lpwstr/>
      </vt:variant>
      <vt:variant>
        <vt:i4>8192061</vt:i4>
      </vt:variant>
      <vt:variant>
        <vt:i4>15</vt:i4>
      </vt:variant>
      <vt:variant>
        <vt:i4>0</vt:i4>
      </vt:variant>
      <vt:variant>
        <vt:i4>5</vt:i4>
      </vt:variant>
      <vt:variant>
        <vt:lpwstr>https://www.istat.it/statistica-sperimentale/previsioni-demografiche-comunali-statistica-sperimentale/</vt:lpwstr>
      </vt:variant>
      <vt:variant>
        <vt:lpwstr/>
      </vt:variant>
      <vt:variant>
        <vt:i4>3145787</vt:i4>
      </vt:variant>
      <vt:variant>
        <vt:i4>12</vt:i4>
      </vt:variant>
      <vt:variant>
        <vt:i4>0</vt:i4>
      </vt:variant>
      <vt:variant>
        <vt:i4>5</vt:i4>
      </vt:variant>
      <vt:variant>
        <vt:lpwstr>https://datamobility.it/magazine/ok-boomer-una-prospettiva-generazionale-sui-comportamenti-di-mobilita/</vt:lpwstr>
      </vt:variant>
      <vt:variant>
        <vt:lpwstr/>
      </vt:variant>
      <vt:variant>
        <vt:i4>852050</vt:i4>
      </vt:variant>
      <vt:variant>
        <vt:i4>9</vt:i4>
      </vt:variant>
      <vt:variant>
        <vt:i4>0</vt:i4>
      </vt:variant>
      <vt:variant>
        <vt:i4>5</vt:i4>
      </vt:variant>
      <vt:variant>
        <vt:lpwstr>https://www.muoversinpiemonte.it/piattaforma-digitale-regionale-emma</vt:lpwstr>
      </vt:variant>
      <vt:variant>
        <vt:lpwstr/>
      </vt:variant>
      <vt:variant>
        <vt:i4>5701722</vt:i4>
      </vt:variant>
      <vt:variant>
        <vt:i4>6</vt:i4>
      </vt:variant>
      <vt:variant>
        <vt:i4>0</vt:i4>
      </vt:variant>
      <vt:variant>
        <vt:i4>5</vt:i4>
      </vt:variant>
      <vt:variant>
        <vt:lpwstr>https://mtm.torino.it/wp-content/uploads/2023/06/Relazione_Affidamenti_2022_pubbl_15-06-2023.pdf</vt:lpwstr>
      </vt:variant>
      <vt:variant>
        <vt:lpwstr/>
      </vt:variant>
      <vt:variant>
        <vt:i4>7143476</vt:i4>
      </vt:variant>
      <vt:variant>
        <vt:i4>3</vt:i4>
      </vt:variant>
      <vt:variant>
        <vt:i4>0</vt:i4>
      </vt:variant>
      <vt:variant>
        <vt:i4>5</vt:i4>
      </vt:variant>
      <vt:variant>
        <vt:lpwstr>https://mtm.torino.it/it/servizi-e-contratti/relazioni-di-affidamento/</vt:lpwstr>
      </vt:variant>
      <vt:variant>
        <vt:lpwstr/>
      </vt:variant>
      <vt:variant>
        <vt:i4>6357101</vt:i4>
      </vt:variant>
      <vt:variant>
        <vt:i4>0</vt:i4>
      </vt:variant>
      <vt:variant>
        <vt:i4>0</vt:i4>
      </vt:variant>
      <vt:variant>
        <vt:i4>5</vt:i4>
      </vt:variant>
      <vt:variant>
        <vt:lpwstr>https://mtm.torino.it/it/aggiornamento-avvisi-pre-informazione-delle-procedure-di-affidamento-delle-concessioni-dei-servizi-di-tpl/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Relazione sui lotti di gara</dc:title>
  <dc:subject>Bacino Metropolitano Piemonte</dc:subject>
  <dc:creator>AMP</dc:creator>
  <cp:keywords/>
  <dc:description/>
  <cp:lastModifiedBy>Elisa Bracco</cp:lastModifiedBy>
  <cp:revision>732</cp:revision>
  <cp:lastPrinted>2025-11-05T16:15:00Z</cp:lastPrinted>
  <dcterms:created xsi:type="dcterms:W3CDTF">2025-10-29T15:07:00Z</dcterms:created>
  <dcterms:modified xsi:type="dcterms:W3CDTF">2025-11-05T16:15:00Z</dcterms:modified>
</cp:coreProperties>
</file>